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95F" w:rsidRDefault="0011795F" w:rsidP="00F8145C">
      <w:pPr>
        <w:tabs>
          <w:tab w:val="left" w:pos="709"/>
          <w:tab w:val="left" w:pos="1031"/>
          <w:tab w:val="center" w:pos="4873"/>
        </w:tabs>
        <w:ind w:left="0"/>
        <w:rPr>
          <w:noProof/>
        </w:rPr>
      </w:pPr>
      <w:r>
        <w:rPr>
          <w:noProof/>
        </w:rPr>
        <w:drawing>
          <wp:anchor distT="0" distB="0" distL="114300" distR="114300" simplePos="0" relativeHeight="251663872" behindDoc="1" locked="0" layoutInCell="1" allowOverlap="1">
            <wp:simplePos x="0" y="0"/>
            <wp:positionH relativeFrom="column">
              <wp:posOffset>-1415612</wp:posOffset>
            </wp:positionH>
            <wp:positionV relativeFrom="paragraph">
              <wp:posOffset>-961697</wp:posOffset>
            </wp:positionV>
            <wp:extent cx="9361433" cy="14047076"/>
            <wp:effectExtent l="19050" t="0" r="0" b="0"/>
            <wp:wrapNone/>
            <wp:docPr id="2" name="Picture 2" descr="\\pvac01file02\water$\Environment\Environmental Water\CEWH\Photos\20131018 Edward River (Jane McClintock Simon Banks CEWO)\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water$\Environment\Environmental Water\CEWH\Photos\20131018 Edward River (Jane McClintock Simon Banks CEWO)\IMG_3120.JPG"/>
                    <pic:cNvPicPr>
                      <a:picLocks noChangeAspect="1" noChangeArrowheads="1"/>
                    </pic:cNvPicPr>
                  </pic:nvPicPr>
                  <pic:blipFill>
                    <a:blip r:embed="rId8" cstate="screen"/>
                    <a:srcRect/>
                    <a:stretch>
                      <a:fillRect/>
                    </a:stretch>
                  </pic:blipFill>
                  <pic:spPr bwMode="auto">
                    <a:xfrm>
                      <a:off x="0" y="0"/>
                      <a:ext cx="9361433" cy="14047076"/>
                    </a:xfrm>
                    <a:prstGeom prst="rect">
                      <a:avLst/>
                    </a:prstGeom>
                    <a:noFill/>
                    <a:ln w="9525">
                      <a:noFill/>
                      <a:miter lim="800000"/>
                      <a:headEnd/>
                      <a:tailEnd/>
                    </a:ln>
                  </pic:spPr>
                </pic:pic>
              </a:graphicData>
            </a:graphic>
          </wp:anchor>
        </w:drawing>
      </w:r>
    </w:p>
    <w:p w:rsidR="001209E7" w:rsidRDefault="008B5986" w:rsidP="00F8145C">
      <w:pPr>
        <w:tabs>
          <w:tab w:val="left" w:pos="709"/>
          <w:tab w:val="left" w:pos="1031"/>
          <w:tab w:val="center" w:pos="4873"/>
        </w:tabs>
        <w:ind w:left="0"/>
        <w:rPr>
          <w:noProof/>
        </w:rPr>
      </w:pPr>
      <w:r>
        <w:rPr>
          <w:noProof/>
        </w:rPr>
        <w:pict>
          <v:roundrect id="_x0000_s1778" style="position:absolute;margin-left:-156.1pt;margin-top:4.85pt;width:625.7pt;height:148.35pt;z-index:251662848;mso-position-horizontal-relative:text;mso-position-vertical-relative:text" arcsize="5246f" stroked="f"/>
        </w:pict>
      </w:r>
    </w:p>
    <w:p w:rsidR="001209E7" w:rsidRDefault="008B5986" w:rsidP="00F8145C">
      <w:pPr>
        <w:tabs>
          <w:tab w:val="left" w:pos="709"/>
          <w:tab w:val="left" w:pos="1031"/>
          <w:tab w:val="center" w:pos="4873"/>
        </w:tabs>
        <w:ind w:left="0"/>
        <w:rPr>
          <w:noProof/>
        </w:rPr>
      </w:pPr>
      <w:r>
        <w:rPr>
          <w:noProof/>
        </w:rPr>
        <w:pict>
          <v:shapetype id="_x0000_t202" coordsize="21600,21600" o:spt="202" path="m,l,21600r21600,l21600,xe">
            <v:stroke joinstyle="miter"/>
            <v:path gradientshapeok="t" o:connecttype="rect"/>
          </v:shapetype>
          <v:shape id="_x0000_s1779" type="#_x0000_t202" style="position:absolute;margin-left:39.75pt;margin-top:1.7pt;width:413.55pt;height:61.95pt;z-index:251664896;mso-position-horizontal-relative:text;mso-position-vertical-relative:text;mso-width-relative:margin;mso-height-relative:margin" filled="f" stroked="f">
            <v:textbox style="mso-next-textbox:#_x0000_s1779">
              <w:txbxContent>
                <w:p w:rsidR="00F26FFC" w:rsidRPr="00D15FB4" w:rsidRDefault="00F26FFC" w:rsidP="0011795F">
                  <w:pPr>
                    <w:pStyle w:val="Para0"/>
                    <w:spacing w:after="120" w:line="240" w:lineRule="auto"/>
                    <w:ind w:left="-142" w:right="-81"/>
                    <w:jc w:val="right"/>
                    <w:rPr>
                      <w:rFonts w:asciiTheme="minorHAnsi" w:hAnsiTheme="minorHAnsi" w:cstheme="minorHAnsi"/>
                      <w:color w:val="365F91"/>
                      <w:sz w:val="40"/>
                      <w:szCs w:val="40"/>
                    </w:rPr>
                  </w:pPr>
                  <w:r w:rsidRPr="00D15FB4">
                    <w:rPr>
                      <w:rFonts w:asciiTheme="minorHAnsi" w:hAnsiTheme="minorHAnsi" w:cstheme="minorHAnsi"/>
                      <w:b/>
                      <w:color w:val="auto"/>
                      <w:sz w:val="40"/>
                      <w:szCs w:val="40"/>
                    </w:rPr>
                    <w:t xml:space="preserve">Commonwealth Environmental Water Office </w:t>
                  </w:r>
                  <w:r w:rsidRPr="00D15FB4">
                    <w:rPr>
                      <w:rFonts w:asciiTheme="minorHAnsi" w:hAnsiTheme="minorHAnsi" w:cstheme="minorHAnsi"/>
                      <w:b/>
                      <w:color w:val="365F91"/>
                      <w:sz w:val="40"/>
                      <w:szCs w:val="40"/>
                    </w:rPr>
                    <w:t>2013-14 Business Plan</w:t>
                  </w:r>
                  <w:r w:rsidRPr="00D15FB4">
                    <w:rPr>
                      <w:rFonts w:asciiTheme="minorHAnsi" w:hAnsiTheme="minorHAnsi" w:cstheme="minorHAnsi"/>
                      <w:color w:val="365F91"/>
                      <w:sz w:val="40"/>
                      <w:szCs w:val="40"/>
                    </w:rPr>
                    <w:t xml:space="preserve"> </w:t>
                  </w:r>
                </w:p>
                <w:p w:rsidR="00F26FFC" w:rsidRPr="00213AC9" w:rsidRDefault="00F26FFC" w:rsidP="0011795F">
                  <w:pPr>
                    <w:rPr>
                      <w:lang w:val="en-GB"/>
                    </w:rPr>
                  </w:pPr>
                </w:p>
              </w:txbxContent>
            </v:textbox>
          </v:shape>
        </w:pict>
      </w:r>
    </w:p>
    <w:p w:rsidR="001209E7" w:rsidRDefault="0011795F" w:rsidP="00F8145C">
      <w:pPr>
        <w:tabs>
          <w:tab w:val="left" w:pos="709"/>
          <w:tab w:val="left" w:pos="1031"/>
          <w:tab w:val="center" w:pos="4873"/>
        </w:tabs>
        <w:ind w:left="0"/>
        <w:rPr>
          <w:noProof/>
        </w:rPr>
      </w:pPr>
      <w:r>
        <w:rPr>
          <w:noProof/>
        </w:rPr>
        <w:drawing>
          <wp:anchor distT="0" distB="0" distL="114300" distR="114300" simplePos="0" relativeHeight="251666944" behindDoc="0" locked="0" layoutInCell="1" allowOverlap="1">
            <wp:simplePos x="0" y="0"/>
            <wp:positionH relativeFrom="column">
              <wp:posOffset>-706755</wp:posOffset>
            </wp:positionH>
            <wp:positionV relativeFrom="paragraph">
              <wp:posOffset>158115</wp:posOffset>
            </wp:positionV>
            <wp:extent cx="2345690" cy="914400"/>
            <wp:effectExtent l="19050" t="0" r="0" b="0"/>
            <wp:wrapNone/>
            <wp:docPr id="35"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9" cstate="screen"/>
                    <a:stretch>
                      <a:fillRect/>
                    </a:stretch>
                  </pic:blipFill>
                  <pic:spPr>
                    <a:xfrm>
                      <a:off x="0" y="0"/>
                      <a:ext cx="2345690" cy="914400"/>
                    </a:xfrm>
                    <a:prstGeom prst="rect">
                      <a:avLst/>
                    </a:prstGeom>
                  </pic:spPr>
                </pic:pic>
              </a:graphicData>
            </a:graphic>
          </wp:anchor>
        </w:drawing>
      </w:r>
    </w:p>
    <w:p w:rsidR="001209E7" w:rsidRDefault="001209E7" w:rsidP="00F8145C">
      <w:pPr>
        <w:tabs>
          <w:tab w:val="left" w:pos="709"/>
          <w:tab w:val="left" w:pos="1031"/>
          <w:tab w:val="center" w:pos="4873"/>
        </w:tabs>
        <w:ind w:left="0"/>
        <w:rPr>
          <w:noProof/>
        </w:rPr>
      </w:pPr>
    </w:p>
    <w:p w:rsidR="001209E7" w:rsidRDefault="00D15FB4" w:rsidP="00F8145C">
      <w:pPr>
        <w:tabs>
          <w:tab w:val="left" w:pos="709"/>
          <w:tab w:val="left" w:pos="1031"/>
          <w:tab w:val="center" w:pos="4873"/>
        </w:tabs>
        <w:ind w:left="0"/>
        <w:rPr>
          <w:noProof/>
        </w:rPr>
      </w:pPr>
      <w:r>
        <w:rPr>
          <w:noProof/>
        </w:rPr>
        <w:drawing>
          <wp:anchor distT="0" distB="0" distL="114300" distR="114300" simplePos="0" relativeHeight="251668992" behindDoc="0" locked="0" layoutInCell="1" allowOverlap="1">
            <wp:simplePos x="0" y="0"/>
            <wp:positionH relativeFrom="column">
              <wp:posOffset>2311400</wp:posOffset>
            </wp:positionH>
            <wp:positionV relativeFrom="paragraph">
              <wp:posOffset>69215</wp:posOffset>
            </wp:positionV>
            <wp:extent cx="3369945" cy="252095"/>
            <wp:effectExtent l="19050" t="0" r="1905" b="0"/>
            <wp:wrapNone/>
            <wp:docPr id="8" name="Picture 13" descr="CEW_squ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squares.png"/>
                    <pic:cNvPicPr/>
                  </pic:nvPicPr>
                  <pic:blipFill>
                    <a:blip r:embed="rId10" cstate="screen"/>
                    <a:stretch>
                      <a:fillRect/>
                    </a:stretch>
                  </pic:blipFill>
                  <pic:spPr>
                    <a:xfrm>
                      <a:off x="0" y="0"/>
                      <a:ext cx="3369945" cy="252095"/>
                    </a:xfrm>
                    <a:prstGeom prst="rect">
                      <a:avLst/>
                    </a:prstGeom>
                  </pic:spPr>
                </pic:pic>
              </a:graphicData>
            </a:graphic>
          </wp:anchor>
        </w:drawing>
      </w:r>
    </w:p>
    <w:p w:rsidR="0065163C" w:rsidRPr="005B7819" w:rsidRDefault="00B103B1" w:rsidP="00F8145C">
      <w:pPr>
        <w:tabs>
          <w:tab w:val="left" w:pos="709"/>
          <w:tab w:val="left" w:pos="1031"/>
          <w:tab w:val="center" w:pos="4873"/>
        </w:tabs>
        <w:ind w:left="0"/>
        <w:rPr>
          <w:b/>
          <w:color w:val="auto"/>
          <w:sz w:val="22"/>
          <w:szCs w:val="22"/>
        </w:rPr>
      </w:pPr>
      <w:r>
        <w:softHyphen/>
      </w:r>
      <w:r w:rsidR="001E3DD0">
        <w:br w:type="page"/>
      </w:r>
    </w:p>
    <w:p w:rsidR="006D08EE" w:rsidRDefault="006D08EE" w:rsidP="000C28DE">
      <w:pPr>
        <w:tabs>
          <w:tab w:val="left" w:pos="2410"/>
        </w:tabs>
        <w:ind w:left="2410" w:hanging="2410"/>
        <w:rPr>
          <w:rFonts w:ascii="Century Gothic" w:hAnsi="Century Gothic"/>
          <w:color w:val="5F497A" w:themeColor="accent4" w:themeShade="BF"/>
        </w:rPr>
      </w:pPr>
      <w:bookmarkStart w:id="0" w:name="_Toc333227682"/>
      <w:bookmarkStart w:id="1" w:name="_Toc303598160"/>
    </w:p>
    <w:p w:rsidR="000C28DE" w:rsidRPr="00387B59" w:rsidRDefault="000C28DE" w:rsidP="000C28DE">
      <w:pPr>
        <w:tabs>
          <w:tab w:val="left" w:pos="2410"/>
        </w:tabs>
        <w:ind w:left="2410" w:hanging="2410"/>
        <w:rPr>
          <w:rFonts w:ascii="Century Gothic" w:hAnsi="Century Gothic"/>
          <w:color w:val="5F497A" w:themeColor="accent4" w:themeShade="BF"/>
        </w:rPr>
      </w:pPr>
      <w:r w:rsidRPr="007F7361">
        <w:rPr>
          <w:rFonts w:ascii="Century Gothic" w:hAnsi="Century Gothic"/>
          <w:color w:val="5F497A" w:themeColor="accent4" w:themeShade="BF"/>
        </w:rPr>
        <w:t>Cover image credit:</w:t>
      </w:r>
      <w:r>
        <w:rPr>
          <w:rFonts w:ascii="Century Gothic" w:hAnsi="Century Gothic"/>
          <w:color w:val="5F497A" w:themeColor="accent4" w:themeShade="BF"/>
        </w:rPr>
        <w:tab/>
        <w:t>Edward Wakool River system, 2013</w:t>
      </w:r>
      <w:r w:rsidRPr="00FC6370">
        <w:rPr>
          <w:rFonts w:ascii="Century Gothic" w:hAnsi="Century Gothic"/>
          <w:color w:val="5F497A" w:themeColor="accent4" w:themeShade="BF"/>
        </w:rPr>
        <w:t>.</w:t>
      </w:r>
      <w:r>
        <w:rPr>
          <w:rFonts w:ascii="Century Gothic" w:hAnsi="Century Gothic"/>
          <w:color w:val="5F497A" w:themeColor="accent4" w:themeShade="BF"/>
        </w:rPr>
        <w:t xml:space="preserve"> </w:t>
      </w:r>
      <w:r>
        <w:rPr>
          <w:rFonts w:ascii="Century Gothic" w:hAnsi="Century Gothic"/>
          <w:color w:val="5F497A" w:themeColor="accent4" w:themeShade="BF"/>
        </w:rPr>
        <w:br/>
      </w:r>
      <w:r w:rsidRPr="00FC6370">
        <w:rPr>
          <w:rFonts w:ascii="Century Gothic" w:hAnsi="Century Gothic"/>
          <w:color w:val="5F497A" w:themeColor="accent4" w:themeShade="BF"/>
        </w:rPr>
        <w:t xml:space="preserve">Photo by </w:t>
      </w:r>
      <w:r>
        <w:rPr>
          <w:rFonts w:ascii="Century Gothic" w:hAnsi="Century Gothic"/>
          <w:color w:val="5F497A" w:themeColor="accent4" w:themeShade="BF"/>
        </w:rPr>
        <w:t>Simon Banks,CEWO</w:t>
      </w:r>
      <w:r w:rsidRPr="00387B59">
        <w:rPr>
          <w:rFonts w:ascii="Century Gothic" w:hAnsi="Century Gothic"/>
          <w:color w:val="5F497A" w:themeColor="accent4" w:themeShade="BF"/>
        </w:rPr>
        <w:t>.</w:t>
      </w: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Acknowledgement of the Traditional Owners of the Murray-Darling Basin</w:t>
      </w:r>
    </w:p>
    <w:p w:rsidR="000C28DE" w:rsidRPr="00FC6370" w:rsidRDefault="000C28DE" w:rsidP="000D1A69">
      <w:pPr>
        <w:ind w:left="0"/>
        <w:rPr>
          <w:rFonts w:ascii="Century Gothic" w:hAnsi="Century Gothic"/>
        </w:rPr>
      </w:pPr>
      <w:r w:rsidRPr="00FC6370">
        <w:rPr>
          <w:rFonts w:ascii="Century Gothic" w:hAnsi="Century Gothic" w:cs="Century Gothic"/>
        </w:rPr>
        <w:t xml:space="preserve">The Commonwealth Environmental Water </w:t>
      </w:r>
      <w:r w:rsidR="00185756">
        <w:rPr>
          <w:rFonts w:ascii="Century Gothic" w:hAnsi="Century Gothic" w:cs="Century Gothic"/>
        </w:rPr>
        <w:t xml:space="preserve">Holder and the </w:t>
      </w:r>
      <w:r w:rsidR="00185756" w:rsidRPr="00FC6370">
        <w:rPr>
          <w:rFonts w:ascii="Century Gothic" w:hAnsi="Century Gothic" w:cs="Century Gothic"/>
        </w:rPr>
        <w:t xml:space="preserve">Commonwealth Environmental Water </w:t>
      </w:r>
      <w:r w:rsidRPr="00FC6370">
        <w:rPr>
          <w:rFonts w:ascii="Century Gothic" w:hAnsi="Century Gothic" w:cs="Century Gothic"/>
        </w:rPr>
        <w:t>Office respectfully acknowledge</w:t>
      </w:r>
      <w:r>
        <w:rPr>
          <w:rFonts w:ascii="Century Gothic" w:hAnsi="Century Gothic" w:cs="Century Gothic"/>
        </w:rPr>
        <w:t>s</w:t>
      </w:r>
      <w:r w:rsidRPr="00FC6370">
        <w:rPr>
          <w:rFonts w:ascii="Century Gothic" w:hAnsi="Century Gothic" w:cs="Century Gothic"/>
        </w:rPr>
        <w:t xml:space="preserve"> the Traditional Owners, their Elders past and present, their Nations of the Murray– Darling Basin, and their cultural, social, environmental, spiritual and economic connection to their lands and waters.</w:t>
      </w: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FC6370" w:rsidRDefault="000C28DE" w:rsidP="000D1A69">
      <w:pPr>
        <w:ind w:left="0"/>
        <w:rPr>
          <w:rFonts w:ascii="Century Gothic" w:hAnsi="Century Gothic"/>
        </w:rPr>
      </w:pPr>
    </w:p>
    <w:p w:rsidR="000C28DE" w:rsidRPr="00EF7FD6" w:rsidRDefault="000C28DE" w:rsidP="000D1A69">
      <w:pPr>
        <w:autoSpaceDE w:val="0"/>
        <w:autoSpaceDN w:val="0"/>
        <w:ind w:left="0"/>
        <w:rPr>
          <w:rFonts w:ascii="Century Gothic" w:hAnsi="Century Gothic"/>
          <w:b/>
          <w:i/>
          <w:iCs/>
          <w:color w:val="414142"/>
          <w:sz w:val="16"/>
          <w:szCs w:val="16"/>
          <w:lang w:val="en-GB"/>
        </w:rPr>
      </w:pPr>
      <w:r w:rsidRPr="00EF7FD6">
        <w:rPr>
          <w:rFonts w:ascii="Century Gothic" w:hAnsi="Century Gothic"/>
          <w:color w:val="414142"/>
          <w:sz w:val="16"/>
          <w:szCs w:val="16"/>
        </w:rPr>
        <w:t>This report should be cited as ‘</w:t>
      </w:r>
      <w:r w:rsidRPr="00141846">
        <w:rPr>
          <w:rFonts w:ascii="Century Gothic" w:hAnsi="Century Gothic"/>
          <w:i/>
          <w:color w:val="414142"/>
          <w:sz w:val="16"/>
          <w:szCs w:val="16"/>
        </w:rPr>
        <w:t xml:space="preserve">Commonwealth </w:t>
      </w:r>
      <w:r w:rsidR="000D1A69">
        <w:rPr>
          <w:rFonts w:ascii="Century Gothic" w:hAnsi="Century Gothic"/>
          <w:i/>
          <w:color w:val="414142"/>
          <w:sz w:val="16"/>
          <w:szCs w:val="16"/>
        </w:rPr>
        <w:t>E</w:t>
      </w:r>
      <w:r w:rsidRPr="00141846">
        <w:rPr>
          <w:rFonts w:ascii="Century Gothic" w:hAnsi="Century Gothic"/>
          <w:i/>
          <w:color w:val="414142"/>
          <w:sz w:val="16"/>
          <w:szCs w:val="16"/>
        </w:rPr>
        <w:t>nvironmental</w:t>
      </w:r>
      <w:r w:rsidR="000D1A69">
        <w:rPr>
          <w:rFonts w:ascii="Century Gothic" w:hAnsi="Century Gothic"/>
          <w:i/>
          <w:color w:val="414142"/>
          <w:sz w:val="16"/>
          <w:szCs w:val="16"/>
        </w:rPr>
        <w:t xml:space="preserve"> W</w:t>
      </w:r>
      <w:r w:rsidRPr="00141846">
        <w:rPr>
          <w:rFonts w:ascii="Century Gothic" w:hAnsi="Century Gothic"/>
          <w:i/>
          <w:color w:val="414142"/>
          <w:sz w:val="16"/>
          <w:szCs w:val="16"/>
        </w:rPr>
        <w:t xml:space="preserve">ater </w:t>
      </w:r>
      <w:r w:rsidR="000D1A69">
        <w:rPr>
          <w:rFonts w:ascii="Century Gothic" w:hAnsi="Century Gothic"/>
          <w:i/>
          <w:color w:val="414142"/>
          <w:sz w:val="16"/>
          <w:szCs w:val="16"/>
        </w:rPr>
        <w:t>Office Business Plan</w:t>
      </w:r>
      <w:r>
        <w:rPr>
          <w:rFonts w:ascii="Century Gothic" w:hAnsi="Century Gothic"/>
          <w:color w:val="414142"/>
          <w:sz w:val="16"/>
          <w:szCs w:val="16"/>
        </w:rPr>
        <w:t xml:space="preserve"> </w:t>
      </w:r>
      <w:r w:rsidRPr="00EF7FD6">
        <w:rPr>
          <w:rFonts w:ascii="Century Gothic" w:hAnsi="Century Gothic"/>
          <w:i/>
          <w:iCs/>
          <w:color w:val="414142"/>
          <w:sz w:val="16"/>
          <w:szCs w:val="16"/>
          <w:lang w:val="en-GB"/>
        </w:rPr>
        <w:t>2013-14’</w:t>
      </w:r>
      <w:r w:rsidRPr="00EF7FD6">
        <w:rPr>
          <w:rFonts w:ascii="Century Gothic" w:hAnsi="Century Gothic"/>
          <w:color w:val="414142"/>
          <w:sz w:val="16"/>
          <w:szCs w:val="16"/>
        </w:rPr>
        <w:t xml:space="preserve">. </w:t>
      </w:r>
    </w:p>
    <w:p w:rsidR="000D1A69" w:rsidRDefault="000C28DE" w:rsidP="000D1A69">
      <w:pPr>
        <w:autoSpaceDE w:val="0"/>
        <w:autoSpaceDN w:val="0"/>
        <w:ind w:left="0"/>
        <w:rPr>
          <w:rFonts w:ascii="Century Gothic" w:hAnsi="Century Gothic"/>
          <w:color w:val="414142"/>
          <w:sz w:val="16"/>
          <w:szCs w:val="16"/>
        </w:rPr>
      </w:pPr>
      <w:r w:rsidRPr="00EF7FD6">
        <w:rPr>
          <w:rFonts w:ascii="Century Gothic" w:hAnsi="Century Gothic"/>
          <w:color w:val="414142"/>
          <w:sz w:val="16"/>
          <w:szCs w:val="16"/>
        </w:rPr>
        <w:t>Published by the Commonwealth Environmental Water Holder for the Australian Government.</w:t>
      </w:r>
      <w:r w:rsidR="000D1A69">
        <w:rPr>
          <w:rFonts w:ascii="Century Gothic" w:hAnsi="Century Gothic"/>
          <w:color w:val="414142"/>
          <w:sz w:val="16"/>
          <w:szCs w:val="16"/>
        </w:rPr>
        <w:t xml:space="preserve"> </w:t>
      </w:r>
    </w:p>
    <w:p w:rsidR="000C28DE" w:rsidRPr="00EF7FD6" w:rsidRDefault="000C28DE" w:rsidP="000D1A69">
      <w:pPr>
        <w:autoSpaceDE w:val="0"/>
        <w:autoSpaceDN w:val="0"/>
        <w:ind w:left="0"/>
        <w:rPr>
          <w:rFonts w:ascii="Century Gothic" w:hAnsi="Century Gothic"/>
          <w:color w:val="414142"/>
          <w:sz w:val="16"/>
          <w:szCs w:val="16"/>
        </w:rPr>
      </w:pPr>
      <w:r w:rsidRPr="00EF7FD6">
        <w:rPr>
          <w:rFonts w:ascii="Century Gothic" w:hAnsi="Century Gothic"/>
          <w:color w:val="414142"/>
          <w:sz w:val="16"/>
          <w:szCs w:val="16"/>
        </w:rPr>
        <w:t>© Commonwealth of Australia 2013.</w:t>
      </w:r>
    </w:p>
    <w:p w:rsidR="000C28DE" w:rsidRPr="00EF7FD6" w:rsidRDefault="000C28DE" w:rsidP="000D1A69">
      <w:pPr>
        <w:autoSpaceDE w:val="0"/>
        <w:autoSpaceDN w:val="0"/>
        <w:ind w:left="0"/>
        <w:rPr>
          <w:rFonts w:ascii="Century Gothic" w:hAnsi="Century Gothic"/>
          <w:color w:val="414142"/>
          <w:sz w:val="16"/>
          <w:szCs w:val="16"/>
        </w:rPr>
      </w:pPr>
      <w:r w:rsidRPr="00EF7FD6">
        <w:rPr>
          <w:rFonts w:ascii="Century Gothic" w:hAnsi="Century Gothic"/>
          <w:color w:val="414142"/>
          <w:sz w:val="16"/>
          <w:szCs w:val="16"/>
        </w:rPr>
        <w:t>This work is copyright. Apart from any use as permitted under the Copyright Act 1968, no part may be reproduced by any process without prior written permission from the Commonwealth. Requests and enquiries concerning reproduction and rights should be addressed to Department of</w:t>
      </w:r>
      <w:r w:rsidR="000D1A69">
        <w:rPr>
          <w:rFonts w:ascii="Century Gothic" w:hAnsi="Century Gothic"/>
          <w:color w:val="414142"/>
          <w:sz w:val="16"/>
          <w:szCs w:val="16"/>
        </w:rPr>
        <w:t xml:space="preserve"> the Environment</w:t>
      </w:r>
      <w:r w:rsidRPr="00EF7FD6">
        <w:rPr>
          <w:rFonts w:ascii="Century Gothic" w:hAnsi="Century Gothic"/>
          <w:color w:val="414142"/>
          <w:sz w:val="16"/>
          <w:szCs w:val="16"/>
        </w:rPr>
        <w:t xml:space="preserve">, Public Affairs, GPO Box 787 Canberra ACT 2601 or email </w:t>
      </w:r>
      <w:hyperlink r:id="rId11" w:history="1">
        <w:r w:rsidRPr="00EF7FD6">
          <w:rPr>
            <w:rStyle w:val="Hyperlink"/>
            <w:rFonts w:ascii="Century Gothic" w:hAnsi="Century Gothic"/>
            <w:sz w:val="16"/>
            <w:szCs w:val="16"/>
          </w:rPr>
          <w:t>public.affairs@environment.gov.au</w:t>
        </w:r>
      </w:hyperlink>
    </w:p>
    <w:p w:rsidR="000C28DE" w:rsidRDefault="000C28DE" w:rsidP="000D1A69">
      <w:pPr>
        <w:spacing w:after="0"/>
        <w:rPr>
          <w:b/>
          <w:bCs/>
        </w:rPr>
      </w:pPr>
      <w:r w:rsidRPr="00EF7FD6">
        <w:rPr>
          <w:rFonts w:ascii="Century Gothic" w:hAnsi="Century Gothic"/>
          <w:b/>
          <w:sz w:val="36"/>
          <w:szCs w:val="36"/>
        </w:rPr>
        <w:br w:type="page"/>
      </w:r>
    </w:p>
    <w:sdt>
      <w:sdtPr>
        <w:rPr>
          <w:rFonts w:ascii="Times New Roman" w:eastAsia="Times New Roman" w:hAnsi="Times New Roman" w:cs="Times New Roman"/>
          <w:b w:val="0"/>
          <w:bCs w:val="0"/>
          <w:color w:val="000000"/>
          <w:sz w:val="23"/>
          <w:szCs w:val="20"/>
          <w:lang w:val="en-AU" w:eastAsia="en-AU"/>
        </w:rPr>
        <w:id w:val="28030184"/>
        <w:docPartObj>
          <w:docPartGallery w:val="Table of Contents"/>
          <w:docPartUnique/>
        </w:docPartObj>
      </w:sdtPr>
      <w:sdtContent>
        <w:p w:rsidR="00CA2C4B" w:rsidRPr="00F56315" w:rsidRDefault="00CA2C4B">
          <w:pPr>
            <w:pStyle w:val="TOCHeading"/>
            <w:rPr>
              <w:rFonts w:ascii="Century Gothic" w:hAnsi="Century Gothic"/>
            </w:rPr>
          </w:pPr>
          <w:r w:rsidRPr="00F56315">
            <w:rPr>
              <w:rFonts w:ascii="Century Gothic" w:hAnsi="Century Gothic"/>
            </w:rPr>
            <w:t>Contents</w:t>
          </w:r>
        </w:p>
        <w:p w:rsidR="00157362" w:rsidRDefault="008B5986">
          <w:pPr>
            <w:pStyle w:val="TOC1"/>
            <w:rPr>
              <w:rFonts w:asciiTheme="minorHAnsi" w:eastAsiaTheme="minorEastAsia" w:hAnsiTheme="minorHAnsi" w:cstheme="minorBidi"/>
              <w:b w:val="0"/>
              <w:bCs w:val="0"/>
              <w:color w:val="auto"/>
              <w:sz w:val="22"/>
              <w:szCs w:val="22"/>
            </w:rPr>
          </w:pPr>
          <w:r w:rsidRPr="008B5986">
            <w:fldChar w:fldCharType="begin"/>
          </w:r>
          <w:r w:rsidR="00CA2C4B">
            <w:instrText xml:space="preserve"> TOC \o "1-3" \h \z \u </w:instrText>
          </w:r>
          <w:r w:rsidRPr="008B5986">
            <w:fldChar w:fldCharType="separate"/>
          </w:r>
          <w:hyperlink w:anchor="_Toc371409433" w:history="1">
            <w:r w:rsidR="00157362" w:rsidRPr="0008735A">
              <w:rPr>
                <w:rStyle w:val="Hyperlink"/>
                <w:rFonts w:ascii="Century Gothic" w:hAnsi="Century Gothic"/>
              </w:rPr>
              <w:t>1. Overview</w:t>
            </w:r>
            <w:r w:rsidR="00157362">
              <w:rPr>
                <w:webHidden/>
              </w:rPr>
              <w:tab/>
            </w:r>
            <w:r>
              <w:rPr>
                <w:webHidden/>
              </w:rPr>
              <w:fldChar w:fldCharType="begin"/>
            </w:r>
            <w:r w:rsidR="00157362">
              <w:rPr>
                <w:webHidden/>
              </w:rPr>
              <w:instrText xml:space="preserve"> PAGEREF _Toc371409433 \h </w:instrText>
            </w:r>
            <w:r>
              <w:rPr>
                <w:webHidden/>
              </w:rPr>
            </w:r>
            <w:r>
              <w:rPr>
                <w:webHidden/>
              </w:rPr>
              <w:fldChar w:fldCharType="separate"/>
            </w:r>
            <w:r w:rsidR="009B3088">
              <w:rPr>
                <w:webHidden/>
              </w:rPr>
              <w:t>5</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34" w:history="1">
            <w:r w:rsidR="00157362" w:rsidRPr="0008735A">
              <w:rPr>
                <w:rStyle w:val="Hyperlink"/>
                <w:rFonts w:ascii="Century Gothic" w:hAnsi="Century Gothic"/>
              </w:rPr>
              <w:t>1.1</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About the business plan</w:t>
            </w:r>
            <w:r w:rsidR="00157362">
              <w:rPr>
                <w:webHidden/>
              </w:rPr>
              <w:tab/>
            </w:r>
            <w:r>
              <w:rPr>
                <w:webHidden/>
              </w:rPr>
              <w:fldChar w:fldCharType="begin"/>
            </w:r>
            <w:r w:rsidR="00157362">
              <w:rPr>
                <w:webHidden/>
              </w:rPr>
              <w:instrText xml:space="preserve"> PAGEREF _Toc371409434 \h </w:instrText>
            </w:r>
            <w:r>
              <w:rPr>
                <w:webHidden/>
              </w:rPr>
            </w:r>
            <w:r>
              <w:rPr>
                <w:webHidden/>
              </w:rPr>
              <w:fldChar w:fldCharType="separate"/>
            </w:r>
            <w:r w:rsidR="009B3088">
              <w:rPr>
                <w:webHidden/>
              </w:rPr>
              <w:t>5</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35" w:history="1">
            <w:r w:rsidR="00157362" w:rsidRPr="0008735A">
              <w:rPr>
                <w:rStyle w:val="Hyperlink"/>
                <w:rFonts w:ascii="Century Gothic" w:hAnsi="Century Gothic"/>
              </w:rPr>
              <w:t>1.2</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Approach in 2013-14</w:t>
            </w:r>
            <w:r w:rsidR="00157362">
              <w:rPr>
                <w:webHidden/>
              </w:rPr>
              <w:tab/>
            </w:r>
            <w:r>
              <w:rPr>
                <w:webHidden/>
              </w:rPr>
              <w:fldChar w:fldCharType="begin"/>
            </w:r>
            <w:r w:rsidR="00157362">
              <w:rPr>
                <w:webHidden/>
              </w:rPr>
              <w:instrText xml:space="preserve"> PAGEREF _Toc371409435 \h </w:instrText>
            </w:r>
            <w:r>
              <w:rPr>
                <w:webHidden/>
              </w:rPr>
            </w:r>
            <w:r>
              <w:rPr>
                <w:webHidden/>
              </w:rPr>
              <w:fldChar w:fldCharType="separate"/>
            </w:r>
            <w:r w:rsidR="009B3088">
              <w:rPr>
                <w:webHidden/>
              </w:rPr>
              <w:t>5</w:t>
            </w:r>
            <w:r>
              <w:rPr>
                <w:webHidden/>
              </w:rPr>
              <w:fldChar w:fldCharType="end"/>
            </w:r>
          </w:hyperlink>
        </w:p>
        <w:p w:rsidR="00157362" w:rsidRDefault="008B5986">
          <w:pPr>
            <w:pStyle w:val="TOC1"/>
            <w:rPr>
              <w:rFonts w:asciiTheme="minorHAnsi" w:eastAsiaTheme="minorEastAsia" w:hAnsiTheme="minorHAnsi" w:cstheme="minorBidi"/>
              <w:b w:val="0"/>
              <w:bCs w:val="0"/>
              <w:color w:val="auto"/>
              <w:sz w:val="22"/>
              <w:szCs w:val="22"/>
            </w:rPr>
          </w:pPr>
          <w:hyperlink w:anchor="_Toc371409436" w:history="1">
            <w:r w:rsidR="00157362" w:rsidRPr="0008735A">
              <w:rPr>
                <w:rStyle w:val="Hyperlink"/>
                <w:rFonts w:ascii="Century Gothic" w:hAnsi="Century Gothic"/>
              </w:rPr>
              <w:t>2.</w:t>
            </w:r>
            <w:r w:rsidR="00157362">
              <w:rPr>
                <w:rFonts w:asciiTheme="minorHAnsi" w:eastAsiaTheme="minorEastAsia" w:hAnsiTheme="minorHAnsi" w:cstheme="minorBidi"/>
                <w:b w:val="0"/>
                <w:bCs w:val="0"/>
                <w:color w:val="auto"/>
                <w:sz w:val="22"/>
                <w:szCs w:val="22"/>
              </w:rPr>
              <w:tab/>
            </w:r>
            <w:r w:rsidR="00157362" w:rsidRPr="0008735A">
              <w:rPr>
                <w:rStyle w:val="Hyperlink"/>
                <w:rFonts w:ascii="Century Gothic" w:hAnsi="Century Gothic"/>
              </w:rPr>
              <w:t>Management of Commonwealth Environmental Water</w:t>
            </w:r>
            <w:r w:rsidR="00157362">
              <w:rPr>
                <w:webHidden/>
              </w:rPr>
              <w:tab/>
            </w:r>
            <w:r>
              <w:rPr>
                <w:webHidden/>
              </w:rPr>
              <w:fldChar w:fldCharType="begin"/>
            </w:r>
            <w:r w:rsidR="00157362">
              <w:rPr>
                <w:webHidden/>
              </w:rPr>
              <w:instrText xml:space="preserve"> PAGEREF _Toc371409436 \h </w:instrText>
            </w:r>
            <w:r>
              <w:rPr>
                <w:webHidden/>
              </w:rPr>
            </w:r>
            <w:r>
              <w:rPr>
                <w:webHidden/>
              </w:rPr>
              <w:fldChar w:fldCharType="separate"/>
            </w:r>
            <w:r w:rsidR="009B3088">
              <w:rPr>
                <w:webHidden/>
              </w:rPr>
              <w:t>8</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37" w:history="1">
            <w:r w:rsidR="00157362" w:rsidRPr="0008735A">
              <w:rPr>
                <w:rStyle w:val="Hyperlink"/>
                <w:rFonts w:ascii="Century Gothic" w:hAnsi="Century Gothic"/>
              </w:rPr>
              <w:t>2.1</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Commonwealth environmental water holdings</w:t>
            </w:r>
            <w:r w:rsidR="00157362">
              <w:rPr>
                <w:webHidden/>
              </w:rPr>
              <w:tab/>
            </w:r>
            <w:r>
              <w:rPr>
                <w:webHidden/>
              </w:rPr>
              <w:fldChar w:fldCharType="begin"/>
            </w:r>
            <w:r w:rsidR="00157362">
              <w:rPr>
                <w:webHidden/>
              </w:rPr>
              <w:instrText xml:space="preserve"> PAGEREF _Toc371409437 \h </w:instrText>
            </w:r>
            <w:r>
              <w:rPr>
                <w:webHidden/>
              </w:rPr>
            </w:r>
            <w:r>
              <w:rPr>
                <w:webHidden/>
              </w:rPr>
              <w:fldChar w:fldCharType="separate"/>
            </w:r>
            <w:r w:rsidR="009B3088">
              <w:rPr>
                <w:webHidden/>
              </w:rPr>
              <w:t>8</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38" w:history="1">
            <w:r w:rsidR="00157362" w:rsidRPr="0008735A">
              <w:rPr>
                <w:rStyle w:val="Hyperlink"/>
                <w:rFonts w:ascii="Century Gothic" w:hAnsi="Century Gothic"/>
              </w:rPr>
              <w:t>2.2</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Use of Commonwealth environmental water</w:t>
            </w:r>
            <w:r w:rsidR="00157362">
              <w:rPr>
                <w:webHidden/>
              </w:rPr>
              <w:tab/>
            </w:r>
            <w:r>
              <w:rPr>
                <w:webHidden/>
              </w:rPr>
              <w:fldChar w:fldCharType="begin"/>
            </w:r>
            <w:r w:rsidR="00157362">
              <w:rPr>
                <w:webHidden/>
              </w:rPr>
              <w:instrText xml:space="preserve"> PAGEREF _Toc371409438 \h </w:instrText>
            </w:r>
            <w:r>
              <w:rPr>
                <w:webHidden/>
              </w:rPr>
            </w:r>
            <w:r>
              <w:rPr>
                <w:webHidden/>
              </w:rPr>
              <w:fldChar w:fldCharType="separate"/>
            </w:r>
            <w:r w:rsidR="009B3088">
              <w:rPr>
                <w:webHidden/>
              </w:rPr>
              <w:t>8</w:t>
            </w:r>
            <w:r>
              <w:rPr>
                <w:webHidden/>
              </w:rPr>
              <w:fldChar w:fldCharType="end"/>
            </w:r>
          </w:hyperlink>
        </w:p>
        <w:p w:rsidR="00157362" w:rsidRDefault="008B5986">
          <w:pPr>
            <w:pStyle w:val="TOC3"/>
            <w:rPr>
              <w:rFonts w:asciiTheme="minorHAnsi" w:eastAsiaTheme="minorEastAsia" w:hAnsiTheme="minorHAnsi" w:cstheme="minorBidi"/>
              <w:color w:val="auto"/>
              <w:sz w:val="22"/>
              <w:szCs w:val="22"/>
            </w:rPr>
          </w:pPr>
          <w:hyperlink w:anchor="_Toc371409439" w:history="1">
            <w:r w:rsidR="00157362" w:rsidRPr="0008735A">
              <w:rPr>
                <w:rStyle w:val="Hyperlink"/>
                <w:rFonts w:ascii="Century Gothic" w:hAnsi="Century Gothic"/>
              </w:rPr>
              <w:t>2.2.1 Environmental water use planning</w:t>
            </w:r>
            <w:r w:rsidR="00157362">
              <w:rPr>
                <w:webHidden/>
              </w:rPr>
              <w:tab/>
            </w:r>
            <w:r>
              <w:rPr>
                <w:webHidden/>
              </w:rPr>
              <w:fldChar w:fldCharType="begin"/>
            </w:r>
            <w:r w:rsidR="00157362">
              <w:rPr>
                <w:webHidden/>
              </w:rPr>
              <w:instrText xml:space="preserve"> PAGEREF _Toc371409439 \h </w:instrText>
            </w:r>
            <w:r>
              <w:rPr>
                <w:webHidden/>
              </w:rPr>
            </w:r>
            <w:r>
              <w:rPr>
                <w:webHidden/>
              </w:rPr>
              <w:fldChar w:fldCharType="separate"/>
            </w:r>
            <w:r w:rsidR="009B3088">
              <w:rPr>
                <w:webHidden/>
              </w:rPr>
              <w:t>8</w:t>
            </w:r>
            <w:r>
              <w:rPr>
                <w:webHidden/>
              </w:rPr>
              <w:fldChar w:fldCharType="end"/>
            </w:r>
          </w:hyperlink>
        </w:p>
        <w:p w:rsidR="00157362" w:rsidRDefault="008B5986">
          <w:pPr>
            <w:pStyle w:val="TOC3"/>
            <w:tabs>
              <w:tab w:val="left" w:pos="2880"/>
            </w:tabs>
            <w:rPr>
              <w:rFonts w:asciiTheme="minorHAnsi" w:eastAsiaTheme="minorEastAsia" w:hAnsiTheme="minorHAnsi" w:cstheme="minorBidi"/>
              <w:color w:val="auto"/>
              <w:sz w:val="22"/>
              <w:szCs w:val="22"/>
            </w:rPr>
          </w:pPr>
          <w:hyperlink w:anchor="_Toc371409440" w:history="1">
            <w:r w:rsidR="00157362" w:rsidRPr="0008735A">
              <w:rPr>
                <w:rStyle w:val="Hyperlink"/>
                <w:rFonts w:ascii="Century Gothic" w:hAnsi="Century Gothic"/>
              </w:rPr>
              <w:t>2.2.2</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Decisions on Commonwealth environmental water use</w:t>
            </w:r>
            <w:r w:rsidR="00157362">
              <w:rPr>
                <w:webHidden/>
              </w:rPr>
              <w:tab/>
            </w:r>
            <w:r>
              <w:rPr>
                <w:webHidden/>
              </w:rPr>
              <w:fldChar w:fldCharType="begin"/>
            </w:r>
            <w:r w:rsidR="00157362">
              <w:rPr>
                <w:webHidden/>
              </w:rPr>
              <w:instrText xml:space="preserve"> PAGEREF _Toc371409440 \h </w:instrText>
            </w:r>
            <w:r>
              <w:rPr>
                <w:webHidden/>
              </w:rPr>
            </w:r>
            <w:r>
              <w:rPr>
                <w:webHidden/>
              </w:rPr>
              <w:fldChar w:fldCharType="separate"/>
            </w:r>
            <w:r w:rsidR="009B3088">
              <w:rPr>
                <w:webHidden/>
              </w:rPr>
              <w:t>9</w:t>
            </w:r>
            <w:r>
              <w:rPr>
                <w:webHidden/>
              </w:rPr>
              <w:fldChar w:fldCharType="end"/>
            </w:r>
          </w:hyperlink>
        </w:p>
        <w:p w:rsidR="00157362" w:rsidRDefault="008B5986">
          <w:pPr>
            <w:pStyle w:val="TOC3"/>
            <w:tabs>
              <w:tab w:val="left" w:pos="2880"/>
            </w:tabs>
            <w:rPr>
              <w:rFonts w:asciiTheme="minorHAnsi" w:eastAsiaTheme="minorEastAsia" w:hAnsiTheme="minorHAnsi" w:cstheme="minorBidi"/>
              <w:color w:val="auto"/>
              <w:sz w:val="22"/>
              <w:szCs w:val="22"/>
            </w:rPr>
          </w:pPr>
          <w:hyperlink w:anchor="_Toc371409441" w:history="1">
            <w:r w:rsidR="00157362" w:rsidRPr="0008735A">
              <w:rPr>
                <w:rStyle w:val="Hyperlink"/>
                <w:rFonts w:ascii="Century Gothic" w:hAnsi="Century Gothic"/>
              </w:rPr>
              <w:t>2.2.3</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Environmental water delivery</w:t>
            </w:r>
            <w:r w:rsidR="00157362">
              <w:rPr>
                <w:webHidden/>
              </w:rPr>
              <w:tab/>
            </w:r>
            <w:r>
              <w:rPr>
                <w:webHidden/>
              </w:rPr>
              <w:fldChar w:fldCharType="begin"/>
            </w:r>
            <w:r w:rsidR="00157362">
              <w:rPr>
                <w:webHidden/>
              </w:rPr>
              <w:instrText xml:space="preserve"> PAGEREF _Toc371409441 \h </w:instrText>
            </w:r>
            <w:r>
              <w:rPr>
                <w:webHidden/>
              </w:rPr>
            </w:r>
            <w:r>
              <w:rPr>
                <w:webHidden/>
              </w:rPr>
              <w:fldChar w:fldCharType="separate"/>
            </w:r>
            <w:r w:rsidR="009B3088">
              <w:rPr>
                <w:webHidden/>
              </w:rPr>
              <w:t>10</w:t>
            </w:r>
            <w:r>
              <w:rPr>
                <w:webHidden/>
              </w:rPr>
              <w:fldChar w:fldCharType="end"/>
            </w:r>
          </w:hyperlink>
        </w:p>
        <w:p w:rsidR="00157362" w:rsidRDefault="008B5986">
          <w:pPr>
            <w:pStyle w:val="TOC3"/>
            <w:tabs>
              <w:tab w:val="left" w:pos="2880"/>
            </w:tabs>
            <w:rPr>
              <w:rFonts w:asciiTheme="minorHAnsi" w:eastAsiaTheme="minorEastAsia" w:hAnsiTheme="minorHAnsi" w:cstheme="minorBidi"/>
              <w:color w:val="auto"/>
              <w:sz w:val="22"/>
              <w:szCs w:val="22"/>
            </w:rPr>
          </w:pPr>
          <w:hyperlink w:anchor="_Toc371409442" w:history="1">
            <w:r w:rsidR="00157362" w:rsidRPr="0008735A">
              <w:rPr>
                <w:rStyle w:val="Hyperlink"/>
                <w:rFonts w:ascii="Century Gothic" w:hAnsi="Century Gothic"/>
              </w:rPr>
              <w:t>2.2.4</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Monitoring, evaluation, reporting and improvement</w:t>
            </w:r>
            <w:r w:rsidR="00157362">
              <w:rPr>
                <w:webHidden/>
              </w:rPr>
              <w:tab/>
            </w:r>
            <w:r>
              <w:rPr>
                <w:webHidden/>
              </w:rPr>
              <w:fldChar w:fldCharType="begin"/>
            </w:r>
            <w:r w:rsidR="00157362">
              <w:rPr>
                <w:webHidden/>
              </w:rPr>
              <w:instrText xml:space="preserve"> PAGEREF _Toc371409442 \h </w:instrText>
            </w:r>
            <w:r>
              <w:rPr>
                <w:webHidden/>
              </w:rPr>
            </w:r>
            <w:r>
              <w:rPr>
                <w:webHidden/>
              </w:rPr>
              <w:fldChar w:fldCharType="separate"/>
            </w:r>
            <w:r w:rsidR="009B3088">
              <w:rPr>
                <w:webHidden/>
              </w:rPr>
              <w:t>10</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43" w:history="1">
            <w:r w:rsidR="00157362" w:rsidRPr="0008735A">
              <w:rPr>
                <w:rStyle w:val="Hyperlink"/>
                <w:rFonts w:ascii="Century Gothic" w:hAnsi="Century Gothic"/>
              </w:rPr>
              <w:t>2.3</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Trade of Commonwealth environmental water holdings</w:t>
            </w:r>
            <w:r w:rsidR="00157362">
              <w:rPr>
                <w:webHidden/>
              </w:rPr>
              <w:tab/>
            </w:r>
            <w:r>
              <w:rPr>
                <w:webHidden/>
              </w:rPr>
              <w:fldChar w:fldCharType="begin"/>
            </w:r>
            <w:r w:rsidR="00157362">
              <w:rPr>
                <w:webHidden/>
              </w:rPr>
              <w:instrText xml:space="preserve"> PAGEREF _Toc371409443 \h </w:instrText>
            </w:r>
            <w:r>
              <w:rPr>
                <w:webHidden/>
              </w:rPr>
            </w:r>
            <w:r>
              <w:rPr>
                <w:webHidden/>
              </w:rPr>
              <w:fldChar w:fldCharType="separate"/>
            </w:r>
            <w:r w:rsidR="009B3088">
              <w:rPr>
                <w:webHidden/>
              </w:rPr>
              <w:t>12</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44" w:history="1">
            <w:r w:rsidR="00157362" w:rsidRPr="0008735A">
              <w:rPr>
                <w:rStyle w:val="Hyperlink"/>
                <w:rFonts w:ascii="Century Gothic" w:hAnsi="Century Gothic"/>
              </w:rPr>
              <w:t>2.4</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Carryover</w:t>
            </w:r>
            <w:r w:rsidR="00157362">
              <w:rPr>
                <w:webHidden/>
              </w:rPr>
              <w:tab/>
            </w:r>
            <w:r>
              <w:rPr>
                <w:webHidden/>
              </w:rPr>
              <w:fldChar w:fldCharType="begin"/>
            </w:r>
            <w:r w:rsidR="00157362">
              <w:rPr>
                <w:webHidden/>
              </w:rPr>
              <w:instrText xml:space="preserve"> PAGEREF _Toc371409444 \h </w:instrText>
            </w:r>
            <w:r>
              <w:rPr>
                <w:webHidden/>
              </w:rPr>
            </w:r>
            <w:r>
              <w:rPr>
                <w:webHidden/>
              </w:rPr>
              <w:fldChar w:fldCharType="separate"/>
            </w:r>
            <w:r w:rsidR="009B3088">
              <w:rPr>
                <w:webHidden/>
              </w:rPr>
              <w:t>13</w:t>
            </w:r>
            <w:r>
              <w:rPr>
                <w:webHidden/>
              </w:rPr>
              <w:fldChar w:fldCharType="end"/>
            </w:r>
          </w:hyperlink>
        </w:p>
        <w:p w:rsidR="00157362" w:rsidRDefault="008B5986">
          <w:pPr>
            <w:pStyle w:val="TOC1"/>
            <w:rPr>
              <w:rFonts w:asciiTheme="minorHAnsi" w:eastAsiaTheme="minorEastAsia" w:hAnsiTheme="minorHAnsi" w:cstheme="minorBidi"/>
              <w:b w:val="0"/>
              <w:bCs w:val="0"/>
              <w:color w:val="auto"/>
              <w:sz w:val="22"/>
              <w:szCs w:val="22"/>
            </w:rPr>
          </w:pPr>
          <w:hyperlink w:anchor="_Toc371409445" w:history="1">
            <w:r w:rsidR="00157362" w:rsidRPr="0008735A">
              <w:rPr>
                <w:rStyle w:val="Hyperlink"/>
                <w:rFonts w:ascii="Century Gothic" w:hAnsi="Century Gothic"/>
              </w:rPr>
              <w:t>3.</w:t>
            </w:r>
            <w:r w:rsidR="00157362">
              <w:rPr>
                <w:rFonts w:asciiTheme="minorHAnsi" w:eastAsiaTheme="minorEastAsia" w:hAnsiTheme="minorHAnsi" w:cstheme="minorBidi"/>
                <w:b w:val="0"/>
                <w:bCs w:val="0"/>
                <w:color w:val="auto"/>
                <w:sz w:val="22"/>
                <w:szCs w:val="22"/>
              </w:rPr>
              <w:tab/>
            </w:r>
            <w:r w:rsidR="00157362" w:rsidRPr="0008735A">
              <w:rPr>
                <w:rStyle w:val="Hyperlink"/>
                <w:rFonts w:ascii="Century Gothic" w:hAnsi="Century Gothic"/>
              </w:rPr>
              <w:t>Institutional Arrangements and External Relationships</w:t>
            </w:r>
            <w:r w:rsidR="00157362">
              <w:rPr>
                <w:webHidden/>
              </w:rPr>
              <w:tab/>
            </w:r>
            <w:r>
              <w:rPr>
                <w:webHidden/>
              </w:rPr>
              <w:fldChar w:fldCharType="begin"/>
            </w:r>
            <w:r w:rsidR="00157362">
              <w:rPr>
                <w:webHidden/>
              </w:rPr>
              <w:instrText xml:space="preserve"> PAGEREF _Toc371409445 \h </w:instrText>
            </w:r>
            <w:r>
              <w:rPr>
                <w:webHidden/>
              </w:rPr>
            </w:r>
            <w:r>
              <w:rPr>
                <w:webHidden/>
              </w:rPr>
              <w:fldChar w:fldCharType="separate"/>
            </w:r>
            <w:r w:rsidR="009B3088">
              <w:rPr>
                <w:webHidden/>
              </w:rPr>
              <w:t>15</w:t>
            </w:r>
            <w:r>
              <w:rPr>
                <w:webHidden/>
              </w:rPr>
              <w:fldChar w:fldCharType="end"/>
            </w:r>
          </w:hyperlink>
        </w:p>
        <w:p w:rsidR="00157362" w:rsidRDefault="008B5986">
          <w:pPr>
            <w:pStyle w:val="TOC2"/>
            <w:tabs>
              <w:tab w:val="left" w:pos="1418"/>
            </w:tabs>
            <w:rPr>
              <w:rFonts w:asciiTheme="minorHAnsi" w:eastAsiaTheme="minorEastAsia" w:hAnsiTheme="minorHAnsi" w:cstheme="minorBidi"/>
              <w:color w:val="auto"/>
              <w:sz w:val="22"/>
              <w:szCs w:val="22"/>
            </w:rPr>
          </w:pPr>
          <w:hyperlink w:anchor="_Toc371409446" w:history="1">
            <w:r w:rsidR="00157362" w:rsidRPr="0008735A">
              <w:rPr>
                <w:rStyle w:val="Hyperlink"/>
                <w:rFonts w:ascii="Century Gothic" w:hAnsi="Century Gothic"/>
              </w:rPr>
              <w:t xml:space="preserve">3.1 </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Commonwealth Environmental Water Holder</w:t>
            </w:r>
            <w:r w:rsidR="00157362">
              <w:rPr>
                <w:webHidden/>
              </w:rPr>
              <w:tab/>
            </w:r>
            <w:r>
              <w:rPr>
                <w:webHidden/>
              </w:rPr>
              <w:fldChar w:fldCharType="begin"/>
            </w:r>
            <w:r w:rsidR="00157362">
              <w:rPr>
                <w:webHidden/>
              </w:rPr>
              <w:instrText xml:space="preserve"> PAGEREF _Toc371409446 \h </w:instrText>
            </w:r>
            <w:r>
              <w:rPr>
                <w:webHidden/>
              </w:rPr>
            </w:r>
            <w:r>
              <w:rPr>
                <w:webHidden/>
              </w:rPr>
              <w:fldChar w:fldCharType="separate"/>
            </w:r>
            <w:r w:rsidR="009B3088">
              <w:rPr>
                <w:webHidden/>
              </w:rPr>
              <w:t>15</w:t>
            </w:r>
            <w:r>
              <w:rPr>
                <w:webHidden/>
              </w:rPr>
              <w:fldChar w:fldCharType="end"/>
            </w:r>
          </w:hyperlink>
        </w:p>
        <w:p w:rsidR="00157362" w:rsidRDefault="008B5986">
          <w:pPr>
            <w:pStyle w:val="TOC2"/>
            <w:tabs>
              <w:tab w:val="left" w:pos="1418"/>
            </w:tabs>
            <w:rPr>
              <w:rFonts w:asciiTheme="minorHAnsi" w:eastAsiaTheme="minorEastAsia" w:hAnsiTheme="minorHAnsi" w:cstheme="minorBidi"/>
              <w:color w:val="auto"/>
              <w:sz w:val="22"/>
              <w:szCs w:val="22"/>
            </w:rPr>
          </w:pPr>
          <w:hyperlink w:anchor="_Toc371409447" w:history="1">
            <w:r w:rsidR="00157362" w:rsidRPr="0008735A">
              <w:rPr>
                <w:rStyle w:val="Hyperlink"/>
                <w:rFonts w:ascii="Century Gothic" w:hAnsi="Century Gothic"/>
              </w:rPr>
              <w:t xml:space="preserve">3.2 </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Internal relationships</w:t>
            </w:r>
            <w:r w:rsidR="00157362">
              <w:rPr>
                <w:webHidden/>
              </w:rPr>
              <w:tab/>
            </w:r>
            <w:r>
              <w:rPr>
                <w:webHidden/>
              </w:rPr>
              <w:fldChar w:fldCharType="begin"/>
            </w:r>
            <w:r w:rsidR="00157362">
              <w:rPr>
                <w:webHidden/>
              </w:rPr>
              <w:instrText xml:space="preserve"> PAGEREF _Toc371409447 \h </w:instrText>
            </w:r>
            <w:r>
              <w:rPr>
                <w:webHidden/>
              </w:rPr>
            </w:r>
            <w:r>
              <w:rPr>
                <w:webHidden/>
              </w:rPr>
              <w:fldChar w:fldCharType="separate"/>
            </w:r>
            <w:r w:rsidR="009B3088">
              <w:rPr>
                <w:webHidden/>
              </w:rPr>
              <w:t>16</w:t>
            </w:r>
            <w:r>
              <w:rPr>
                <w:webHidden/>
              </w:rPr>
              <w:fldChar w:fldCharType="end"/>
            </w:r>
          </w:hyperlink>
        </w:p>
        <w:p w:rsidR="00157362" w:rsidRDefault="008B5986">
          <w:pPr>
            <w:pStyle w:val="TOC3"/>
            <w:tabs>
              <w:tab w:val="left" w:pos="2880"/>
            </w:tabs>
            <w:rPr>
              <w:rFonts w:asciiTheme="minorHAnsi" w:eastAsiaTheme="minorEastAsia" w:hAnsiTheme="minorHAnsi" w:cstheme="minorBidi"/>
              <w:color w:val="auto"/>
              <w:sz w:val="22"/>
              <w:szCs w:val="22"/>
            </w:rPr>
          </w:pPr>
          <w:hyperlink w:anchor="_Toc371409448" w:history="1">
            <w:r w:rsidR="00157362" w:rsidRPr="0008735A">
              <w:rPr>
                <w:rStyle w:val="Hyperlink"/>
                <w:rFonts w:ascii="Century Gothic" w:hAnsi="Century Gothic"/>
              </w:rPr>
              <w:t>3.2.1</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Commonwealth Environmental Water Office</w:t>
            </w:r>
            <w:r w:rsidR="00157362">
              <w:rPr>
                <w:webHidden/>
              </w:rPr>
              <w:tab/>
            </w:r>
            <w:r>
              <w:rPr>
                <w:webHidden/>
              </w:rPr>
              <w:fldChar w:fldCharType="begin"/>
            </w:r>
            <w:r w:rsidR="00157362">
              <w:rPr>
                <w:webHidden/>
              </w:rPr>
              <w:instrText xml:space="preserve"> PAGEREF _Toc371409448 \h </w:instrText>
            </w:r>
            <w:r>
              <w:rPr>
                <w:webHidden/>
              </w:rPr>
            </w:r>
            <w:r>
              <w:rPr>
                <w:webHidden/>
              </w:rPr>
              <w:fldChar w:fldCharType="separate"/>
            </w:r>
            <w:r w:rsidR="009B3088">
              <w:rPr>
                <w:webHidden/>
              </w:rPr>
              <w:t>16</w:t>
            </w:r>
            <w:r>
              <w:rPr>
                <w:webHidden/>
              </w:rPr>
              <w:fldChar w:fldCharType="end"/>
            </w:r>
          </w:hyperlink>
        </w:p>
        <w:p w:rsidR="00157362" w:rsidRDefault="008B5986">
          <w:pPr>
            <w:pStyle w:val="TOC3"/>
            <w:tabs>
              <w:tab w:val="left" w:pos="2880"/>
            </w:tabs>
            <w:rPr>
              <w:rFonts w:asciiTheme="minorHAnsi" w:eastAsiaTheme="minorEastAsia" w:hAnsiTheme="minorHAnsi" w:cstheme="minorBidi"/>
              <w:color w:val="auto"/>
              <w:sz w:val="22"/>
              <w:szCs w:val="22"/>
            </w:rPr>
          </w:pPr>
          <w:hyperlink w:anchor="_Toc371409449" w:history="1">
            <w:r w:rsidR="00157362" w:rsidRPr="0008735A">
              <w:rPr>
                <w:rStyle w:val="Hyperlink"/>
                <w:rFonts w:ascii="Century Gothic" w:hAnsi="Century Gothic"/>
              </w:rPr>
              <w:t>3.2.2</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Department of the Environment</w:t>
            </w:r>
            <w:r w:rsidR="00157362">
              <w:rPr>
                <w:webHidden/>
              </w:rPr>
              <w:tab/>
            </w:r>
            <w:r>
              <w:rPr>
                <w:webHidden/>
              </w:rPr>
              <w:fldChar w:fldCharType="begin"/>
            </w:r>
            <w:r w:rsidR="00157362">
              <w:rPr>
                <w:webHidden/>
              </w:rPr>
              <w:instrText xml:space="preserve"> PAGEREF _Toc371409449 \h </w:instrText>
            </w:r>
            <w:r>
              <w:rPr>
                <w:webHidden/>
              </w:rPr>
            </w:r>
            <w:r>
              <w:rPr>
                <w:webHidden/>
              </w:rPr>
              <w:fldChar w:fldCharType="separate"/>
            </w:r>
            <w:r w:rsidR="009B3088">
              <w:rPr>
                <w:webHidden/>
              </w:rPr>
              <w:t>16</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50" w:history="1">
            <w:r w:rsidR="00157362" w:rsidRPr="0008735A">
              <w:rPr>
                <w:rStyle w:val="Hyperlink"/>
                <w:rFonts w:ascii="Century Gothic" w:hAnsi="Century Gothic"/>
              </w:rPr>
              <w:t>3.3</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Commonwealth Environmental Water Office advisory groups</w:t>
            </w:r>
            <w:r w:rsidR="00157362">
              <w:rPr>
                <w:webHidden/>
              </w:rPr>
              <w:tab/>
            </w:r>
            <w:r>
              <w:rPr>
                <w:webHidden/>
              </w:rPr>
              <w:fldChar w:fldCharType="begin"/>
            </w:r>
            <w:r w:rsidR="00157362">
              <w:rPr>
                <w:webHidden/>
              </w:rPr>
              <w:instrText xml:space="preserve"> PAGEREF _Toc371409450 \h </w:instrText>
            </w:r>
            <w:r>
              <w:rPr>
                <w:webHidden/>
              </w:rPr>
            </w:r>
            <w:r>
              <w:rPr>
                <w:webHidden/>
              </w:rPr>
              <w:fldChar w:fldCharType="separate"/>
            </w:r>
            <w:r w:rsidR="009B3088">
              <w:rPr>
                <w:webHidden/>
              </w:rPr>
              <w:t>17</w:t>
            </w:r>
            <w:r>
              <w:rPr>
                <w:webHidden/>
              </w:rPr>
              <w:fldChar w:fldCharType="end"/>
            </w:r>
          </w:hyperlink>
        </w:p>
        <w:p w:rsidR="00157362" w:rsidRDefault="008B5986">
          <w:pPr>
            <w:pStyle w:val="TOC3"/>
            <w:tabs>
              <w:tab w:val="left" w:pos="2880"/>
            </w:tabs>
            <w:rPr>
              <w:rFonts w:asciiTheme="minorHAnsi" w:eastAsiaTheme="minorEastAsia" w:hAnsiTheme="minorHAnsi" w:cstheme="minorBidi"/>
              <w:color w:val="auto"/>
              <w:sz w:val="22"/>
              <w:szCs w:val="22"/>
            </w:rPr>
          </w:pPr>
          <w:hyperlink w:anchor="_Toc371409451" w:history="1">
            <w:r w:rsidR="00157362" w:rsidRPr="0008735A">
              <w:rPr>
                <w:rStyle w:val="Hyperlink"/>
                <w:rFonts w:ascii="Century Gothic" w:hAnsi="Century Gothic"/>
              </w:rPr>
              <w:t>3.3.1</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Commonwealth Environmental Water Scientific Advisory Panel</w:t>
            </w:r>
            <w:r w:rsidR="00157362">
              <w:rPr>
                <w:webHidden/>
              </w:rPr>
              <w:tab/>
            </w:r>
            <w:r>
              <w:rPr>
                <w:webHidden/>
              </w:rPr>
              <w:fldChar w:fldCharType="begin"/>
            </w:r>
            <w:r w:rsidR="00157362">
              <w:rPr>
                <w:webHidden/>
              </w:rPr>
              <w:instrText xml:space="preserve"> PAGEREF _Toc371409451 \h </w:instrText>
            </w:r>
            <w:r>
              <w:rPr>
                <w:webHidden/>
              </w:rPr>
            </w:r>
            <w:r>
              <w:rPr>
                <w:webHidden/>
              </w:rPr>
              <w:fldChar w:fldCharType="separate"/>
            </w:r>
            <w:r w:rsidR="009B3088">
              <w:rPr>
                <w:webHidden/>
              </w:rPr>
              <w:t>17</w:t>
            </w:r>
            <w:r>
              <w:rPr>
                <w:webHidden/>
              </w:rPr>
              <w:fldChar w:fldCharType="end"/>
            </w:r>
          </w:hyperlink>
        </w:p>
        <w:p w:rsidR="00157362" w:rsidRDefault="008B5986">
          <w:pPr>
            <w:pStyle w:val="TOC3"/>
            <w:tabs>
              <w:tab w:val="left" w:pos="2880"/>
            </w:tabs>
            <w:rPr>
              <w:rFonts w:asciiTheme="minorHAnsi" w:eastAsiaTheme="minorEastAsia" w:hAnsiTheme="minorHAnsi" w:cstheme="minorBidi"/>
              <w:color w:val="auto"/>
              <w:sz w:val="22"/>
              <w:szCs w:val="22"/>
            </w:rPr>
          </w:pPr>
          <w:hyperlink w:anchor="_Toc371409452" w:history="1">
            <w:r w:rsidR="00157362" w:rsidRPr="0008735A">
              <w:rPr>
                <w:rStyle w:val="Hyperlink"/>
                <w:rFonts w:ascii="Century Gothic" w:hAnsi="Century Gothic"/>
              </w:rPr>
              <w:t>3.3.2</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Commonwealth Environmental Water Stakeholder Reference Panel</w:t>
            </w:r>
            <w:r w:rsidR="00157362">
              <w:rPr>
                <w:webHidden/>
              </w:rPr>
              <w:tab/>
            </w:r>
            <w:r w:rsidR="00157362">
              <w:rPr>
                <w:webHidden/>
              </w:rPr>
              <w:tab/>
            </w:r>
            <w:r>
              <w:rPr>
                <w:webHidden/>
              </w:rPr>
              <w:fldChar w:fldCharType="begin"/>
            </w:r>
            <w:r w:rsidR="00157362">
              <w:rPr>
                <w:webHidden/>
              </w:rPr>
              <w:instrText xml:space="preserve"> PAGEREF _Toc371409452 \h </w:instrText>
            </w:r>
            <w:r>
              <w:rPr>
                <w:webHidden/>
              </w:rPr>
            </w:r>
            <w:r>
              <w:rPr>
                <w:webHidden/>
              </w:rPr>
              <w:fldChar w:fldCharType="separate"/>
            </w:r>
            <w:r w:rsidR="009B3088">
              <w:rPr>
                <w:webHidden/>
              </w:rPr>
              <w:t>17</w:t>
            </w:r>
            <w:r>
              <w:rPr>
                <w:webHidden/>
              </w:rPr>
              <w:fldChar w:fldCharType="end"/>
            </w:r>
          </w:hyperlink>
        </w:p>
        <w:p w:rsidR="00157362" w:rsidRDefault="008B5986">
          <w:pPr>
            <w:pStyle w:val="TOC3"/>
            <w:tabs>
              <w:tab w:val="left" w:pos="2880"/>
            </w:tabs>
            <w:rPr>
              <w:rFonts w:asciiTheme="minorHAnsi" w:eastAsiaTheme="minorEastAsia" w:hAnsiTheme="minorHAnsi" w:cstheme="minorBidi"/>
              <w:color w:val="auto"/>
              <w:sz w:val="22"/>
              <w:szCs w:val="22"/>
            </w:rPr>
          </w:pPr>
          <w:hyperlink w:anchor="_Toc371409453" w:history="1">
            <w:r w:rsidR="00157362" w:rsidRPr="0008735A">
              <w:rPr>
                <w:rStyle w:val="Hyperlink"/>
                <w:rFonts w:ascii="Century Gothic" w:hAnsi="Century Gothic"/>
              </w:rPr>
              <w:t>3.3.3</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Procuring additional expertise</w:t>
            </w:r>
            <w:r w:rsidR="00157362">
              <w:rPr>
                <w:webHidden/>
              </w:rPr>
              <w:tab/>
            </w:r>
            <w:r>
              <w:rPr>
                <w:webHidden/>
              </w:rPr>
              <w:fldChar w:fldCharType="begin"/>
            </w:r>
            <w:r w:rsidR="00157362">
              <w:rPr>
                <w:webHidden/>
              </w:rPr>
              <w:instrText xml:space="preserve"> PAGEREF _Toc371409453 \h </w:instrText>
            </w:r>
            <w:r>
              <w:rPr>
                <w:webHidden/>
              </w:rPr>
            </w:r>
            <w:r>
              <w:rPr>
                <w:webHidden/>
              </w:rPr>
              <w:fldChar w:fldCharType="separate"/>
            </w:r>
            <w:r w:rsidR="009B3088">
              <w:rPr>
                <w:webHidden/>
              </w:rPr>
              <w:t>17</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54" w:history="1">
            <w:r w:rsidR="00157362" w:rsidRPr="0008735A">
              <w:rPr>
                <w:rStyle w:val="Hyperlink"/>
                <w:rFonts w:ascii="Century Gothic" w:hAnsi="Century Gothic"/>
              </w:rPr>
              <w:t>3.4</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External relationships</w:t>
            </w:r>
            <w:r w:rsidR="00157362">
              <w:rPr>
                <w:webHidden/>
              </w:rPr>
              <w:tab/>
            </w:r>
            <w:r>
              <w:rPr>
                <w:webHidden/>
              </w:rPr>
              <w:fldChar w:fldCharType="begin"/>
            </w:r>
            <w:r w:rsidR="00157362">
              <w:rPr>
                <w:webHidden/>
              </w:rPr>
              <w:instrText xml:space="preserve"> PAGEREF _Toc371409454 \h </w:instrText>
            </w:r>
            <w:r>
              <w:rPr>
                <w:webHidden/>
              </w:rPr>
            </w:r>
            <w:r>
              <w:rPr>
                <w:webHidden/>
              </w:rPr>
              <w:fldChar w:fldCharType="separate"/>
            </w:r>
            <w:r w:rsidR="009B3088">
              <w:rPr>
                <w:webHidden/>
              </w:rPr>
              <w:t>18</w:t>
            </w:r>
            <w:r>
              <w:rPr>
                <w:webHidden/>
              </w:rPr>
              <w:fldChar w:fldCharType="end"/>
            </w:r>
          </w:hyperlink>
        </w:p>
        <w:p w:rsidR="00157362" w:rsidRDefault="008B5986">
          <w:pPr>
            <w:pStyle w:val="TOC3"/>
            <w:tabs>
              <w:tab w:val="left" w:pos="2880"/>
            </w:tabs>
            <w:rPr>
              <w:rFonts w:asciiTheme="minorHAnsi" w:eastAsiaTheme="minorEastAsia" w:hAnsiTheme="minorHAnsi" w:cstheme="minorBidi"/>
              <w:color w:val="auto"/>
              <w:sz w:val="22"/>
              <w:szCs w:val="22"/>
            </w:rPr>
          </w:pPr>
          <w:hyperlink w:anchor="_Toc371409455" w:history="1">
            <w:r w:rsidR="00157362" w:rsidRPr="0008735A">
              <w:rPr>
                <w:rStyle w:val="Hyperlink"/>
                <w:rFonts w:ascii="Century Gothic" w:hAnsi="Century Gothic"/>
              </w:rPr>
              <w:t>3.4.1 Delivery partners</w:t>
            </w:r>
            <w:r w:rsidR="00157362">
              <w:rPr>
                <w:webHidden/>
              </w:rPr>
              <w:tab/>
            </w:r>
            <w:r>
              <w:rPr>
                <w:webHidden/>
              </w:rPr>
              <w:fldChar w:fldCharType="begin"/>
            </w:r>
            <w:r w:rsidR="00157362">
              <w:rPr>
                <w:webHidden/>
              </w:rPr>
              <w:instrText xml:space="preserve"> PAGEREF _Toc371409455 \h </w:instrText>
            </w:r>
            <w:r>
              <w:rPr>
                <w:webHidden/>
              </w:rPr>
            </w:r>
            <w:r>
              <w:rPr>
                <w:webHidden/>
              </w:rPr>
              <w:fldChar w:fldCharType="separate"/>
            </w:r>
            <w:r w:rsidR="009B3088">
              <w:rPr>
                <w:webHidden/>
              </w:rPr>
              <w:t>18</w:t>
            </w:r>
            <w:r>
              <w:rPr>
                <w:webHidden/>
              </w:rPr>
              <w:fldChar w:fldCharType="end"/>
            </w:r>
          </w:hyperlink>
        </w:p>
        <w:p w:rsidR="00157362" w:rsidRDefault="008B5986">
          <w:pPr>
            <w:pStyle w:val="TOC3"/>
            <w:tabs>
              <w:tab w:val="left" w:pos="2880"/>
            </w:tabs>
            <w:rPr>
              <w:rFonts w:asciiTheme="minorHAnsi" w:eastAsiaTheme="minorEastAsia" w:hAnsiTheme="minorHAnsi" w:cstheme="minorBidi"/>
              <w:color w:val="auto"/>
              <w:sz w:val="22"/>
              <w:szCs w:val="22"/>
            </w:rPr>
          </w:pPr>
          <w:hyperlink w:anchor="_Toc371409456" w:history="1">
            <w:r w:rsidR="00157362" w:rsidRPr="0008735A">
              <w:rPr>
                <w:rStyle w:val="Hyperlink"/>
                <w:rFonts w:ascii="Century Gothic" w:hAnsi="Century Gothic"/>
              </w:rPr>
              <w:t>3.4.2</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Murray–Darling Basin Authority</w:t>
            </w:r>
            <w:r w:rsidR="00157362">
              <w:rPr>
                <w:webHidden/>
              </w:rPr>
              <w:tab/>
            </w:r>
            <w:r>
              <w:rPr>
                <w:webHidden/>
              </w:rPr>
              <w:fldChar w:fldCharType="begin"/>
            </w:r>
            <w:r w:rsidR="00157362">
              <w:rPr>
                <w:webHidden/>
              </w:rPr>
              <w:instrText xml:space="preserve"> PAGEREF _Toc371409456 \h </w:instrText>
            </w:r>
            <w:r>
              <w:rPr>
                <w:webHidden/>
              </w:rPr>
            </w:r>
            <w:r>
              <w:rPr>
                <w:webHidden/>
              </w:rPr>
              <w:fldChar w:fldCharType="separate"/>
            </w:r>
            <w:r w:rsidR="009B3088">
              <w:rPr>
                <w:webHidden/>
              </w:rPr>
              <w:t>18</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57" w:history="1">
            <w:r w:rsidR="00157362" w:rsidRPr="0008735A">
              <w:rPr>
                <w:rStyle w:val="Hyperlink"/>
                <w:rFonts w:ascii="Century Gothic" w:hAnsi="Century Gothic"/>
              </w:rPr>
              <w:t>3.5</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Communications and stakeholder engagement</w:t>
            </w:r>
            <w:r w:rsidR="00157362">
              <w:rPr>
                <w:webHidden/>
              </w:rPr>
              <w:tab/>
            </w:r>
            <w:r>
              <w:rPr>
                <w:webHidden/>
              </w:rPr>
              <w:fldChar w:fldCharType="begin"/>
            </w:r>
            <w:r w:rsidR="00157362">
              <w:rPr>
                <w:webHidden/>
              </w:rPr>
              <w:instrText xml:space="preserve"> PAGEREF _Toc371409457 \h </w:instrText>
            </w:r>
            <w:r>
              <w:rPr>
                <w:webHidden/>
              </w:rPr>
            </w:r>
            <w:r>
              <w:rPr>
                <w:webHidden/>
              </w:rPr>
              <w:fldChar w:fldCharType="separate"/>
            </w:r>
            <w:r w:rsidR="009B3088">
              <w:rPr>
                <w:webHidden/>
              </w:rPr>
              <w:t>19</w:t>
            </w:r>
            <w:r>
              <w:rPr>
                <w:webHidden/>
              </w:rPr>
              <w:fldChar w:fldCharType="end"/>
            </w:r>
          </w:hyperlink>
        </w:p>
        <w:p w:rsidR="00157362" w:rsidRDefault="008B5986">
          <w:pPr>
            <w:pStyle w:val="TOC1"/>
            <w:rPr>
              <w:rFonts w:asciiTheme="minorHAnsi" w:eastAsiaTheme="minorEastAsia" w:hAnsiTheme="minorHAnsi" w:cstheme="minorBidi"/>
              <w:b w:val="0"/>
              <w:bCs w:val="0"/>
              <w:color w:val="auto"/>
              <w:sz w:val="22"/>
              <w:szCs w:val="22"/>
            </w:rPr>
          </w:pPr>
          <w:hyperlink w:anchor="_Toc371409458" w:history="1">
            <w:r w:rsidR="00157362" w:rsidRPr="0008735A">
              <w:rPr>
                <w:rStyle w:val="Hyperlink"/>
                <w:rFonts w:ascii="Century Gothic" w:hAnsi="Century Gothic"/>
              </w:rPr>
              <w:t>4.</w:t>
            </w:r>
            <w:r w:rsidR="00157362">
              <w:rPr>
                <w:rFonts w:asciiTheme="minorHAnsi" w:eastAsiaTheme="minorEastAsia" w:hAnsiTheme="minorHAnsi" w:cstheme="minorBidi"/>
                <w:b w:val="0"/>
                <w:bCs w:val="0"/>
                <w:color w:val="auto"/>
                <w:sz w:val="22"/>
                <w:szCs w:val="22"/>
              </w:rPr>
              <w:tab/>
            </w:r>
            <w:r w:rsidR="00157362" w:rsidRPr="0008735A">
              <w:rPr>
                <w:rStyle w:val="Hyperlink"/>
                <w:rFonts w:ascii="Century Gothic" w:hAnsi="Century Gothic"/>
              </w:rPr>
              <w:t>Financial management and accountability</w:t>
            </w:r>
            <w:r w:rsidR="00157362">
              <w:rPr>
                <w:webHidden/>
              </w:rPr>
              <w:tab/>
            </w:r>
            <w:r>
              <w:rPr>
                <w:webHidden/>
              </w:rPr>
              <w:fldChar w:fldCharType="begin"/>
            </w:r>
            <w:r w:rsidR="00157362">
              <w:rPr>
                <w:webHidden/>
              </w:rPr>
              <w:instrText xml:space="preserve"> PAGEREF _Toc371409458 \h </w:instrText>
            </w:r>
            <w:r>
              <w:rPr>
                <w:webHidden/>
              </w:rPr>
            </w:r>
            <w:r>
              <w:rPr>
                <w:webHidden/>
              </w:rPr>
              <w:fldChar w:fldCharType="separate"/>
            </w:r>
            <w:r w:rsidR="009B3088">
              <w:rPr>
                <w:webHidden/>
              </w:rPr>
              <w:t>21</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59" w:history="1">
            <w:r w:rsidR="00157362" w:rsidRPr="0008735A">
              <w:rPr>
                <w:rStyle w:val="Hyperlink"/>
                <w:rFonts w:ascii="Century Gothic" w:hAnsi="Century Gothic"/>
              </w:rPr>
              <w:t>4.1</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Budget and financial management</w:t>
            </w:r>
            <w:r w:rsidR="00157362">
              <w:rPr>
                <w:webHidden/>
              </w:rPr>
              <w:tab/>
            </w:r>
            <w:r>
              <w:rPr>
                <w:webHidden/>
              </w:rPr>
              <w:fldChar w:fldCharType="begin"/>
            </w:r>
            <w:r w:rsidR="00157362">
              <w:rPr>
                <w:webHidden/>
              </w:rPr>
              <w:instrText xml:space="preserve"> PAGEREF _Toc371409459 \h </w:instrText>
            </w:r>
            <w:r>
              <w:rPr>
                <w:webHidden/>
              </w:rPr>
            </w:r>
            <w:r>
              <w:rPr>
                <w:webHidden/>
              </w:rPr>
              <w:fldChar w:fldCharType="separate"/>
            </w:r>
            <w:r w:rsidR="009B3088">
              <w:rPr>
                <w:webHidden/>
              </w:rPr>
              <w:t>21</w:t>
            </w:r>
            <w:r>
              <w:rPr>
                <w:webHidden/>
              </w:rPr>
              <w:fldChar w:fldCharType="end"/>
            </w:r>
          </w:hyperlink>
        </w:p>
        <w:p w:rsidR="00157362" w:rsidRDefault="008B5986">
          <w:pPr>
            <w:pStyle w:val="TOC3"/>
            <w:tabs>
              <w:tab w:val="left" w:pos="2880"/>
            </w:tabs>
            <w:rPr>
              <w:rFonts w:asciiTheme="minorHAnsi" w:eastAsiaTheme="minorEastAsia" w:hAnsiTheme="minorHAnsi" w:cstheme="minorBidi"/>
              <w:color w:val="auto"/>
              <w:sz w:val="22"/>
              <w:szCs w:val="22"/>
            </w:rPr>
          </w:pPr>
          <w:hyperlink w:anchor="_Toc371409460" w:history="1">
            <w:r w:rsidR="00157362" w:rsidRPr="0008735A">
              <w:rPr>
                <w:rStyle w:val="Hyperlink"/>
                <w:rFonts w:ascii="Century Gothic" w:hAnsi="Century Gothic"/>
              </w:rPr>
              <w:t>4.1.1</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The Environmental Water Holdings Special Account</w:t>
            </w:r>
            <w:r w:rsidR="00157362">
              <w:rPr>
                <w:webHidden/>
              </w:rPr>
              <w:tab/>
            </w:r>
            <w:r>
              <w:rPr>
                <w:webHidden/>
              </w:rPr>
              <w:fldChar w:fldCharType="begin"/>
            </w:r>
            <w:r w:rsidR="00157362">
              <w:rPr>
                <w:webHidden/>
              </w:rPr>
              <w:instrText xml:space="preserve"> PAGEREF _Toc371409460 \h </w:instrText>
            </w:r>
            <w:r>
              <w:rPr>
                <w:webHidden/>
              </w:rPr>
            </w:r>
            <w:r>
              <w:rPr>
                <w:webHidden/>
              </w:rPr>
              <w:fldChar w:fldCharType="separate"/>
            </w:r>
            <w:r w:rsidR="009B3088">
              <w:rPr>
                <w:webHidden/>
              </w:rPr>
              <w:t>22</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61" w:history="1">
            <w:r w:rsidR="00157362" w:rsidRPr="0008735A">
              <w:rPr>
                <w:rStyle w:val="Hyperlink"/>
                <w:rFonts w:ascii="Century Gothic" w:hAnsi="Century Gothic"/>
              </w:rPr>
              <w:t>4.2</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The Commonwealth environmental water annual report</w:t>
            </w:r>
            <w:r w:rsidR="00157362">
              <w:rPr>
                <w:webHidden/>
              </w:rPr>
              <w:tab/>
            </w:r>
            <w:r>
              <w:rPr>
                <w:webHidden/>
              </w:rPr>
              <w:fldChar w:fldCharType="begin"/>
            </w:r>
            <w:r w:rsidR="00157362">
              <w:rPr>
                <w:webHidden/>
              </w:rPr>
              <w:instrText xml:space="preserve"> PAGEREF _Toc371409461 \h </w:instrText>
            </w:r>
            <w:r>
              <w:rPr>
                <w:webHidden/>
              </w:rPr>
            </w:r>
            <w:r>
              <w:rPr>
                <w:webHidden/>
              </w:rPr>
              <w:fldChar w:fldCharType="separate"/>
            </w:r>
            <w:r w:rsidR="009B3088">
              <w:rPr>
                <w:webHidden/>
              </w:rPr>
              <w:t>23</w:t>
            </w:r>
            <w:r>
              <w:rPr>
                <w:webHidden/>
              </w:rPr>
              <w:fldChar w:fldCharType="end"/>
            </w:r>
          </w:hyperlink>
        </w:p>
        <w:p w:rsidR="00157362" w:rsidRDefault="008B5986">
          <w:pPr>
            <w:pStyle w:val="TOC2"/>
            <w:tabs>
              <w:tab w:val="left" w:pos="851"/>
            </w:tabs>
            <w:rPr>
              <w:rFonts w:asciiTheme="minorHAnsi" w:eastAsiaTheme="minorEastAsia" w:hAnsiTheme="minorHAnsi" w:cstheme="minorBidi"/>
              <w:color w:val="auto"/>
              <w:sz w:val="22"/>
              <w:szCs w:val="22"/>
            </w:rPr>
          </w:pPr>
          <w:hyperlink w:anchor="_Toc371409462" w:history="1">
            <w:r w:rsidR="00157362" w:rsidRPr="0008735A">
              <w:rPr>
                <w:rStyle w:val="Hyperlink"/>
                <w:rFonts w:ascii="Century Gothic" w:hAnsi="Century Gothic"/>
              </w:rPr>
              <w:t>4.3</w:t>
            </w:r>
            <w:r w:rsidR="00157362">
              <w:rPr>
                <w:rFonts w:asciiTheme="minorHAnsi" w:eastAsiaTheme="minorEastAsia" w:hAnsiTheme="minorHAnsi" w:cstheme="minorBidi"/>
                <w:color w:val="auto"/>
                <w:sz w:val="22"/>
                <w:szCs w:val="22"/>
              </w:rPr>
              <w:tab/>
            </w:r>
            <w:r w:rsidR="00157362" w:rsidRPr="0008735A">
              <w:rPr>
                <w:rStyle w:val="Hyperlink"/>
                <w:rFonts w:ascii="Century Gothic" w:hAnsi="Century Gothic"/>
              </w:rPr>
              <w:t>Risk management</w:t>
            </w:r>
            <w:r w:rsidR="00157362">
              <w:rPr>
                <w:webHidden/>
              </w:rPr>
              <w:tab/>
            </w:r>
            <w:r>
              <w:rPr>
                <w:webHidden/>
              </w:rPr>
              <w:fldChar w:fldCharType="begin"/>
            </w:r>
            <w:r w:rsidR="00157362">
              <w:rPr>
                <w:webHidden/>
              </w:rPr>
              <w:instrText xml:space="preserve"> PAGEREF _Toc371409462 \h </w:instrText>
            </w:r>
            <w:r>
              <w:rPr>
                <w:webHidden/>
              </w:rPr>
            </w:r>
            <w:r>
              <w:rPr>
                <w:webHidden/>
              </w:rPr>
              <w:fldChar w:fldCharType="separate"/>
            </w:r>
            <w:r w:rsidR="009B3088">
              <w:rPr>
                <w:webHidden/>
              </w:rPr>
              <w:t>23</w:t>
            </w:r>
            <w:r>
              <w:rPr>
                <w:webHidden/>
              </w:rPr>
              <w:fldChar w:fldCharType="end"/>
            </w:r>
          </w:hyperlink>
        </w:p>
        <w:p w:rsidR="00157362" w:rsidRDefault="008B5986">
          <w:pPr>
            <w:pStyle w:val="TOC1"/>
            <w:rPr>
              <w:rFonts w:asciiTheme="minorHAnsi" w:eastAsiaTheme="minorEastAsia" w:hAnsiTheme="minorHAnsi" w:cstheme="minorBidi"/>
              <w:b w:val="0"/>
              <w:bCs w:val="0"/>
              <w:color w:val="auto"/>
              <w:sz w:val="22"/>
              <w:szCs w:val="22"/>
            </w:rPr>
          </w:pPr>
          <w:hyperlink w:anchor="_Toc371409463" w:history="1">
            <w:r w:rsidR="00157362" w:rsidRPr="0008735A">
              <w:rPr>
                <w:rStyle w:val="Hyperlink"/>
                <w:rFonts w:ascii="Century Gothic" w:hAnsi="Century Gothic"/>
              </w:rPr>
              <w:t>Glossary</w:t>
            </w:r>
            <w:r w:rsidR="00157362">
              <w:rPr>
                <w:webHidden/>
              </w:rPr>
              <w:tab/>
            </w:r>
            <w:r>
              <w:rPr>
                <w:webHidden/>
              </w:rPr>
              <w:fldChar w:fldCharType="begin"/>
            </w:r>
            <w:r w:rsidR="00157362">
              <w:rPr>
                <w:webHidden/>
              </w:rPr>
              <w:instrText xml:space="preserve"> PAGEREF _Toc371409463 \h </w:instrText>
            </w:r>
            <w:r>
              <w:rPr>
                <w:webHidden/>
              </w:rPr>
            </w:r>
            <w:r>
              <w:rPr>
                <w:webHidden/>
              </w:rPr>
              <w:fldChar w:fldCharType="separate"/>
            </w:r>
            <w:r w:rsidR="009B3088">
              <w:rPr>
                <w:webHidden/>
              </w:rPr>
              <w:t>25</w:t>
            </w:r>
            <w:r>
              <w:rPr>
                <w:webHidden/>
              </w:rPr>
              <w:fldChar w:fldCharType="end"/>
            </w:r>
          </w:hyperlink>
        </w:p>
        <w:p w:rsidR="00157362" w:rsidRDefault="008B5986">
          <w:pPr>
            <w:pStyle w:val="TOC1"/>
            <w:rPr>
              <w:rFonts w:asciiTheme="minorHAnsi" w:eastAsiaTheme="minorEastAsia" w:hAnsiTheme="minorHAnsi" w:cstheme="minorBidi"/>
              <w:b w:val="0"/>
              <w:bCs w:val="0"/>
              <w:color w:val="auto"/>
              <w:sz w:val="22"/>
              <w:szCs w:val="22"/>
            </w:rPr>
          </w:pPr>
          <w:hyperlink w:anchor="_Toc371409464" w:history="1">
            <w:r w:rsidR="00157362" w:rsidRPr="0008735A">
              <w:rPr>
                <w:rStyle w:val="Hyperlink"/>
                <w:rFonts w:ascii="Century Gothic" w:hAnsi="Century Gothic"/>
              </w:rPr>
              <w:t>Appendix A Overview of the Commonwealth Environmental Water Office</w:t>
            </w:r>
            <w:r w:rsidR="00157362">
              <w:rPr>
                <w:webHidden/>
              </w:rPr>
              <w:tab/>
            </w:r>
            <w:r>
              <w:rPr>
                <w:webHidden/>
              </w:rPr>
              <w:fldChar w:fldCharType="begin"/>
            </w:r>
            <w:r w:rsidR="00157362">
              <w:rPr>
                <w:webHidden/>
              </w:rPr>
              <w:instrText xml:space="preserve"> PAGEREF _Toc371409464 \h </w:instrText>
            </w:r>
            <w:r>
              <w:rPr>
                <w:webHidden/>
              </w:rPr>
            </w:r>
            <w:r>
              <w:rPr>
                <w:webHidden/>
              </w:rPr>
              <w:fldChar w:fldCharType="separate"/>
            </w:r>
            <w:r w:rsidR="009B3088">
              <w:rPr>
                <w:webHidden/>
              </w:rPr>
              <w:t>26</w:t>
            </w:r>
            <w:r>
              <w:rPr>
                <w:webHidden/>
              </w:rPr>
              <w:fldChar w:fldCharType="end"/>
            </w:r>
          </w:hyperlink>
        </w:p>
        <w:p w:rsidR="00157362" w:rsidRDefault="008B5986">
          <w:pPr>
            <w:pStyle w:val="TOC3"/>
            <w:rPr>
              <w:rFonts w:asciiTheme="minorHAnsi" w:eastAsiaTheme="minorEastAsia" w:hAnsiTheme="minorHAnsi" w:cstheme="minorBidi"/>
              <w:color w:val="auto"/>
              <w:sz w:val="22"/>
              <w:szCs w:val="22"/>
            </w:rPr>
          </w:pPr>
          <w:hyperlink w:anchor="_Toc371409465" w:history="1">
            <w:r w:rsidR="00157362" w:rsidRPr="0008735A">
              <w:rPr>
                <w:rStyle w:val="Hyperlink"/>
                <w:rFonts w:ascii="Century Gothic" w:hAnsi="Century Gothic"/>
              </w:rPr>
              <w:t>Environmental Water Delivery Branch</w:t>
            </w:r>
            <w:r w:rsidR="00157362">
              <w:rPr>
                <w:webHidden/>
              </w:rPr>
              <w:tab/>
            </w:r>
            <w:r>
              <w:rPr>
                <w:webHidden/>
              </w:rPr>
              <w:fldChar w:fldCharType="begin"/>
            </w:r>
            <w:r w:rsidR="00157362">
              <w:rPr>
                <w:webHidden/>
              </w:rPr>
              <w:instrText xml:space="preserve"> PAGEREF _Toc371409465 \h </w:instrText>
            </w:r>
            <w:r>
              <w:rPr>
                <w:webHidden/>
              </w:rPr>
            </w:r>
            <w:r>
              <w:rPr>
                <w:webHidden/>
              </w:rPr>
              <w:fldChar w:fldCharType="separate"/>
            </w:r>
            <w:r w:rsidR="009B3088">
              <w:rPr>
                <w:webHidden/>
              </w:rPr>
              <w:t>26</w:t>
            </w:r>
            <w:r>
              <w:rPr>
                <w:webHidden/>
              </w:rPr>
              <w:fldChar w:fldCharType="end"/>
            </w:r>
          </w:hyperlink>
        </w:p>
        <w:p w:rsidR="00157362" w:rsidRDefault="008B5986">
          <w:pPr>
            <w:pStyle w:val="TOC3"/>
            <w:rPr>
              <w:rFonts w:asciiTheme="minorHAnsi" w:eastAsiaTheme="minorEastAsia" w:hAnsiTheme="minorHAnsi" w:cstheme="minorBidi"/>
              <w:color w:val="auto"/>
              <w:sz w:val="22"/>
              <w:szCs w:val="22"/>
            </w:rPr>
          </w:pPr>
          <w:hyperlink w:anchor="_Toc371409466" w:history="1">
            <w:r w:rsidR="00157362" w:rsidRPr="0008735A">
              <w:rPr>
                <w:rStyle w:val="Hyperlink"/>
                <w:rFonts w:ascii="Century Gothic" w:hAnsi="Century Gothic"/>
              </w:rPr>
              <w:t>Policy, Community Engagement and Portfolio Management Branch</w:t>
            </w:r>
            <w:r w:rsidR="00157362">
              <w:rPr>
                <w:webHidden/>
              </w:rPr>
              <w:tab/>
            </w:r>
            <w:r>
              <w:rPr>
                <w:webHidden/>
              </w:rPr>
              <w:fldChar w:fldCharType="begin"/>
            </w:r>
            <w:r w:rsidR="00157362">
              <w:rPr>
                <w:webHidden/>
              </w:rPr>
              <w:instrText xml:space="preserve"> PAGEREF _Toc371409466 \h </w:instrText>
            </w:r>
            <w:r>
              <w:rPr>
                <w:webHidden/>
              </w:rPr>
            </w:r>
            <w:r>
              <w:rPr>
                <w:webHidden/>
              </w:rPr>
              <w:fldChar w:fldCharType="separate"/>
            </w:r>
            <w:r w:rsidR="009B3088">
              <w:rPr>
                <w:webHidden/>
              </w:rPr>
              <w:t>27</w:t>
            </w:r>
            <w:r>
              <w:rPr>
                <w:webHidden/>
              </w:rPr>
              <w:fldChar w:fldCharType="end"/>
            </w:r>
          </w:hyperlink>
        </w:p>
        <w:p w:rsidR="00157362" w:rsidRDefault="008B5986">
          <w:pPr>
            <w:pStyle w:val="TOC1"/>
            <w:rPr>
              <w:rFonts w:asciiTheme="minorHAnsi" w:eastAsiaTheme="minorEastAsia" w:hAnsiTheme="minorHAnsi" w:cstheme="minorBidi"/>
              <w:b w:val="0"/>
              <w:bCs w:val="0"/>
              <w:color w:val="auto"/>
              <w:sz w:val="22"/>
              <w:szCs w:val="22"/>
            </w:rPr>
          </w:pPr>
          <w:hyperlink w:anchor="_Toc371409467" w:history="1">
            <w:r w:rsidR="00157362" w:rsidRPr="0008735A">
              <w:rPr>
                <w:rStyle w:val="Hyperlink"/>
                <w:rFonts w:ascii="Century Gothic" w:hAnsi="Century Gothic"/>
              </w:rPr>
              <w:t>Appendix B Environmental Water Partners</w:t>
            </w:r>
            <w:r w:rsidR="00157362">
              <w:rPr>
                <w:webHidden/>
              </w:rPr>
              <w:tab/>
            </w:r>
            <w:r>
              <w:rPr>
                <w:webHidden/>
              </w:rPr>
              <w:fldChar w:fldCharType="begin"/>
            </w:r>
            <w:r w:rsidR="00157362">
              <w:rPr>
                <w:webHidden/>
              </w:rPr>
              <w:instrText xml:space="preserve"> PAGEREF _Toc371409467 \h </w:instrText>
            </w:r>
            <w:r>
              <w:rPr>
                <w:webHidden/>
              </w:rPr>
            </w:r>
            <w:r>
              <w:rPr>
                <w:webHidden/>
              </w:rPr>
              <w:fldChar w:fldCharType="separate"/>
            </w:r>
            <w:r w:rsidR="009B3088">
              <w:rPr>
                <w:webHidden/>
              </w:rPr>
              <w:t>28</w:t>
            </w:r>
            <w:r>
              <w:rPr>
                <w:webHidden/>
              </w:rPr>
              <w:fldChar w:fldCharType="end"/>
            </w:r>
          </w:hyperlink>
        </w:p>
        <w:p w:rsidR="00CA2C4B" w:rsidRDefault="008B5986">
          <w:r>
            <w:fldChar w:fldCharType="end"/>
          </w:r>
        </w:p>
      </w:sdtContent>
    </w:sdt>
    <w:p w:rsidR="00CA2C4B" w:rsidRDefault="00CA2C4B">
      <w:pPr>
        <w:spacing w:after="0"/>
        <w:ind w:left="0"/>
      </w:pPr>
    </w:p>
    <w:p w:rsidR="00CA2C4B" w:rsidRDefault="00CA2C4B">
      <w:pPr>
        <w:spacing w:after="0"/>
        <w:ind w:left="0"/>
      </w:pPr>
    </w:p>
    <w:p w:rsidR="00CA2C4B" w:rsidRDefault="00CA2C4B">
      <w:pPr>
        <w:spacing w:after="0"/>
        <w:ind w:left="0"/>
      </w:pPr>
    </w:p>
    <w:p w:rsidR="00CA2C4B" w:rsidRDefault="00CA2C4B">
      <w:pPr>
        <w:spacing w:after="0"/>
        <w:ind w:left="0"/>
        <w:rPr>
          <w:rFonts w:ascii="Arial" w:hAnsi="Arial" w:cs="Arial"/>
          <w:b/>
          <w:bCs/>
          <w:color w:val="48358C"/>
          <w:spacing w:val="40"/>
          <w:kern w:val="28"/>
          <w:sz w:val="36"/>
          <w:szCs w:val="32"/>
        </w:rPr>
      </w:pPr>
      <w:r>
        <w:br w:type="page"/>
      </w:r>
    </w:p>
    <w:p w:rsidR="005C6525" w:rsidRPr="00FB3DFF" w:rsidRDefault="00595F3A" w:rsidP="00DF32F5">
      <w:pPr>
        <w:pStyle w:val="BPHeading1CustomColorRGB9573122"/>
        <w:rPr>
          <w:rFonts w:ascii="Century Gothic" w:hAnsi="Century Gothic"/>
        </w:rPr>
      </w:pPr>
      <w:bookmarkStart w:id="2" w:name="_Toc371409433"/>
      <w:r w:rsidRPr="00FB3DFF">
        <w:rPr>
          <w:rFonts w:ascii="Century Gothic" w:hAnsi="Century Gothic"/>
        </w:rPr>
        <w:t xml:space="preserve">1. </w:t>
      </w:r>
      <w:r w:rsidR="005C6525" w:rsidRPr="00FB3DFF">
        <w:rPr>
          <w:rFonts w:ascii="Century Gothic" w:hAnsi="Century Gothic"/>
        </w:rPr>
        <w:t>Overview</w:t>
      </w:r>
      <w:bookmarkEnd w:id="0"/>
      <w:bookmarkEnd w:id="2"/>
    </w:p>
    <w:p w:rsidR="006C4369" w:rsidRPr="00FB3DFF" w:rsidRDefault="008B5986" w:rsidP="00FB3DFF">
      <w:pPr>
        <w:pStyle w:val="BPBodyTextArialJustified"/>
        <w:jc w:val="left"/>
        <w:rPr>
          <w:rFonts w:ascii="Century Gothic" w:hAnsi="Century Gothic"/>
          <w:sz w:val="22"/>
          <w:szCs w:val="22"/>
        </w:rPr>
      </w:pPr>
      <w:r>
        <w:rPr>
          <w:rFonts w:ascii="Century Gothic" w:hAnsi="Century Gothic"/>
          <w:noProof/>
          <w:sz w:val="22"/>
          <w:szCs w:val="22"/>
        </w:rPr>
        <w:pict>
          <v:roundrect id="_x0000_s1775" style="position:absolute;left:0;text-align:left;margin-left:32.1pt;margin-top:47.7pt;width:417.3pt;height:44.25pt;z-index:-251660800" arcsize="10923f" fillcolor="#b9aee0" strokecolor="#8064a2" strokeweight="1pt">
            <v:fill rotate="t" focusposition=",1" focussize="" type="gradient"/>
            <v:shadow color="#868686"/>
          </v:roundrect>
        </w:pict>
      </w:r>
      <w:r w:rsidR="0086055B" w:rsidRPr="00FB3DFF">
        <w:rPr>
          <w:rFonts w:ascii="Century Gothic" w:hAnsi="Century Gothic"/>
          <w:sz w:val="22"/>
          <w:szCs w:val="22"/>
        </w:rPr>
        <w:t>The C</w:t>
      </w:r>
      <w:r w:rsidR="008A35BF" w:rsidRPr="00FB3DFF">
        <w:rPr>
          <w:rFonts w:ascii="Century Gothic" w:hAnsi="Century Gothic"/>
          <w:sz w:val="22"/>
          <w:szCs w:val="22"/>
        </w:rPr>
        <w:t xml:space="preserve">ommonwealth Environmental Water Office </w:t>
      </w:r>
      <w:r w:rsidR="005C6525" w:rsidRPr="00FB3DFF">
        <w:rPr>
          <w:rFonts w:ascii="Century Gothic" w:hAnsi="Century Gothic"/>
          <w:sz w:val="22"/>
          <w:szCs w:val="22"/>
        </w:rPr>
        <w:t xml:space="preserve">business plan has been prepared to </w:t>
      </w:r>
      <w:r w:rsidR="0086055B" w:rsidRPr="00FB3DFF">
        <w:rPr>
          <w:rFonts w:ascii="Century Gothic" w:hAnsi="Century Gothic"/>
          <w:sz w:val="22"/>
          <w:szCs w:val="22"/>
        </w:rPr>
        <w:t xml:space="preserve">outline </w:t>
      </w:r>
      <w:r w:rsidR="005C6525" w:rsidRPr="00FB3DFF">
        <w:rPr>
          <w:rFonts w:ascii="Century Gothic" w:hAnsi="Century Gothic"/>
          <w:sz w:val="22"/>
          <w:szCs w:val="22"/>
        </w:rPr>
        <w:t>the management and use of Commonwealth environmental water during 201</w:t>
      </w:r>
      <w:r w:rsidR="00DC67BD" w:rsidRPr="00FB3DFF">
        <w:rPr>
          <w:rFonts w:ascii="Century Gothic" w:hAnsi="Century Gothic"/>
          <w:sz w:val="22"/>
          <w:szCs w:val="22"/>
        </w:rPr>
        <w:t>3</w:t>
      </w:r>
      <w:r w:rsidR="005C6525" w:rsidRPr="00FB3DFF">
        <w:rPr>
          <w:rFonts w:ascii="Century Gothic" w:hAnsi="Century Gothic"/>
          <w:sz w:val="22"/>
          <w:szCs w:val="22"/>
        </w:rPr>
        <w:t>-1</w:t>
      </w:r>
      <w:r w:rsidR="00DC67BD" w:rsidRPr="00FB3DFF">
        <w:rPr>
          <w:rFonts w:ascii="Century Gothic" w:hAnsi="Century Gothic"/>
          <w:sz w:val="22"/>
          <w:szCs w:val="22"/>
        </w:rPr>
        <w:t>4</w:t>
      </w:r>
      <w:r w:rsidR="005C6525" w:rsidRPr="00FB3DFF">
        <w:rPr>
          <w:rFonts w:ascii="Century Gothic" w:hAnsi="Century Gothic"/>
          <w:sz w:val="22"/>
          <w:szCs w:val="22"/>
        </w:rPr>
        <w:t xml:space="preserve">. </w:t>
      </w:r>
    </w:p>
    <w:p w:rsidR="005C6525" w:rsidRPr="00FB3DFF" w:rsidRDefault="005C6525" w:rsidP="00FB3DFF">
      <w:pPr>
        <w:pStyle w:val="BoxText"/>
        <w:pBdr>
          <w:top w:val="none" w:sz="0" w:space="0" w:color="auto"/>
          <w:left w:val="none" w:sz="0" w:space="0" w:color="auto"/>
          <w:bottom w:val="none" w:sz="0" w:space="0" w:color="auto"/>
          <w:right w:val="none" w:sz="0" w:space="0" w:color="auto"/>
        </w:pBdr>
        <w:rPr>
          <w:rFonts w:ascii="Century Gothic" w:hAnsi="Century Gothic" w:cs="Arial"/>
          <w:b/>
          <w:szCs w:val="22"/>
        </w:rPr>
      </w:pPr>
      <w:r w:rsidRPr="00FB3DFF">
        <w:rPr>
          <w:rFonts w:ascii="Century Gothic" w:hAnsi="Century Gothic" w:cs="Arial"/>
          <w:b/>
          <w:szCs w:val="22"/>
        </w:rPr>
        <w:t>We welcome your views on the 201</w:t>
      </w:r>
      <w:r w:rsidR="00DC67BD" w:rsidRPr="00FB3DFF">
        <w:rPr>
          <w:rFonts w:ascii="Century Gothic" w:hAnsi="Century Gothic" w:cs="Arial"/>
          <w:b/>
          <w:szCs w:val="22"/>
        </w:rPr>
        <w:t>3</w:t>
      </w:r>
      <w:r w:rsidRPr="00FB3DFF">
        <w:rPr>
          <w:rFonts w:ascii="Century Gothic" w:hAnsi="Century Gothic" w:cs="Arial"/>
          <w:b/>
          <w:szCs w:val="22"/>
        </w:rPr>
        <w:t>-1</w:t>
      </w:r>
      <w:r w:rsidR="00DC67BD" w:rsidRPr="00FB3DFF">
        <w:rPr>
          <w:rFonts w:ascii="Century Gothic" w:hAnsi="Century Gothic" w:cs="Arial"/>
          <w:b/>
          <w:szCs w:val="22"/>
        </w:rPr>
        <w:t>4</w:t>
      </w:r>
      <w:r w:rsidRPr="00FB3DFF">
        <w:rPr>
          <w:rFonts w:ascii="Century Gothic" w:hAnsi="Century Gothic" w:cs="Arial"/>
          <w:b/>
          <w:szCs w:val="22"/>
        </w:rPr>
        <w:t xml:space="preserve"> business plan.</w:t>
      </w:r>
    </w:p>
    <w:p w:rsidR="005C6525" w:rsidRPr="00FB3DFF" w:rsidRDefault="005C6525" w:rsidP="00FB3DFF">
      <w:pPr>
        <w:pStyle w:val="BoxText"/>
        <w:pBdr>
          <w:top w:val="none" w:sz="0" w:space="0" w:color="auto"/>
          <w:left w:val="none" w:sz="0" w:space="0" w:color="auto"/>
          <w:bottom w:val="none" w:sz="0" w:space="0" w:color="auto"/>
          <w:right w:val="none" w:sz="0" w:space="0" w:color="auto"/>
        </w:pBdr>
        <w:rPr>
          <w:rFonts w:ascii="Century Gothic" w:hAnsi="Century Gothic" w:cs="Arial"/>
          <w:b/>
          <w:szCs w:val="22"/>
        </w:rPr>
      </w:pPr>
      <w:r w:rsidRPr="00FB3DFF">
        <w:rPr>
          <w:rFonts w:ascii="Century Gothic" w:hAnsi="Century Gothic" w:cs="Arial"/>
          <w:b/>
          <w:szCs w:val="22"/>
        </w:rPr>
        <w:t xml:space="preserve">Please forward your comments to </w:t>
      </w:r>
      <w:hyperlink r:id="rId12" w:history="1">
        <w:r w:rsidR="00335B1F" w:rsidRPr="00F576DD">
          <w:rPr>
            <w:rStyle w:val="Hyperlink"/>
            <w:rFonts w:ascii="Century Gothic" w:hAnsi="Century Gothic" w:cs="Arial"/>
            <w:b/>
            <w:szCs w:val="22"/>
          </w:rPr>
          <w:t>ewater@environment.gov.au</w:t>
        </w:r>
      </w:hyperlink>
      <w:r w:rsidR="00335B1F">
        <w:rPr>
          <w:rFonts w:ascii="Century Gothic" w:hAnsi="Century Gothic" w:cs="Arial"/>
          <w:b/>
          <w:szCs w:val="22"/>
        </w:rPr>
        <w:t xml:space="preserve"> </w:t>
      </w:r>
    </w:p>
    <w:p w:rsidR="005C6525" w:rsidRPr="00FB3DFF" w:rsidRDefault="00FA65C6" w:rsidP="00FB3DFF">
      <w:pPr>
        <w:pStyle w:val="Heading2"/>
        <w:numPr>
          <w:ilvl w:val="1"/>
          <w:numId w:val="0"/>
        </w:numPr>
        <w:ind w:left="1276" w:hanging="567"/>
        <w:rPr>
          <w:rFonts w:ascii="Century Gothic" w:hAnsi="Century Gothic"/>
        </w:rPr>
      </w:pPr>
      <w:bookmarkStart w:id="3" w:name="_Toc333227683"/>
      <w:bookmarkStart w:id="4" w:name="_Toc371409434"/>
      <w:r w:rsidRPr="00FB3DFF">
        <w:rPr>
          <w:rFonts w:ascii="Century Gothic" w:hAnsi="Century Gothic"/>
        </w:rPr>
        <w:t>1.1</w:t>
      </w:r>
      <w:r w:rsidRPr="00FB3DFF">
        <w:rPr>
          <w:rFonts w:ascii="Century Gothic" w:hAnsi="Century Gothic"/>
        </w:rPr>
        <w:tab/>
      </w:r>
      <w:r w:rsidR="005C6525" w:rsidRPr="00FB3DFF">
        <w:rPr>
          <w:rFonts w:ascii="Century Gothic" w:hAnsi="Century Gothic"/>
        </w:rPr>
        <w:t>About the business plan</w:t>
      </w:r>
      <w:bookmarkEnd w:id="3"/>
      <w:bookmarkEnd w:id="4"/>
    </w:p>
    <w:p w:rsidR="005C6525" w:rsidRPr="00FB3DFF" w:rsidRDefault="005C6525" w:rsidP="00FB3DFF">
      <w:pPr>
        <w:rPr>
          <w:rFonts w:ascii="Century Gothic" w:hAnsi="Century Gothic" w:cs="Arial"/>
          <w:sz w:val="22"/>
          <w:szCs w:val="22"/>
        </w:rPr>
      </w:pPr>
      <w:r w:rsidRPr="00FB3DFF">
        <w:rPr>
          <w:rFonts w:ascii="Century Gothic" w:hAnsi="Century Gothic" w:cs="Arial"/>
          <w:sz w:val="22"/>
          <w:szCs w:val="22"/>
        </w:rPr>
        <w:t xml:space="preserve">The business plan </w:t>
      </w:r>
      <w:r w:rsidR="0086055B" w:rsidRPr="00FB3DFF">
        <w:rPr>
          <w:rFonts w:ascii="Century Gothic" w:hAnsi="Century Gothic" w:cs="Arial"/>
          <w:sz w:val="22"/>
          <w:szCs w:val="22"/>
        </w:rPr>
        <w:t>outlines how</w:t>
      </w:r>
      <w:r w:rsidRPr="00FB3DFF">
        <w:rPr>
          <w:rFonts w:ascii="Century Gothic" w:hAnsi="Century Gothic" w:cs="Arial"/>
          <w:sz w:val="22"/>
          <w:szCs w:val="22"/>
        </w:rPr>
        <w:t xml:space="preserve"> the Commonwealth Environmental Water </w:t>
      </w:r>
      <w:r w:rsidR="00F27E10" w:rsidRPr="00FB3DFF">
        <w:rPr>
          <w:rFonts w:ascii="Century Gothic" w:hAnsi="Century Gothic" w:cs="Arial"/>
          <w:sz w:val="22"/>
          <w:szCs w:val="22"/>
        </w:rPr>
        <w:t>Office</w:t>
      </w:r>
      <w:r w:rsidR="00335B1F">
        <w:rPr>
          <w:rFonts w:ascii="Century Gothic" w:hAnsi="Century Gothic" w:cs="Arial"/>
          <w:sz w:val="22"/>
          <w:szCs w:val="22"/>
        </w:rPr>
        <w:t xml:space="preserve"> (the Office)</w:t>
      </w:r>
      <w:r w:rsidRPr="00FB3DFF">
        <w:rPr>
          <w:rFonts w:ascii="Century Gothic" w:hAnsi="Century Gothic" w:cs="Arial"/>
          <w:sz w:val="22"/>
          <w:szCs w:val="22"/>
        </w:rPr>
        <w:t xml:space="preserve"> </w:t>
      </w:r>
      <w:r w:rsidR="0086055B" w:rsidRPr="00FB3DFF">
        <w:rPr>
          <w:rFonts w:ascii="Century Gothic" w:hAnsi="Century Gothic" w:cs="Arial"/>
          <w:sz w:val="22"/>
          <w:szCs w:val="22"/>
        </w:rPr>
        <w:t xml:space="preserve">will </w:t>
      </w:r>
      <w:r w:rsidR="00186E45" w:rsidRPr="00FB3DFF">
        <w:rPr>
          <w:rFonts w:ascii="Century Gothic" w:hAnsi="Century Gothic" w:cs="Arial"/>
          <w:sz w:val="22"/>
          <w:szCs w:val="22"/>
        </w:rPr>
        <w:t xml:space="preserve">manage </w:t>
      </w:r>
      <w:r w:rsidRPr="00FB3DFF">
        <w:rPr>
          <w:rFonts w:ascii="Century Gothic" w:hAnsi="Century Gothic" w:cs="Arial"/>
          <w:sz w:val="22"/>
          <w:szCs w:val="22"/>
        </w:rPr>
        <w:t>the Commonwealth’s environmental water</w:t>
      </w:r>
      <w:r w:rsidR="0086055B" w:rsidRPr="00FB3DFF">
        <w:rPr>
          <w:rFonts w:ascii="Century Gothic" w:hAnsi="Century Gothic" w:cs="Arial"/>
          <w:sz w:val="22"/>
          <w:szCs w:val="22"/>
        </w:rPr>
        <w:t xml:space="preserve"> </w:t>
      </w:r>
      <w:r w:rsidR="00186E45" w:rsidRPr="00FB3DFF">
        <w:rPr>
          <w:rFonts w:ascii="Century Gothic" w:hAnsi="Century Gothic" w:cs="Arial"/>
          <w:sz w:val="22"/>
          <w:szCs w:val="22"/>
        </w:rPr>
        <w:t xml:space="preserve">holdings </w:t>
      </w:r>
      <w:r w:rsidR="0086055B" w:rsidRPr="00FB3DFF">
        <w:rPr>
          <w:rFonts w:ascii="Century Gothic" w:hAnsi="Century Gothic" w:cs="Arial"/>
          <w:sz w:val="22"/>
          <w:szCs w:val="22"/>
        </w:rPr>
        <w:t>in 201</w:t>
      </w:r>
      <w:r w:rsidR="00DC67BD" w:rsidRPr="00FB3DFF">
        <w:rPr>
          <w:rFonts w:ascii="Century Gothic" w:hAnsi="Century Gothic" w:cs="Arial"/>
          <w:sz w:val="22"/>
          <w:szCs w:val="22"/>
        </w:rPr>
        <w:t>3</w:t>
      </w:r>
      <w:r w:rsidR="0086055B" w:rsidRPr="00FB3DFF">
        <w:rPr>
          <w:rFonts w:ascii="Century Gothic" w:hAnsi="Century Gothic" w:cs="Arial"/>
          <w:sz w:val="22"/>
          <w:szCs w:val="22"/>
        </w:rPr>
        <w:t>-1</w:t>
      </w:r>
      <w:r w:rsidR="00DC67BD" w:rsidRPr="00FB3DFF">
        <w:rPr>
          <w:rFonts w:ascii="Century Gothic" w:hAnsi="Century Gothic" w:cs="Arial"/>
          <w:sz w:val="22"/>
          <w:szCs w:val="22"/>
        </w:rPr>
        <w:t>4</w:t>
      </w:r>
      <w:r w:rsidR="00186E45" w:rsidRPr="00FB3DFF">
        <w:rPr>
          <w:rFonts w:ascii="Century Gothic" w:hAnsi="Century Gothic" w:cs="Arial"/>
          <w:sz w:val="22"/>
          <w:szCs w:val="22"/>
        </w:rPr>
        <w:t xml:space="preserve">, </w:t>
      </w:r>
      <w:r w:rsidRPr="00FB3DFF">
        <w:rPr>
          <w:rFonts w:ascii="Century Gothic" w:hAnsi="Century Gothic" w:cs="Arial"/>
          <w:sz w:val="22"/>
          <w:szCs w:val="22"/>
        </w:rPr>
        <w:t xml:space="preserve">to </w:t>
      </w:r>
      <w:r w:rsidR="00186E45" w:rsidRPr="00FB3DFF">
        <w:rPr>
          <w:rFonts w:ascii="Century Gothic" w:hAnsi="Century Gothic" w:cs="Arial"/>
          <w:sz w:val="22"/>
          <w:szCs w:val="22"/>
        </w:rPr>
        <w:t>ensure that maximum</w:t>
      </w:r>
      <w:r w:rsidRPr="00FB3DFF">
        <w:rPr>
          <w:rFonts w:ascii="Century Gothic" w:hAnsi="Century Gothic" w:cs="Arial"/>
          <w:sz w:val="22"/>
          <w:szCs w:val="22"/>
        </w:rPr>
        <w:t xml:space="preserve"> environmental </w:t>
      </w:r>
      <w:r w:rsidR="00186E45" w:rsidRPr="00FB3DFF">
        <w:rPr>
          <w:rFonts w:ascii="Century Gothic" w:hAnsi="Century Gothic" w:cs="Arial"/>
          <w:sz w:val="22"/>
          <w:szCs w:val="22"/>
        </w:rPr>
        <w:t>outcomes are achieved</w:t>
      </w:r>
      <w:r w:rsidR="00EB6ABE">
        <w:rPr>
          <w:rFonts w:ascii="Century Gothic" w:hAnsi="Century Gothic" w:cs="Arial"/>
          <w:sz w:val="22"/>
          <w:szCs w:val="22"/>
        </w:rPr>
        <w:t xml:space="preserve"> in the Murray</w:t>
      </w:r>
      <w:r w:rsidR="00820546">
        <w:rPr>
          <w:rFonts w:ascii="Century Gothic" w:hAnsi="Century Gothic" w:cs="Arial"/>
          <w:sz w:val="22"/>
          <w:szCs w:val="22"/>
        </w:rPr>
        <w:t>-</w:t>
      </w:r>
      <w:r w:rsidR="00EB6ABE">
        <w:rPr>
          <w:rFonts w:ascii="Century Gothic" w:hAnsi="Century Gothic" w:cs="Arial"/>
          <w:sz w:val="22"/>
          <w:szCs w:val="22"/>
        </w:rPr>
        <w:t>Darling Ba</w:t>
      </w:r>
      <w:r w:rsidR="009E195F">
        <w:rPr>
          <w:rFonts w:ascii="Century Gothic" w:hAnsi="Century Gothic" w:cs="Arial"/>
          <w:sz w:val="22"/>
          <w:szCs w:val="22"/>
        </w:rPr>
        <w:t>s</w:t>
      </w:r>
      <w:r w:rsidR="00EB6ABE">
        <w:rPr>
          <w:rFonts w:ascii="Century Gothic" w:hAnsi="Century Gothic" w:cs="Arial"/>
          <w:sz w:val="22"/>
          <w:szCs w:val="22"/>
        </w:rPr>
        <w:t>in (the Basin)</w:t>
      </w:r>
      <w:r w:rsidRPr="00FB3DFF">
        <w:rPr>
          <w:rFonts w:ascii="Century Gothic" w:hAnsi="Century Gothic" w:cs="Arial"/>
          <w:sz w:val="22"/>
          <w:szCs w:val="22"/>
        </w:rPr>
        <w:t xml:space="preserve">. This plan builds on business plans prepared in previous years. </w:t>
      </w:r>
    </w:p>
    <w:p w:rsidR="005C6525" w:rsidRPr="00FB3DFF" w:rsidRDefault="005C6525" w:rsidP="00FB3DFF">
      <w:pPr>
        <w:pStyle w:val="Normalbeforebullet"/>
        <w:spacing w:after="240"/>
        <w:rPr>
          <w:rFonts w:ascii="Century Gothic" w:hAnsi="Century Gothic" w:cs="Arial"/>
          <w:sz w:val="22"/>
          <w:szCs w:val="22"/>
        </w:rPr>
      </w:pPr>
      <w:r w:rsidRPr="00FB3DFF">
        <w:rPr>
          <w:rFonts w:ascii="Century Gothic" w:hAnsi="Century Gothic" w:cs="Arial"/>
          <w:sz w:val="22"/>
          <w:szCs w:val="22"/>
        </w:rPr>
        <w:t>Th</w:t>
      </w:r>
      <w:r w:rsidR="0086055B" w:rsidRPr="00FB3DFF">
        <w:rPr>
          <w:rFonts w:ascii="Century Gothic" w:hAnsi="Century Gothic" w:cs="Arial"/>
          <w:sz w:val="22"/>
          <w:szCs w:val="22"/>
        </w:rPr>
        <w:t>e</w:t>
      </w:r>
      <w:r w:rsidRPr="00FB3DFF">
        <w:rPr>
          <w:rFonts w:ascii="Century Gothic" w:hAnsi="Century Gothic" w:cs="Arial"/>
          <w:sz w:val="22"/>
          <w:szCs w:val="22"/>
        </w:rPr>
        <w:t xml:space="preserve"> plan provides an overview of action</w:t>
      </w:r>
      <w:r w:rsidR="008A1D8E" w:rsidRPr="00FB3DFF">
        <w:rPr>
          <w:rFonts w:ascii="Century Gothic" w:hAnsi="Century Gothic" w:cs="Arial"/>
          <w:sz w:val="22"/>
          <w:szCs w:val="22"/>
        </w:rPr>
        <w:t>s</w:t>
      </w:r>
      <w:r w:rsidRPr="00FB3DFF">
        <w:rPr>
          <w:rFonts w:ascii="Century Gothic" w:hAnsi="Century Gothic" w:cs="Arial"/>
          <w:sz w:val="22"/>
          <w:szCs w:val="22"/>
        </w:rPr>
        <w:t xml:space="preserve"> planned for 201</w:t>
      </w:r>
      <w:r w:rsidR="00DC67BD" w:rsidRPr="00FB3DFF">
        <w:rPr>
          <w:rFonts w:ascii="Century Gothic" w:hAnsi="Century Gothic" w:cs="Arial"/>
          <w:sz w:val="22"/>
          <w:szCs w:val="22"/>
        </w:rPr>
        <w:t>3</w:t>
      </w:r>
      <w:r w:rsidRPr="00FB3DFF">
        <w:rPr>
          <w:rFonts w:ascii="Century Gothic" w:hAnsi="Century Gothic" w:cs="Arial"/>
          <w:sz w:val="22"/>
          <w:szCs w:val="22"/>
        </w:rPr>
        <w:t>-1</w:t>
      </w:r>
      <w:r w:rsidR="00DC67BD" w:rsidRPr="00FB3DFF">
        <w:rPr>
          <w:rFonts w:ascii="Century Gothic" w:hAnsi="Century Gothic" w:cs="Arial"/>
          <w:sz w:val="22"/>
          <w:szCs w:val="22"/>
        </w:rPr>
        <w:t>4</w:t>
      </w:r>
      <w:r w:rsidRPr="00FB3DFF">
        <w:rPr>
          <w:rFonts w:ascii="Century Gothic" w:hAnsi="Century Gothic" w:cs="Arial"/>
          <w:sz w:val="22"/>
          <w:szCs w:val="22"/>
        </w:rPr>
        <w:t>, including priority activities. It addresses:</w:t>
      </w:r>
    </w:p>
    <w:p w:rsidR="00EE0660" w:rsidRPr="00FB3DFF" w:rsidRDefault="00F26FFC" w:rsidP="00FB3DFF">
      <w:pPr>
        <w:pStyle w:val="Bullet6"/>
        <w:numPr>
          <w:ilvl w:val="0"/>
          <w:numId w:val="13"/>
        </w:numPr>
        <w:tabs>
          <w:tab w:val="clear" w:pos="1080"/>
          <w:tab w:val="left" w:pos="1134"/>
        </w:tabs>
        <w:spacing w:after="240"/>
        <w:ind w:left="1134"/>
        <w:rPr>
          <w:rFonts w:ascii="Century Gothic" w:hAnsi="Century Gothic" w:cs="Arial"/>
          <w:sz w:val="22"/>
          <w:szCs w:val="22"/>
        </w:rPr>
      </w:pPr>
      <w:r>
        <w:rPr>
          <w:rFonts w:ascii="Century Gothic" w:hAnsi="Century Gothic" w:cs="Arial"/>
          <w:sz w:val="22"/>
          <w:szCs w:val="22"/>
        </w:rPr>
        <w:t>a</w:t>
      </w:r>
      <w:r w:rsidR="00F27E10" w:rsidRPr="00FB3DFF">
        <w:rPr>
          <w:rFonts w:ascii="Century Gothic" w:hAnsi="Century Gothic" w:cs="Arial"/>
          <w:sz w:val="22"/>
          <w:szCs w:val="22"/>
        </w:rPr>
        <w:t xml:space="preserve">chieving </w:t>
      </w:r>
      <w:r w:rsidR="00F434CF" w:rsidRPr="00FB3DFF">
        <w:rPr>
          <w:rFonts w:ascii="Century Gothic" w:hAnsi="Century Gothic" w:cs="Arial"/>
          <w:sz w:val="22"/>
          <w:szCs w:val="22"/>
        </w:rPr>
        <w:t>environmental outcomes</w:t>
      </w:r>
      <w:r w:rsidR="005C6525" w:rsidRPr="00FB3DFF">
        <w:rPr>
          <w:rFonts w:ascii="Century Gothic" w:hAnsi="Century Gothic" w:cs="Arial"/>
          <w:sz w:val="22"/>
          <w:szCs w:val="22"/>
        </w:rPr>
        <w:t>;</w:t>
      </w:r>
    </w:p>
    <w:p w:rsidR="00F8145C" w:rsidRPr="00FB3DFF" w:rsidRDefault="00335B1F" w:rsidP="00FB3DFF">
      <w:pPr>
        <w:pStyle w:val="ListBullet2"/>
        <w:numPr>
          <w:ilvl w:val="1"/>
          <w:numId w:val="12"/>
        </w:numPr>
        <w:ind w:left="1418" w:hanging="284"/>
        <w:rPr>
          <w:rFonts w:ascii="Century Gothic" w:hAnsi="Century Gothic" w:cs="Arial"/>
        </w:rPr>
      </w:pPr>
      <w:r>
        <w:rPr>
          <w:rFonts w:ascii="Century Gothic" w:hAnsi="Century Gothic" w:cs="Arial"/>
        </w:rPr>
        <w:t>e</w:t>
      </w:r>
      <w:r w:rsidR="00F8145C" w:rsidRPr="00FB3DFF">
        <w:rPr>
          <w:rFonts w:ascii="Century Gothic" w:hAnsi="Century Gothic" w:cs="Arial"/>
        </w:rPr>
        <w:t>nvironmental water use planning</w:t>
      </w:r>
    </w:p>
    <w:p w:rsidR="008A1D8E" w:rsidRPr="00FB3DFF" w:rsidRDefault="00EE0660" w:rsidP="00FB3DFF">
      <w:pPr>
        <w:pStyle w:val="ListBullet2"/>
        <w:numPr>
          <w:ilvl w:val="1"/>
          <w:numId w:val="12"/>
        </w:numPr>
        <w:ind w:left="1418" w:hanging="284"/>
        <w:rPr>
          <w:rFonts w:ascii="Century Gothic" w:hAnsi="Century Gothic" w:cs="Arial"/>
        </w:rPr>
      </w:pPr>
      <w:r w:rsidRPr="00FB3DFF">
        <w:rPr>
          <w:rFonts w:ascii="Century Gothic" w:hAnsi="Century Gothic" w:cs="Arial"/>
        </w:rPr>
        <w:t>decisions on the use of C</w:t>
      </w:r>
      <w:r w:rsidR="00F8145C" w:rsidRPr="00FB3DFF">
        <w:rPr>
          <w:rFonts w:ascii="Century Gothic" w:hAnsi="Century Gothic" w:cs="Arial"/>
        </w:rPr>
        <w:t>ommonwealth environmental water</w:t>
      </w:r>
    </w:p>
    <w:p w:rsidR="00EE0660" w:rsidRPr="00FB3DFF" w:rsidRDefault="00EE0660" w:rsidP="00FB3DFF">
      <w:pPr>
        <w:pStyle w:val="ListBullet2"/>
        <w:numPr>
          <w:ilvl w:val="1"/>
          <w:numId w:val="12"/>
        </w:numPr>
        <w:ind w:left="1418" w:hanging="284"/>
        <w:rPr>
          <w:rFonts w:ascii="Century Gothic" w:hAnsi="Century Gothic" w:cs="Arial"/>
        </w:rPr>
      </w:pPr>
      <w:r w:rsidRPr="00FB3DFF">
        <w:rPr>
          <w:rFonts w:ascii="Century Gothic" w:hAnsi="Century Gothic" w:cs="Arial"/>
        </w:rPr>
        <w:t>trade of Commonweal</w:t>
      </w:r>
      <w:r w:rsidR="00F8145C" w:rsidRPr="00FB3DFF">
        <w:rPr>
          <w:rFonts w:ascii="Century Gothic" w:hAnsi="Century Gothic" w:cs="Arial"/>
        </w:rPr>
        <w:t>th environmental water holdings</w:t>
      </w:r>
    </w:p>
    <w:p w:rsidR="00EE0660" w:rsidRPr="00FB3DFF" w:rsidRDefault="00F8145C" w:rsidP="00FB3DFF">
      <w:pPr>
        <w:pStyle w:val="ListBullet2"/>
        <w:numPr>
          <w:ilvl w:val="1"/>
          <w:numId w:val="12"/>
        </w:numPr>
        <w:ind w:left="1418" w:hanging="284"/>
        <w:rPr>
          <w:rFonts w:ascii="Century Gothic" w:hAnsi="Century Gothic" w:cs="Arial"/>
        </w:rPr>
      </w:pPr>
      <w:r w:rsidRPr="00FB3DFF">
        <w:rPr>
          <w:rFonts w:ascii="Century Gothic" w:hAnsi="Century Gothic" w:cs="Arial"/>
        </w:rPr>
        <w:t>carryover</w:t>
      </w:r>
    </w:p>
    <w:p w:rsidR="00F434CF" w:rsidRPr="00FB3DFF" w:rsidRDefault="00F434CF" w:rsidP="00FB3DFF">
      <w:pPr>
        <w:pStyle w:val="Bullet6"/>
        <w:numPr>
          <w:ilvl w:val="0"/>
          <w:numId w:val="13"/>
        </w:numPr>
        <w:tabs>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institutional arrangem</w:t>
      </w:r>
      <w:r w:rsidR="00F8145C" w:rsidRPr="00FB3DFF">
        <w:rPr>
          <w:rFonts w:ascii="Century Gothic" w:hAnsi="Century Gothic" w:cs="Arial"/>
          <w:sz w:val="22"/>
          <w:szCs w:val="22"/>
        </w:rPr>
        <w:t>ents and external relationships</w:t>
      </w:r>
      <w:r w:rsidRPr="00FB3DFF">
        <w:rPr>
          <w:rFonts w:ascii="Century Gothic" w:hAnsi="Century Gothic" w:cs="Arial"/>
          <w:sz w:val="22"/>
          <w:szCs w:val="22"/>
        </w:rPr>
        <w:t xml:space="preserve"> </w:t>
      </w:r>
    </w:p>
    <w:p w:rsidR="00CF165C" w:rsidRPr="00FB3DFF" w:rsidRDefault="00EE0660" w:rsidP="00FB3DFF">
      <w:pPr>
        <w:pStyle w:val="Bullet6"/>
        <w:numPr>
          <w:ilvl w:val="0"/>
          <w:numId w:val="13"/>
        </w:numPr>
        <w:tabs>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financial ma</w:t>
      </w:r>
      <w:r w:rsidR="00F8145C" w:rsidRPr="00FB3DFF">
        <w:rPr>
          <w:rFonts w:ascii="Century Gothic" w:hAnsi="Century Gothic" w:cs="Arial"/>
          <w:sz w:val="22"/>
          <w:szCs w:val="22"/>
        </w:rPr>
        <w:t xml:space="preserve">nagement and </w:t>
      </w:r>
      <w:r w:rsidR="00595F3A" w:rsidRPr="00FB3DFF">
        <w:rPr>
          <w:rFonts w:ascii="Century Gothic" w:hAnsi="Century Gothic" w:cs="Arial"/>
          <w:sz w:val="22"/>
          <w:szCs w:val="22"/>
        </w:rPr>
        <w:t>accountability</w:t>
      </w:r>
    </w:p>
    <w:p w:rsidR="005C6525" w:rsidRPr="00FB3DFF" w:rsidRDefault="00CF165C" w:rsidP="00FB3DFF">
      <w:pPr>
        <w:pStyle w:val="Bullet6"/>
        <w:numPr>
          <w:ilvl w:val="0"/>
          <w:numId w:val="13"/>
        </w:numPr>
        <w:tabs>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structure</w:t>
      </w:r>
      <w:r w:rsidR="001A1766" w:rsidRPr="00FB3DFF">
        <w:rPr>
          <w:rFonts w:ascii="Century Gothic" w:hAnsi="Century Gothic" w:cs="Arial"/>
          <w:sz w:val="22"/>
          <w:szCs w:val="22"/>
        </w:rPr>
        <w:t xml:space="preserve"> of </w:t>
      </w:r>
      <w:r w:rsidR="00B75495" w:rsidRPr="00FB3DFF">
        <w:rPr>
          <w:rFonts w:ascii="Century Gothic" w:hAnsi="Century Gothic" w:cs="Arial"/>
          <w:sz w:val="22"/>
          <w:szCs w:val="22"/>
        </w:rPr>
        <w:t xml:space="preserve">the Office </w:t>
      </w:r>
      <w:r w:rsidR="00BE1B5E" w:rsidRPr="00FB3DFF">
        <w:rPr>
          <w:rFonts w:ascii="Century Gothic" w:hAnsi="Century Gothic" w:cs="Arial"/>
          <w:sz w:val="22"/>
          <w:szCs w:val="22"/>
        </w:rPr>
        <w:t xml:space="preserve">(see </w:t>
      </w:r>
      <w:r w:rsidR="00BE1B5E" w:rsidRPr="00FB3DFF">
        <w:rPr>
          <w:rFonts w:ascii="Century Gothic" w:hAnsi="Century Gothic" w:cs="Arial"/>
          <w:sz w:val="22"/>
          <w:szCs w:val="22"/>
          <w:u w:val="single"/>
        </w:rPr>
        <w:t>Appendix A</w:t>
      </w:r>
      <w:r w:rsidRPr="00FB3DFF">
        <w:rPr>
          <w:rFonts w:ascii="Century Gothic" w:hAnsi="Century Gothic" w:cs="Arial"/>
          <w:sz w:val="22"/>
          <w:szCs w:val="22"/>
        </w:rPr>
        <w:t>)</w:t>
      </w:r>
      <w:r w:rsidR="005C6525" w:rsidRPr="00FB3DFF">
        <w:rPr>
          <w:rFonts w:ascii="Century Gothic" w:hAnsi="Century Gothic" w:cs="Arial"/>
          <w:sz w:val="22"/>
          <w:szCs w:val="22"/>
        </w:rPr>
        <w:t>.</w:t>
      </w:r>
    </w:p>
    <w:p w:rsidR="005C6525" w:rsidRPr="00FB3DFF" w:rsidRDefault="005C6525" w:rsidP="00FB3DFF">
      <w:pPr>
        <w:pStyle w:val="Heading2"/>
        <w:numPr>
          <w:ilvl w:val="1"/>
          <w:numId w:val="14"/>
        </w:numPr>
        <w:ind w:left="1276" w:hanging="567"/>
        <w:rPr>
          <w:rFonts w:ascii="Century Gothic" w:hAnsi="Century Gothic"/>
        </w:rPr>
      </w:pPr>
      <w:bookmarkStart w:id="5" w:name="_Toc333227684"/>
      <w:bookmarkStart w:id="6" w:name="_Toc371409435"/>
      <w:r w:rsidRPr="00FB3DFF">
        <w:rPr>
          <w:rFonts w:ascii="Century Gothic" w:hAnsi="Century Gothic"/>
        </w:rPr>
        <w:t>Approach in 201</w:t>
      </w:r>
      <w:r w:rsidR="00DC67BD" w:rsidRPr="00FB3DFF">
        <w:rPr>
          <w:rFonts w:ascii="Century Gothic" w:hAnsi="Century Gothic"/>
        </w:rPr>
        <w:t>3</w:t>
      </w:r>
      <w:r w:rsidRPr="00FB3DFF">
        <w:rPr>
          <w:rFonts w:ascii="Century Gothic" w:hAnsi="Century Gothic"/>
        </w:rPr>
        <w:t>-1</w:t>
      </w:r>
      <w:r w:rsidR="00DC67BD" w:rsidRPr="00FB3DFF">
        <w:rPr>
          <w:rFonts w:ascii="Century Gothic" w:hAnsi="Century Gothic"/>
        </w:rPr>
        <w:t>4</w:t>
      </w:r>
      <w:bookmarkEnd w:id="5"/>
      <w:bookmarkEnd w:id="6"/>
    </w:p>
    <w:p w:rsidR="005C6525" w:rsidRPr="00FB3DFF" w:rsidRDefault="008B5986" w:rsidP="00FB3DFF">
      <w:pPr>
        <w:autoSpaceDE w:val="0"/>
        <w:autoSpaceDN w:val="0"/>
        <w:adjustRightInd w:val="0"/>
        <w:spacing w:after="360"/>
        <w:rPr>
          <w:rFonts w:ascii="Century Gothic" w:hAnsi="Century Gothic" w:cs="Arial"/>
          <w:color w:val="231F20"/>
          <w:sz w:val="22"/>
          <w:szCs w:val="22"/>
        </w:rPr>
      </w:pPr>
      <w:r w:rsidRPr="008B5986">
        <w:rPr>
          <w:rFonts w:ascii="Century Gothic" w:hAnsi="Century Gothic" w:cs="Arial"/>
          <w:b/>
          <w:noProof/>
          <w:sz w:val="22"/>
          <w:szCs w:val="22"/>
        </w:rPr>
        <w:pict>
          <v:roundrect id="_x0000_s1776" style="position:absolute;left:0;text-align:left;margin-left:34.5pt;margin-top:37.85pt;width:417.3pt;height:40.35pt;z-index:-251659776" arcsize="10923f" fillcolor="#b9aee0" strokecolor="#8064a2" strokeweight="1pt">
            <v:fill rotate="t" focusposition=",1" focussize="" type="gradient"/>
            <v:shadow color="#868686"/>
          </v:roundrect>
        </w:pict>
      </w:r>
      <w:r w:rsidR="005C6525" w:rsidRPr="00FB3DFF">
        <w:rPr>
          <w:rFonts w:ascii="Century Gothic" w:hAnsi="Century Gothic" w:cs="Arial"/>
          <w:color w:val="231F20"/>
          <w:sz w:val="22"/>
          <w:szCs w:val="22"/>
        </w:rPr>
        <w:t>In 201</w:t>
      </w:r>
      <w:r w:rsidR="00DC67BD" w:rsidRPr="00FB3DFF">
        <w:rPr>
          <w:rFonts w:ascii="Century Gothic" w:hAnsi="Century Gothic" w:cs="Arial"/>
          <w:color w:val="231F20"/>
          <w:sz w:val="22"/>
          <w:szCs w:val="22"/>
        </w:rPr>
        <w:t>3</w:t>
      </w:r>
      <w:r w:rsidR="005C6525" w:rsidRPr="00FB3DFF">
        <w:rPr>
          <w:rFonts w:ascii="Century Gothic" w:hAnsi="Century Gothic" w:cs="Arial"/>
          <w:color w:val="231F20"/>
          <w:sz w:val="22"/>
          <w:szCs w:val="22"/>
        </w:rPr>
        <w:t>-1</w:t>
      </w:r>
      <w:r w:rsidR="00DC67BD" w:rsidRPr="00FB3DFF">
        <w:rPr>
          <w:rFonts w:ascii="Century Gothic" w:hAnsi="Century Gothic" w:cs="Arial"/>
          <w:color w:val="231F20"/>
          <w:sz w:val="22"/>
          <w:szCs w:val="22"/>
        </w:rPr>
        <w:t>4</w:t>
      </w:r>
      <w:r w:rsidR="005C6525" w:rsidRPr="00FB3DFF">
        <w:rPr>
          <w:rFonts w:ascii="Century Gothic" w:hAnsi="Century Gothic" w:cs="Arial"/>
          <w:color w:val="231F20"/>
          <w:sz w:val="22"/>
          <w:szCs w:val="22"/>
        </w:rPr>
        <w:t xml:space="preserve">, </w:t>
      </w:r>
      <w:r w:rsidR="00B75495" w:rsidRPr="00FB3DFF">
        <w:rPr>
          <w:rFonts w:ascii="Century Gothic" w:hAnsi="Century Gothic" w:cs="Arial"/>
          <w:color w:val="231F20"/>
          <w:sz w:val="22"/>
          <w:szCs w:val="22"/>
        </w:rPr>
        <w:t xml:space="preserve">the Office </w:t>
      </w:r>
      <w:r w:rsidR="005C6525" w:rsidRPr="00FB3DFF">
        <w:rPr>
          <w:rFonts w:ascii="Century Gothic" w:hAnsi="Century Gothic" w:cs="Arial"/>
          <w:color w:val="231F20"/>
          <w:sz w:val="22"/>
          <w:szCs w:val="22"/>
        </w:rPr>
        <w:t>will be responsible for the delivery of Outcome 6 under the Department’s Portfolio Budget Statement:</w:t>
      </w:r>
    </w:p>
    <w:p w:rsidR="00280E72" w:rsidRPr="00FB3DFF" w:rsidRDefault="005C6525" w:rsidP="00FB3DFF">
      <w:pPr>
        <w:pStyle w:val="BoxText"/>
        <w:pBdr>
          <w:top w:val="none" w:sz="0" w:space="0" w:color="auto"/>
          <w:left w:val="none" w:sz="0" w:space="0" w:color="auto"/>
          <w:bottom w:val="none" w:sz="0" w:space="0" w:color="auto"/>
          <w:right w:val="none" w:sz="0" w:space="0" w:color="auto"/>
        </w:pBdr>
        <w:spacing w:before="240"/>
        <w:ind w:left="805" w:right="57"/>
        <w:rPr>
          <w:rFonts w:ascii="Century Gothic" w:hAnsi="Century Gothic" w:cs="Arial"/>
          <w:szCs w:val="22"/>
        </w:rPr>
      </w:pPr>
      <w:r w:rsidRPr="00FB3DFF">
        <w:rPr>
          <w:rFonts w:ascii="Century Gothic" w:hAnsi="Century Gothic" w:cs="Arial"/>
          <w:b/>
          <w:szCs w:val="22"/>
        </w:rPr>
        <w:t xml:space="preserve">Outcome 6: </w:t>
      </w:r>
      <w:r w:rsidRPr="00FB3DFF">
        <w:rPr>
          <w:rFonts w:ascii="Century Gothic" w:hAnsi="Century Gothic" w:cs="Arial"/>
          <w:szCs w:val="22"/>
        </w:rPr>
        <w:t>Protection and restoration of environmental assets through the management and use of Commonwealth environmental water</w:t>
      </w:r>
      <w:r w:rsidR="0086055B" w:rsidRPr="00FB3DFF">
        <w:rPr>
          <w:rFonts w:ascii="Century Gothic" w:hAnsi="Century Gothic" w:cs="Arial"/>
          <w:szCs w:val="22"/>
        </w:rPr>
        <w:t>.</w:t>
      </w:r>
    </w:p>
    <w:p w:rsidR="00B65142" w:rsidRPr="00FB3DFF" w:rsidRDefault="00B65142" w:rsidP="00FB3DFF">
      <w:pPr>
        <w:pStyle w:val="BoxText"/>
        <w:pBdr>
          <w:top w:val="none" w:sz="0" w:space="0" w:color="auto"/>
          <w:left w:val="none" w:sz="0" w:space="0" w:color="auto"/>
          <w:bottom w:val="none" w:sz="0" w:space="0" w:color="auto"/>
          <w:right w:val="none" w:sz="0" w:space="0" w:color="auto"/>
        </w:pBdr>
        <w:rPr>
          <w:rFonts w:ascii="Century Gothic" w:hAnsi="Century Gothic" w:cs="Arial"/>
          <w:b/>
          <w:sz w:val="23"/>
          <w:szCs w:val="23"/>
        </w:rPr>
      </w:pPr>
    </w:p>
    <w:p w:rsidR="007D0109" w:rsidRPr="00FB3DFF" w:rsidRDefault="00CC6789" w:rsidP="00FB3DFF">
      <w:pPr>
        <w:pStyle w:val="BoxText"/>
        <w:pBdr>
          <w:top w:val="none" w:sz="0" w:space="0" w:color="auto"/>
          <w:left w:val="none" w:sz="0" w:space="0" w:color="auto"/>
          <w:bottom w:val="none" w:sz="0" w:space="0" w:color="auto"/>
          <w:right w:val="none" w:sz="0" w:space="0" w:color="auto"/>
        </w:pBdr>
        <w:rPr>
          <w:rFonts w:ascii="Century Gothic" w:hAnsi="Century Gothic" w:cs="Arial"/>
          <w:szCs w:val="22"/>
        </w:rPr>
      </w:pPr>
      <w:r w:rsidRPr="00FB3DFF">
        <w:rPr>
          <w:rFonts w:ascii="Century Gothic" w:hAnsi="Century Gothic" w:cs="Arial"/>
          <w:b/>
          <w:sz w:val="23"/>
          <w:szCs w:val="23"/>
        </w:rPr>
        <w:br w:type="page"/>
      </w:r>
      <w:r w:rsidR="002842D2" w:rsidRPr="00FB3DFF">
        <w:rPr>
          <w:rFonts w:ascii="Century Gothic" w:hAnsi="Century Gothic" w:cs="Arial"/>
          <w:color w:val="231F20"/>
          <w:szCs w:val="22"/>
        </w:rPr>
        <w:t>In delivering Outcome 6, the Office will be guided by the following objectives:</w:t>
      </w:r>
    </w:p>
    <w:p w:rsidR="007D0109" w:rsidRPr="00FB3DFF" w:rsidRDefault="00635699" w:rsidP="00FB3DFF">
      <w:pPr>
        <w:numPr>
          <w:ilvl w:val="0"/>
          <w:numId w:val="16"/>
        </w:numPr>
        <w:rPr>
          <w:rFonts w:ascii="Century Gothic" w:hAnsi="Century Gothic" w:cs="Arial"/>
          <w:color w:val="231F20"/>
          <w:sz w:val="22"/>
          <w:szCs w:val="22"/>
        </w:rPr>
      </w:pPr>
      <w:r w:rsidRPr="00FB3DFF">
        <w:rPr>
          <w:rFonts w:ascii="Century Gothic" w:hAnsi="Century Gothic" w:cs="Arial"/>
          <w:color w:val="231F20"/>
          <w:sz w:val="22"/>
          <w:szCs w:val="22"/>
        </w:rPr>
        <w:t>m</w:t>
      </w:r>
      <w:r w:rsidR="00D80471" w:rsidRPr="00FB3DFF">
        <w:rPr>
          <w:rFonts w:ascii="Century Gothic" w:hAnsi="Century Gothic" w:cs="Arial"/>
          <w:color w:val="231F20"/>
          <w:sz w:val="22"/>
          <w:szCs w:val="22"/>
        </w:rPr>
        <w:t>anage the Common</w:t>
      </w:r>
      <w:r w:rsidR="007D0109" w:rsidRPr="00FB3DFF">
        <w:rPr>
          <w:rFonts w:ascii="Century Gothic" w:hAnsi="Century Gothic" w:cs="Arial"/>
          <w:color w:val="231F20"/>
          <w:sz w:val="22"/>
          <w:szCs w:val="22"/>
        </w:rPr>
        <w:t xml:space="preserve">wealth environmental water holdings in accordance with the </w:t>
      </w:r>
      <w:r w:rsidR="00EB6ABE">
        <w:rPr>
          <w:rFonts w:ascii="Century Gothic" w:hAnsi="Century Gothic" w:cs="Arial"/>
          <w:color w:val="231F20"/>
          <w:sz w:val="22"/>
          <w:szCs w:val="22"/>
        </w:rPr>
        <w:t>Basin Plan’s e</w:t>
      </w:r>
      <w:r w:rsidR="007D0109" w:rsidRPr="00FB3DFF">
        <w:rPr>
          <w:rFonts w:ascii="Century Gothic" w:hAnsi="Century Gothic" w:cs="Arial"/>
          <w:color w:val="231F20"/>
          <w:sz w:val="22"/>
          <w:szCs w:val="22"/>
        </w:rPr>
        <w:t xml:space="preserve">nvironmental </w:t>
      </w:r>
      <w:r w:rsidR="00EB6ABE">
        <w:rPr>
          <w:rFonts w:ascii="Century Gothic" w:hAnsi="Century Gothic" w:cs="Arial"/>
          <w:color w:val="231F20"/>
          <w:sz w:val="22"/>
          <w:szCs w:val="22"/>
        </w:rPr>
        <w:t>w</w:t>
      </w:r>
      <w:r w:rsidR="007D0109" w:rsidRPr="00FB3DFF">
        <w:rPr>
          <w:rFonts w:ascii="Century Gothic" w:hAnsi="Century Gothic" w:cs="Arial"/>
          <w:color w:val="231F20"/>
          <w:sz w:val="22"/>
          <w:szCs w:val="22"/>
        </w:rPr>
        <w:t xml:space="preserve">atering </w:t>
      </w:r>
      <w:r w:rsidR="00EB6ABE">
        <w:rPr>
          <w:rFonts w:ascii="Century Gothic" w:hAnsi="Century Gothic" w:cs="Arial"/>
          <w:color w:val="231F20"/>
          <w:sz w:val="22"/>
          <w:szCs w:val="22"/>
        </w:rPr>
        <w:t>p</w:t>
      </w:r>
      <w:r w:rsidR="007D0109" w:rsidRPr="00FB3DFF">
        <w:rPr>
          <w:rFonts w:ascii="Century Gothic" w:hAnsi="Century Gothic" w:cs="Arial"/>
          <w:color w:val="231F20"/>
          <w:sz w:val="22"/>
          <w:szCs w:val="22"/>
        </w:rPr>
        <w:t xml:space="preserve">lan and obligations under the </w:t>
      </w:r>
      <w:r w:rsidR="00FB547C" w:rsidRPr="00FB3DFF">
        <w:rPr>
          <w:rFonts w:ascii="Century Gothic" w:hAnsi="Century Gothic" w:cs="Arial"/>
          <w:i/>
          <w:color w:val="231F20"/>
          <w:sz w:val="22"/>
          <w:szCs w:val="22"/>
        </w:rPr>
        <w:t>Water Act 2007</w:t>
      </w:r>
      <w:r w:rsidR="006127F2">
        <w:rPr>
          <w:rFonts w:ascii="Century Gothic" w:hAnsi="Century Gothic" w:cs="Arial"/>
          <w:i/>
          <w:color w:val="231F20"/>
          <w:sz w:val="22"/>
          <w:szCs w:val="22"/>
        </w:rPr>
        <w:t xml:space="preserve"> </w:t>
      </w:r>
      <w:r w:rsidR="006127F2" w:rsidRPr="006127F2">
        <w:rPr>
          <w:rFonts w:ascii="Century Gothic" w:hAnsi="Century Gothic" w:cs="Arial"/>
          <w:i/>
          <w:color w:val="231F20"/>
          <w:sz w:val="22"/>
          <w:szCs w:val="22"/>
        </w:rPr>
        <w:t>(Cth)</w:t>
      </w:r>
      <w:r w:rsidR="006127F2">
        <w:rPr>
          <w:rFonts w:ascii="Century Gothic" w:hAnsi="Century Gothic" w:cs="Arial"/>
          <w:i/>
          <w:color w:val="231F20"/>
          <w:sz w:val="22"/>
          <w:szCs w:val="22"/>
        </w:rPr>
        <w:t xml:space="preserve"> </w:t>
      </w:r>
      <w:r w:rsidR="006127F2" w:rsidRPr="006127F2">
        <w:rPr>
          <w:rFonts w:ascii="Century Gothic" w:hAnsi="Century Gothic" w:cs="Arial"/>
          <w:color w:val="231F20"/>
          <w:sz w:val="22"/>
          <w:szCs w:val="22"/>
        </w:rPr>
        <w:t>(the Act)</w:t>
      </w:r>
    </w:p>
    <w:p w:rsidR="007D0109" w:rsidRPr="00FB3DFF" w:rsidRDefault="00635699" w:rsidP="00FB3DFF">
      <w:pPr>
        <w:numPr>
          <w:ilvl w:val="0"/>
          <w:numId w:val="16"/>
        </w:numPr>
        <w:rPr>
          <w:rFonts w:ascii="Century Gothic" w:hAnsi="Century Gothic" w:cs="Arial"/>
          <w:color w:val="231F20"/>
          <w:sz w:val="22"/>
          <w:szCs w:val="22"/>
        </w:rPr>
      </w:pPr>
      <w:r w:rsidRPr="00FB3DFF">
        <w:rPr>
          <w:rFonts w:ascii="Century Gothic" w:hAnsi="Century Gothic" w:cs="Arial"/>
          <w:color w:val="231F20"/>
          <w:sz w:val="22"/>
          <w:szCs w:val="22"/>
        </w:rPr>
        <w:t>e</w:t>
      </w:r>
      <w:r w:rsidR="007D0109" w:rsidRPr="00FB3DFF">
        <w:rPr>
          <w:rFonts w:ascii="Century Gothic" w:hAnsi="Century Gothic" w:cs="Arial"/>
          <w:color w:val="231F20"/>
          <w:sz w:val="22"/>
          <w:szCs w:val="22"/>
        </w:rPr>
        <w:t>nsure maximum environmental outcomes are achieved with available water through efficient and e</w:t>
      </w:r>
      <w:r w:rsidR="00FB547C" w:rsidRPr="00FB3DFF">
        <w:rPr>
          <w:rFonts w:ascii="Century Gothic" w:hAnsi="Century Gothic" w:cs="Arial"/>
          <w:color w:val="231F20"/>
          <w:sz w:val="22"/>
          <w:szCs w:val="22"/>
        </w:rPr>
        <w:t>ffective management and use of</w:t>
      </w:r>
      <w:r w:rsidR="007D0109" w:rsidRPr="00FB3DFF">
        <w:rPr>
          <w:rFonts w:ascii="Century Gothic" w:hAnsi="Century Gothic" w:cs="Arial"/>
          <w:color w:val="231F20"/>
          <w:sz w:val="22"/>
          <w:szCs w:val="22"/>
        </w:rPr>
        <w:t xml:space="preserve"> Commonwealth environmental</w:t>
      </w:r>
      <w:r w:rsidR="000C1716" w:rsidRPr="00FB3DFF">
        <w:rPr>
          <w:rFonts w:ascii="Century Gothic" w:hAnsi="Century Gothic" w:cs="Arial"/>
          <w:color w:val="231F20"/>
          <w:sz w:val="22"/>
          <w:szCs w:val="22"/>
        </w:rPr>
        <w:t xml:space="preserve"> water</w:t>
      </w:r>
    </w:p>
    <w:p w:rsidR="007D0109" w:rsidRPr="00FB3DFF" w:rsidRDefault="00635699" w:rsidP="00FB3DFF">
      <w:pPr>
        <w:numPr>
          <w:ilvl w:val="0"/>
          <w:numId w:val="16"/>
        </w:numPr>
        <w:rPr>
          <w:rFonts w:ascii="Century Gothic" w:hAnsi="Century Gothic" w:cs="Arial"/>
          <w:color w:val="231F20"/>
          <w:sz w:val="22"/>
          <w:szCs w:val="22"/>
        </w:rPr>
      </w:pPr>
      <w:r w:rsidRPr="00FB3DFF">
        <w:rPr>
          <w:rFonts w:ascii="Century Gothic" w:hAnsi="Century Gothic" w:cs="Arial"/>
          <w:color w:val="231F20"/>
          <w:sz w:val="22"/>
          <w:szCs w:val="22"/>
        </w:rPr>
        <w:t>i</w:t>
      </w:r>
      <w:r w:rsidR="007D0109" w:rsidRPr="00FB3DFF">
        <w:rPr>
          <w:rFonts w:ascii="Century Gothic" w:hAnsi="Century Gothic" w:cs="Arial"/>
          <w:color w:val="231F20"/>
          <w:sz w:val="22"/>
          <w:szCs w:val="22"/>
        </w:rPr>
        <w:t>mprove transparency, accountability and stakeholder engagement in management of Commonwealth environmental water.</w:t>
      </w:r>
    </w:p>
    <w:p w:rsidR="00204761" w:rsidRPr="00FB3DFF" w:rsidRDefault="005C6525"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key priorities for </w:t>
      </w:r>
      <w:r w:rsidR="0082443B" w:rsidRPr="00FB3DFF">
        <w:rPr>
          <w:rFonts w:ascii="Century Gothic" w:hAnsi="Century Gothic"/>
          <w:sz w:val="22"/>
          <w:szCs w:val="22"/>
        </w:rPr>
        <w:t>the Office</w:t>
      </w:r>
      <w:r w:rsidRPr="00FB3DFF">
        <w:rPr>
          <w:rFonts w:ascii="Century Gothic" w:hAnsi="Century Gothic"/>
          <w:sz w:val="22"/>
          <w:szCs w:val="22"/>
        </w:rPr>
        <w:t xml:space="preserve"> in </w:t>
      </w:r>
      <w:r w:rsidR="00DC67BD" w:rsidRPr="00FB3DFF">
        <w:rPr>
          <w:rFonts w:ascii="Century Gothic" w:hAnsi="Century Gothic"/>
          <w:sz w:val="22"/>
          <w:szCs w:val="22"/>
        </w:rPr>
        <w:t>2013-14</w:t>
      </w:r>
      <w:r w:rsidRPr="00FB3DFF">
        <w:rPr>
          <w:rFonts w:ascii="Century Gothic" w:hAnsi="Century Gothic"/>
          <w:sz w:val="22"/>
          <w:szCs w:val="22"/>
        </w:rPr>
        <w:t xml:space="preserve"> are to:</w:t>
      </w:r>
    </w:p>
    <w:p w:rsidR="00EA68DA" w:rsidRPr="00FB3DFF" w:rsidRDefault="00EA68DA" w:rsidP="00FB3DFF">
      <w:pPr>
        <w:pStyle w:val="ListBullet"/>
        <w:rPr>
          <w:rFonts w:ascii="Century Gothic" w:hAnsi="Century Gothic" w:cs="Arial"/>
        </w:rPr>
      </w:pPr>
      <w:r w:rsidRPr="00FB3DFF">
        <w:rPr>
          <w:rFonts w:ascii="Century Gothic" w:hAnsi="Century Gothic"/>
        </w:rPr>
        <w:t xml:space="preserve">use available Commonwealth environmental water to meet identified environmental needs, while </w:t>
      </w:r>
      <w:r w:rsidR="0005195A" w:rsidRPr="00FB3DFF">
        <w:rPr>
          <w:rFonts w:ascii="Century Gothic" w:hAnsi="Century Gothic"/>
        </w:rPr>
        <w:t xml:space="preserve">having regard to views of local communities and </w:t>
      </w:r>
      <w:r w:rsidRPr="00FB3DFF">
        <w:rPr>
          <w:rFonts w:ascii="Century Gothic" w:hAnsi="Century Gothic"/>
        </w:rPr>
        <w:t>ensuring that decision making is carried out in a consistent, rigorous, transparent and accountable manner;</w:t>
      </w:r>
    </w:p>
    <w:p w:rsidR="00EF4879" w:rsidRPr="00FB3DFF" w:rsidRDefault="00011F16" w:rsidP="00FB3DFF">
      <w:pPr>
        <w:pStyle w:val="ListBullet"/>
        <w:rPr>
          <w:rFonts w:ascii="Century Gothic" w:hAnsi="Century Gothic"/>
        </w:rPr>
      </w:pPr>
      <w:r w:rsidRPr="00FB3DFF">
        <w:rPr>
          <w:rFonts w:ascii="Century Gothic" w:hAnsi="Century Gothic"/>
        </w:rPr>
        <w:t xml:space="preserve">continue to </w:t>
      </w:r>
      <w:r w:rsidR="0012008B" w:rsidRPr="00FB3DFF">
        <w:rPr>
          <w:rFonts w:ascii="Century Gothic" w:hAnsi="Century Gothic"/>
        </w:rPr>
        <w:t>a</w:t>
      </w:r>
      <w:r w:rsidR="00EF4879" w:rsidRPr="00FB3DFF">
        <w:rPr>
          <w:rFonts w:ascii="Century Gothic" w:hAnsi="Century Gothic"/>
        </w:rPr>
        <w:t>lign Commonwealth environmental watering arrangements with Basin Plan requirements,</w:t>
      </w:r>
      <w:r w:rsidR="0005195A" w:rsidRPr="00FB3DFF">
        <w:rPr>
          <w:rFonts w:ascii="Century Gothic" w:hAnsi="Century Gothic"/>
        </w:rPr>
        <w:t xml:space="preserve"> including</w:t>
      </w:r>
      <w:r w:rsidR="00EF4879" w:rsidRPr="00FB3DFF">
        <w:rPr>
          <w:rFonts w:ascii="Century Gothic" w:hAnsi="Century Gothic"/>
        </w:rPr>
        <w:t>:</w:t>
      </w:r>
    </w:p>
    <w:p w:rsidR="000C1716" w:rsidRPr="00FB3DFF" w:rsidRDefault="000C1716" w:rsidP="00FB3DFF">
      <w:pPr>
        <w:pStyle w:val="ListBullet2"/>
        <w:numPr>
          <w:ilvl w:val="1"/>
          <w:numId w:val="12"/>
        </w:numPr>
        <w:ind w:left="1418"/>
        <w:rPr>
          <w:rFonts w:ascii="Century Gothic" w:hAnsi="Century Gothic" w:cs="Arial"/>
        </w:rPr>
      </w:pPr>
      <w:r w:rsidRPr="00FB3DFF">
        <w:rPr>
          <w:rFonts w:ascii="Century Gothic" w:hAnsi="Century Gothic" w:cs="Arial"/>
        </w:rPr>
        <w:t>having regard to the Basin Annual environmental watering priorities developed by the Mur</w:t>
      </w:r>
      <w:r w:rsidR="00E01B30">
        <w:rPr>
          <w:rFonts w:ascii="Century Gothic" w:hAnsi="Century Gothic" w:cs="Arial"/>
        </w:rPr>
        <w:t>ray Darling Basin Authority</w:t>
      </w:r>
      <w:r w:rsidR="005E0729">
        <w:rPr>
          <w:rFonts w:ascii="Century Gothic" w:hAnsi="Century Gothic" w:cs="Arial"/>
        </w:rPr>
        <w:t xml:space="preserve"> (the Authority)</w:t>
      </w:r>
    </w:p>
    <w:p w:rsidR="00E70374" w:rsidRPr="00FB3DFF" w:rsidRDefault="00E70374" w:rsidP="00FB3DFF">
      <w:pPr>
        <w:pStyle w:val="ListBullet2"/>
        <w:numPr>
          <w:ilvl w:val="1"/>
          <w:numId w:val="12"/>
        </w:numPr>
        <w:ind w:left="1418"/>
        <w:rPr>
          <w:rFonts w:ascii="Century Gothic" w:hAnsi="Century Gothic" w:cs="Arial"/>
        </w:rPr>
      </w:pPr>
      <w:r w:rsidRPr="00FB3DFF">
        <w:rPr>
          <w:rFonts w:ascii="Century Gothic" w:hAnsi="Century Gothic" w:cs="Arial"/>
        </w:rPr>
        <w:t>developing Commonwealth environmental water trade frameworks and protocols to comply with the Basin plan water trading rules</w:t>
      </w:r>
    </w:p>
    <w:p w:rsidR="00853068" w:rsidRPr="00FB3DFF" w:rsidRDefault="002E0D99" w:rsidP="00FB3DFF">
      <w:pPr>
        <w:pStyle w:val="ListBullet"/>
        <w:rPr>
          <w:rFonts w:ascii="Century Gothic" w:hAnsi="Century Gothic"/>
        </w:rPr>
      </w:pPr>
      <w:r w:rsidRPr="00FB3DFF">
        <w:rPr>
          <w:rFonts w:ascii="Century Gothic" w:hAnsi="Century Gothic"/>
        </w:rPr>
        <w:t>undertake long-term planning for more efficient and effective management of commonwealth environmental water</w:t>
      </w:r>
      <w:r w:rsidR="0005195A" w:rsidRPr="00FB3DFF">
        <w:rPr>
          <w:rFonts w:ascii="Century Gothic" w:hAnsi="Century Gothic"/>
        </w:rPr>
        <w:t>,</w:t>
      </w:r>
      <w:r w:rsidRPr="00FB3DFF">
        <w:rPr>
          <w:rFonts w:ascii="Century Gothic" w:hAnsi="Century Gothic"/>
        </w:rPr>
        <w:t xml:space="preserve"> including:</w:t>
      </w:r>
    </w:p>
    <w:p w:rsidR="001D2910" w:rsidRPr="00FB3DFF" w:rsidRDefault="00C56CA3" w:rsidP="00FB3DFF">
      <w:pPr>
        <w:pStyle w:val="ListBullet2"/>
        <w:numPr>
          <w:ilvl w:val="1"/>
          <w:numId w:val="12"/>
        </w:numPr>
        <w:ind w:left="1418"/>
        <w:rPr>
          <w:rFonts w:ascii="Century Gothic" w:hAnsi="Century Gothic" w:cs="Arial"/>
        </w:rPr>
      </w:pPr>
      <w:r w:rsidRPr="00FB3DFF">
        <w:rPr>
          <w:rFonts w:ascii="Century Gothic" w:hAnsi="Century Gothic" w:cs="Arial"/>
        </w:rPr>
        <w:t>d</w:t>
      </w:r>
      <w:r w:rsidR="001D2910" w:rsidRPr="00FB3DFF">
        <w:rPr>
          <w:rFonts w:ascii="Century Gothic" w:hAnsi="Century Gothic" w:cs="Arial"/>
        </w:rPr>
        <w:t>evelop</w:t>
      </w:r>
      <w:r w:rsidR="00EA68DA" w:rsidRPr="00FB3DFF">
        <w:rPr>
          <w:rFonts w:ascii="Century Gothic" w:hAnsi="Century Gothic" w:cs="Arial"/>
        </w:rPr>
        <w:t>ing</w:t>
      </w:r>
      <w:r w:rsidR="001D2910" w:rsidRPr="00FB3DFF">
        <w:rPr>
          <w:rFonts w:ascii="Century Gothic" w:hAnsi="Century Gothic" w:cs="Arial"/>
        </w:rPr>
        <w:t xml:space="preserve"> the approach to long term portfolio management to optimise use of trade and carryover to match environmental water supply with demand</w:t>
      </w:r>
    </w:p>
    <w:p w:rsidR="001D2910" w:rsidRPr="00FB3DFF" w:rsidRDefault="00C56CA3" w:rsidP="00FB3DFF">
      <w:pPr>
        <w:pStyle w:val="ListBullet2"/>
        <w:numPr>
          <w:ilvl w:val="1"/>
          <w:numId w:val="12"/>
        </w:numPr>
        <w:ind w:left="1418"/>
        <w:rPr>
          <w:rFonts w:ascii="Century Gothic" w:hAnsi="Century Gothic" w:cs="Arial"/>
        </w:rPr>
      </w:pPr>
      <w:r w:rsidRPr="00FB3DFF">
        <w:rPr>
          <w:rFonts w:ascii="Century Gothic" w:hAnsi="Century Gothic" w:cs="Arial"/>
        </w:rPr>
        <w:t>i</w:t>
      </w:r>
      <w:r w:rsidR="00EA68DA" w:rsidRPr="00FB3DFF">
        <w:rPr>
          <w:rFonts w:ascii="Century Gothic" w:hAnsi="Century Gothic" w:cs="Arial"/>
        </w:rPr>
        <w:t>nvestigating</w:t>
      </w:r>
      <w:r w:rsidR="001D2910" w:rsidRPr="00FB3DFF">
        <w:rPr>
          <w:rFonts w:ascii="Century Gothic" w:hAnsi="Century Gothic" w:cs="Arial"/>
        </w:rPr>
        <w:t xml:space="preserve"> opportuni</w:t>
      </w:r>
      <w:r w:rsidR="0012008B" w:rsidRPr="00FB3DFF">
        <w:rPr>
          <w:rFonts w:ascii="Century Gothic" w:hAnsi="Century Gothic" w:cs="Arial"/>
        </w:rPr>
        <w:t xml:space="preserve">ties for long-term arrangements and </w:t>
      </w:r>
      <w:r w:rsidR="001D2910" w:rsidRPr="00FB3DFF">
        <w:rPr>
          <w:rFonts w:ascii="Century Gothic" w:hAnsi="Century Gothic" w:cs="Arial"/>
        </w:rPr>
        <w:t>agreements for the efficient and effective use of Commonwealth environmental water</w:t>
      </w:r>
    </w:p>
    <w:p w:rsidR="00EA68DA" w:rsidRPr="00FB3DFF" w:rsidRDefault="00C56CA3" w:rsidP="00FB3DFF">
      <w:pPr>
        <w:pStyle w:val="ListBullet2"/>
        <w:numPr>
          <w:ilvl w:val="1"/>
          <w:numId w:val="12"/>
        </w:numPr>
        <w:ind w:left="1418"/>
        <w:rPr>
          <w:rFonts w:ascii="Century Gothic" w:hAnsi="Century Gothic" w:cs="Arial"/>
        </w:rPr>
      </w:pPr>
      <w:r w:rsidRPr="00FB3DFF">
        <w:rPr>
          <w:rFonts w:ascii="Century Gothic" w:hAnsi="Century Gothic" w:cs="Arial"/>
        </w:rPr>
        <w:t>p</w:t>
      </w:r>
      <w:r w:rsidR="00EA68DA" w:rsidRPr="00FB3DFF">
        <w:rPr>
          <w:rFonts w:ascii="Century Gothic" w:hAnsi="Century Gothic" w:cs="Arial"/>
        </w:rPr>
        <w:t>rogressing arrangements for wat</w:t>
      </w:r>
      <w:r w:rsidRPr="00FB3DFF">
        <w:rPr>
          <w:rFonts w:ascii="Century Gothic" w:hAnsi="Century Gothic" w:cs="Arial"/>
        </w:rPr>
        <w:t>er s</w:t>
      </w:r>
      <w:r w:rsidR="00E01B30">
        <w:rPr>
          <w:rFonts w:ascii="Century Gothic" w:hAnsi="Century Gothic" w:cs="Arial"/>
        </w:rPr>
        <w:t>hepherding and return flows</w:t>
      </w:r>
    </w:p>
    <w:p w:rsidR="00EA68DA" w:rsidRPr="00FB3DFF" w:rsidRDefault="00C56CA3" w:rsidP="00FB3DFF">
      <w:pPr>
        <w:pStyle w:val="ListBullet2"/>
        <w:numPr>
          <w:ilvl w:val="1"/>
          <w:numId w:val="12"/>
        </w:numPr>
        <w:ind w:left="1418"/>
        <w:rPr>
          <w:rFonts w:ascii="Century Gothic" w:hAnsi="Century Gothic" w:cs="Arial"/>
        </w:rPr>
      </w:pPr>
      <w:r w:rsidRPr="00FB3DFF">
        <w:rPr>
          <w:rFonts w:ascii="Century Gothic" w:hAnsi="Century Gothic" w:cs="Arial"/>
        </w:rPr>
        <w:t>d</w:t>
      </w:r>
      <w:r w:rsidR="00EA68DA" w:rsidRPr="00FB3DFF">
        <w:rPr>
          <w:rFonts w:ascii="Century Gothic" w:hAnsi="Century Gothic" w:cs="Arial"/>
        </w:rPr>
        <w:t>eveloping an approach to rolli</w:t>
      </w:r>
      <w:r w:rsidR="00F26FFC">
        <w:rPr>
          <w:rFonts w:ascii="Century Gothic" w:hAnsi="Century Gothic" w:cs="Arial"/>
        </w:rPr>
        <w:t>ng five-year water use planning</w:t>
      </w:r>
    </w:p>
    <w:p w:rsidR="007A5373" w:rsidRDefault="00853068" w:rsidP="00FB3DFF">
      <w:pPr>
        <w:pStyle w:val="ListBullet"/>
        <w:rPr>
          <w:rFonts w:ascii="Century Gothic" w:hAnsi="Century Gothic"/>
        </w:rPr>
      </w:pPr>
      <w:r w:rsidRPr="00FB3DFF">
        <w:rPr>
          <w:rFonts w:ascii="Century Gothic" w:hAnsi="Century Gothic"/>
        </w:rPr>
        <w:t>I</w:t>
      </w:r>
      <w:r w:rsidR="007A5373" w:rsidRPr="00FB3DFF">
        <w:rPr>
          <w:rFonts w:ascii="Century Gothic" w:hAnsi="Century Gothic"/>
        </w:rPr>
        <w:t>mplement a monitoring, evaluation</w:t>
      </w:r>
      <w:r w:rsidR="003727E2" w:rsidRPr="00FB3DFF">
        <w:rPr>
          <w:rFonts w:ascii="Century Gothic" w:hAnsi="Century Gothic"/>
        </w:rPr>
        <w:t>,</w:t>
      </w:r>
      <w:r w:rsidR="007A5373" w:rsidRPr="00FB3DFF">
        <w:rPr>
          <w:rFonts w:ascii="Century Gothic" w:hAnsi="Century Gothic"/>
        </w:rPr>
        <w:t xml:space="preserve"> reporting </w:t>
      </w:r>
      <w:r w:rsidR="003727E2" w:rsidRPr="00FB3DFF">
        <w:rPr>
          <w:rFonts w:ascii="Century Gothic" w:hAnsi="Century Gothic"/>
        </w:rPr>
        <w:t xml:space="preserve">and improvement </w:t>
      </w:r>
      <w:r w:rsidR="007A5373" w:rsidRPr="00FB3DFF">
        <w:rPr>
          <w:rFonts w:ascii="Century Gothic" w:hAnsi="Century Gothic"/>
        </w:rPr>
        <w:t>framework to evaluate the outcomes from the use of Commonwealth environmental water</w:t>
      </w:r>
    </w:p>
    <w:p w:rsidR="00EB6ABE" w:rsidRPr="00FB3DFF" w:rsidRDefault="00EB6ABE" w:rsidP="00EB6ABE">
      <w:pPr>
        <w:pStyle w:val="ListBullet"/>
      </w:pPr>
      <w:r w:rsidRPr="00FB3DFF">
        <w:br w:type="page"/>
      </w:r>
    </w:p>
    <w:p w:rsidR="005C6525" w:rsidRPr="00FB3DFF" w:rsidRDefault="00011F16" w:rsidP="00FB3DFF">
      <w:pPr>
        <w:pStyle w:val="ListBullet"/>
        <w:rPr>
          <w:rFonts w:ascii="Century Gothic" w:hAnsi="Century Gothic"/>
        </w:rPr>
      </w:pPr>
      <w:r w:rsidRPr="00FB3DFF">
        <w:rPr>
          <w:rFonts w:ascii="Century Gothic" w:hAnsi="Century Gothic"/>
        </w:rPr>
        <w:t>c</w:t>
      </w:r>
      <w:r w:rsidR="00B42FA8" w:rsidRPr="00FB3DFF">
        <w:rPr>
          <w:rFonts w:ascii="Century Gothic" w:hAnsi="Century Gothic"/>
        </w:rPr>
        <w:t>ontinue to</w:t>
      </w:r>
      <w:r w:rsidR="005C6525" w:rsidRPr="00FB3DFF">
        <w:rPr>
          <w:rFonts w:ascii="Century Gothic" w:hAnsi="Century Gothic"/>
        </w:rPr>
        <w:t xml:space="preserve"> enhance internal capabilities for the effective management of Commonwealth environmental water, including the implementation of an </w:t>
      </w:r>
      <w:r w:rsidR="00FA3F53" w:rsidRPr="00FB3DFF">
        <w:rPr>
          <w:rFonts w:ascii="Century Gothic" w:hAnsi="Century Gothic"/>
        </w:rPr>
        <w:t>Environmental A</w:t>
      </w:r>
      <w:r w:rsidR="005C6525" w:rsidRPr="00FB3DFF">
        <w:rPr>
          <w:rFonts w:ascii="Century Gothic" w:hAnsi="Century Gothic"/>
        </w:rPr>
        <w:t>sset</w:t>
      </w:r>
      <w:r w:rsidR="00C46535" w:rsidRPr="00FB3DFF">
        <w:rPr>
          <w:rFonts w:ascii="Century Gothic" w:hAnsi="Century Gothic"/>
        </w:rPr>
        <w:t>s</w:t>
      </w:r>
      <w:r w:rsidR="005C6525" w:rsidRPr="00FB3DFF">
        <w:rPr>
          <w:rFonts w:ascii="Century Gothic" w:hAnsi="Century Gothic"/>
        </w:rPr>
        <w:t xml:space="preserve"> </w:t>
      </w:r>
      <w:r w:rsidR="00FA3F53" w:rsidRPr="00FB3DFF">
        <w:rPr>
          <w:rFonts w:ascii="Century Gothic" w:hAnsi="Century Gothic"/>
        </w:rPr>
        <w:t>D</w:t>
      </w:r>
      <w:r w:rsidR="005C6525" w:rsidRPr="00FB3DFF">
        <w:rPr>
          <w:rFonts w:ascii="Century Gothic" w:hAnsi="Century Gothic"/>
        </w:rPr>
        <w:t>atabase and the Environmental Water Management System and associated standard business a</w:t>
      </w:r>
      <w:r w:rsidR="00E01B30">
        <w:rPr>
          <w:rFonts w:ascii="Century Gothic" w:hAnsi="Century Gothic"/>
        </w:rPr>
        <w:t>nd information processes</w:t>
      </w:r>
    </w:p>
    <w:p w:rsidR="005C6525" w:rsidRPr="00E01B30" w:rsidRDefault="005C6525" w:rsidP="00E01B30">
      <w:pPr>
        <w:pStyle w:val="ListBullet"/>
        <w:numPr>
          <w:ilvl w:val="0"/>
          <w:numId w:val="12"/>
        </w:numPr>
        <w:rPr>
          <w:rFonts w:ascii="Century Gothic" w:hAnsi="Century Gothic" w:cs="Arial"/>
        </w:rPr>
      </w:pPr>
      <w:r w:rsidRPr="00E01B30">
        <w:rPr>
          <w:rFonts w:ascii="Century Gothic" w:hAnsi="Century Gothic" w:cs="Arial"/>
        </w:rPr>
        <w:t xml:space="preserve">increase and </w:t>
      </w:r>
      <w:r w:rsidR="001147CB" w:rsidRPr="00E01B30">
        <w:rPr>
          <w:rFonts w:ascii="Century Gothic" w:hAnsi="Century Gothic" w:cs="Arial"/>
        </w:rPr>
        <w:t>strengthen engagement with Basin communities through</w:t>
      </w:r>
      <w:r w:rsidRPr="00E01B30">
        <w:rPr>
          <w:rFonts w:ascii="Century Gothic" w:hAnsi="Century Gothic" w:cs="Arial"/>
        </w:rPr>
        <w:t>:</w:t>
      </w:r>
    </w:p>
    <w:p w:rsidR="001147CB" w:rsidRPr="00FB3DFF" w:rsidRDefault="001147CB" w:rsidP="00FB3DFF">
      <w:pPr>
        <w:pStyle w:val="ListBullet2"/>
        <w:numPr>
          <w:ilvl w:val="1"/>
          <w:numId w:val="12"/>
        </w:numPr>
        <w:ind w:left="1418"/>
        <w:rPr>
          <w:rFonts w:ascii="Century Gothic" w:hAnsi="Century Gothic" w:cs="Arial"/>
        </w:rPr>
      </w:pPr>
      <w:r w:rsidRPr="00FB3DFF">
        <w:rPr>
          <w:rFonts w:ascii="Century Gothic" w:hAnsi="Century Gothic" w:cs="Arial"/>
        </w:rPr>
        <w:t>employing local engagement officers in regional areas of the Basin to work with communities on the management of C</w:t>
      </w:r>
      <w:r w:rsidR="00E01B30">
        <w:rPr>
          <w:rFonts w:ascii="Century Gothic" w:hAnsi="Century Gothic" w:cs="Arial"/>
        </w:rPr>
        <w:t>ommonwealth environmental water</w:t>
      </w:r>
    </w:p>
    <w:p w:rsidR="00011F16" w:rsidRPr="00FB3DFF" w:rsidRDefault="00397612" w:rsidP="00FB3DFF">
      <w:pPr>
        <w:pStyle w:val="ListBullet2"/>
        <w:numPr>
          <w:ilvl w:val="1"/>
          <w:numId w:val="12"/>
        </w:numPr>
        <w:ind w:left="1418"/>
        <w:rPr>
          <w:rFonts w:ascii="Century Gothic" w:hAnsi="Century Gothic" w:cs="Arial"/>
        </w:rPr>
      </w:pPr>
      <w:r w:rsidRPr="00FB3DFF">
        <w:rPr>
          <w:rFonts w:ascii="Century Gothic" w:hAnsi="Century Gothic" w:cs="Arial"/>
        </w:rPr>
        <w:t>increasing</w:t>
      </w:r>
      <w:r w:rsidR="00011F16" w:rsidRPr="00FB3DFF">
        <w:rPr>
          <w:rFonts w:ascii="Century Gothic" w:hAnsi="Century Gothic" w:cs="Arial"/>
        </w:rPr>
        <w:t xml:space="preserve"> engagement with Indigenous </w:t>
      </w:r>
      <w:r w:rsidRPr="00FB3DFF">
        <w:rPr>
          <w:rFonts w:ascii="Century Gothic" w:hAnsi="Century Gothic" w:cs="Arial"/>
        </w:rPr>
        <w:t>people</w:t>
      </w:r>
      <w:r w:rsidR="00011F16" w:rsidRPr="00FB3DFF">
        <w:rPr>
          <w:rFonts w:ascii="Century Gothic" w:hAnsi="Century Gothic" w:cs="Arial"/>
        </w:rPr>
        <w:t xml:space="preserve"> in order to better realise opportunities for achieving mutual environmental and cultural outcomes</w:t>
      </w:r>
    </w:p>
    <w:p w:rsidR="001147CB" w:rsidRPr="00FB3DFF" w:rsidRDefault="005C6525" w:rsidP="00FB3DFF">
      <w:pPr>
        <w:pStyle w:val="ListBullet2"/>
        <w:numPr>
          <w:ilvl w:val="1"/>
          <w:numId w:val="12"/>
        </w:numPr>
        <w:ind w:left="1418"/>
        <w:rPr>
          <w:rFonts w:ascii="Century Gothic" w:hAnsi="Century Gothic" w:cs="Arial"/>
        </w:rPr>
      </w:pPr>
      <w:r w:rsidRPr="00FB3DFF">
        <w:rPr>
          <w:rFonts w:ascii="Century Gothic" w:hAnsi="Century Gothic" w:cs="Arial"/>
        </w:rPr>
        <w:t>meeting with the Commonwealth Environmental Water Stakeholder Reference Panel to assess and respond to conce</w:t>
      </w:r>
      <w:r w:rsidR="006127F2">
        <w:rPr>
          <w:rFonts w:ascii="Century Gothic" w:hAnsi="Century Gothic" w:cs="Arial"/>
        </w:rPr>
        <w:t>rns raised by key stakeholders</w:t>
      </w:r>
    </w:p>
    <w:p w:rsidR="0074506A" w:rsidRPr="00E01B30" w:rsidRDefault="00765A1B" w:rsidP="00E01B30">
      <w:pPr>
        <w:pStyle w:val="ListBullet"/>
        <w:numPr>
          <w:ilvl w:val="0"/>
          <w:numId w:val="12"/>
        </w:numPr>
        <w:rPr>
          <w:rFonts w:ascii="Century Gothic" w:hAnsi="Century Gothic" w:cs="Arial"/>
        </w:rPr>
      </w:pPr>
      <w:r w:rsidRPr="00E01B30">
        <w:rPr>
          <w:rFonts w:ascii="Century Gothic" w:hAnsi="Century Gothic" w:cs="Arial"/>
        </w:rPr>
        <w:t>ensure</w:t>
      </w:r>
      <w:r w:rsidR="0074506A" w:rsidRPr="00E01B30">
        <w:rPr>
          <w:rFonts w:ascii="Century Gothic" w:hAnsi="Century Gothic" w:cs="Arial"/>
        </w:rPr>
        <w:t xml:space="preserve"> high quality scientific advice to inform decision-making about use of environmental water</w:t>
      </w:r>
    </w:p>
    <w:p w:rsidR="005C6525" w:rsidRPr="00E01B30" w:rsidRDefault="00C56CA3" w:rsidP="00E01B30">
      <w:pPr>
        <w:pStyle w:val="ListBullet"/>
        <w:numPr>
          <w:ilvl w:val="0"/>
          <w:numId w:val="12"/>
        </w:numPr>
        <w:rPr>
          <w:rFonts w:ascii="Century Gothic" w:hAnsi="Century Gothic" w:cs="Arial"/>
        </w:rPr>
      </w:pPr>
      <w:r w:rsidRPr="00E01B30">
        <w:rPr>
          <w:rFonts w:ascii="Century Gothic" w:hAnsi="Century Gothic" w:cs="Arial"/>
        </w:rPr>
        <w:t xml:space="preserve">provide information to stakeholders </w:t>
      </w:r>
      <w:r w:rsidR="005C6525" w:rsidRPr="00E01B30">
        <w:rPr>
          <w:rFonts w:ascii="Century Gothic" w:hAnsi="Century Gothic" w:cs="Arial"/>
        </w:rPr>
        <w:t xml:space="preserve">about </w:t>
      </w:r>
      <w:r w:rsidRPr="00E01B30">
        <w:rPr>
          <w:rFonts w:ascii="Century Gothic" w:hAnsi="Century Gothic" w:cs="Arial"/>
        </w:rPr>
        <w:t xml:space="preserve">the </w:t>
      </w:r>
      <w:r w:rsidR="005C6525" w:rsidRPr="00E01B30">
        <w:rPr>
          <w:rFonts w:ascii="Century Gothic" w:hAnsi="Century Gothic" w:cs="Arial"/>
        </w:rPr>
        <w:t xml:space="preserve">use and management of environmental water </w:t>
      </w:r>
      <w:r w:rsidR="00973390" w:rsidRPr="00E01B30">
        <w:rPr>
          <w:rFonts w:ascii="Century Gothic" w:hAnsi="Century Gothic" w:cs="Arial"/>
        </w:rPr>
        <w:t>through the Annual Report, the Outcomes Report and other information products</w:t>
      </w:r>
      <w:r w:rsidR="00B75088">
        <w:rPr>
          <w:rFonts w:ascii="Century Gothic" w:hAnsi="Century Gothic" w:cs="Arial"/>
        </w:rPr>
        <w:t xml:space="preserve"> produced by the Office each year</w:t>
      </w:r>
      <w:r w:rsidR="00DD2E83" w:rsidRPr="00E01B30">
        <w:rPr>
          <w:rFonts w:ascii="Century Gothic" w:hAnsi="Century Gothic" w:cs="Arial"/>
        </w:rPr>
        <w:t>.</w:t>
      </w:r>
      <w:r w:rsidR="005C6525" w:rsidRPr="00E01B30">
        <w:rPr>
          <w:rFonts w:ascii="Century Gothic" w:hAnsi="Century Gothic" w:cs="Arial"/>
        </w:rPr>
        <w:t xml:space="preserve"> </w:t>
      </w:r>
    </w:p>
    <w:p w:rsidR="005C6525" w:rsidRDefault="005C6525" w:rsidP="00FB3DFF">
      <w:pPr>
        <w:ind w:left="709"/>
        <w:rPr>
          <w:rFonts w:ascii="Century Gothic" w:hAnsi="Century Gothic" w:cs="Arial"/>
          <w:sz w:val="22"/>
          <w:szCs w:val="22"/>
        </w:rPr>
      </w:pPr>
      <w:r w:rsidRPr="00FB3DFF">
        <w:rPr>
          <w:rFonts w:ascii="Century Gothic" w:hAnsi="Century Gothic" w:cs="Arial"/>
          <w:sz w:val="22"/>
          <w:szCs w:val="22"/>
        </w:rPr>
        <w:t xml:space="preserve">Further information on Commonwealth environmental water is available from </w:t>
      </w:r>
      <w:r w:rsidR="00EC3EA7">
        <w:rPr>
          <w:rFonts w:ascii="Century Gothic" w:hAnsi="Century Gothic" w:cs="Arial"/>
          <w:sz w:val="22"/>
          <w:szCs w:val="22"/>
        </w:rPr>
        <w:t>the Office website (see link below)</w:t>
      </w:r>
      <w:r w:rsidRPr="00FB3DFF">
        <w:rPr>
          <w:rFonts w:ascii="Century Gothic" w:hAnsi="Century Gothic" w:cs="Arial"/>
          <w:sz w:val="22"/>
          <w:szCs w:val="22"/>
        </w:rPr>
        <w:t xml:space="preserve"> and from the </w:t>
      </w:r>
      <w:r w:rsidR="008A35BF" w:rsidRPr="00FB3DFF">
        <w:rPr>
          <w:rFonts w:ascii="Century Gothic" w:hAnsi="Century Gothic" w:cs="Arial"/>
          <w:sz w:val="22"/>
          <w:szCs w:val="22"/>
        </w:rPr>
        <w:t xml:space="preserve">Office </w:t>
      </w:r>
      <w:r w:rsidRPr="00FB3DFF">
        <w:rPr>
          <w:rFonts w:ascii="Century Gothic" w:hAnsi="Century Gothic" w:cs="Arial"/>
          <w:sz w:val="22"/>
          <w:szCs w:val="22"/>
        </w:rPr>
        <w:t>annual and outcomes reports</w:t>
      </w:r>
      <w:r w:rsidRPr="00FB3DFF">
        <w:rPr>
          <w:rFonts w:ascii="Century Gothic" w:hAnsi="Century Gothic" w:cs="Arial"/>
          <w:i/>
          <w:sz w:val="22"/>
          <w:szCs w:val="22"/>
        </w:rPr>
        <w:t xml:space="preserve"> </w:t>
      </w:r>
      <w:r w:rsidRPr="00FB3DFF">
        <w:rPr>
          <w:rFonts w:ascii="Century Gothic" w:hAnsi="Century Gothic" w:cs="Arial"/>
          <w:sz w:val="22"/>
          <w:szCs w:val="22"/>
        </w:rPr>
        <w:t xml:space="preserve">which are </w:t>
      </w:r>
      <w:r w:rsidR="00EC3EA7">
        <w:rPr>
          <w:rFonts w:ascii="Century Gothic" w:hAnsi="Century Gothic" w:cs="Arial"/>
          <w:sz w:val="22"/>
          <w:szCs w:val="22"/>
        </w:rPr>
        <w:t>also available on the website</w:t>
      </w:r>
      <w:r w:rsidRPr="00FB3DFF">
        <w:rPr>
          <w:rFonts w:ascii="Century Gothic" w:hAnsi="Century Gothic" w:cs="Arial"/>
          <w:sz w:val="22"/>
          <w:szCs w:val="22"/>
        </w:rPr>
        <w:t xml:space="preserve">. </w:t>
      </w:r>
    </w:p>
    <w:p w:rsidR="00EC3EA7" w:rsidRPr="00FB3DFF" w:rsidRDefault="008B5986" w:rsidP="00FB3DFF">
      <w:pPr>
        <w:ind w:left="709"/>
        <w:rPr>
          <w:rFonts w:ascii="Century Gothic" w:hAnsi="Century Gothic" w:cs="Arial"/>
          <w:sz w:val="22"/>
          <w:szCs w:val="22"/>
        </w:rPr>
      </w:pPr>
      <w:hyperlink r:id="rId13" w:history="1">
        <w:r w:rsidR="00EC3EA7" w:rsidRPr="00F576DD">
          <w:rPr>
            <w:rStyle w:val="Hyperlink"/>
            <w:rFonts w:ascii="Century Gothic" w:hAnsi="Century Gothic" w:cs="Arial"/>
            <w:sz w:val="22"/>
            <w:szCs w:val="22"/>
          </w:rPr>
          <w:t>http://www.environment.gov.au/aggregation/commonwealth-environmental-water-office</w:t>
        </w:r>
      </w:hyperlink>
      <w:r w:rsidR="00EC3EA7">
        <w:rPr>
          <w:rFonts w:ascii="Century Gothic" w:hAnsi="Century Gothic" w:cs="Arial"/>
          <w:sz w:val="22"/>
          <w:szCs w:val="22"/>
        </w:rPr>
        <w:t xml:space="preserve"> </w:t>
      </w:r>
    </w:p>
    <w:p w:rsidR="005C6525" w:rsidRPr="00FB3DFF" w:rsidRDefault="005C6525" w:rsidP="00FB3DFF">
      <w:pPr>
        <w:rPr>
          <w:rFonts w:ascii="Century Gothic" w:hAnsi="Century Gothic"/>
        </w:rPr>
      </w:pPr>
    </w:p>
    <w:bookmarkEnd w:id="1"/>
    <w:p w:rsidR="00BB3E76" w:rsidRPr="00FB3DFF" w:rsidRDefault="003E0925" w:rsidP="00FB3DFF">
      <w:pPr>
        <w:pStyle w:val="BPHeading1CustomColorRGB9573122BottomNoborde"/>
        <w:ind w:left="1134" w:hanging="414"/>
        <w:rPr>
          <w:rFonts w:ascii="Century Gothic" w:hAnsi="Century Gothic"/>
        </w:rPr>
      </w:pPr>
      <w:r w:rsidRPr="00FB3DFF">
        <w:rPr>
          <w:rFonts w:ascii="Century Gothic" w:hAnsi="Century Gothic" w:cs="Arial"/>
          <w:sz w:val="24"/>
          <w:szCs w:val="24"/>
        </w:rPr>
        <w:br w:type="page"/>
      </w:r>
      <w:bookmarkStart w:id="7" w:name="_Toc333227685"/>
      <w:bookmarkStart w:id="8" w:name="_Toc371409436"/>
      <w:r w:rsidR="00BB3E76" w:rsidRPr="00FB3DFF">
        <w:rPr>
          <w:rFonts w:ascii="Century Gothic" w:hAnsi="Century Gothic"/>
        </w:rPr>
        <w:t>2.</w:t>
      </w:r>
      <w:r w:rsidR="00BB3E76" w:rsidRPr="00FB3DFF">
        <w:rPr>
          <w:rFonts w:ascii="Century Gothic" w:hAnsi="Century Gothic"/>
        </w:rPr>
        <w:tab/>
      </w:r>
      <w:bookmarkEnd w:id="7"/>
      <w:r w:rsidR="00F92A03" w:rsidRPr="00FB3DFF">
        <w:rPr>
          <w:rFonts w:ascii="Century Gothic" w:hAnsi="Century Gothic"/>
        </w:rPr>
        <w:t>Management of Commonwealth Environmental Water</w:t>
      </w:r>
      <w:bookmarkEnd w:id="8"/>
    </w:p>
    <w:p w:rsidR="00BB3E76" w:rsidRPr="00FB3DFF" w:rsidRDefault="00BB3E76" w:rsidP="00FB3DFF">
      <w:pPr>
        <w:rPr>
          <w:rFonts w:ascii="Century Gothic" w:hAnsi="Century Gothic" w:cs="Arial"/>
          <w:sz w:val="22"/>
          <w:szCs w:val="22"/>
        </w:rPr>
      </w:pPr>
      <w:r w:rsidRPr="00FB3DFF">
        <w:rPr>
          <w:rFonts w:ascii="Century Gothic" w:hAnsi="Century Gothic" w:cs="Arial"/>
          <w:sz w:val="22"/>
          <w:szCs w:val="22"/>
        </w:rPr>
        <w:t xml:space="preserve">Commonwealth environmental water held in the Basin is required to be managed for the purpose of protecting or restoring the environmental assets of the Basin so as to give effect to relevant international agreements. </w:t>
      </w:r>
      <w:r w:rsidR="00D41906" w:rsidRPr="00FB3DFF">
        <w:rPr>
          <w:rFonts w:ascii="Century Gothic" w:hAnsi="Century Gothic" w:cs="Arial"/>
          <w:color w:val="231F20"/>
          <w:sz w:val="22"/>
          <w:szCs w:val="22"/>
        </w:rPr>
        <w:t>The Commonwealth’s aim in using environmental water is to maximise environmental outcomes for the Basin.</w:t>
      </w:r>
    </w:p>
    <w:p w:rsidR="00BB3E76" w:rsidRPr="00FB3DFF" w:rsidRDefault="00BB3E76" w:rsidP="00FB3DFF">
      <w:pPr>
        <w:pStyle w:val="BPBodyTextArialJustified"/>
        <w:jc w:val="left"/>
        <w:rPr>
          <w:rFonts w:ascii="Century Gothic" w:hAnsi="Century Gothic"/>
          <w:sz w:val="22"/>
          <w:szCs w:val="22"/>
        </w:rPr>
      </w:pPr>
      <w:r w:rsidRPr="00FB3DFF">
        <w:rPr>
          <w:rFonts w:ascii="Century Gothic" w:hAnsi="Century Gothic"/>
          <w:sz w:val="22"/>
          <w:szCs w:val="22"/>
        </w:rPr>
        <w:t>Commonwealth environmental water is to be managed in accordance with the Basin Plan</w:t>
      </w:r>
      <w:r w:rsidR="00EB6ABE">
        <w:rPr>
          <w:rFonts w:ascii="Century Gothic" w:hAnsi="Century Gothic"/>
          <w:sz w:val="22"/>
          <w:szCs w:val="22"/>
        </w:rPr>
        <w:t>’s</w:t>
      </w:r>
      <w:r w:rsidRPr="00FB3DFF">
        <w:rPr>
          <w:rFonts w:ascii="Century Gothic" w:hAnsi="Century Gothic"/>
          <w:sz w:val="22"/>
          <w:szCs w:val="22"/>
        </w:rPr>
        <w:t xml:space="preserve"> </w:t>
      </w:r>
      <w:r w:rsidR="00EB6ABE">
        <w:rPr>
          <w:rFonts w:ascii="Century Gothic" w:hAnsi="Century Gothic"/>
          <w:sz w:val="22"/>
          <w:szCs w:val="22"/>
        </w:rPr>
        <w:t>e</w:t>
      </w:r>
      <w:r w:rsidR="00285233" w:rsidRPr="00FB3DFF">
        <w:rPr>
          <w:rFonts w:ascii="Century Gothic" w:hAnsi="Century Gothic"/>
          <w:sz w:val="22"/>
          <w:szCs w:val="22"/>
        </w:rPr>
        <w:t xml:space="preserve">nvironmental </w:t>
      </w:r>
      <w:r w:rsidR="00EB6ABE">
        <w:rPr>
          <w:rFonts w:ascii="Century Gothic" w:hAnsi="Century Gothic"/>
          <w:sz w:val="22"/>
          <w:szCs w:val="22"/>
        </w:rPr>
        <w:t>w</w:t>
      </w:r>
      <w:r w:rsidRPr="00FB3DFF">
        <w:rPr>
          <w:rFonts w:ascii="Century Gothic" w:hAnsi="Century Gothic"/>
          <w:sz w:val="22"/>
          <w:szCs w:val="22"/>
        </w:rPr>
        <w:t>ater</w:t>
      </w:r>
      <w:r w:rsidR="00285233" w:rsidRPr="00FB3DFF">
        <w:rPr>
          <w:rFonts w:ascii="Century Gothic" w:hAnsi="Century Gothic"/>
          <w:sz w:val="22"/>
          <w:szCs w:val="22"/>
        </w:rPr>
        <w:t xml:space="preserve">ing </w:t>
      </w:r>
      <w:r w:rsidR="00EB6ABE">
        <w:rPr>
          <w:rFonts w:ascii="Century Gothic" w:hAnsi="Century Gothic"/>
          <w:sz w:val="22"/>
          <w:szCs w:val="22"/>
        </w:rPr>
        <w:t>p</w:t>
      </w:r>
      <w:r w:rsidRPr="00FB3DFF">
        <w:rPr>
          <w:rFonts w:ascii="Century Gothic" w:hAnsi="Century Gothic"/>
          <w:sz w:val="22"/>
          <w:szCs w:val="22"/>
        </w:rPr>
        <w:t>lan, any operating rules that the Minister has made, and any environmental watering schedules to which the Commonwealth Environmental Water Holder</w:t>
      </w:r>
      <w:r w:rsidR="00B75088">
        <w:rPr>
          <w:rFonts w:ascii="Century Gothic" w:hAnsi="Century Gothic"/>
          <w:sz w:val="22"/>
          <w:szCs w:val="22"/>
        </w:rPr>
        <w:t xml:space="preserve"> (CEWH)</w:t>
      </w:r>
      <w:r w:rsidRPr="00FB3DFF">
        <w:rPr>
          <w:rFonts w:ascii="Century Gothic" w:hAnsi="Century Gothic"/>
          <w:sz w:val="22"/>
          <w:szCs w:val="22"/>
        </w:rPr>
        <w:t xml:space="preserve"> is party.</w:t>
      </w:r>
    </w:p>
    <w:p w:rsidR="00323EDB" w:rsidRPr="00FB3DFF" w:rsidRDefault="00323EDB" w:rsidP="00FB3DFF">
      <w:pPr>
        <w:pStyle w:val="BPHeading2Left063cmFirstline063cm"/>
        <w:rPr>
          <w:rFonts w:ascii="Century Gothic" w:hAnsi="Century Gothic"/>
        </w:rPr>
      </w:pPr>
      <w:bookmarkStart w:id="9" w:name="_Toc371409437"/>
      <w:bookmarkStart w:id="10" w:name="_Toc333227687"/>
      <w:r w:rsidRPr="00FB3DFF">
        <w:rPr>
          <w:rFonts w:ascii="Century Gothic" w:hAnsi="Century Gothic"/>
        </w:rPr>
        <w:t>2.1</w:t>
      </w:r>
      <w:r w:rsidRPr="00FB3DFF">
        <w:rPr>
          <w:rFonts w:ascii="Century Gothic" w:hAnsi="Century Gothic"/>
        </w:rPr>
        <w:tab/>
        <w:t>Commonwealth environmental water holdings</w:t>
      </w:r>
      <w:bookmarkEnd w:id="9"/>
    </w:p>
    <w:p w:rsidR="00323EDB" w:rsidRPr="00FB3DFF" w:rsidRDefault="00323EDB" w:rsidP="00FB3DFF">
      <w:pPr>
        <w:pStyle w:val="NormalWeb"/>
        <w:spacing w:before="0" w:beforeAutospacing="0" w:after="240" w:afterAutospacing="0"/>
        <w:ind w:left="720"/>
        <w:rPr>
          <w:rFonts w:ascii="Century Gothic" w:hAnsi="Century Gothic" w:cs="Arial"/>
          <w:sz w:val="22"/>
          <w:szCs w:val="22"/>
        </w:rPr>
      </w:pPr>
      <w:r w:rsidRPr="00FB3DFF">
        <w:rPr>
          <w:rFonts w:ascii="Century Gothic" w:hAnsi="Century Gothic" w:cs="Arial"/>
          <w:sz w:val="22"/>
          <w:szCs w:val="22"/>
        </w:rPr>
        <w:t>Under the Act, the holdings are defined as water access rights, water delivery rights, irrigation rights or other similar rights, interests in relation to such rights, and rights held in trust or donated, owned by the Commonwealth for the performance of the environmental water function. The sources of the holdings are:</w:t>
      </w:r>
    </w:p>
    <w:p w:rsidR="00323EDB" w:rsidRPr="00FB3DFF" w:rsidRDefault="00323EDB" w:rsidP="00FB3DFF">
      <w:pPr>
        <w:pStyle w:val="Bullet6"/>
        <w:tabs>
          <w:tab w:val="clear" w:pos="360"/>
        </w:tabs>
        <w:spacing w:after="240"/>
        <w:ind w:left="1080"/>
        <w:rPr>
          <w:rFonts w:ascii="Century Gothic" w:hAnsi="Century Gothic" w:cs="Arial"/>
          <w:sz w:val="22"/>
          <w:szCs w:val="22"/>
        </w:rPr>
      </w:pPr>
      <w:r w:rsidRPr="00FB3DFF">
        <w:rPr>
          <w:rFonts w:ascii="Century Gothic" w:hAnsi="Century Gothic" w:cs="Arial"/>
          <w:sz w:val="22"/>
          <w:szCs w:val="22"/>
        </w:rPr>
        <w:t>Commonw</w:t>
      </w:r>
      <w:r w:rsidR="00E01B30">
        <w:rPr>
          <w:rFonts w:ascii="Century Gothic" w:hAnsi="Century Gothic" w:cs="Arial"/>
          <w:sz w:val="22"/>
          <w:szCs w:val="22"/>
        </w:rPr>
        <w:t>ealth purchases of water rights</w:t>
      </w:r>
    </w:p>
    <w:p w:rsidR="00323EDB" w:rsidRPr="00FB3DFF" w:rsidRDefault="00323EDB" w:rsidP="00FB3DFF">
      <w:pPr>
        <w:pStyle w:val="Bullet6"/>
        <w:tabs>
          <w:tab w:val="clear" w:pos="360"/>
        </w:tabs>
        <w:spacing w:after="240"/>
        <w:ind w:left="1080"/>
        <w:rPr>
          <w:rFonts w:ascii="Century Gothic" w:hAnsi="Century Gothic" w:cs="Arial"/>
          <w:sz w:val="22"/>
          <w:szCs w:val="22"/>
        </w:rPr>
      </w:pPr>
      <w:r w:rsidRPr="00FB3DFF">
        <w:rPr>
          <w:rFonts w:ascii="Century Gothic" w:hAnsi="Century Gothic" w:cs="Arial"/>
          <w:sz w:val="22"/>
          <w:szCs w:val="22"/>
        </w:rPr>
        <w:t>water saved or acquired from Commonwealth funding of irrigation impro</w:t>
      </w:r>
      <w:r w:rsidR="00E01B30">
        <w:rPr>
          <w:rFonts w:ascii="Century Gothic" w:hAnsi="Century Gothic" w:cs="Arial"/>
          <w:sz w:val="22"/>
          <w:szCs w:val="22"/>
        </w:rPr>
        <w:t>vements or other activities</w:t>
      </w:r>
    </w:p>
    <w:p w:rsidR="00323EDB" w:rsidRPr="00FB3DFF" w:rsidRDefault="00323EDB" w:rsidP="00FB3DFF">
      <w:pPr>
        <w:pStyle w:val="Bullet12"/>
        <w:tabs>
          <w:tab w:val="clear" w:pos="360"/>
        </w:tabs>
        <w:ind w:left="1080"/>
        <w:rPr>
          <w:rFonts w:ascii="Century Gothic" w:hAnsi="Century Gothic" w:cs="Arial"/>
          <w:sz w:val="22"/>
          <w:szCs w:val="22"/>
        </w:rPr>
      </w:pPr>
      <w:r w:rsidRPr="00FB3DFF">
        <w:rPr>
          <w:rFonts w:ascii="Century Gothic" w:hAnsi="Century Gothic" w:cs="Arial"/>
          <w:sz w:val="22"/>
          <w:szCs w:val="22"/>
        </w:rPr>
        <w:t>annual allocations against entitlements in the holdings (this could include trade or donations).</w:t>
      </w:r>
    </w:p>
    <w:p w:rsidR="00323EDB" w:rsidRPr="00FB3DFF" w:rsidRDefault="00323EDB" w:rsidP="00FB3DFF">
      <w:pPr>
        <w:pStyle w:val="Bullet0"/>
        <w:numPr>
          <w:ilvl w:val="0"/>
          <w:numId w:val="0"/>
        </w:numPr>
        <w:spacing w:after="240"/>
        <w:ind w:left="720"/>
        <w:rPr>
          <w:rFonts w:ascii="Century Gothic" w:hAnsi="Century Gothic" w:cs="Arial"/>
          <w:sz w:val="22"/>
          <w:szCs w:val="22"/>
        </w:rPr>
      </w:pPr>
      <w:r w:rsidRPr="00FB3DFF">
        <w:rPr>
          <w:rFonts w:ascii="Century Gothic" w:hAnsi="Century Gothic" w:cs="Arial"/>
          <w:sz w:val="22"/>
          <w:szCs w:val="22"/>
        </w:rPr>
        <w:t xml:space="preserve">A summary of the portfolio is provided on the Office website at </w:t>
      </w:r>
      <w:hyperlink r:id="rId14" w:history="1">
        <w:r w:rsidR="00673914" w:rsidRPr="00F576DD">
          <w:rPr>
            <w:rStyle w:val="Hyperlink"/>
            <w:rFonts w:ascii="Century Gothic" w:hAnsi="Century Gothic" w:cs="Arial"/>
            <w:sz w:val="22"/>
            <w:szCs w:val="22"/>
          </w:rPr>
          <w:t>http://www.environment.gov.au/topics/water/commonwealth-environmental-water-office/about-commonwealth-environmental-water/how-much</w:t>
        </w:r>
      </w:hyperlink>
      <w:r w:rsidRPr="00FB3DFF">
        <w:rPr>
          <w:rFonts w:ascii="Century Gothic" w:hAnsi="Century Gothic" w:cs="Arial"/>
          <w:sz w:val="22"/>
          <w:szCs w:val="22"/>
        </w:rPr>
        <w:t xml:space="preserve"> and is updated monthly.</w:t>
      </w:r>
    </w:p>
    <w:p w:rsidR="00323EDB" w:rsidRPr="00FB3DFF" w:rsidRDefault="00323EDB" w:rsidP="00FB3DFF">
      <w:pPr>
        <w:pStyle w:val="NormalWeb"/>
        <w:spacing w:before="0" w:beforeAutospacing="0" w:after="240" w:afterAutospacing="0"/>
        <w:ind w:left="720"/>
        <w:rPr>
          <w:rFonts w:ascii="Century Gothic" w:hAnsi="Century Gothic" w:cs="Arial"/>
          <w:sz w:val="22"/>
          <w:szCs w:val="22"/>
        </w:rPr>
      </w:pPr>
      <w:r w:rsidRPr="00FB3DFF">
        <w:rPr>
          <w:rFonts w:ascii="Century Gothic" w:hAnsi="Century Gothic" w:cs="Arial"/>
          <w:sz w:val="22"/>
          <w:szCs w:val="22"/>
        </w:rPr>
        <w:t>Water rights held by the Commonwealth retain the same legal characteristics that existed before acquisition. While entitlements are managed for the environment rather than consumption, the Commonwealth is subject to the same allocations, fees, and carryover rules as other entitlement holders.</w:t>
      </w:r>
    </w:p>
    <w:p w:rsidR="00BB3E76" w:rsidRPr="00FB3DFF" w:rsidRDefault="00BB3E76" w:rsidP="00FB3DFF">
      <w:pPr>
        <w:pStyle w:val="BPHeading2Left063cmFirstline063cm"/>
        <w:rPr>
          <w:rFonts w:ascii="Century Gothic" w:hAnsi="Century Gothic"/>
        </w:rPr>
      </w:pPr>
      <w:bookmarkStart w:id="11" w:name="_Toc371409438"/>
      <w:r w:rsidRPr="00FB3DFF">
        <w:rPr>
          <w:rFonts w:ascii="Century Gothic" w:hAnsi="Century Gothic"/>
        </w:rPr>
        <w:t>2.2</w:t>
      </w:r>
      <w:r w:rsidRPr="00FB3DFF">
        <w:rPr>
          <w:rFonts w:ascii="Century Gothic" w:hAnsi="Century Gothic"/>
        </w:rPr>
        <w:tab/>
      </w:r>
      <w:r w:rsidR="00263CF5" w:rsidRPr="00FB3DFF">
        <w:rPr>
          <w:rFonts w:ascii="Century Gothic" w:hAnsi="Century Gothic"/>
        </w:rPr>
        <w:t>U</w:t>
      </w:r>
      <w:r w:rsidRPr="00FB3DFF">
        <w:rPr>
          <w:rFonts w:ascii="Century Gothic" w:hAnsi="Century Gothic"/>
        </w:rPr>
        <w:t>se of Commonwealth environmental water</w:t>
      </w:r>
      <w:bookmarkEnd w:id="10"/>
      <w:bookmarkEnd w:id="11"/>
    </w:p>
    <w:p w:rsidR="00263CF5" w:rsidRPr="00FB3DFF" w:rsidRDefault="00975673" w:rsidP="00FB3DFF">
      <w:pPr>
        <w:pStyle w:val="BPHeading3Left127cmFirstline0cm"/>
        <w:rPr>
          <w:rFonts w:ascii="Century Gothic" w:hAnsi="Century Gothic"/>
        </w:rPr>
      </w:pPr>
      <w:bookmarkStart w:id="12" w:name="_Toc371409439"/>
      <w:bookmarkStart w:id="13" w:name="_Toc333227688"/>
      <w:r w:rsidRPr="00FB3DFF">
        <w:rPr>
          <w:rFonts w:ascii="Century Gothic" w:hAnsi="Century Gothic"/>
        </w:rPr>
        <w:t xml:space="preserve">2.2.1 </w:t>
      </w:r>
      <w:r w:rsidR="00263CF5" w:rsidRPr="00FB3DFF">
        <w:rPr>
          <w:rFonts w:ascii="Century Gothic" w:hAnsi="Century Gothic"/>
        </w:rPr>
        <w:t>Environmental water use planning</w:t>
      </w:r>
      <w:bookmarkEnd w:id="12"/>
    </w:p>
    <w:p w:rsidR="00263CF5" w:rsidRPr="00FB3DFF" w:rsidRDefault="00263CF5" w:rsidP="00FB3DFF">
      <w:pPr>
        <w:pStyle w:val="ListBullet"/>
        <w:numPr>
          <w:ilvl w:val="0"/>
          <w:numId w:val="0"/>
        </w:numPr>
        <w:ind w:left="710"/>
        <w:rPr>
          <w:rFonts w:ascii="Century Gothic" w:hAnsi="Century Gothic"/>
        </w:rPr>
      </w:pPr>
      <w:r w:rsidRPr="00FB3DFF">
        <w:rPr>
          <w:rFonts w:ascii="Century Gothic" w:hAnsi="Century Gothic"/>
        </w:rPr>
        <w:t>The Office undertakes annual planning for managing Commonwealth environmental water. Annual planning provides a robust information base to support decision-making throughout the year and ensures Commonwealth environmental water use is efficient and effective.</w:t>
      </w:r>
    </w:p>
    <w:p w:rsidR="00B65142" w:rsidRPr="00FB3DFF" w:rsidRDefault="00B65142" w:rsidP="00FB3DFF">
      <w:pPr>
        <w:spacing w:after="0"/>
        <w:ind w:left="0"/>
        <w:rPr>
          <w:rFonts w:ascii="Century Gothic" w:eastAsia="Calibri" w:hAnsi="Century Gothic"/>
          <w:color w:val="auto"/>
          <w:sz w:val="22"/>
          <w:szCs w:val="22"/>
          <w:lang w:eastAsia="en-US"/>
        </w:rPr>
      </w:pPr>
      <w:r w:rsidRPr="00FB3DFF">
        <w:rPr>
          <w:rFonts w:ascii="Century Gothic" w:hAnsi="Century Gothic"/>
        </w:rPr>
        <w:br w:type="page"/>
      </w:r>
    </w:p>
    <w:p w:rsidR="00263CF5" w:rsidRPr="00FB3DFF" w:rsidRDefault="00263CF5" w:rsidP="00FB3DFF">
      <w:pPr>
        <w:pStyle w:val="ListBullet"/>
        <w:numPr>
          <w:ilvl w:val="0"/>
          <w:numId w:val="0"/>
        </w:numPr>
        <w:ind w:left="710"/>
        <w:rPr>
          <w:rFonts w:ascii="Century Gothic" w:hAnsi="Century Gothic"/>
        </w:rPr>
      </w:pPr>
      <w:r w:rsidRPr="00FB3DFF">
        <w:rPr>
          <w:rFonts w:ascii="Century Gothic" w:hAnsi="Century Gothic"/>
        </w:rPr>
        <w:t xml:space="preserve">The annual planning process identifies a range of potential options for water use to contribute to </w:t>
      </w:r>
      <w:r w:rsidR="00D438E2" w:rsidRPr="00FB3DFF">
        <w:rPr>
          <w:rFonts w:ascii="Century Gothic" w:hAnsi="Century Gothic"/>
        </w:rPr>
        <w:t xml:space="preserve">environmental demands. This is done in consultation with Basin State agencies, other environmental water managers, local groups (such as catchment management authorities, natural resource management boards and environmental water advisory groups) and landholders. </w:t>
      </w:r>
      <w:r w:rsidRPr="00FB3DFF">
        <w:rPr>
          <w:rFonts w:ascii="Century Gothic" w:hAnsi="Century Gothic"/>
        </w:rPr>
        <w:t xml:space="preserve">These options are then provided as input to the Authority’s development of the Basin annual environmental watering priorities. </w:t>
      </w:r>
    </w:p>
    <w:p w:rsidR="00263CF5" w:rsidRPr="00FB3DFF" w:rsidRDefault="00263CF5" w:rsidP="00FB3DFF">
      <w:pPr>
        <w:pStyle w:val="ListBullet"/>
        <w:numPr>
          <w:ilvl w:val="0"/>
          <w:numId w:val="0"/>
        </w:numPr>
        <w:ind w:left="710"/>
        <w:rPr>
          <w:rFonts w:ascii="Century Gothic" w:hAnsi="Century Gothic"/>
        </w:rPr>
      </w:pPr>
      <w:r w:rsidRPr="00FB3DFF">
        <w:rPr>
          <w:rFonts w:ascii="Century Gothic" w:hAnsi="Century Gothic"/>
        </w:rPr>
        <w:t>Annual Water Use Options are published for each region of the Basin where the Commonwealth holds water. In 2013–14, the Office will publish Annual Water Use Options documents for 10 regions. The Annual Water Use Options consider the environmental watering requirements of a range of environmental assets, including in connected (downstream) systems.</w:t>
      </w:r>
    </w:p>
    <w:p w:rsidR="00BB3E76" w:rsidRPr="00FB3DFF" w:rsidRDefault="00BB3E76" w:rsidP="00FB3DFF">
      <w:pPr>
        <w:pStyle w:val="BPHeading3Left127cmFirstline0cm"/>
        <w:rPr>
          <w:rFonts w:ascii="Century Gothic" w:hAnsi="Century Gothic"/>
        </w:rPr>
      </w:pPr>
      <w:bookmarkStart w:id="14" w:name="_Toc333227689"/>
      <w:bookmarkStart w:id="15" w:name="_Toc371409440"/>
      <w:bookmarkEnd w:id="13"/>
      <w:r w:rsidRPr="00FB3DFF">
        <w:rPr>
          <w:rFonts w:ascii="Century Gothic" w:hAnsi="Century Gothic"/>
        </w:rPr>
        <w:t>2.2.2</w:t>
      </w:r>
      <w:r w:rsidRPr="00FB3DFF">
        <w:rPr>
          <w:rFonts w:ascii="Century Gothic" w:hAnsi="Century Gothic"/>
        </w:rPr>
        <w:tab/>
      </w:r>
      <w:bookmarkEnd w:id="14"/>
      <w:r w:rsidR="00364409" w:rsidRPr="00FB3DFF">
        <w:rPr>
          <w:rFonts w:ascii="Century Gothic" w:hAnsi="Century Gothic"/>
        </w:rPr>
        <w:t>Decisions on Commonwealth environmental water use</w:t>
      </w:r>
      <w:bookmarkEnd w:id="15"/>
    </w:p>
    <w:p w:rsidR="0047467C" w:rsidRPr="00FB3DFF" w:rsidRDefault="00364409" w:rsidP="00FB3DFF">
      <w:pPr>
        <w:pStyle w:val="ListNumber2"/>
        <w:numPr>
          <w:ilvl w:val="0"/>
          <w:numId w:val="0"/>
        </w:numPr>
        <w:ind w:left="738"/>
        <w:rPr>
          <w:rFonts w:ascii="Century Gothic" w:hAnsi="Century Gothic"/>
        </w:rPr>
      </w:pPr>
      <w:r w:rsidRPr="00FB3DFF">
        <w:rPr>
          <w:rFonts w:ascii="Century Gothic" w:hAnsi="Century Gothic"/>
        </w:rPr>
        <w:t xml:space="preserve">As climate and flow conditions unfold throughout the year, the </w:t>
      </w:r>
      <w:r w:rsidR="006C5135">
        <w:rPr>
          <w:rFonts w:ascii="Century Gothic" w:hAnsi="Century Gothic"/>
        </w:rPr>
        <w:t>CEWH</w:t>
      </w:r>
      <w:r w:rsidRPr="00FB3DFF">
        <w:rPr>
          <w:rFonts w:ascii="Century Gothic" w:hAnsi="Century Gothic"/>
        </w:rPr>
        <w:t xml:space="preserve"> makes decisions to make water available for a particular environmental use. This decision making process is </w:t>
      </w:r>
      <w:r w:rsidR="00D41906" w:rsidRPr="00FB3DFF">
        <w:rPr>
          <w:rFonts w:ascii="Century Gothic" w:hAnsi="Century Gothic"/>
        </w:rPr>
        <w:t>guided</w:t>
      </w:r>
      <w:r w:rsidRPr="00FB3DFF">
        <w:rPr>
          <w:rFonts w:ascii="Century Gothic" w:hAnsi="Century Gothic"/>
        </w:rPr>
        <w:t xml:space="preserve"> by the potential watering options identified by the </w:t>
      </w:r>
      <w:r w:rsidR="00D41906" w:rsidRPr="00FB3DFF">
        <w:rPr>
          <w:rFonts w:ascii="Century Gothic" w:hAnsi="Century Gothic"/>
        </w:rPr>
        <w:t xml:space="preserve">Office and by </w:t>
      </w:r>
      <w:r w:rsidR="0047467C" w:rsidRPr="00FB3DFF">
        <w:rPr>
          <w:rFonts w:ascii="Century Gothic" w:hAnsi="Century Gothic" w:cs="Arial"/>
          <w:color w:val="231F20"/>
        </w:rPr>
        <w:t xml:space="preserve">the </w:t>
      </w:r>
      <w:r w:rsidR="0047467C" w:rsidRPr="00FB3DFF">
        <w:rPr>
          <w:rFonts w:ascii="Century Gothic" w:hAnsi="Century Gothic" w:cs="Arial"/>
          <w:i/>
          <w:iCs/>
          <w:color w:val="231F20"/>
        </w:rPr>
        <w:t>Framework for determining Commonwealth environmental watering actions</w:t>
      </w:r>
      <w:r w:rsidR="0047467C" w:rsidRPr="00FB3DFF">
        <w:rPr>
          <w:rFonts w:ascii="Century Gothic" w:hAnsi="Century Gothic" w:cs="Arial"/>
          <w:color w:val="231F20"/>
        </w:rPr>
        <w:t xml:space="preserve"> available at: </w:t>
      </w:r>
      <w:hyperlink r:id="rId15" w:history="1">
        <w:r w:rsidR="00166E62" w:rsidRPr="00F576DD">
          <w:rPr>
            <w:rStyle w:val="Hyperlink"/>
            <w:rFonts w:ascii="Century Gothic" w:hAnsi="Century Gothic" w:cs="Arial"/>
          </w:rPr>
          <w:t>http://www.environment.gov.au/resource/framework-determining-commonwealth-environmental-water-use</w:t>
        </w:r>
      </w:hyperlink>
      <w:hyperlink r:id="rId16" w:history="1"/>
      <w:r w:rsidR="0047467C" w:rsidRPr="00FB3DFF">
        <w:rPr>
          <w:rFonts w:ascii="Century Gothic" w:hAnsi="Century Gothic" w:cs="Arial"/>
          <w:color w:val="231F20"/>
        </w:rPr>
        <w:t xml:space="preserve">. Under the framework, potential watering actions are assessed against the following criteria: </w:t>
      </w:r>
    </w:p>
    <w:p w:rsidR="0047467C" w:rsidRPr="00FB3DFF" w:rsidRDefault="0047467C" w:rsidP="00FB3DFF">
      <w:pPr>
        <w:pStyle w:val="Bullet6"/>
        <w:tabs>
          <w:tab w:val="clear" w:pos="360"/>
        </w:tabs>
        <w:spacing w:after="240"/>
        <w:ind w:left="1080"/>
        <w:rPr>
          <w:rFonts w:ascii="Century Gothic" w:hAnsi="Century Gothic" w:cs="Arial"/>
          <w:sz w:val="22"/>
          <w:szCs w:val="22"/>
        </w:rPr>
      </w:pPr>
      <w:r w:rsidRPr="00FB3DFF">
        <w:rPr>
          <w:rFonts w:ascii="Century Gothic" w:hAnsi="Century Gothic" w:cs="Arial"/>
          <w:color w:val="231F20"/>
          <w:sz w:val="22"/>
          <w:szCs w:val="22"/>
        </w:rPr>
        <w:t>the ecological significance of the asset to be watered</w:t>
      </w:r>
    </w:p>
    <w:p w:rsidR="0047467C" w:rsidRPr="00FB3DFF" w:rsidRDefault="0047467C" w:rsidP="00FB3DFF">
      <w:pPr>
        <w:pStyle w:val="Bullet6"/>
        <w:tabs>
          <w:tab w:val="clear" w:pos="360"/>
        </w:tabs>
        <w:spacing w:after="240"/>
        <w:ind w:left="1080"/>
        <w:rPr>
          <w:rFonts w:ascii="Century Gothic" w:hAnsi="Century Gothic" w:cs="Arial"/>
          <w:sz w:val="22"/>
          <w:szCs w:val="22"/>
        </w:rPr>
      </w:pPr>
      <w:r w:rsidRPr="00FB3DFF">
        <w:rPr>
          <w:rFonts w:ascii="Century Gothic" w:hAnsi="Century Gothic" w:cs="Arial"/>
          <w:color w:val="231F20"/>
          <w:sz w:val="22"/>
          <w:szCs w:val="22"/>
        </w:rPr>
        <w:t>the expected ecological outcomes from the proposed watering action;</w:t>
      </w:r>
    </w:p>
    <w:p w:rsidR="0047467C" w:rsidRPr="00FB3DFF" w:rsidRDefault="0047467C" w:rsidP="00FB3DFF">
      <w:pPr>
        <w:pStyle w:val="Bullet6"/>
        <w:tabs>
          <w:tab w:val="clear" w:pos="360"/>
        </w:tabs>
        <w:spacing w:after="240"/>
        <w:ind w:left="1080"/>
        <w:rPr>
          <w:rFonts w:ascii="Century Gothic" w:hAnsi="Century Gothic" w:cs="Arial"/>
          <w:sz w:val="22"/>
          <w:szCs w:val="22"/>
        </w:rPr>
      </w:pPr>
      <w:r w:rsidRPr="00FB3DFF">
        <w:rPr>
          <w:rFonts w:ascii="Century Gothic" w:hAnsi="Century Gothic" w:cs="Arial"/>
          <w:color w:val="231F20"/>
          <w:sz w:val="22"/>
          <w:szCs w:val="22"/>
        </w:rPr>
        <w:t>the potential risks of the proposed watering action at the site and at connected locations</w:t>
      </w:r>
    </w:p>
    <w:p w:rsidR="0047467C" w:rsidRPr="00FB3DFF" w:rsidRDefault="0047467C" w:rsidP="00FB3DFF">
      <w:pPr>
        <w:pStyle w:val="Bullet6"/>
        <w:tabs>
          <w:tab w:val="clear" w:pos="360"/>
        </w:tabs>
        <w:spacing w:after="240"/>
        <w:ind w:left="1080"/>
        <w:rPr>
          <w:rFonts w:ascii="Century Gothic" w:hAnsi="Century Gothic" w:cs="Arial"/>
          <w:sz w:val="22"/>
          <w:szCs w:val="22"/>
        </w:rPr>
      </w:pPr>
      <w:r w:rsidRPr="00FB3DFF">
        <w:rPr>
          <w:rFonts w:ascii="Century Gothic" w:hAnsi="Century Gothic" w:cs="Arial"/>
          <w:color w:val="231F20"/>
          <w:sz w:val="22"/>
          <w:szCs w:val="22"/>
        </w:rPr>
        <w:t>the long-term sustainability of the asset, including appropriate management arrangements</w:t>
      </w:r>
    </w:p>
    <w:p w:rsidR="0047467C" w:rsidRPr="00FB3DFF" w:rsidRDefault="0047467C" w:rsidP="00FB3DFF">
      <w:pPr>
        <w:pStyle w:val="Bullet6"/>
        <w:tabs>
          <w:tab w:val="clear" w:pos="360"/>
        </w:tabs>
        <w:spacing w:after="240"/>
        <w:ind w:left="1080"/>
        <w:rPr>
          <w:rFonts w:ascii="Century Gothic" w:hAnsi="Century Gothic" w:cs="Arial"/>
          <w:sz w:val="22"/>
          <w:szCs w:val="22"/>
        </w:rPr>
      </w:pPr>
      <w:r w:rsidRPr="00FB3DFF">
        <w:rPr>
          <w:rFonts w:ascii="Century Gothic" w:hAnsi="Century Gothic" w:cs="Arial"/>
          <w:color w:val="231F20"/>
          <w:sz w:val="22"/>
          <w:szCs w:val="22"/>
        </w:rPr>
        <w:t>the cost-effectiveness and operational feasibility of undertaking the watering.</w:t>
      </w:r>
    </w:p>
    <w:p w:rsidR="00D40B14" w:rsidRPr="00FB3DFF" w:rsidRDefault="00D40B14" w:rsidP="00FB3DFF">
      <w:pPr>
        <w:pStyle w:val="ListBullet"/>
        <w:numPr>
          <w:ilvl w:val="0"/>
          <w:numId w:val="0"/>
        </w:numPr>
        <w:ind w:left="710"/>
        <w:rPr>
          <w:rFonts w:ascii="Century Gothic" w:hAnsi="Century Gothic"/>
        </w:rPr>
      </w:pPr>
      <w:r w:rsidRPr="00FB3DFF">
        <w:rPr>
          <w:rFonts w:ascii="Century Gothic" w:hAnsi="Century Gothic"/>
        </w:rPr>
        <w:t xml:space="preserve">In making decisions on Commonwealth environmental water use, local expertise and advice from the Commonwealth Environmental Water Scientific Advisory Panel and river operators is also obtained, including on the environmental need, current conditions and potential delivery arrangements.   </w:t>
      </w:r>
    </w:p>
    <w:p w:rsidR="00B65142" w:rsidRPr="00FB3DFF" w:rsidRDefault="00D40B14" w:rsidP="00FB3DFF">
      <w:pPr>
        <w:pStyle w:val="ListBullet"/>
        <w:numPr>
          <w:ilvl w:val="0"/>
          <w:numId w:val="0"/>
        </w:numPr>
        <w:ind w:left="710"/>
        <w:rPr>
          <w:rFonts w:ascii="Century Gothic" w:hAnsi="Century Gothic"/>
        </w:rPr>
      </w:pPr>
      <w:r w:rsidRPr="00FB3DFF">
        <w:rPr>
          <w:rFonts w:ascii="Century Gothic" w:hAnsi="Century Gothic"/>
        </w:rPr>
        <w:t>In addition, the Commonwealth Environmental Water Stakeholder Reference Panel also provides guidance and advice about local and community interests in the use and management of Commonwealth environmental water.</w:t>
      </w:r>
    </w:p>
    <w:p w:rsidR="00B65142" w:rsidRPr="00FB3DFF" w:rsidRDefault="00B65142" w:rsidP="00FB3DFF">
      <w:pPr>
        <w:spacing w:after="0"/>
        <w:ind w:left="0"/>
        <w:rPr>
          <w:rFonts w:ascii="Century Gothic" w:eastAsia="Calibri" w:hAnsi="Century Gothic"/>
          <w:color w:val="auto"/>
          <w:sz w:val="22"/>
          <w:szCs w:val="22"/>
          <w:lang w:eastAsia="en-US"/>
        </w:rPr>
      </w:pPr>
      <w:r w:rsidRPr="00FB3DFF">
        <w:rPr>
          <w:rFonts w:ascii="Century Gothic" w:hAnsi="Century Gothic"/>
        </w:rPr>
        <w:br w:type="page"/>
      </w:r>
    </w:p>
    <w:p w:rsidR="00364409" w:rsidRPr="00FB3DFF" w:rsidRDefault="00364409" w:rsidP="00FB3DFF">
      <w:pPr>
        <w:pStyle w:val="BPHeading3Left127cmFirstline0cm"/>
        <w:rPr>
          <w:rFonts w:ascii="Century Gothic" w:hAnsi="Century Gothic"/>
        </w:rPr>
      </w:pPr>
      <w:bookmarkStart w:id="16" w:name="_Toc333227690"/>
      <w:bookmarkStart w:id="17" w:name="_Toc371409441"/>
      <w:bookmarkStart w:id="18" w:name="_Toc333227691"/>
      <w:r w:rsidRPr="00FB3DFF">
        <w:rPr>
          <w:rFonts w:ascii="Century Gothic" w:hAnsi="Century Gothic"/>
        </w:rPr>
        <w:t>2.2.3</w:t>
      </w:r>
      <w:r w:rsidRPr="00FB3DFF">
        <w:rPr>
          <w:rFonts w:ascii="Century Gothic" w:hAnsi="Century Gothic"/>
        </w:rPr>
        <w:tab/>
      </w:r>
      <w:bookmarkEnd w:id="16"/>
      <w:r w:rsidR="00D40B14" w:rsidRPr="00FB3DFF">
        <w:rPr>
          <w:rFonts w:ascii="Century Gothic" w:hAnsi="Century Gothic"/>
          <w:szCs w:val="22"/>
        </w:rPr>
        <w:t>Environmental water delivery</w:t>
      </w:r>
      <w:bookmarkEnd w:id="17"/>
    </w:p>
    <w:bookmarkEnd w:id="18"/>
    <w:p w:rsidR="007E7B73" w:rsidRPr="00FB3DFF" w:rsidRDefault="00BB3E76"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Following decisions on use, </w:t>
      </w:r>
      <w:r w:rsidR="005341A6" w:rsidRPr="00FB3DFF">
        <w:rPr>
          <w:rFonts w:ascii="Century Gothic" w:hAnsi="Century Gothic"/>
          <w:sz w:val="22"/>
          <w:szCs w:val="22"/>
        </w:rPr>
        <w:t xml:space="preserve">the Office </w:t>
      </w:r>
      <w:r w:rsidRPr="00FB3DFF">
        <w:rPr>
          <w:rFonts w:ascii="Century Gothic" w:hAnsi="Century Gothic"/>
          <w:sz w:val="22"/>
          <w:szCs w:val="22"/>
        </w:rPr>
        <w:t xml:space="preserve">will enter into arrangements with the relevant Basin state governments, and with other environmental water holders, managers or catchment management authorities, to </w:t>
      </w:r>
      <w:r w:rsidR="007E7B73" w:rsidRPr="00FB3DFF">
        <w:rPr>
          <w:rFonts w:ascii="Century Gothic" w:hAnsi="Century Gothic"/>
          <w:sz w:val="22"/>
          <w:szCs w:val="22"/>
        </w:rPr>
        <w:t>arrange for</w:t>
      </w:r>
      <w:r w:rsidRPr="00FB3DFF">
        <w:rPr>
          <w:rFonts w:ascii="Century Gothic" w:hAnsi="Century Gothic"/>
          <w:sz w:val="22"/>
          <w:szCs w:val="22"/>
        </w:rPr>
        <w:t xml:space="preserve"> delivery of water </w:t>
      </w:r>
      <w:r w:rsidR="007E7B73" w:rsidRPr="00FB3DFF">
        <w:rPr>
          <w:rFonts w:ascii="Century Gothic" w:hAnsi="Century Gothic"/>
          <w:sz w:val="22"/>
          <w:szCs w:val="22"/>
        </w:rPr>
        <w:t>to</w:t>
      </w:r>
      <w:r w:rsidRPr="00FB3DFF">
        <w:rPr>
          <w:rFonts w:ascii="Century Gothic" w:hAnsi="Century Gothic"/>
          <w:sz w:val="22"/>
          <w:szCs w:val="22"/>
        </w:rPr>
        <w:t xml:space="preserve"> the environment. </w:t>
      </w:r>
    </w:p>
    <w:p w:rsidR="00D04FDB" w:rsidRPr="00FB3DFF" w:rsidRDefault="00D04FDB" w:rsidP="00FB3DFF">
      <w:pPr>
        <w:pStyle w:val="BPBodyTextArialJustified"/>
        <w:jc w:val="left"/>
        <w:rPr>
          <w:rFonts w:ascii="Century Gothic" w:hAnsi="Century Gothic"/>
          <w:sz w:val="22"/>
          <w:szCs w:val="22"/>
        </w:rPr>
      </w:pPr>
      <w:r w:rsidRPr="00FB3DFF">
        <w:rPr>
          <w:rFonts w:ascii="Century Gothic" w:hAnsi="Century Gothic"/>
          <w:sz w:val="22"/>
          <w:szCs w:val="22"/>
        </w:rPr>
        <w:t>Water delivery is usually undertaken by river operators or irrigation corporations</w:t>
      </w:r>
      <w:r w:rsidR="00745440" w:rsidRPr="00FB3DFF">
        <w:rPr>
          <w:rFonts w:ascii="Century Gothic" w:hAnsi="Century Gothic"/>
          <w:sz w:val="22"/>
          <w:szCs w:val="22"/>
        </w:rPr>
        <w:t xml:space="preserve">. They are responsible for all water deliveries, whether environmental or consumptive, and must operate in accordance with the rules and regulations governing the delivery of water in each water </w:t>
      </w:r>
      <w:r w:rsidR="00D86795" w:rsidRPr="00FB3DFF">
        <w:rPr>
          <w:rFonts w:ascii="Century Gothic" w:hAnsi="Century Gothic"/>
          <w:sz w:val="22"/>
          <w:szCs w:val="22"/>
        </w:rPr>
        <w:t>source. There</w:t>
      </w:r>
      <w:r w:rsidRPr="00FB3DFF">
        <w:rPr>
          <w:rFonts w:ascii="Century Gothic" w:hAnsi="Century Gothic"/>
          <w:sz w:val="22"/>
          <w:szCs w:val="22"/>
        </w:rPr>
        <w:t xml:space="preserve"> are some circumstances under which the Office can arrange direct delivery of the water. </w:t>
      </w:r>
    </w:p>
    <w:p w:rsidR="00D40B14" w:rsidRPr="00FB3DFF" w:rsidRDefault="00D40B14" w:rsidP="00FB3DFF">
      <w:pPr>
        <w:pStyle w:val="BPHeading3Left127cmFirstline0cm"/>
        <w:rPr>
          <w:rFonts w:ascii="Century Gothic" w:hAnsi="Century Gothic"/>
        </w:rPr>
      </w:pPr>
      <w:bookmarkStart w:id="19" w:name="_Toc371409442"/>
      <w:r w:rsidRPr="00FB3DFF">
        <w:rPr>
          <w:rFonts w:ascii="Century Gothic" w:hAnsi="Century Gothic"/>
        </w:rPr>
        <w:t>2.2.4</w:t>
      </w:r>
      <w:r w:rsidRPr="00FB3DFF">
        <w:rPr>
          <w:rFonts w:ascii="Century Gothic" w:hAnsi="Century Gothic"/>
        </w:rPr>
        <w:tab/>
        <w:t>Monitoring, evaluation, reporting and improvement</w:t>
      </w:r>
      <w:bookmarkEnd w:id="19"/>
    </w:p>
    <w:p w:rsidR="0068122F" w:rsidRPr="00FB3DFF" w:rsidRDefault="00F8145C"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Office </w:t>
      </w:r>
      <w:r w:rsidR="0068122F" w:rsidRPr="00FB3DFF">
        <w:rPr>
          <w:rFonts w:ascii="Century Gothic" w:hAnsi="Century Gothic"/>
          <w:sz w:val="22"/>
          <w:szCs w:val="22"/>
        </w:rPr>
        <w:t>has a monitoring and evaluation program in place to:</w:t>
      </w:r>
    </w:p>
    <w:p w:rsidR="0068122F" w:rsidRPr="006A79EA" w:rsidRDefault="0068122F"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 xml:space="preserve">demonstrate that Commonwealth environmental water is being managed well </w:t>
      </w:r>
    </w:p>
    <w:p w:rsidR="0068122F" w:rsidRPr="006A79EA" w:rsidRDefault="0068122F"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 xml:space="preserve">demonstrate ecological outcomes </w:t>
      </w:r>
    </w:p>
    <w:p w:rsidR="0068122F" w:rsidRPr="006A79EA" w:rsidRDefault="0068122F"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help managers of environmental water learn from experience and improve the delivery of water over time.</w:t>
      </w:r>
    </w:p>
    <w:p w:rsidR="00783430" w:rsidRPr="00FB3DFF" w:rsidRDefault="00F52C99" w:rsidP="00FB3DFF">
      <w:pPr>
        <w:pStyle w:val="BPBodyTextArialJustified"/>
        <w:jc w:val="left"/>
        <w:rPr>
          <w:rFonts w:ascii="Century Gothic" w:hAnsi="Century Gothic" w:cs="Arial"/>
          <w:color w:val="auto"/>
          <w:sz w:val="22"/>
          <w:szCs w:val="22"/>
        </w:rPr>
      </w:pPr>
      <w:r w:rsidRPr="00FB3DFF">
        <w:rPr>
          <w:rFonts w:ascii="Century Gothic" w:hAnsi="Century Gothic"/>
          <w:sz w:val="22"/>
          <w:szCs w:val="22"/>
        </w:rPr>
        <w:t xml:space="preserve">We have designed our monitoring program </w:t>
      </w:r>
      <w:r w:rsidR="00C76EBC" w:rsidRPr="00FB3DFF">
        <w:rPr>
          <w:rFonts w:ascii="Century Gothic" w:hAnsi="Century Gothic"/>
          <w:sz w:val="22"/>
          <w:szCs w:val="22"/>
        </w:rPr>
        <w:t xml:space="preserve">so that it complements the work of other organisations that are </w:t>
      </w:r>
      <w:r w:rsidRPr="00FB3DFF">
        <w:rPr>
          <w:rFonts w:ascii="Century Gothic" w:hAnsi="Century Gothic"/>
          <w:sz w:val="22"/>
          <w:szCs w:val="22"/>
        </w:rPr>
        <w:t>investing in mon</w:t>
      </w:r>
      <w:r w:rsidR="00C76EBC" w:rsidRPr="00FB3DFF">
        <w:rPr>
          <w:rFonts w:ascii="Century Gothic" w:hAnsi="Century Gothic"/>
          <w:sz w:val="22"/>
          <w:szCs w:val="22"/>
        </w:rPr>
        <w:t xml:space="preserve">itoring of environment outcomes. </w:t>
      </w:r>
    </w:p>
    <w:p w:rsidR="00BB3E76" w:rsidRPr="00FB3DFF" w:rsidRDefault="000B76A5"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Office’s </w:t>
      </w:r>
      <w:r w:rsidR="0068122F" w:rsidRPr="00FB3DFF">
        <w:rPr>
          <w:rFonts w:ascii="Century Gothic" w:hAnsi="Century Gothic"/>
          <w:sz w:val="22"/>
          <w:szCs w:val="22"/>
        </w:rPr>
        <w:t xml:space="preserve">Monitoring and evaluation activities </w:t>
      </w:r>
      <w:r w:rsidR="00000564" w:rsidRPr="00FB3DFF">
        <w:rPr>
          <w:rFonts w:ascii="Century Gothic" w:hAnsi="Century Gothic"/>
          <w:sz w:val="22"/>
          <w:szCs w:val="22"/>
        </w:rPr>
        <w:t>are</w:t>
      </w:r>
      <w:r w:rsidR="0068122F" w:rsidRPr="00FB3DFF">
        <w:rPr>
          <w:rFonts w:ascii="Century Gothic" w:hAnsi="Century Gothic"/>
          <w:sz w:val="22"/>
          <w:szCs w:val="22"/>
        </w:rPr>
        <w:t xml:space="preserve"> guided by the</w:t>
      </w:r>
      <w:r w:rsidR="0068122F" w:rsidRPr="00FB3DFF">
        <w:rPr>
          <w:rFonts w:ascii="Century Gothic" w:hAnsi="Century Gothic"/>
          <w:sz w:val="22"/>
          <w:szCs w:val="22"/>
        </w:rPr>
        <w:tab/>
      </w:r>
      <w:r w:rsidR="00000564" w:rsidRPr="00FB3DFF">
        <w:rPr>
          <w:rFonts w:ascii="Century Gothic" w:hAnsi="Century Gothic" w:cs="Arial"/>
          <w:i/>
          <w:sz w:val="22"/>
          <w:szCs w:val="22"/>
        </w:rPr>
        <w:t xml:space="preserve"> </w:t>
      </w:r>
      <w:r w:rsidR="00BB3E76" w:rsidRPr="00FB3DFF">
        <w:rPr>
          <w:rFonts w:ascii="Century Gothic" w:hAnsi="Century Gothic" w:cs="Arial"/>
          <w:i/>
          <w:sz w:val="22"/>
          <w:szCs w:val="22"/>
        </w:rPr>
        <w:t>The</w:t>
      </w:r>
      <w:r w:rsidR="00BB3E76" w:rsidRPr="00FB3DFF">
        <w:rPr>
          <w:rFonts w:ascii="Century Gothic" w:hAnsi="Century Gothic" w:cs="Arial"/>
          <w:sz w:val="22"/>
          <w:szCs w:val="22"/>
        </w:rPr>
        <w:t xml:space="preserve"> </w:t>
      </w:r>
      <w:r w:rsidR="00BB3E76" w:rsidRPr="00FB3DFF">
        <w:rPr>
          <w:rFonts w:ascii="Century Gothic" w:hAnsi="Century Gothic" w:cs="Arial"/>
          <w:i/>
          <w:sz w:val="22"/>
          <w:szCs w:val="22"/>
        </w:rPr>
        <w:t>Commonwealth Environmental Water - Monitoring, Evaluation, Reporting and Improvement Framework</w:t>
      </w:r>
      <w:r w:rsidR="00BB3E76" w:rsidRPr="00FB3DFF">
        <w:rPr>
          <w:rFonts w:ascii="Century Gothic" w:hAnsi="Century Gothic" w:cs="Arial"/>
          <w:sz w:val="22"/>
          <w:szCs w:val="22"/>
        </w:rPr>
        <w:t xml:space="preserve"> </w:t>
      </w:r>
      <w:r w:rsidR="00000564" w:rsidRPr="00FB3DFF">
        <w:rPr>
          <w:rFonts w:ascii="Century Gothic" w:hAnsi="Century Gothic" w:cs="Arial"/>
          <w:sz w:val="22"/>
          <w:szCs w:val="22"/>
        </w:rPr>
        <w:t>which</w:t>
      </w:r>
      <w:r w:rsidR="00166E62">
        <w:rPr>
          <w:rFonts w:ascii="Century Gothic" w:hAnsi="Century Gothic" w:cs="Arial"/>
          <w:sz w:val="22"/>
          <w:szCs w:val="22"/>
        </w:rPr>
        <w:t xml:space="preserve"> can be found at </w:t>
      </w:r>
      <w:hyperlink r:id="rId17" w:history="1">
        <w:r w:rsidR="00166E62" w:rsidRPr="00F576DD">
          <w:rPr>
            <w:rStyle w:val="Hyperlink"/>
            <w:rFonts w:ascii="Century Gothic" w:hAnsi="Century Gothic" w:cs="Arial"/>
            <w:sz w:val="22"/>
            <w:szCs w:val="22"/>
          </w:rPr>
          <w:t>http://www.environment.gov.au/resource/commonwealth-environmental-water-monitoring-evaluation-reporting-and-improvement-framework</w:t>
        </w:r>
      </w:hyperlink>
      <w:r w:rsidR="00166E62">
        <w:rPr>
          <w:rFonts w:ascii="Century Gothic" w:hAnsi="Century Gothic" w:cs="Arial"/>
          <w:sz w:val="22"/>
          <w:szCs w:val="22"/>
        </w:rPr>
        <w:t xml:space="preserve"> </w:t>
      </w:r>
    </w:p>
    <w:p w:rsidR="00BB3E76" w:rsidRPr="00FB3DFF" w:rsidRDefault="00BB3E76" w:rsidP="00FB3DFF">
      <w:pPr>
        <w:rPr>
          <w:rFonts w:ascii="Century Gothic" w:hAnsi="Century Gothic" w:cs="Arial"/>
          <w:color w:val="231F20"/>
          <w:sz w:val="22"/>
          <w:szCs w:val="22"/>
        </w:rPr>
      </w:pPr>
      <w:r w:rsidRPr="00FB3DFF">
        <w:rPr>
          <w:rFonts w:ascii="Century Gothic" w:hAnsi="Century Gothic" w:cs="Arial"/>
          <w:color w:val="231F20"/>
          <w:sz w:val="22"/>
          <w:szCs w:val="22"/>
        </w:rPr>
        <w:t xml:space="preserve">The framework will be amended over time and is intended to provide a broad overview of how </w:t>
      </w:r>
      <w:r w:rsidR="008A35BF" w:rsidRPr="00FB3DFF">
        <w:rPr>
          <w:rFonts w:ascii="Century Gothic" w:hAnsi="Century Gothic" w:cs="Arial"/>
          <w:color w:val="231F20"/>
          <w:sz w:val="22"/>
          <w:szCs w:val="22"/>
        </w:rPr>
        <w:t>the Office</w:t>
      </w:r>
      <w:r w:rsidRPr="00FB3DFF">
        <w:rPr>
          <w:rFonts w:ascii="Century Gothic" w:hAnsi="Century Gothic" w:cs="Arial"/>
          <w:color w:val="231F20"/>
          <w:sz w:val="22"/>
          <w:szCs w:val="22"/>
        </w:rPr>
        <w:t xml:space="preserve"> will approach monitoring, evaluation, reporting and improvement activities. Feedback and suggestions about the framework are welcome. </w:t>
      </w:r>
    </w:p>
    <w:p w:rsidR="00BB3E76" w:rsidRPr="00FB3DFF" w:rsidRDefault="000B76A5" w:rsidP="00FB3DFF">
      <w:pPr>
        <w:rPr>
          <w:rFonts w:ascii="Century Gothic" w:hAnsi="Century Gothic" w:cs="Arial"/>
          <w:color w:val="231F20"/>
          <w:sz w:val="22"/>
          <w:szCs w:val="22"/>
        </w:rPr>
      </w:pPr>
      <w:r w:rsidRPr="00FB3DFF">
        <w:rPr>
          <w:rFonts w:ascii="Century Gothic" w:hAnsi="Century Gothic" w:cs="Arial"/>
          <w:color w:val="231F20"/>
          <w:sz w:val="22"/>
          <w:szCs w:val="22"/>
        </w:rPr>
        <w:t>K</w:t>
      </w:r>
      <w:r w:rsidR="00BB3E76" w:rsidRPr="00FB3DFF">
        <w:rPr>
          <w:rFonts w:ascii="Century Gothic" w:hAnsi="Century Gothic" w:cs="Arial"/>
          <w:color w:val="231F20"/>
          <w:sz w:val="22"/>
          <w:szCs w:val="22"/>
        </w:rPr>
        <w:t xml:space="preserve">ey activities proposed for </w:t>
      </w:r>
      <w:r w:rsidR="00DC67BD" w:rsidRPr="00FB3DFF">
        <w:rPr>
          <w:rFonts w:ascii="Century Gothic" w:hAnsi="Century Gothic" w:cs="Arial"/>
          <w:color w:val="231F20"/>
          <w:sz w:val="22"/>
          <w:szCs w:val="22"/>
        </w:rPr>
        <w:t>2013-14</w:t>
      </w:r>
      <w:r w:rsidR="00BB3E76" w:rsidRPr="00FB3DFF">
        <w:rPr>
          <w:rFonts w:ascii="Century Gothic" w:hAnsi="Century Gothic" w:cs="Arial"/>
          <w:color w:val="231F20"/>
          <w:sz w:val="22"/>
          <w:szCs w:val="22"/>
        </w:rPr>
        <w:t xml:space="preserve"> </w:t>
      </w:r>
      <w:r w:rsidRPr="00FB3DFF">
        <w:rPr>
          <w:rFonts w:ascii="Century Gothic" w:hAnsi="Century Gothic" w:cs="Arial"/>
          <w:color w:val="231F20"/>
          <w:sz w:val="22"/>
          <w:szCs w:val="22"/>
        </w:rPr>
        <w:t>include</w:t>
      </w:r>
      <w:r w:rsidR="00BB3E76" w:rsidRPr="00FB3DFF">
        <w:rPr>
          <w:rFonts w:ascii="Century Gothic" w:hAnsi="Century Gothic" w:cs="Arial"/>
          <w:color w:val="231F20"/>
          <w:sz w:val="22"/>
          <w:szCs w:val="22"/>
        </w:rPr>
        <w:t>:</w:t>
      </w:r>
    </w:p>
    <w:p w:rsidR="00BB3E76" w:rsidRPr="00FB3DFF" w:rsidRDefault="00BE130F" w:rsidP="00FB3DFF">
      <w:pPr>
        <w:pStyle w:val="Heading4"/>
        <w:rPr>
          <w:rFonts w:ascii="Century Gothic" w:hAnsi="Century Gothic"/>
          <w:b w:val="0"/>
          <w:i/>
          <w:sz w:val="22"/>
          <w:szCs w:val="22"/>
        </w:rPr>
      </w:pPr>
      <w:r w:rsidRPr="00FB3DFF">
        <w:rPr>
          <w:rFonts w:ascii="Century Gothic" w:hAnsi="Century Gothic"/>
          <w:b w:val="0"/>
          <w:i/>
          <w:sz w:val="22"/>
          <w:szCs w:val="22"/>
        </w:rPr>
        <w:t>2.2.4</w:t>
      </w:r>
      <w:r w:rsidR="00BB3E76" w:rsidRPr="00FB3DFF">
        <w:rPr>
          <w:rFonts w:ascii="Century Gothic" w:hAnsi="Century Gothic"/>
          <w:b w:val="0"/>
          <w:i/>
          <w:sz w:val="22"/>
          <w:szCs w:val="22"/>
        </w:rPr>
        <w:t>.1</w:t>
      </w:r>
      <w:r w:rsidR="00BB3E76" w:rsidRPr="00FB3DFF">
        <w:rPr>
          <w:rFonts w:ascii="Century Gothic" w:hAnsi="Century Gothic"/>
          <w:b w:val="0"/>
          <w:i/>
          <w:sz w:val="22"/>
          <w:szCs w:val="22"/>
        </w:rPr>
        <w:tab/>
        <w:t>Operational monitoring</w:t>
      </w:r>
    </w:p>
    <w:p w:rsidR="00BB3E76" w:rsidRPr="00FB3DFF" w:rsidRDefault="00BB3E76"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Operational monitoring will continue to be implemented by delivery partners for all watering actions to ensure water is delivered as planned and to monitor immediate environmental responses. </w:t>
      </w:r>
    </w:p>
    <w:p w:rsidR="00B65142" w:rsidRPr="00FB3DFF" w:rsidRDefault="00B65142" w:rsidP="00FB3DFF">
      <w:pPr>
        <w:spacing w:after="0"/>
        <w:ind w:left="0"/>
        <w:rPr>
          <w:rFonts w:ascii="Century Gothic" w:hAnsi="Century Gothic"/>
          <w:sz w:val="22"/>
          <w:szCs w:val="22"/>
        </w:rPr>
      </w:pPr>
      <w:r w:rsidRPr="00FB3DFF">
        <w:rPr>
          <w:rFonts w:ascii="Century Gothic" w:hAnsi="Century Gothic"/>
          <w:sz w:val="22"/>
          <w:szCs w:val="22"/>
        </w:rPr>
        <w:br w:type="page"/>
      </w:r>
    </w:p>
    <w:p w:rsidR="00BB3E76" w:rsidRPr="00FB3DFF" w:rsidRDefault="00BE130F" w:rsidP="0023345F">
      <w:pPr>
        <w:pStyle w:val="Heading4"/>
        <w:ind w:left="1474" w:hanging="754"/>
        <w:rPr>
          <w:rFonts w:ascii="Century Gothic" w:hAnsi="Century Gothic"/>
          <w:b w:val="0"/>
          <w:i/>
          <w:sz w:val="22"/>
          <w:szCs w:val="22"/>
        </w:rPr>
      </w:pPr>
      <w:r w:rsidRPr="00FB3DFF">
        <w:rPr>
          <w:rFonts w:ascii="Century Gothic" w:hAnsi="Century Gothic"/>
          <w:b w:val="0"/>
          <w:i/>
          <w:sz w:val="22"/>
          <w:szCs w:val="22"/>
        </w:rPr>
        <w:t>2.2.4</w:t>
      </w:r>
      <w:r w:rsidR="00BB3E76" w:rsidRPr="00FB3DFF">
        <w:rPr>
          <w:rFonts w:ascii="Century Gothic" w:hAnsi="Century Gothic"/>
          <w:b w:val="0"/>
          <w:i/>
          <w:sz w:val="22"/>
          <w:szCs w:val="22"/>
        </w:rPr>
        <w:t>.2</w:t>
      </w:r>
      <w:r w:rsidR="00BB3E76" w:rsidRPr="00FB3DFF">
        <w:rPr>
          <w:rFonts w:ascii="Century Gothic" w:hAnsi="Century Gothic"/>
          <w:b w:val="0"/>
          <w:i/>
          <w:sz w:val="22"/>
          <w:szCs w:val="22"/>
        </w:rPr>
        <w:tab/>
        <w:t xml:space="preserve">Targeted </w:t>
      </w:r>
      <w:r w:rsidR="00000564" w:rsidRPr="00FB3DFF">
        <w:rPr>
          <w:rFonts w:ascii="Century Gothic" w:hAnsi="Century Gothic"/>
          <w:b w:val="0"/>
          <w:i/>
          <w:sz w:val="22"/>
          <w:szCs w:val="22"/>
        </w:rPr>
        <w:t xml:space="preserve">short term </w:t>
      </w:r>
      <w:r w:rsidR="00BB3E76" w:rsidRPr="00FB3DFF">
        <w:rPr>
          <w:rFonts w:ascii="Century Gothic" w:hAnsi="Century Gothic"/>
          <w:b w:val="0"/>
          <w:i/>
          <w:sz w:val="22"/>
          <w:szCs w:val="22"/>
        </w:rPr>
        <w:t>intervention monitoring of selected watering actions</w:t>
      </w:r>
    </w:p>
    <w:p w:rsidR="00000564" w:rsidRPr="00FB3DFF" w:rsidRDefault="00BB3E76"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Targeted intervention monitoring </w:t>
      </w:r>
      <w:r w:rsidR="00BB5316" w:rsidRPr="00FB3DFF">
        <w:rPr>
          <w:rFonts w:ascii="Century Gothic" w:hAnsi="Century Gothic"/>
          <w:sz w:val="22"/>
          <w:szCs w:val="22"/>
        </w:rPr>
        <w:t>is being undertaken</w:t>
      </w:r>
      <w:r w:rsidRPr="00FB3DFF">
        <w:rPr>
          <w:rFonts w:ascii="Century Gothic" w:hAnsi="Century Gothic"/>
          <w:sz w:val="22"/>
          <w:szCs w:val="22"/>
        </w:rPr>
        <w:t xml:space="preserve"> where there is a need to understand short term </w:t>
      </w:r>
      <w:r w:rsidR="00000564" w:rsidRPr="00FB3DFF">
        <w:rPr>
          <w:rFonts w:ascii="Century Gothic" w:hAnsi="Century Gothic"/>
          <w:sz w:val="22"/>
          <w:szCs w:val="22"/>
        </w:rPr>
        <w:t xml:space="preserve">(1-year) </w:t>
      </w:r>
      <w:r w:rsidRPr="00FB3DFF">
        <w:rPr>
          <w:rFonts w:ascii="Century Gothic" w:hAnsi="Century Gothic"/>
          <w:sz w:val="22"/>
          <w:szCs w:val="22"/>
        </w:rPr>
        <w:t>outcomes, inform annual planning and inform long term intensive monitoring.</w:t>
      </w:r>
      <w:r w:rsidR="00000564" w:rsidRPr="00FB3DFF">
        <w:rPr>
          <w:rFonts w:ascii="Century Gothic" w:hAnsi="Century Gothic"/>
          <w:sz w:val="22"/>
          <w:szCs w:val="22"/>
        </w:rPr>
        <w:t xml:space="preserve"> Short-term monitoring and evaluation projects have been</w:t>
      </w:r>
      <w:r w:rsidR="00BB5316" w:rsidRPr="00FB3DFF">
        <w:rPr>
          <w:rFonts w:ascii="Century Gothic" w:hAnsi="Century Gothic"/>
          <w:sz w:val="22"/>
          <w:szCs w:val="22"/>
        </w:rPr>
        <w:t xml:space="preserve"> undertaken annually since 2011 and results from this work are available at: </w:t>
      </w:r>
      <w:hyperlink r:id="rId18" w:history="1">
        <w:r w:rsidR="002952D8" w:rsidRPr="00F576DD">
          <w:rPr>
            <w:rStyle w:val="Hyperlink"/>
            <w:rFonts w:ascii="Century Gothic" w:hAnsi="Century Gothic"/>
            <w:sz w:val="22"/>
            <w:szCs w:val="22"/>
          </w:rPr>
          <w:t>http://www.environment.gov.au/topics/water/commonwealth-environmental-water-office/outcomes</w:t>
        </w:r>
      </w:hyperlink>
      <w:hyperlink r:id="rId19" w:history="1"/>
      <w:r w:rsidR="00BB5316" w:rsidRPr="00FB3DFF">
        <w:rPr>
          <w:rFonts w:ascii="Century Gothic" w:hAnsi="Century Gothic"/>
          <w:sz w:val="22"/>
          <w:szCs w:val="22"/>
        </w:rPr>
        <w:t xml:space="preserve">. </w:t>
      </w:r>
      <w:r w:rsidR="00000564" w:rsidRPr="00FB3DFF">
        <w:rPr>
          <w:rFonts w:ascii="Century Gothic" w:hAnsi="Century Gothic"/>
          <w:sz w:val="22"/>
          <w:szCs w:val="22"/>
        </w:rPr>
        <w:t>In 2013-14</w:t>
      </w:r>
      <w:r w:rsidR="00BB5316" w:rsidRPr="00FB3DFF">
        <w:rPr>
          <w:rFonts w:ascii="Century Gothic" w:hAnsi="Century Gothic"/>
          <w:sz w:val="22"/>
          <w:szCs w:val="22"/>
        </w:rPr>
        <w:t>, projects will operate</w:t>
      </w:r>
      <w:r w:rsidR="00000564" w:rsidRPr="00FB3DFF">
        <w:rPr>
          <w:rFonts w:ascii="Century Gothic" w:hAnsi="Century Gothic"/>
          <w:sz w:val="22"/>
          <w:szCs w:val="22"/>
        </w:rPr>
        <w:t xml:space="preserve"> in the following catchments: </w:t>
      </w:r>
    </w:p>
    <w:p w:rsidR="00000564" w:rsidRPr="006A79EA" w:rsidRDefault="00BB531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Murrumbidgee</w:t>
      </w:r>
    </w:p>
    <w:p w:rsidR="00000564" w:rsidRPr="006A79EA" w:rsidRDefault="00BB531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Edward-Wakool</w:t>
      </w:r>
    </w:p>
    <w:p w:rsidR="00000564" w:rsidRPr="006A79EA" w:rsidRDefault="00BB531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 xml:space="preserve">Lower Murray </w:t>
      </w:r>
    </w:p>
    <w:p w:rsidR="00000564" w:rsidRPr="006A79EA" w:rsidRDefault="00BB531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Goulbu</w:t>
      </w:r>
      <w:r w:rsidR="000B76A5" w:rsidRPr="006A79EA">
        <w:rPr>
          <w:rFonts w:ascii="Century Gothic" w:hAnsi="Century Gothic" w:cs="Arial"/>
          <w:color w:val="231F20"/>
          <w:sz w:val="22"/>
          <w:szCs w:val="22"/>
        </w:rPr>
        <w:t>rn</w:t>
      </w:r>
    </w:p>
    <w:p w:rsidR="00BB5316" w:rsidRPr="006A79EA" w:rsidRDefault="00BB531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Gwydir.</w:t>
      </w:r>
    </w:p>
    <w:p w:rsidR="00BB3E76" w:rsidRPr="00FB3DFF" w:rsidRDefault="00BE130F" w:rsidP="00FB3DFF">
      <w:pPr>
        <w:pStyle w:val="Heading4"/>
        <w:rPr>
          <w:rFonts w:ascii="Century Gothic" w:hAnsi="Century Gothic"/>
          <w:b w:val="0"/>
          <w:i/>
          <w:sz w:val="22"/>
          <w:szCs w:val="22"/>
        </w:rPr>
      </w:pPr>
      <w:r w:rsidRPr="00FB3DFF">
        <w:rPr>
          <w:rFonts w:ascii="Century Gothic" w:hAnsi="Century Gothic"/>
          <w:b w:val="0"/>
          <w:i/>
          <w:sz w:val="22"/>
          <w:szCs w:val="22"/>
        </w:rPr>
        <w:t>2.2.4</w:t>
      </w:r>
      <w:r w:rsidR="00BB3E76" w:rsidRPr="00FB3DFF">
        <w:rPr>
          <w:rFonts w:ascii="Century Gothic" w:hAnsi="Century Gothic"/>
          <w:b w:val="0"/>
          <w:i/>
          <w:sz w:val="22"/>
          <w:szCs w:val="22"/>
        </w:rPr>
        <w:t>.3</w:t>
      </w:r>
      <w:r w:rsidR="00BB3E76" w:rsidRPr="00FB3DFF">
        <w:rPr>
          <w:rFonts w:ascii="Century Gothic" w:hAnsi="Century Gothic"/>
          <w:b w:val="0"/>
          <w:i/>
          <w:sz w:val="22"/>
          <w:szCs w:val="22"/>
        </w:rPr>
        <w:tab/>
      </w:r>
      <w:r w:rsidR="00BB5316" w:rsidRPr="00FB3DFF">
        <w:rPr>
          <w:rFonts w:ascii="Century Gothic" w:hAnsi="Century Gothic"/>
          <w:b w:val="0"/>
          <w:i/>
          <w:sz w:val="22"/>
          <w:szCs w:val="22"/>
        </w:rPr>
        <w:t xml:space="preserve">Long-term </w:t>
      </w:r>
      <w:r w:rsidR="00BB3E76" w:rsidRPr="00FB3DFF">
        <w:rPr>
          <w:rFonts w:ascii="Century Gothic" w:hAnsi="Century Gothic"/>
          <w:b w:val="0"/>
          <w:i/>
          <w:sz w:val="22"/>
          <w:szCs w:val="22"/>
        </w:rPr>
        <w:t xml:space="preserve">intervention </w:t>
      </w:r>
      <w:r w:rsidR="00BB5316" w:rsidRPr="00FB3DFF">
        <w:rPr>
          <w:rFonts w:ascii="Century Gothic" w:hAnsi="Century Gothic"/>
          <w:b w:val="0"/>
          <w:i/>
          <w:sz w:val="22"/>
          <w:szCs w:val="22"/>
        </w:rPr>
        <w:t>monitoring</w:t>
      </w:r>
    </w:p>
    <w:p w:rsidR="002078E7" w:rsidRPr="00FB3DFF" w:rsidRDefault="00BB5316" w:rsidP="00FB3DFF">
      <w:pPr>
        <w:pStyle w:val="BPBodyTextArialJustified"/>
        <w:jc w:val="left"/>
        <w:rPr>
          <w:rFonts w:ascii="Century Gothic" w:hAnsi="Century Gothic"/>
          <w:sz w:val="22"/>
          <w:szCs w:val="22"/>
        </w:rPr>
      </w:pPr>
      <w:r w:rsidRPr="00FB3DFF">
        <w:rPr>
          <w:rFonts w:ascii="Century Gothic" w:hAnsi="Century Gothic"/>
          <w:sz w:val="22"/>
          <w:szCs w:val="22"/>
        </w:rPr>
        <w:t>T</w:t>
      </w:r>
      <w:r w:rsidR="005341A6" w:rsidRPr="00FB3DFF">
        <w:rPr>
          <w:rFonts w:ascii="Century Gothic" w:hAnsi="Century Gothic"/>
          <w:sz w:val="22"/>
          <w:szCs w:val="22"/>
        </w:rPr>
        <w:t xml:space="preserve">he Office </w:t>
      </w:r>
      <w:r w:rsidRPr="00FB3DFF">
        <w:rPr>
          <w:rFonts w:ascii="Century Gothic" w:hAnsi="Century Gothic"/>
          <w:sz w:val="22"/>
          <w:szCs w:val="22"/>
        </w:rPr>
        <w:t>is establishing long-</w:t>
      </w:r>
      <w:r w:rsidR="00BB3E76" w:rsidRPr="00FB3DFF">
        <w:rPr>
          <w:rFonts w:ascii="Century Gothic" w:hAnsi="Century Gothic"/>
          <w:sz w:val="22"/>
          <w:szCs w:val="22"/>
        </w:rPr>
        <w:t xml:space="preserve">term </w:t>
      </w:r>
      <w:r w:rsidR="002078E7" w:rsidRPr="00FB3DFF">
        <w:rPr>
          <w:rFonts w:ascii="Century Gothic" w:hAnsi="Century Gothic"/>
          <w:sz w:val="22"/>
          <w:szCs w:val="22"/>
        </w:rPr>
        <w:t xml:space="preserve">(5-year) </w:t>
      </w:r>
      <w:r w:rsidR="00BB3E76" w:rsidRPr="00FB3DFF">
        <w:rPr>
          <w:rFonts w:ascii="Century Gothic" w:hAnsi="Century Gothic"/>
          <w:sz w:val="22"/>
          <w:szCs w:val="22"/>
        </w:rPr>
        <w:t xml:space="preserve">arrangements for intensive monitoring at </w:t>
      </w:r>
      <w:r w:rsidR="002078E7" w:rsidRPr="00FB3DFF">
        <w:rPr>
          <w:rFonts w:ascii="Century Gothic" w:hAnsi="Century Gothic"/>
          <w:sz w:val="22"/>
          <w:szCs w:val="22"/>
        </w:rPr>
        <w:t xml:space="preserve">seven </w:t>
      </w:r>
      <w:r w:rsidR="00BB3E76" w:rsidRPr="00FB3DFF">
        <w:rPr>
          <w:rFonts w:ascii="Century Gothic" w:hAnsi="Century Gothic"/>
          <w:sz w:val="22"/>
          <w:szCs w:val="22"/>
        </w:rPr>
        <w:t>indicator sites</w:t>
      </w:r>
      <w:r w:rsidR="002078E7" w:rsidRPr="00FB3DFF">
        <w:rPr>
          <w:rFonts w:ascii="Century Gothic" w:hAnsi="Century Gothic"/>
          <w:sz w:val="22"/>
          <w:szCs w:val="22"/>
        </w:rPr>
        <w:t xml:space="preserve"> across the Basin</w:t>
      </w:r>
      <w:r w:rsidR="00BB3E76" w:rsidRPr="00FB3DFF">
        <w:rPr>
          <w:rFonts w:ascii="Century Gothic" w:hAnsi="Century Gothic"/>
          <w:sz w:val="22"/>
          <w:szCs w:val="22"/>
        </w:rPr>
        <w:t xml:space="preserve">. </w:t>
      </w:r>
      <w:r w:rsidR="002078E7" w:rsidRPr="00FB3DFF">
        <w:rPr>
          <w:rFonts w:ascii="Century Gothic" w:hAnsi="Century Gothic"/>
          <w:sz w:val="22"/>
          <w:szCs w:val="22"/>
        </w:rPr>
        <w:t>Under this approach</w:t>
      </w:r>
      <w:r w:rsidR="002B7465" w:rsidRPr="00FB3DFF">
        <w:rPr>
          <w:rFonts w:ascii="Century Gothic" w:hAnsi="Century Gothic"/>
          <w:sz w:val="22"/>
          <w:szCs w:val="22"/>
        </w:rPr>
        <w:t>, which is expected to commence in 2014-15,</w:t>
      </w:r>
      <w:r w:rsidR="002078E7" w:rsidRPr="00FB3DFF">
        <w:rPr>
          <w:rFonts w:ascii="Century Gothic" w:hAnsi="Century Gothic"/>
          <w:sz w:val="22"/>
          <w:szCs w:val="22"/>
        </w:rPr>
        <w:t xml:space="preserve"> we will monitor in catchments where around 90% of Commonwealth environmental water is held. The long term monitoring sites include:</w:t>
      </w:r>
    </w:p>
    <w:p w:rsidR="002078E7" w:rsidRPr="006A79EA" w:rsidRDefault="002078E7"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Junction of the Warrego and Darling rivers</w:t>
      </w:r>
    </w:p>
    <w:p w:rsidR="002078E7" w:rsidRPr="006A79EA" w:rsidRDefault="002078E7"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Gwydir river system</w:t>
      </w:r>
    </w:p>
    <w:p w:rsidR="002078E7" w:rsidRPr="006A79EA" w:rsidRDefault="002078E7"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Lachlan river system</w:t>
      </w:r>
    </w:p>
    <w:p w:rsidR="002078E7" w:rsidRPr="006A79EA" w:rsidRDefault="002078E7"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Murrumbidgee river system</w:t>
      </w:r>
    </w:p>
    <w:p w:rsidR="002078E7" w:rsidRPr="006A79EA" w:rsidRDefault="002078E7"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Edward-Wakool river system</w:t>
      </w:r>
    </w:p>
    <w:p w:rsidR="002078E7" w:rsidRPr="006A79EA" w:rsidRDefault="002078E7"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Goulburn River</w:t>
      </w:r>
    </w:p>
    <w:p w:rsidR="002078E7" w:rsidRPr="006A79EA" w:rsidRDefault="002078E7"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Lower Murray River</w:t>
      </w:r>
    </w:p>
    <w:p w:rsidR="002078E7" w:rsidRDefault="002B7465"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w:t>
      </w:r>
      <w:r w:rsidRPr="00FB3DFF">
        <w:rPr>
          <w:rFonts w:ascii="Century Gothic" w:hAnsi="Century Gothic"/>
          <w:i/>
          <w:sz w:val="22"/>
          <w:szCs w:val="22"/>
        </w:rPr>
        <w:t>Long-term Intervention Monitoring Project Logic and Rationale Document</w:t>
      </w:r>
      <w:r w:rsidR="00D7300A" w:rsidRPr="00FB3DFF">
        <w:rPr>
          <w:rFonts w:ascii="Century Gothic" w:hAnsi="Century Gothic"/>
          <w:i/>
          <w:sz w:val="22"/>
          <w:szCs w:val="22"/>
        </w:rPr>
        <w:t xml:space="preserve"> </w:t>
      </w:r>
      <w:r w:rsidR="00D7300A" w:rsidRPr="00FB3DFF">
        <w:rPr>
          <w:rFonts w:ascii="Century Gothic" w:hAnsi="Century Gothic"/>
          <w:sz w:val="22"/>
          <w:szCs w:val="22"/>
        </w:rPr>
        <w:t>available at:</w:t>
      </w:r>
      <w:r w:rsidR="00847D30">
        <w:rPr>
          <w:rFonts w:ascii="Century Gothic" w:hAnsi="Century Gothic"/>
          <w:sz w:val="22"/>
          <w:szCs w:val="22"/>
        </w:rPr>
        <w:t xml:space="preserve"> </w:t>
      </w:r>
      <w:hyperlink r:id="rId20" w:history="1">
        <w:r w:rsidR="00847D30" w:rsidRPr="00F576DD">
          <w:rPr>
            <w:rStyle w:val="Hyperlink"/>
            <w:rFonts w:ascii="Century Gothic" w:hAnsi="Century Gothic"/>
            <w:sz w:val="22"/>
            <w:szCs w:val="22"/>
          </w:rPr>
          <w:t>http://www.environment.gov.au/resource/long-term-intervention-monitoring-project-logic-and-rationale-document</w:t>
        </w:r>
      </w:hyperlink>
      <w:r w:rsidR="00D7300A" w:rsidRPr="00FB3DFF">
        <w:rPr>
          <w:rFonts w:ascii="Century Gothic" w:hAnsi="Century Gothic"/>
          <w:sz w:val="22"/>
          <w:szCs w:val="22"/>
        </w:rPr>
        <w:t xml:space="preserve">, </w:t>
      </w:r>
      <w:r w:rsidR="00916AAA" w:rsidRPr="00FB3DFF">
        <w:rPr>
          <w:rFonts w:ascii="Century Gothic" w:hAnsi="Century Gothic"/>
          <w:sz w:val="22"/>
          <w:szCs w:val="22"/>
        </w:rPr>
        <w:t>provides further detail on the Office’s approach to Long-term intervention monitoring.</w:t>
      </w:r>
    </w:p>
    <w:p w:rsidR="006A79EA" w:rsidRPr="00FB3DFF" w:rsidRDefault="006A79EA" w:rsidP="006A79EA">
      <w:pPr>
        <w:spacing w:after="0"/>
        <w:ind w:left="0"/>
        <w:rPr>
          <w:rFonts w:ascii="Century Gothic" w:hAnsi="Century Gothic" w:cs="Arial"/>
          <w:color w:val="auto"/>
          <w:sz w:val="22"/>
          <w:szCs w:val="22"/>
        </w:rPr>
      </w:pPr>
      <w:r w:rsidRPr="00FB3DFF">
        <w:rPr>
          <w:rFonts w:ascii="Century Gothic" w:hAnsi="Century Gothic" w:cs="Arial"/>
          <w:color w:val="auto"/>
          <w:sz w:val="22"/>
          <w:szCs w:val="22"/>
        </w:rPr>
        <w:br w:type="page"/>
      </w:r>
    </w:p>
    <w:p w:rsidR="00BB3E76" w:rsidRPr="00FB3DFF" w:rsidRDefault="000B76A5" w:rsidP="00FB3DFF">
      <w:pPr>
        <w:pStyle w:val="Heading4"/>
        <w:rPr>
          <w:rFonts w:ascii="Century Gothic" w:hAnsi="Century Gothic"/>
          <w:b w:val="0"/>
          <w:i/>
          <w:sz w:val="22"/>
          <w:szCs w:val="22"/>
        </w:rPr>
      </w:pPr>
      <w:r w:rsidRPr="00FB3DFF">
        <w:rPr>
          <w:rFonts w:ascii="Century Gothic" w:hAnsi="Century Gothic"/>
          <w:b w:val="0"/>
          <w:i/>
          <w:sz w:val="22"/>
          <w:szCs w:val="22"/>
        </w:rPr>
        <w:t>2.2.4.4</w:t>
      </w:r>
      <w:r w:rsidR="00BB3E76" w:rsidRPr="00FB3DFF">
        <w:rPr>
          <w:rFonts w:ascii="Century Gothic" w:hAnsi="Century Gothic"/>
          <w:b w:val="0"/>
          <w:i/>
          <w:sz w:val="22"/>
          <w:szCs w:val="22"/>
        </w:rPr>
        <w:tab/>
        <w:t xml:space="preserve">Evaluation </w:t>
      </w:r>
    </w:p>
    <w:p w:rsidR="00BB3E76" w:rsidRPr="00FB3DFF" w:rsidRDefault="00BB3E76" w:rsidP="00FB3DFF">
      <w:pPr>
        <w:pStyle w:val="BPBodyTextArialJustified"/>
        <w:jc w:val="left"/>
        <w:rPr>
          <w:rFonts w:ascii="Century Gothic" w:hAnsi="Century Gothic"/>
          <w:sz w:val="22"/>
          <w:szCs w:val="22"/>
        </w:rPr>
      </w:pPr>
      <w:r w:rsidRPr="00FB3DFF">
        <w:rPr>
          <w:rFonts w:ascii="Century Gothic" w:hAnsi="Century Gothic"/>
          <w:sz w:val="22"/>
          <w:szCs w:val="22"/>
        </w:rPr>
        <w:t>Evaluation of Commonwealth environmental water actions is being undertaken to:</w:t>
      </w:r>
    </w:p>
    <w:p w:rsidR="00BB3E76" w:rsidRPr="006A79EA" w:rsidRDefault="00BB3E7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 xml:space="preserve">demonstrate the outcomes of the use of Commonwealth environmental water and how it has contributed to achieving the objectives of the </w:t>
      </w:r>
      <w:r w:rsidR="000B76A5" w:rsidRPr="006A79EA">
        <w:rPr>
          <w:rFonts w:ascii="Century Gothic" w:hAnsi="Century Gothic" w:cs="Arial"/>
          <w:color w:val="231F20"/>
          <w:sz w:val="22"/>
          <w:szCs w:val="22"/>
        </w:rPr>
        <w:t>Basin Plan</w:t>
      </w:r>
    </w:p>
    <w:p w:rsidR="00BB3E76" w:rsidRPr="006A79EA" w:rsidRDefault="00BB3E7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support adaptive management and improvement in the management of Commonwealth environmental water to meet ecological objectives</w:t>
      </w:r>
    </w:p>
    <w:p w:rsidR="00BB3E76" w:rsidRPr="006A79EA" w:rsidRDefault="00BB3E7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identify information gaps to help build new knowledge.</w:t>
      </w:r>
    </w:p>
    <w:p w:rsidR="00BB3E76" w:rsidRPr="00FB3DFF" w:rsidRDefault="00BB3E76" w:rsidP="00FB3DFF">
      <w:pPr>
        <w:pStyle w:val="Heading4"/>
        <w:rPr>
          <w:rFonts w:ascii="Century Gothic" w:hAnsi="Century Gothic"/>
          <w:b w:val="0"/>
          <w:i/>
          <w:sz w:val="22"/>
          <w:szCs w:val="22"/>
        </w:rPr>
      </w:pPr>
      <w:r w:rsidRPr="00FB3DFF">
        <w:rPr>
          <w:rFonts w:ascii="Century Gothic" w:hAnsi="Century Gothic"/>
          <w:b w:val="0"/>
          <w:i/>
          <w:sz w:val="22"/>
          <w:szCs w:val="22"/>
        </w:rPr>
        <w:t>2.2</w:t>
      </w:r>
      <w:r w:rsidR="000B76A5" w:rsidRPr="00FB3DFF">
        <w:rPr>
          <w:rFonts w:ascii="Century Gothic" w:hAnsi="Century Gothic"/>
          <w:b w:val="0"/>
          <w:i/>
          <w:sz w:val="22"/>
          <w:szCs w:val="22"/>
        </w:rPr>
        <w:t>.4.5</w:t>
      </w:r>
      <w:r w:rsidRPr="00FB3DFF">
        <w:rPr>
          <w:rFonts w:ascii="Century Gothic" w:hAnsi="Century Gothic"/>
          <w:b w:val="0"/>
          <w:i/>
          <w:sz w:val="22"/>
          <w:szCs w:val="22"/>
        </w:rPr>
        <w:tab/>
        <w:t>Reporting</w:t>
      </w:r>
    </w:p>
    <w:p w:rsidR="00BB3E76" w:rsidRPr="00FB3DFF" w:rsidRDefault="003E21C4"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Office </w:t>
      </w:r>
      <w:r w:rsidR="00BB3E76" w:rsidRPr="00FB3DFF">
        <w:rPr>
          <w:rFonts w:ascii="Century Gothic" w:hAnsi="Century Gothic"/>
          <w:sz w:val="22"/>
          <w:szCs w:val="22"/>
        </w:rPr>
        <w:t>will continue to:</w:t>
      </w:r>
    </w:p>
    <w:p w:rsidR="00BB3E76" w:rsidRPr="006A79EA" w:rsidRDefault="00BB3E7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publish results from all monitoring and evaluation work that it commission</w:t>
      </w:r>
      <w:r w:rsidR="000B76A5" w:rsidRPr="006A79EA">
        <w:rPr>
          <w:rFonts w:ascii="Century Gothic" w:hAnsi="Century Gothic" w:cs="Arial"/>
          <w:color w:val="231F20"/>
          <w:sz w:val="22"/>
          <w:szCs w:val="22"/>
        </w:rPr>
        <w:t>s</w:t>
      </w:r>
    </w:p>
    <w:p w:rsidR="00BB3E76" w:rsidRPr="006A79EA" w:rsidRDefault="00BB3E7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produce an annual environmental water outcomes report, which will summarise overall environmental outcomes.</w:t>
      </w:r>
    </w:p>
    <w:p w:rsidR="00BB3E76" w:rsidRPr="00FB3DFF" w:rsidRDefault="007D12EF" w:rsidP="00FB3DFF">
      <w:pPr>
        <w:pStyle w:val="Heading4"/>
        <w:rPr>
          <w:rFonts w:ascii="Century Gothic" w:hAnsi="Century Gothic"/>
          <w:b w:val="0"/>
          <w:i/>
          <w:sz w:val="22"/>
          <w:szCs w:val="22"/>
        </w:rPr>
      </w:pPr>
      <w:r w:rsidRPr="00FB3DFF">
        <w:rPr>
          <w:rFonts w:ascii="Century Gothic" w:hAnsi="Century Gothic"/>
          <w:b w:val="0"/>
          <w:i/>
          <w:sz w:val="22"/>
          <w:szCs w:val="22"/>
        </w:rPr>
        <w:t>2.2.4.6</w:t>
      </w:r>
      <w:r w:rsidR="00BB3E76" w:rsidRPr="00FB3DFF">
        <w:rPr>
          <w:rFonts w:ascii="Century Gothic" w:hAnsi="Century Gothic"/>
          <w:b w:val="0"/>
          <w:i/>
          <w:sz w:val="22"/>
          <w:szCs w:val="22"/>
        </w:rPr>
        <w:tab/>
        <w:t>Improvement</w:t>
      </w:r>
    </w:p>
    <w:p w:rsidR="00BB3E76" w:rsidRPr="00FB3DFF" w:rsidRDefault="00BB3E76" w:rsidP="00FB3DFF">
      <w:pPr>
        <w:pStyle w:val="BPBodyTextArialJustified"/>
        <w:jc w:val="left"/>
        <w:rPr>
          <w:rFonts w:ascii="Century Gothic" w:hAnsi="Century Gothic"/>
          <w:sz w:val="22"/>
          <w:szCs w:val="22"/>
        </w:rPr>
      </w:pPr>
      <w:r w:rsidRPr="00FB3DFF">
        <w:rPr>
          <w:rFonts w:ascii="Century Gothic" w:hAnsi="Century Gothic"/>
          <w:sz w:val="22"/>
          <w:szCs w:val="22"/>
        </w:rPr>
        <w:t>The improvement process for the use of Commonwealth environmental water will be based on evaluation of the ecological outcomes from the use of water, and the watering actions undertaken. Improvement will be given effect through refinement of:</w:t>
      </w:r>
    </w:p>
    <w:p w:rsidR="00BB3E76" w:rsidRPr="006A79EA" w:rsidRDefault="00E01B30"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future watering actions</w:t>
      </w:r>
    </w:p>
    <w:p w:rsidR="00BB3E76" w:rsidRPr="006A79EA" w:rsidRDefault="00BB3E7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annual water use options and longer-term portfol</w:t>
      </w:r>
      <w:r w:rsidR="00E01B30" w:rsidRPr="006A79EA">
        <w:rPr>
          <w:rFonts w:ascii="Century Gothic" w:hAnsi="Century Gothic" w:cs="Arial"/>
          <w:color w:val="231F20"/>
          <w:sz w:val="22"/>
          <w:szCs w:val="22"/>
        </w:rPr>
        <w:t>io management plans</w:t>
      </w:r>
    </w:p>
    <w:p w:rsidR="00BB3E76" w:rsidRPr="006A79EA" w:rsidRDefault="00BB3E7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the Basin Plan (to be undertaken by the Authority through review</w:t>
      </w:r>
      <w:r w:rsidR="007D12EF" w:rsidRPr="006A79EA">
        <w:rPr>
          <w:rFonts w:ascii="Century Gothic" w:hAnsi="Century Gothic" w:cs="Arial"/>
          <w:color w:val="231F20"/>
          <w:sz w:val="22"/>
          <w:szCs w:val="22"/>
        </w:rPr>
        <w:t>s</w:t>
      </w:r>
      <w:r w:rsidRPr="006A79EA">
        <w:rPr>
          <w:rFonts w:ascii="Century Gothic" w:hAnsi="Century Gothic" w:cs="Arial"/>
          <w:color w:val="231F20"/>
          <w:sz w:val="22"/>
          <w:szCs w:val="22"/>
        </w:rPr>
        <w:t xml:space="preserve">, </w:t>
      </w:r>
      <w:r w:rsidR="007D12EF" w:rsidRPr="006A79EA">
        <w:rPr>
          <w:rFonts w:ascii="Century Gothic" w:hAnsi="Century Gothic" w:cs="Arial"/>
          <w:color w:val="231F20"/>
          <w:sz w:val="22"/>
          <w:szCs w:val="22"/>
        </w:rPr>
        <w:t>including as required under section 50 of th</w:t>
      </w:r>
      <w:r w:rsidR="006127F2">
        <w:rPr>
          <w:rFonts w:ascii="Century Gothic" w:hAnsi="Century Gothic" w:cs="Arial"/>
          <w:color w:val="231F20"/>
          <w:sz w:val="22"/>
          <w:szCs w:val="22"/>
        </w:rPr>
        <w:t>e Act)</w:t>
      </w:r>
      <w:r w:rsidRPr="006A79EA">
        <w:rPr>
          <w:rFonts w:ascii="Century Gothic" w:hAnsi="Century Gothic" w:cs="Arial"/>
          <w:color w:val="231F20"/>
          <w:sz w:val="22"/>
          <w:szCs w:val="22"/>
        </w:rPr>
        <w:t>.</w:t>
      </w:r>
    </w:p>
    <w:p w:rsidR="00BB3E76" w:rsidRPr="00FB3DFF" w:rsidRDefault="00BB3E76" w:rsidP="00FB3DFF">
      <w:pPr>
        <w:pStyle w:val="BPHeading2Left063cmFirstline063cm"/>
        <w:rPr>
          <w:rFonts w:ascii="Century Gothic" w:hAnsi="Century Gothic"/>
        </w:rPr>
      </w:pPr>
      <w:bookmarkStart w:id="20" w:name="_Toc333227695"/>
      <w:bookmarkStart w:id="21" w:name="_Toc371409443"/>
      <w:r w:rsidRPr="00FB3DFF">
        <w:rPr>
          <w:rFonts w:ascii="Century Gothic" w:hAnsi="Century Gothic"/>
        </w:rPr>
        <w:t>2.3</w:t>
      </w:r>
      <w:r w:rsidRPr="00FB3DFF">
        <w:rPr>
          <w:rFonts w:ascii="Century Gothic" w:hAnsi="Century Gothic"/>
        </w:rPr>
        <w:tab/>
        <w:t>Trade of Commonwealth environmental water holdings</w:t>
      </w:r>
      <w:bookmarkEnd w:id="20"/>
      <w:bookmarkEnd w:id="21"/>
    </w:p>
    <w:p w:rsidR="00BB3E76" w:rsidRPr="00E01B30" w:rsidRDefault="00BB3E76" w:rsidP="00E01B30">
      <w:pPr>
        <w:pStyle w:val="BPBodyTextArialJustified"/>
        <w:jc w:val="left"/>
        <w:rPr>
          <w:rFonts w:ascii="Century Gothic" w:hAnsi="Century Gothic"/>
          <w:sz w:val="22"/>
          <w:szCs w:val="22"/>
        </w:rPr>
      </w:pPr>
      <w:r w:rsidRPr="00E01B30">
        <w:rPr>
          <w:rFonts w:ascii="Century Gothic" w:hAnsi="Century Gothic"/>
          <w:sz w:val="22"/>
          <w:szCs w:val="22"/>
        </w:rPr>
        <w:t>Section 106 of th</w:t>
      </w:r>
      <w:r w:rsidR="006127F2">
        <w:rPr>
          <w:rFonts w:ascii="Century Gothic" w:hAnsi="Century Gothic"/>
          <w:sz w:val="22"/>
          <w:szCs w:val="22"/>
        </w:rPr>
        <w:t>e Act</w:t>
      </w:r>
      <w:r w:rsidRPr="00E01B30">
        <w:rPr>
          <w:rFonts w:ascii="Century Gothic" w:hAnsi="Century Gothic"/>
          <w:sz w:val="22"/>
          <w:szCs w:val="22"/>
        </w:rPr>
        <w:t xml:space="preserve"> allows the C</w:t>
      </w:r>
      <w:r w:rsidR="00AD3C0B">
        <w:rPr>
          <w:rFonts w:ascii="Century Gothic" w:hAnsi="Century Gothic"/>
          <w:sz w:val="22"/>
          <w:szCs w:val="22"/>
        </w:rPr>
        <w:t>EWH</w:t>
      </w:r>
      <w:r w:rsidRPr="00E01B30">
        <w:rPr>
          <w:rFonts w:ascii="Century Gothic" w:hAnsi="Century Gothic"/>
          <w:sz w:val="22"/>
          <w:szCs w:val="22"/>
        </w:rPr>
        <w:t xml:space="preserve"> to dispose of water (allocations) and holdings (water rights) in limited circumstances.</w:t>
      </w:r>
    </w:p>
    <w:p w:rsidR="00BB3E76" w:rsidRPr="00E01B30" w:rsidRDefault="00BB3E76" w:rsidP="00E01B30">
      <w:pPr>
        <w:pStyle w:val="BPBodyTextArialJustified"/>
        <w:jc w:val="left"/>
        <w:rPr>
          <w:rFonts w:ascii="Century Gothic" w:hAnsi="Century Gothic"/>
          <w:sz w:val="22"/>
          <w:szCs w:val="22"/>
        </w:rPr>
      </w:pPr>
      <w:r w:rsidRPr="00E01B30">
        <w:rPr>
          <w:rFonts w:ascii="Century Gothic" w:hAnsi="Century Gothic"/>
          <w:sz w:val="22"/>
          <w:szCs w:val="22"/>
        </w:rPr>
        <w:t>The C</w:t>
      </w:r>
      <w:r w:rsidR="006C5135">
        <w:rPr>
          <w:rFonts w:ascii="Century Gothic" w:hAnsi="Century Gothic"/>
          <w:sz w:val="22"/>
          <w:szCs w:val="22"/>
        </w:rPr>
        <w:t>EWH</w:t>
      </w:r>
      <w:r w:rsidRPr="00E01B30">
        <w:rPr>
          <w:rFonts w:ascii="Century Gothic" w:hAnsi="Century Gothic"/>
          <w:sz w:val="22"/>
          <w:szCs w:val="22"/>
        </w:rPr>
        <w:t xml:space="preserve"> may only dispose of allocations and/or entitlements if:</w:t>
      </w:r>
    </w:p>
    <w:p w:rsidR="00BB3E76" w:rsidRPr="006A79EA" w:rsidRDefault="00BB3E7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the allocations are not required to meet environmental objectives in a given water accounting period and cannot be carried over to the next accounting period</w:t>
      </w:r>
      <w:r w:rsidR="00E01B30" w:rsidRPr="006A79EA">
        <w:rPr>
          <w:rFonts w:ascii="Century Gothic" w:hAnsi="Century Gothic" w:cs="Arial"/>
          <w:color w:val="231F20"/>
          <w:sz w:val="22"/>
          <w:szCs w:val="22"/>
        </w:rPr>
        <w:t>,</w:t>
      </w:r>
      <w:r w:rsidRPr="006A79EA">
        <w:rPr>
          <w:rFonts w:ascii="Century Gothic" w:hAnsi="Century Gothic" w:cs="Arial"/>
          <w:color w:val="231F20"/>
          <w:sz w:val="22"/>
          <w:szCs w:val="22"/>
        </w:rPr>
        <w:t xml:space="preserve"> or</w:t>
      </w:r>
    </w:p>
    <w:p w:rsidR="00E01B30" w:rsidRPr="006A79EA" w:rsidRDefault="00BB3E76" w:rsidP="006A79EA">
      <w:pPr>
        <w:pStyle w:val="Bullet6"/>
        <w:tabs>
          <w:tab w:val="clear" w:pos="360"/>
        </w:tabs>
        <w:spacing w:after="240"/>
        <w:ind w:left="1080"/>
        <w:rPr>
          <w:rFonts w:ascii="Century Gothic" w:hAnsi="Century Gothic" w:cs="Arial"/>
          <w:color w:val="231F20"/>
          <w:sz w:val="22"/>
          <w:szCs w:val="22"/>
        </w:rPr>
      </w:pPr>
      <w:r w:rsidRPr="006A79EA">
        <w:rPr>
          <w:rFonts w:ascii="Century Gothic" w:hAnsi="Century Gothic" w:cs="Arial"/>
          <w:color w:val="231F20"/>
          <w:sz w:val="22"/>
          <w:szCs w:val="22"/>
        </w:rPr>
        <w:t xml:space="preserve">the proceeds of the disposal (of either allocations or water rights) are used to purchase water (either allocations or water rights) that improves the capacity of the holdings to meet the environmental objectives </w:t>
      </w:r>
    </w:p>
    <w:p w:rsidR="00692930" w:rsidRDefault="00692930">
      <w:pPr>
        <w:spacing w:after="0"/>
        <w:ind w:left="0"/>
        <w:rPr>
          <w:rFonts w:ascii="Century Gothic" w:hAnsi="Century Gothic"/>
          <w:sz w:val="22"/>
          <w:szCs w:val="22"/>
        </w:rPr>
      </w:pPr>
      <w:r>
        <w:rPr>
          <w:rFonts w:ascii="Century Gothic" w:hAnsi="Century Gothic"/>
          <w:sz w:val="22"/>
          <w:szCs w:val="22"/>
        </w:rPr>
        <w:br w:type="page"/>
      </w:r>
    </w:p>
    <w:p w:rsidR="00FC1B80" w:rsidRPr="00E01B30" w:rsidRDefault="00BB3E76" w:rsidP="00E01B30">
      <w:pPr>
        <w:pStyle w:val="BPBodyTextArialJustified"/>
        <w:jc w:val="left"/>
        <w:rPr>
          <w:rFonts w:ascii="Century Gothic" w:hAnsi="Century Gothic"/>
          <w:sz w:val="22"/>
          <w:szCs w:val="22"/>
        </w:rPr>
      </w:pPr>
      <w:r w:rsidRPr="00E01B30">
        <w:rPr>
          <w:rFonts w:ascii="Century Gothic" w:hAnsi="Century Gothic"/>
          <w:sz w:val="22"/>
          <w:szCs w:val="22"/>
        </w:rPr>
        <w:t xml:space="preserve">In 2011-12 </w:t>
      </w:r>
      <w:r w:rsidR="0033481C" w:rsidRPr="00E01B30">
        <w:rPr>
          <w:rFonts w:ascii="Century Gothic" w:hAnsi="Century Gothic"/>
          <w:sz w:val="22"/>
          <w:szCs w:val="22"/>
        </w:rPr>
        <w:t xml:space="preserve">the Office </w:t>
      </w:r>
      <w:r w:rsidRPr="00E01B30">
        <w:rPr>
          <w:rFonts w:ascii="Century Gothic" w:hAnsi="Century Gothic"/>
          <w:sz w:val="22"/>
          <w:szCs w:val="22"/>
        </w:rPr>
        <w:t xml:space="preserve">released a discussion paper on trade. </w:t>
      </w:r>
      <w:r w:rsidR="00FC1B80" w:rsidRPr="00E01B30">
        <w:rPr>
          <w:rFonts w:ascii="Century Gothic" w:hAnsi="Century Gothic"/>
          <w:sz w:val="22"/>
          <w:szCs w:val="22"/>
        </w:rPr>
        <w:t xml:space="preserve">In 2012-13 the Office continued to develop the general framework within which trade can occur. In November 2012, the Basin Plan was made including Water Trading rules that require government agencies to put in place </w:t>
      </w:r>
      <w:r w:rsidR="0066164F" w:rsidRPr="00E01B30">
        <w:rPr>
          <w:rFonts w:ascii="Century Gothic" w:hAnsi="Century Gothic"/>
          <w:sz w:val="22"/>
          <w:szCs w:val="22"/>
        </w:rPr>
        <w:t xml:space="preserve">protocols to ensure that </w:t>
      </w:r>
      <w:r w:rsidR="00AE3BBC" w:rsidRPr="00E01B30">
        <w:rPr>
          <w:rFonts w:ascii="Century Gothic" w:hAnsi="Century Gothic"/>
          <w:sz w:val="22"/>
          <w:szCs w:val="22"/>
        </w:rPr>
        <w:t>the</w:t>
      </w:r>
      <w:r w:rsidR="0066164F" w:rsidRPr="00E01B30">
        <w:rPr>
          <w:rFonts w:ascii="Century Gothic" w:hAnsi="Century Gothic"/>
          <w:sz w:val="22"/>
          <w:szCs w:val="22"/>
        </w:rPr>
        <w:t>y do</w:t>
      </w:r>
      <w:r w:rsidR="00AE3BBC" w:rsidRPr="00E01B30">
        <w:rPr>
          <w:rFonts w:ascii="Century Gothic" w:hAnsi="Century Gothic"/>
          <w:sz w:val="22"/>
          <w:szCs w:val="22"/>
        </w:rPr>
        <w:t xml:space="preserve"> not gain an unfair advantage </w:t>
      </w:r>
      <w:r w:rsidR="0066164F" w:rsidRPr="00E01B30">
        <w:rPr>
          <w:rFonts w:ascii="Century Gothic" w:hAnsi="Century Gothic"/>
          <w:sz w:val="22"/>
          <w:szCs w:val="22"/>
        </w:rPr>
        <w:t>by</w:t>
      </w:r>
      <w:r w:rsidR="00AE3BBC" w:rsidRPr="00E01B30">
        <w:rPr>
          <w:rFonts w:ascii="Century Gothic" w:hAnsi="Century Gothic"/>
          <w:sz w:val="22"/>
          <w:szCs w:val="22"/>
        </w:rPr>
        <w:t xml:space="preserve"> having access to information which is not generally available.</w:t>
      </w:r>
      <w:r w:rsidR="0066164F" w:rsidRPr="00E01B30">
        <w:rPr>
          <w:rFonts w:ascii="Century Gothic" w:hAnsi="Century Gothic"/>
          <w:sz w:val="22"/>
          <w:szCs w:val="22"/>
        </w:rPr>
        <w:t xml:space="preserve"> No Commonwealth environmental water will be traded until these protocols are in place.</w:t>
      </w:r>
    </w:p>
    <w:p w:rsidR="00BB3E76" w:rsidRPr="00E01B30" w:rsidRDefault="00AE3BBC" w:rsidP="00E01B30">
      <w:pPr>
        <w:pStyle w:val="BPBodyTextArialJustified"/>
        <w:jc w:val="left"/>
        <w:rPr>
          <w:rFonts w:ascii="Century Gothic" w:hAnsi="Century Gothic"/>
          <w:sz w:val="22"/>
          <w:szCs w:val="22"/>
        </w:rPr>
      </w:pPr>
      <w:r w:rsidRPr="00E01B30">
        <w:rPr>
          <w:rFonts w:ascii="Century Gothic" w:hAnsi="Century Gothic"/>
          <w:sz w:val="22"/>
          <w:szCs w:val="22"/>
        </w:rPr>
        <w:t xml:space="preserve">The Office does not currently anticipate trading in the first half of the 2013/14 water year. The </w:t>
      </w:r>
      <w:r w:rsidR="008F6AEB" w:rsidRPr="00E01B30">
        <w:rPr>
          <w:rFonts w:ascii="Century Gothic" w:hAnsi="Century Gothic"/>
          <w:sz w:val="22"/>
          <w:szCs w:val="22"/>
        </w:rPr>
        <w:t>O</w:t>
      </w:r>
      <w:r w:rsidRPr="00E01B30">
        <w:rPr>
          <w:rFonts w:ascii="Century Gothic" w:hAnsi="Century Gothic"/>
          <w:sz w:val="22"/>
          <w:szCs w:val="22"/>
        </w:rPr>
        <w:t xml:space="preserve">ffice intends to have the protocols in place </w:t>
      </w:r>
      <w:r w:rsidR="00541214" w:rsidRPr="00E01B30">
        <w:rPr>
          <w:rFonts w:ascii="Century Gothic" w:hAnsi="Century Gothic"/>
          <w:sz w:val="22"/>
          <w:szCs w:val="22"/>
        </w:rPr>
        <w:t>by the end of 2013</w:t>
      </w:r>
      <w:r w:rsidRPr="00E01B30">
        <w:rPr>
          <w:rFonts w:ascii="Century Gothic" w:hAnsi="Century Gothic"/>
          <w:sz w:val="22"/>
          <w:szCs w:val="22"/>
        </w:rPr>
        <w:t xml:space="preserve">. At the latest, the protocols must be in place by 1 July 2014, when the water trading rules in the Basin Plan take effect. </w:t>
      </w:r>
      <w:r w:rsidR="006A79EA">
        <w:rPr>
          <w:rFonts w:ascii="Century Gothic" w:hAnsi="Century Gothic"/>
          <w:sz w:val="22"/>
          <w:szCs w:val="22"/>
        </w:rPr>
        <w:t xml:space="preserve"> </w:t>
      </w:r>
      <w:r w:rsidR="00BB3E76" w:rsidRPr="00E01B30">
        <w:rPr>
          <w:rFonts w:ascii="Century Gothic" w:hAnsi="Century Gothic"/>
          <w:sz w:val="22"/>
          <w:szCs w:val="22"/>
        </w:rPr>
        <w:t>Section 109 of the Act allows the Minister to make operating rules by legislative instrument relating to purchasing, disposing of, and otherwise dealing in water and water access rights, either directly or through contractual arrangements.</w:t>
      </w:r>
    </w:p>
    <w:p w:rsidR="00BB3E76" w:rsidRPr="00FB3DFF" w:rsidRDefault="00BB3E76" w:rsidP="00FB3DFF">
      <w:pPr>
        <w:pStyle w:val="BPHeading2Left063cmFirstline063cm"/>
        <w:rPr>
          <w:rFonts w:ascii="Century Gothic" w:hAnsi="Century Gothic"/>
        </w:rPr>
      </w:pPr>
      <w:bookmarkStart w:id="22" w:name="_Toc333227703"/>
      <w:bookmarkStart w:id="23" w:name="_Toc371409444"/>
      <w:r w:rsidRPr="00FB3DFF">
        <w:rPr>
          <w:rFonts w:ascii="Century Gothic" w:hAnsi="Century Gothic"/>
        </w:rPr>
        <w:t>2.4</w:t>
      </w:r>
      <w:r w:rsidRPr="00FB3DFF">
        <w:rPr>
          <w:rFonts w:ascii="Century Gothic" w:hAnsi="Century Gothic"/>
        </w:rPr>
        <w:tab/>
        <w:t>Carryover</w:t>
      </w:r>
      <w:bookmarkEnd w:id="22"/>
      <w:bookmarkEnd w:id="23"/>
    </w:p>
    <w:p w:rsidR="001F1C3C" w:rsidRPr="00FB3DFF" w:rsidRDefault="00BB3E76" w:rsidP="00FB3DFF">
      <w:pPr>
        <w:pStyle w:val="BPBodyTextArialJustified"/>
        <w:jc w:val="left"/>
        <w:rPr>
          <w:rFonts w:ascii="Century Gothic" w:hAnsi="Century Gothic"/>
        </w:rPr>
      </w:pPr>
      <w:r w:rsidRPr="00FB3DFF">
        <w:rPr>
          <w:rFonts w:ascii="Century Gothic" w:hAnsi="Century Gothic"/>
          <w:sz w:val="22"/>
          <w:szCs w:val="22"/>
        </w:rPr>
        <w:t>The Commonwealth environmental water holdings include a number of entitlements with carryover provisions. Carryover is provided for in regulated parts of the Basin and allows water users to hold water in storages so that it is a</w:t>
      </w:r>
      <w:r w:rsidR="00692930">
        <w:rPr>
          <w:rFonts w:ascii="Century Gothic" w:hAnsi="Century Gothic"/>
          <w:sz w:val="22"/>
          <w:szCs w:val="22"/>
        </w:rPr>
        <w:t xml:space="preserve">vailable in subsequent years. </w:t>
      </w:r>
      <w:r w:rsidRPr="00FB3DFF">
        <w:rPr>
          <w:rFonts w:ascii="Century Gothic" w:hAnsi="Century Gothic"/>
          <w:sz w:val="22"/>
          <w:szCs w:val="22"/>
        </w:rPr>
        <w:t xml:space="preserve">Carryover provides water users with greater flexibility to manage their own water availability across years. </w:t>
      </w:r>
      <w:r w:rsidR="001F1C3C" w:rsidRPr="00FB3DFF">
        <w:rPr>
          <w:rFonts w:ascii="Century Gothic" w:hAnsi="Century Gothic"/>
          <w:sz w:val="22"/>
          <w:szCs w:val="22"/>
        </w:rPr>
        <w:t>For example, for an environmental manager, carryover provides the opportunity to water wetlands or river red gums in late winter and early spring ahead of increases to seasonal allocations for many entitlement types.</w:t>
      </w:r>
    </w:p>
    <w:p w:rsidR="00BB3E76" w:rsidRPr="00FB3DFF" w:rsidRDefault="00817B62"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Office </w:t>
      </w:r>
      <w:r w:rsidR="00BB3E76" w:rsidRPr="00FB3DFF">
        <w:rPr>
          <w:rFonts w:ascii="Century Gothic" w:hAnsi="Century Gothic"/>
          <w:sz w:val="22"/>
          <w:szCs w:val="22"/>
        </w:rPr>
        <w:t xml:space="preserve">operates under the same </w:t>
      </w:r>
      <w:r w:rsidR="009A241C" w:rsidRPr="00FB3DFF">
        <w:rPr>
          <w:rFonts w:ascii="Century Gothic" w:hAnsi="Century Gothic"/>
          <w:sz w:val="22"/>
          <w:szCs w:val="22"/>
        </w:rPr>
        <w:t xml:space="preserve">carryover </w:t>
      </w:r>
      <w:r w:rsidR="00BB3E76" w:rsidRPr="00FB3DFF">
        <w:rPr>
          <w:rFonts w:ascii="Century Gothic" w:hAnsi="Century Gothic"/>
          <w:sz w:val="22"/>
          <w:szCs w:val="22"/>
        </w:rPr>
        <w:t>rules and pays the fees and charges associated with its water as all other water entitlement holders. The Commonwealth can carry over water in the same way as occurred when the water entitlements were managed by someone else for agricultural use.</w:t>
      </w:r>
    </w:p>
    <w:p w:rsidR="00783430" w:rsidRPr="00FB3DFF" w:rsidRDefault="00783430" w:rsidP="00FB3DFF">
      <w:pPr>
        <w:pStyle w:val="BPBodyTextArialJustified"/>
        <w:jc w:val="left"/>
        <w:rPr>
          <w:rFonts w:ascii="Century Gothic" w:hAnsi="Century Gothic"/>
          <w:sz w:val="22"/>
          <w:szCs w:val="22"/>
        </w:rPr>
      </w:pPr>
      <w:r w:rsidRPr="00FB3DFF">
        <w:rPr>
          <w:rFonts w:ascii="Century Gothic" w:hAnsi="Century Gothic"/>
          <w:sz w:val="22"/>
          <w:szCs w:val="22"/>
        </w:rPr>
        <w:t>On 1 July 2013, the Commonwealth had 393 GL of carryover</w:t>
      </w:r>
      <w:r w:rsidR="005502DF" w:rsidRPr="00FB3DFF">
        <w:rPr>
          <w:rFonts w:ascii="Century Gothic" w:hAnsi="Century Gothic"/>
          <w:sz w:val="22"/>
          <w:szCs w:val="22"/>
        </w:rPr>
        <w:t xml:space="preserve"> from 2012-13</w:t>
      </w:r>
      <w:r w:rsidR="00731F08" w:rsidRPr="00FB3DFF">
        <w:rPr>
          <w:rFonts w:ascii="Century Gothic" w:hAnsi="Century Gothic"/>
          <w:sz w:val="22"/>
          <w:szCs w:val="22"/>
        </w:rPr>
        <w:t xml:space="preserve">. Further details on carryover into 2013-14 can be found at: </w:t>
      </w:r>
      <w:hyperlink r:id="rId21" w:history="1">
        <w:r w:rsidR="008813FA" w:rsidRPr="00F576DD">
          <w:rPr>
            <w:rStyle w:val="Hyperlink"/>
            <w:rFonts w:ascii="Century Gothic" w:hAnsi="Century Gothic"/>
            <w:sz w:val="22"/>
            <w:szCs w:val="22"/>
          </w:rPr>
          <w:t>http://www.environment.gov.au/resource/commonwealth-environmental-water-carryover-2012-13-2013-14</w:t>
        </w:r>
      </w:hyperlink>
    </w:p>
    <w:p w:rsidR="00BB3E76" w:rsidRPr="00FB3DFF" w:rsidRDefault="00BB3E76"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When planning for carryover </w:t>
      </w:r>
      <w:r w:rsidR="00DC1BBD" w:rsidRPr="00FB3DFF">
        <w:rPr>
          <w:rFonts w:ascii="Century Gothic" w:hAnsi="Century Gothic"/>
          <w:sz w:val="22"/>
          <w:szCs w:val="22"/>
        </w:rPr>
        <w:t xml:space="preserve">from </w:t>
      </w:r>
      <w:r w:rsidR="00DC67BD" w:rsidRPr="00FB3DFF">
        <w:rPr>
          <w:rFonts w:ascii="Century Gothic" w:hAnsi="Century Gothic"/>
          <w:sz w:val="22"/>
          <w:szCs w:val="22"/>
        </w:rPr>
        <w:t>2013-14</w:t>
      </w:r>
      <w:r w:rsidR="00DC1BBD" w:rsidRPr="00FB3DFF">
        <w:rPr>
          <w:rFonts w:ascii="Century Gothic" w:hAnsi="Century Gothic"/>
          <w:sz w:val="22"/>
          <w:szCs w:val="22"/>
        </w:rPr>
        <w:t xml:space="preserve"> into 2014-15</w:t>
      </w:r>
      <w:r w:rsidRPr="00FB3DFF">
        <w:rPr>
          <w:rFonts w:ascii="Century Gothic" w:hAnsi="Century Gothic"/>
          <w:sz w:val="22"/>
          <w:szCs w:val="22"/>
        </w:rPr>
        <w:t>, the Commonwealth will take into account the following considerations:</w:t>
      </w:r>
    </w:p>
    <w:p w:rsidR="00BB3E76" w:rsidRPr="00FB3DFF" w:rsidRDefault="00BB3E76"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flexibility to achieve key environmental demands in the future irrespective of the climatic conditions</w:t>
      </w:r>
      <w:r w:rsidR="001F1C3C" w:rsidRPr="00FB3DFF">
        <w:rPr>
          <w:rFonts w:ascii="Century Gothic" w:hAnsi="Century Gothic" w:cs="Arial"/>
          <w:sz w:val="22"/>
          <w:szCs w:val="22"/>
        </w:rPr>
        <w:t xml:space="preserve"> between now and then</w:t>
      </w:r>
    </w:p>
    <w:p w:rsidR="00BB3E76" w:rsidRPr="00FB3DFF" w:rsidRDefault="00BB3E76"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having opening balances in water accounts which are most likely to provide water whe</w:t>
      </w:r>
      <w:r w:rsidR="001F1C3C" w:rsidRPr="00FB3DFF">
        <w:rPr>
          <w:rFonts w:ascii="Century Gothic" w:hAnsi="Century Gothic" w:cs="Arial"/>
          <w:sz w:val="22"/>
          <w:szCs w:val="22"/>
        </w:rPr>
        <w:t>re needed early in a water year</w:t>
      </w:r>
    </w:p>
    <w:p w:rsidR="00BB3E76" w:rsidRPr="00FB3DFF" w:rsidRDefault="00BB3E76"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the consequences for water availability when water cannot be carried over directly but is returned for reallocation in the subsequent year</w:t>
      </w:r>
    </w:p>
    <w:p w:rsidR="00B855C9" w:rsidRDefault="00BB3E76"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other portfolio management options (including trade, transfer, forfeit,</w:t>
      </w:r>
      <w:r w:rsidR="001F1C3C" w:rsidRPr="00FB3DFF">
        <w:rPr>
          <w:rFonts w:ascii="Century Gothic" w:hAnsi="Century Gothic" w:cs="Arial"/>
          <w:sz w:val="22"/>
          <w:szCs w:val="22"/>
        </w:rPr>
        <w:t xml:space="preserve"> and holding reserves of funds)</w:t>
      </w:r>
    </w:p>
    <w:p w:rsidR="00B855C9" w:rsidRDefault="00B855C9">
      <w:pPr>
        <w:spacing w:after="0"/>
        <w:ind w:left="0"/>
        <w:rPr>
          <w:rFonts w:ascii="Century Gothic" w:hAnsi="Century Gothic" w:cs="Arial"/>
          <w:sz w:val="22"/>
          <w:szCs w:val="22"/>
        </w:rPr>
      </w:pPr>
      <w:r>
        <w:rPr>
          <w:rFonts w:ascii="Century Gothic" w:hAnsi="Century Gothic" w:cs="Arial"/>
          <w:sz w:val="22"/>
          <w:szCs w:val="22"/>
        </w:rPr>
        <w:br w:type="page"/>
      </w:r>
    </w:p>
    <w:p w:rsidR="00BB3E76" w:rsidRPr="00FB3DFF" w:rsidRDefault="001F1C3C"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the cost of water delivery</w:t>
      </w:r>
    </w:p>
    <w:p w:rsidR="00BB3E76" w:rsidRPr="00FB3DFF" w:rsidRDefault="00BB3E76"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 xml:space="preserve">the potential of carrying over water in accounts which may be subject to trade restrictions through the water year. </w:t>
      </w:r>
    </w:p>
    <w:p w:rsidR="00BB3E76" w:rsidRPr="00FB3DFF" w:rsidRDefault="00817B62" w:rsidP="00FB3DFF">
      <w:pPr>
        <w:pStyle w:val="Para12"/>
        <w:spacing w:after="0"/>
        <w:ind w:left="709"/>
        <w:rPr>
          <w:rFonts w:ascii="Century Gothic" w:hAnsi="Century Gothic" w:cs="Arial"/>
          <w:sz w:val="22"/>
          <w:szCs w:val="22"/>
        </w:rPr>
      </w:pPr>
      <w:r w:rsidRPr="00FB3DFF">
        <w:rPr>
          <w:rFonts w:ascii="Century Gothic" w:hAnsi="Century Gothic" w:cs="Arial"/>
          <w:sz w:val="22"/>
          <w:szCs w:val="22"/>
        </w:rPr>
        <w:t xml:space="preserve">The Office </w:t>
      </w:r>
      <w:r w:rsidR="00BB3E76" w:rsidRPr="00FB3DFF">
        <w:rPr>
          <w:rFonts w:ascii="Century Gothic" w:hAnsi="Century Gothic" w:cs="Arial"/>
          <w:sz w:val="22"/>
          <w:szCs w:val="22"/>
        </w:rPr>
        <w:t xml:space="preserve">will report each year on the volume of water that has been carried over on each entitlement type held in the Basin. </w:t>
      </w:r>
      <w:r w:rsidR="00DC1BBD" w:rsidRPr="00FB3DFF">
        <w:rPr>
          <w:rFonts w:ascii="Century Gothic" w:hAnsi="Century Gothic" w:cs="Arial"/>
          <w:sz w:val="22"/>
          <w:szCs w:val="22"/>
        </w:rPr>
        <w:t xml:space="preserve">On a proportional basis and at a Basin scale, the Commonwealth used more and carried over less of its available water than other water users (on average) in 2012-13 for the fifth successive year. </w:t>
      </w:r>
      <w:r w:rsidR="00BB3E76" w:rsidRPr="00FB3DFF">
        <w:rPr>
          <w:rFonts w:ascii="Century Gothic" w:hAnsi="Century Gothic" w:cs="Arial"/>
          <w:sz w:val="22"/>
          <w:szCs w:val="22"/>
        </w:rPr>
        <w:t>Over the longer term it is expected that the percentage of Commonwealth environmental water carried over will be similar to other water users - although like all water users it will vary from year to year.</w:t>
      </w:r>
    </w:p>
    <w:p w:rsidR="006E557A" w:rsidRPr="00FB3DFF" w:rsidRDefault="006E557A" w:rsidP="00FB3DFF">
      <w:pPr>
        <w:ind w:left="0"/>
        <w:rPr>
          <w:rFonts w:ascii="Century Gothic" w:hAnsi="Century Gothic" w:cs="Arial"/>
          <w:sz w:val="24"/>
          <w:szCs w:val="24"/>
        </w:rPr>
      </w:pPr>
    </w:p>
    <w:p w:rsidR="0088283F" w:rsidRPr="00FB3DFF" w:rsidRDefault="00BB3E76" w:rsidP="00FB3DFF">
      <w:pPr>
        <w:pStyle w:val="BPHeading1CustomColorRGB9573122BottomNoborde"/>
        <w:ind w:left="1134" w:hanging="414"/>
        <w:rPr>
          <w:rFonts w:ascii="Century Gothic" w:hAnsi="Century Gothic"/>
        </w:rPr>
      </w:pPr>
      <w:r w:rsidRPr="00FB3DFF">
        <w:rPr>
          <w:rFonts w:ascii="Century Gothic" w:hAnsi="Century Gothic" w:cs="Arial"/>
          <w:sz w:val="24"/>
          <w:szCs w:val="24"/>
        </w:rPr>
        <w:br w:type="page"/>
      </w:r>
      <w:bookmarkStart w:id="24" w:name="_Toc303167019"/>
      <w:bookmarkStart w:id="25" w:name="_Toc303242286"/>
      <w:bookmarkStart w:id="26" w:name="_Toc303242644"/>
      <w:bookmarkStart w:id="27" w:name="_Toc303242722"/>
      <w:bookmarkStart w:id="28" w:name="_Toc303243511"/>
      <w:bookmarkStart w:id="29" w:name="_Toc303167020"/>
      <w:bookmarkStart w:id="30" w:name="_Toc303242287"/>
      <w:bookmarkStart w:id="31" w:name="_Toc303242645"/>
      <w:bookmarkStart w:id="32" w:name="_Toc303242723"/>
      <w:bookmarkStart w:id="33" w:name="_Toc303243512"/>
      <w:bookmarkStart w:id="34" w:name="_Toc333227704"/>
      <w:bookmarkStart w:id="35" w:name="_Toc371409445"/>
      <w:bookmarkStart w:id="36" w:name="_Toc302546791"/>
      <w:bookmarkEnd w:id="24"/>
      <w:bookmarkEnd w:id="25"/>
      <w:bookmarkEnd w:id="26"/>
      <w:bookmarkEnd w:id="27"/>
      <w:bookmarkEnd w:id="28"/>
      <w:bookmarkEnd w:id="29"/>
      <w:bookmarkEnd w:id="30"/>
      <w:bookmarkEnd w:id="31"/>
      <w:bookmarkEnd w:id="32"/>
      <w:bookmarkEnd w:id="33"/>
      <w:r w:rsidR="00585A6D" w:rsidRPr="00FB3DFF">
        <w:rPr>
          <w:rFonts w:ascii="Century Gothic" w:hAnsi="Century Gothic"/>
        </w:rPr>
        <w:t>3</w:t>
      </w:r>
      <w:r w:rsidR="009B6C27" w:rsidRPr="00FB3DFF">
        <w:rPr>
          <w:rFonts w:ascii="Century Gothic" w:hAnsi="Century Gothic"/>
        </w:rPr>
        <w:t>.</w:t>
      </w:r>
      <w:r w:rsidR="00323540" w:rsidRPr="00FB3DFF">
        <w:rPr>
          <w:rFonts w:ascii="Century Gothic" w:hAnsi="Century Gothic"/>
        </w:rPr>
        <w:tab/>
      </w:r>
      <w:r w:rsidR="00957CB6" w:rsidRPr="00FB3DFF">
        <w:rPr>
          <w:rFonts w:ascii="Century Gothic" w:hAnsi="Century Gothic"/>
        </w:rPr>
        <w:t>Institutional A</w:t>
      </w:r>
      <w:r w:rsidR="00585A6D" w:rsidRPr="00FB3DFF">
        <w:rPr>
          <w:rFonts w:ascii="Century Gothic" w:hAnsi="Century Gothic"/>
        </w:rPr>
        <w:t>rrangements</w:t>
      </w:r>
      <w:r w:rsidR="006C69A6" w:rsidRPr="00FB3DFF">
        <w:rPr>
          <w:rFonts w:ascii="Century Gothic" w:hAnsi="Century Gothic"/>
        </w:rPr>
        <w:t xml:space="preserve"> and</w:t>
      </w:r>
      <w:r w:rsidR="0088283F" w:rsidRPr="00FB3DFF">
        <w:rPr>
          <w:rFonts w:ascii="Century Gothic" w:hAnsi="Century Gothic"/>
        </w:rPr>
        <w:t xml:space="preserve"> </w:t>
      </w:r>
      <w:r w:rsidR="00957CB6" w:rsidRPr="00FB3DFF">
        <w:rPr>
          <w:rFonts w:ascii="Century Gothic" w:hAnsi="Century Gothic"/>
        </w:rPr>
        <w:t>E</w:t>
      </w:r>
      <w:r w:rsidR="00585A6D" w:rsidRPr="00FB3DFF">
        <w:rPr>
          <w:rFonts w:ascii="Century Gothic" w:hAnsi="Century Gothic"/>
        </w:rPr>
        <w:t xml:space="preserve">xternal </w:t>
      </w:r>
      <w:r w:rsidR="00957CB6" w:rsidRPr="00FB3DFF">
        <w:rPr>
          <w:rFonts w:ascii="Century Gothic" w:hAnsi="Century Gothic"/>
        </w:rPr>
        <w:t>R</w:t>
      </w:r>
      <w:r w:rsidR="0088283F" w:rsidRPr="00FB3DFF">
        <w:rPr>
          <w:rFonts w:ascii="Century Gothic" w:hAnsi="Century Gothic"/>
        </w:rPr>
        <w:t>elationships</w:t>
      </w:r>
      <w:bookmarkEnd w:id="34"/>
      <w:bookmarkEnd w:id="35"/>
      <w:r w:rsidR="0088283F" w:rsidRPr="00FB3DFF">
        <w:rPr>
          <w:rFonts w:ascii="Century Gothic" w:hAnsi="Century Gothic"/>
        </w:rPr>
        <w:t xml:space="preserve"> </w:t>
      </w:r>
      <w:bookmarkEnd w:id="36"/>
    </w:p>
    <w:p w:rsidR="002B666A" w:rsidRDefault="00CD727B" w:rsidP="00FB3DFF">
      <w:pPr>
        <w:pStyle w:val="BPBodyTextArialJustified"/>
        <w:jc w:val="left"/>
        <w:rPr>
          <w:rFonts w:ascii="Century Gothic" w:hAnsi="Century Gothic"/>
          <w:sz w:val="22"/>
          <w:szCs w:val="22"/>
        </w:rPr>
      </w:pPr>
      <w:r w:rsidRPr="00FB3DFF">
        <w:rPr>
          <w:rFonts w:ascii="Century Gothic" w:hAnsi="Century Gothic"/>
          <w:sz w:val="22"/>
          <w:szCs w:val="22"/>
        </w:rPr>
        <w:t>This section describes arrangements for the management of Commonwealth environmental water, including the relationships between the C</w:t>
      </w:r>
      <w:r w:rsidR="006C5135">
        <w:rPr>
          <w:rFonts w:ascii="Century Gothic" w:hAnsi="Century Gothic"/>
          <w:sz w:val="22"/>
          <w:szCs w:val="22"/>
        </w:rPr>
        <w:t>EWH</w:t>
      </w:r>
      <w:r w:rsidRPr="00FB3DFF">
        <w:rPr>
          <w:rFonts w:ascii="Century Gothic" w:hAnsi="Century Gothic"/>
          <w:sz w:val="22"/>
          <w:szCs w:val="22"/>
        </w:rPr>
        <w:t xml:space="preserve">, </w:t>
      </w:r>
      <w:r w:rsidR="00817B62" w:rsidRPr="00FB3DFF">
        <w:rPr>
          <w:rFonts w:ascii="Century Gothic" w:hAnsi="Century Gothic"/>
          <w:sz w:val="22"/>
          <w:szCs w:val="22"/>
        </w:rPr>
        <w:t xml:space="preserve">the </w:t>
      </w:r>
      <w:r w:rsidR="008A35BF" w:rsidRPr="00FB3DFF">
        <w:rPr>
          <w:rFonts w:ascii="Century Gothic" w:hAnsi="Century Gothic"/>
          <w:sz w:val="22"/>
          <w:szCs w:val="22"/>
        </w:rPr>
        <w:t>O</w:t>
      </w:r>
      <w:r w:rsidR="00817B62" w:rsidRPr="00FB3DFF">
        <w:rPr>
          <w:rFonts w:ascii="Century Gothic" w:hAnsi="Century Gothic"/>
          <w:sz w:val="22"/>
          <w:szCs w:val="22"/>
        </w:rPr>
        <w:t>ffice</w:t>
      </w:r>
      <w:r w:rsidRPr="00FB3DFF">
        <w:rPr>
          <w:rFonts w:ascii="Century Gothic" w:hAnsi="Century Gothic"/>
          <w:sz w:val="22"/>
          <w:szCs w:val="22"/>
        </w:rPr>
        <w:t xml:space="preserve">, the Department, delivery partners and the Authority. </w:t>
      </w:r>
      <w:r w:rsidR="00B81FBC" w:rsidRPr="00FB3DFF">
        <w:rPr>
          <w:rFonts w:ascii="Century Gothic" w:hAnsi="Century Gothic"/>
          <w:sz w:val="22"/>
          <w:szCs w:val="22"/>
        </w:rPr>
        <w:t>Figure 1 shows the</w:t>
      </w:r>
      <w:r w:rsidRPr="00FB3DFF">
        <w:rPr>
          <w:rFonts w:ascii="Century Gothic" w:hAnsi="Century Gothic"/>
          <w:sz w:val="22"/>
          <w:szCs w:val="22"/>
        </w:rPr>
        <w:t>se</w:t>
      </w:r>
      <w:r w:rsidR="00B81FBC" w:rsidRPr="00FB3DFF">
        <w:rPr>
          <w:rFonts w:ascii="Century Gothic" w:hAnsi="Century Gothic"/>
          <w:sz w:val="22"/>
          <w:szCs w:val="22"/>
        </w:rPr>
        <w:t xml:space="preserve"> working relationships.</w:t>
      </w:r>
    </w:p>
    <w:p w:rsidR="006C5135" w:rsidRPr="00FB3DFF" w:rsidRDefault="006C5135" w:rsidP="00FB3DFF">
      <w:pPr>
        <w:pStyle w:val="BPBodyTextArialJustified"/>
        <w:jc w:val="left"/>
        <w:rPr>
          <w:rFonts w:ascii="Century Gothic" w:hAnsi="Century Gothic"/>
          <w:sz w:val="22"/>
          <w:szCs w:val="22"/>
        </w:rPr>
      </w:pPr>
    </w:p>
    <w:p w:rsidR="00C31ADD" w:rsidRPr="00FB3DFF" w:rsidRDefault="003F7411" w:rsidP="00FB3DFF">
      <w:pPr>
        <w:pStyle w:val="TableFigNotes18"/>
        <w:ind w:left="709"/>
        <w:rPr>
          <w:rFonts w:ascii="Century Gothic" w:hAnsi="Century Gothic" w:cs="Arial"/>
          <w:b/>
          <w:sz w:val="22"/>
          <w:szCs w:val="22"/>
        </w:rPr>
      </w:pPr>
      <w:r w:rsidRPr="00FB3DFF">
        <w:rPr>
          <w:rFonts w:ascii="Century Gothic" w:hAnsi="Century Gothic" w:cs="Arial"/>
          <w:b/>
          <w:bCs/>
          <w:noProof/>
          <w:sz w:val="22"/>
          <w:szCs w:val="22"/>
        </w:rPr>
        <w:drawing>
          <wp:inline distT="0" distB="0" distL="0" distR="0">
            <wp:extent cx="5731510" cy="4495806"/>
            <wp:effectExtent l="0" t="0" r="254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08985" cy="4870450"/>
                      <a:chOff x="460375" y="2171700"/>
                      <a:chExt cx="6208985" cy="4870450"/>
                    </a:xfrm>
                  </a:grpSpPr>
                  <a:grpSp>
                    <a:nvGrpSpPr>
                      <a:cNvPr id="42" name="Group 41"/>
                      <a:cNvGrpSpPr/>
                    </a:nvGrpSpPr>
                    <a:grpSpPr>
                      <a:xfrm>
                        <a:off x="460375" y="2171700"/>
                        <a:ext cx="6208985" cy="4870450"/>
                        <a:chOff x="460375" y="2171700"/>
                        <a:chExt cx="6208985" cy="4870450"/>
                      </a:xfrm>
                    </a:grpSpPr>
                    <a:grpSp>
                      <a:nvGrpSpPr>
                        <a:cNvPr id="3" name="Group 42"/>
                        <a:cNvGrpSpPr>
                          <a:grpSpLocks/>
                        </a:cNvGrpSpPr>
                      </a:nvGrpSpPr>
                      <a:grpSpPr bwMode="auto">
                        <a:xfrm>
                          <a:off x="460375" y="2171700"/>
                          <a:ext cx="6208985" cy="4870450"/>
                          <a:chOff x="460375" y="2171700"/>
                          <a:chExt cx="6208985" cy="4870145"/>
                        </a:xfrm>
                      </a:grpSpPr>
                      <a:grpSp>
                        <a:nvGrpSpPr>
                          <a:cNvPr id="6" name="Group 39"/>
                          <a:cNvGrpSpPr>
                            <a:grpSpLocks/>
                          </a:cNvGrpSpPr>
                        </a:nvGrpSpPr>
                        <a:grpSpPr bwMode="auto">
                          <a:xfrm>
                            <a:off x="460375" y="2171700"/>
                            <a:ext cx="6208985" cy="4870145"/>
                            <a:chOff x="460375" y="2171700"/>
                            <a:chExt cx="6208985" cy="4870145"/>
                          </a:xfrm>
                        </a:grpSpPr>
                        <a:cxnSp>
                          <a:nvCxnSpPr>
                            <a:cNvPr id="90" name="Straight Connector 89"/>
                            <a:cNvCxnSpPr/>
                          </a:nvCxnSpPr>
                          <a:spPr>
                            <a:xfrm>
                              <a:off x="1660525" y="4067056"/>
                              <a:ext cx="615950" cy="0"/>
                            </a:xfrm>
                            <a:prstGeom prst="line">
                              <a:avLst/>
                            </a:prstGeom>
                            <a:ln w="22225">
                              <a:miter lim="800000"/>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39" name="Shape 142"/>
                            <a:cNvCxnSpPr/>
                          </a:nvCxnSpPr>
                          <a:spPr bwMode="auto">
                            <a:xfrm rot="10800000">
                              <a:off x="4048125" y="3376538"/>
                              <a:ext cx="1190625" cy="1017523"/>
                            </a:xfrm>
                            <a:prstGeom prst="bentConnector3">
                              <a:avLst>
                                <a:gd name="adj1" fmla="val 378"/>
                              </a:avLst>
                            </a:prstGeom>
                            <a:ln w="19050">
                              <a:tailEnd type="triangle"/>
                            </a:ln>
                          </a:spPr>
                          <a:style>
                            <a:lnRef idx="1">
                              <a:schemeClr val="dk1"/>
                            </a:lnRef>
                            <a:fillRef idx="0">
                              <a:schemeClr val="dk1"/>
                            </a:fillRef>
                            <a:effectRef idx="0">
                              <a:schemeClr val="dk1"/>
                            </a:effectRef>
                            <a:fontRef idx="minor">
                              <a:schemeClr val="tx1"/>
                            </a:fontRef>
                          </a:style>
                        </a:cxnSp>
                        <a:grpSp>
                          <a:nvGrpSpPr>
                            <a:cNvPr id="10" name="Group 121"/>
                            <a:cNvGrpSpPr>
                              <a:grpSpLocks/>
                            </a:cNvGrpSpPr>
                          </a:nvGrpSpPr>
                          <a:grpSpPr bwMode="auto">
                            <a:xfrm>
                              <a:off x="460375" y="2171700"/>
                              <a:ext cx="6208985" cy="4870145"/>
                              <a:chOff x="460375" y="2171700"/>
                              <a:chExt cx="6208985" cy="4870145"/>
                            </a:xfrm>
                          </a:grpSpPr>
                          <a:grpSp>
                            <a:nvGrpSpPr>
                              <a:cNvPr id="13" name="Group 146"/>
                              <a:cNvGrpSpPr>
                                <a:grpSpLocks/>
                              </a:cNvGrpSpPr>
                            </a:nvGrpSpPr>
                            <a:grpSpPr bwMode="auto">
                              <a:xfrm>
                                <a:off x="460375" y="2171700"/>
                                <a:ext cx="5932979" cy="4870145"/>
                                <a:chOff x="442913" y="2171700"/>
                                <a:chExt cx="5938838" cy="4870726"/>
                              </a:xfrm>
                            </a:grpSpPr>
                            <a:grpSp>
                              <a:nvGrpSpPr>
                                <a:cNvPr id="16" name="Group 117"/>
                                <a:cNvGrpSpPr>
                                  <a:grpSpLocks/>
                                </a:cNvGrpSpPr>
                              </a:nvGrpSpPr>
                              <a:grpSpPr bwMode="auto">
                                <a:xfrm>
                                  <a:off x="442913" y="2171700"/>
                                  <a:ext cx="5938838" cy="4870726"/>
                                  <a:chOff x="442913" y="2171700"/>
                                  <a:chExt cx="5938838" cy="4870726"/>
                                </a:xfrm>
                              </a:grpSpPr>
                              <a:cxnSp>
                                <a:nvCxnSpPr>
                                  <a:cNvPr id="72" name="Elbow Connector 71"/>
                                  <a:cNvCxnSpPr/>
                                </a:nvCxnSpPr>
                                <a:spPr>
                                  <a:xfrm>
                                    <a:off x="1722113" y="3030587"/>
                                    <a:ext cx="1077388" cy="1836841"/>
                                  </a:xfrm>
                                  <a:prstGeom prst="bentConnector3">
                                    <a:avLst>
                                      <a:gd name="adj1" fmla="val 51772"/>
                                    </a:avLst>
                                  </a:prstGeom>
                                  <a:ln w="22225">
                                    <a:miter lim="800000"/>
                                    <a:tailEnd type="triangle"/>
                                  </a:ln>
                                </a:spPr>
                                <a:style>
                                  <a:lnRef idx="2">
                                    <a:schemeClr val="dk1"/>
                                  </a:lnRef>
                                  <a:fillRef idx="0">
                                    <a:schemeClr val="dk1"/>
                                  </a:fillRef>
                                  <a:effectRef idx="1">
                                    <a:schemeClr val="dk1"/>
                                  </a:effectRef>
                                  <a:fontRef idx="minor">
                                    <a:schemeClr val="tx1"/>
                                  </a:fontRef>
                                </a:style>
                              </a:cxnSp>
                              <a:cxnSp>
                                <a:nvCxnSpPr>
                                  <a:cNvPr id="85" name="Straight Arrow Connector 84"/>
                                  <a:cNvCxnSpPr/>
                                </a:nvCxnSpPr>
                                <a:spPr>
                                  <a:xfrm rot="16200000" flipH="1">
                                    <a:off x="3319495" y="3864071"/>
                                    <a:ext cx="793795" cy="0"/>
                                  </a:xfrm>
                                  <a:prstGeom prst="straightConnector1">
                                    <a:avLst/>
                                  </a:prstGeom>
                                  <a:ln w="22225">
                                    <a:miter lim="800000"/>
                                    <a:tailEnd type="triangle"/>
                                  </a:ln>
                                </a:spPr>
                                <a:style>
                                  <a:lnRef idx="2">
                                    <a:schemeClr val="dk1"/>
                                  </a:lnRef>
                                  <a:fillRef idx="0">
                                    <a:schemeClr val="dk1"/>
                                  </a:fillRef>
                                  <a:effectRef idx="1">
                                    <a:schemeClr val="dk1"/>
                                  </a:effectRef>
                                  <a:fontRef idx="minor">
                                    <a:schemeClr val="tx1"/>
                                  </a:fontRef>
                                </a:style>
                              </a:cxnSp>
                              <a:cxnSp>
                                <a:nvCxnSpPr>
                                  <a:cNvPr id="80" name="Straight Arrow Connector 79"/>
                                  <a:cNvCxnSpPr/>
                                </a:nvCxnSpPr>
                                <a:spPr>
                                  <a:xfrm rot="5400000" flipH="1" flipV="1">
                                    <a:off x="2744252" y="3864071"/>
                                    <a:ext cx="793795" cy="0"/>
                                  </a:xfrm>
                                  <a:prstGeom prst="straightConnector1">
                                    <a:avLst/>
                                  </a:prstGeom>
                                  <a:ln w="22225">
                                    <a:miter lim="800000"/>
                                    <a:tailEnd type="triangle"/>
                                  </a:ln>
                                </a:spPr>
                                <a:style>
                                  <a:lnRef idx="2">
                                    <a:schemeClr val="dk1"/>
                                  </a:lnRef>
                                  <a:fillRef idx="0">
                                    <a:schemeClr val="dk1"/>
                                  </a:fillRef>
                                  <a:effectRef idx="1">
                                    <a:schemeClr val="dk1"/>
                                  </a:effectRef>
                                  <a:fontRef idx="minor">
                                    <a:schemeClr val="tx1"/>
                                  </a:fontRef>
                                </a:style>
                              </a:cxnSp>
                              <a:grpSp>
                                <a:nvGrpSpPr>
                                  <a:cNvPr id="22" name="Group 41"/>
                                  <a:cNvGrpSpPr>
                                    <a:grpSpLocks/>
                                  </a:cNvGrpSpPr>
                                </a:nvGrpSpPr>
                                <a:grpSpPr bwMode="auto">
                                  <a:xfrm>
                                    <a:off x="442913" y="2171700"/>
                                    <a:ext cx="5938838" cy="3265488"/>
                                    <a:chOff x="665" y="1368"/>
                                    <a:chExt cx="3741" cy="1800"/>
                                  </a:xfrm>
                                </a:grpSpPr>
                                <a:sp>
                                  <a:nvSpPr>
                                    <a:cNvPr id="2" name="Rectangle 18"/>
                                    <a:cNvSpPr>
                                      <a:spLocks noChangeArrowheads="1"/>
                                    </a:cNvSpPr>
                                  </a:nvSpPr>
                                  <a:spPr bwMode="auto">
                                    <a:xfrm>
                                      <a:off x="665" y="1689"/>
                                      <a:ext cx="792" cy="288"/>
                                    </a:xfrm>
                                    <a:prstGeom prst="rect">
                                      <a:avLst/>
                                    </a:prstGeom>
                                    <a:solidFill>
                                      <a:schemeClr val="tx2">
                                        <a:lumMod val="20000"/>
                                        <a:lumOff val="80000"/>
                                      </a:schemeClr>
                                    </a:solidFill>
                                    <a:ln w="9525">
                                      <a:solidFill>
                                        <a:srgbClr val="000000"/>
                                      </a:solidFill>
                                      <a:miter lim="800000"/>
                                      <a:headEnd/>
                                      <a:tailEnd/>
                                    </a:ln>
                                  </a:spPr>
                                  <a:txSp>
                                    <a:txBody>
                                      <a:bodyPr lIns="0" tIns="3600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defRPr/>
                                        </a:pPr>
                                        <a:r>
                                          <a:rPr lang="en-US" sz="900" b="1" dirty="0">
                                            <a:solidFill>
                                              <a:srgbClr val="000000"/>
                                            </a:solidFill>
                                            <a:cs typeface="Times New Roman" charset="0"/>
                                          </a:rPr>
                                          <a:t>Environmental Water</a:t>
                                        </a:r>
                                      </a:p>
                                      <a:p>
                                        <a:pPr algn="ctr" defTabSz="914400">
                                          <a:defRPr/>
                                        </a:pPr>
                                        <a:r>
                                          <a:rPr lang="en-US" sz="900" b="1" dirty="0">
                                            <a:solidFill>
                                              <a:srgbClr val="000000"/>
                                            </a:solidFill>
                                            <a:cs typeface="Times New Roman" charset="0"/>
                                          </a:rPr>
                                          <a:t>Scientific Advisory Panel </a:t>
                                        </a:r>
                                      </a:p>
                                    </a:txBody>
                                    <a:useSpRect/>
                                  </a:txSp>
                                </a:sp>
                                <a:sp>
                                  <a:nvSpPr>
                                    <a:cNvPr id="2080" name="Text Box 22"/>
                                    <a:cNvSpPr txBox="1">
                                      <a:spLocks noChangeArrowheads="1"/>
                                    </a:cNvSpPr>
                                  </a:nvSpPr>
                                  <a:spPr bwMode="auto">
                                    <a:xfrm>
                                      <a:off x="3614" y="2593"/>
                                      <a:ext cx="792" cy="575"/>
                                    </a:xfrm>
                                    <a:prstGeom prst="rect">
                                      <a:avLst/>
                                    </a:prstGeom>
                                    <a:solidFill>
                                      <a:srgbClr val="CC99FF"/>
                                    </a:solidFill>
                                    <a:ln w="9525">
                                      <a:solidFill>
                                        <a:srgbClr val="000000"/>
                                      </a:solidFill>
                                      <a:miter lim="800000"/>
                                      <a:headEnd/>
                                      <a:tailEnd/>
                                    </a:ln>
                                  </a:spPr>
                                  <a:txSp>
                                    <a:txBody>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900" b="1" dirty="0">
                                            <a:solidFill>
                                              <a:srgbClr val="000000"/>
                                            </a:solidFill>
                                            <a:cs typeface="Times New Roman" charset="0"/>
                                          </a:rPr>
                                          <a:t>Other parts of the Department of </a:t>
                                        </a:r>
                                        <a:r>
                                          <a:rPr lang="en-US" sz="900" b="1" dirty="0" smtClean="0">
                                            <a:solidFill>
                                              <a:srgbClr val="000000"/>
                                            </a:solidFill>
                                            <a:cs typeface="Times New Roman" charset="0"/>
                                          </a:rPr>
                                          <a:t>the Environment</a:t>
                                        </a:r>
                                        <a:endParaRPr lang="en-US" sz="800" dirty="0">
                                          <a:latin typeface="Times New Roman" charset="0"/>
                                          <a:cs typeface="Times New Roman" charset="0"/>
                                        </a:endParaRPr>
                                      </a:p>
                                      <a:p>
                                        <a:pPr defTabSz="914400"/>
                                        <a:endParaRPr lang="en-US" sz="1200" dirty="0">
                                          <a:latin typeface="Times New Roman" charset="0"/>
                                          <a:cs typeface="Times New Roman" charset="0"/>
                                        </a:endParaRPr>
                                      </a:p>
                                    </a:txBody>
                                    <a:useSpRect/>
                                  </a:txSp>
                                </a:sp>
                                <a:sp>
                                  <a:nvSpPr>
                                    <a:cNvPr id="2081" name="Text Box 23"/>
                                    <a:cNvSpPr txBox="1">
                                      <a:spLocks noChangeArrowheads="1"/>
                                    </a:cNvSpPr>
                                  </a:nvSpPr>
                                  <a:spPr bwMode="auto">
                                    <a:xfrm>
                                      <a:off x="2136" y="1368"/>
                                      <a:ext cx="792" cy="714"/>
                                    </a:xfrm>
                                    <a:prstGeom prst="rect">
                                      <a:avLst/>
                                    </a:prstGeom>
                                    <a:solidFill>
                                      <a:srgbClr val="FFFF99"/>
                                    </a:solidFill>
                                    <a:ln w="9525">
                                      <a:solidFill>
                                        <a:srgbClr val="000000"/>
                                      </a:solidFill>
                                      <a:miter lim="800000"/>
                                      <a:headEnd/>
                                      <a:tailEnd/>
                                    </a:ln>
                                  </a:spPr>
                                  <a:txSp>
                                    <a:txBody>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900" b="1" dirty="0">
                                            <a:solidFill>
                                              <a:srgbClr val="000000"/>
                                            </a:solidFill>
                                            <a:cs typeface="Times New Roman" charset="0"/>
                                          </a:rPr>
                                          <a:t>Commonwealth Environmental Water Holder</a:t>
                                        </a:r>
                                        <a:endParaRPr lang="en-US" sz="1200" dirty="0">
                                          <a:latin typeface="Times New Roman" charset="0"/>
                                          <a:cs typeface="Times New Roman" charset="0"/>
                                        </a:endParaRPr>
                                      </a:p>
                                      <a:p>
                                        <a:pPr algn="ctr" defTabSz="914400"/>
                                        <a:endParaRPr lang="en-US" sz="900" dirty="0">
                                          <a:latin typeface="Times New Roman" charset="0"/>
                                          <a:cs typeface="Times New Roman" charset="0"/>
                                        </a:endParaRPr>
                                      </a:p>
                                      <a:p>
                                        <a:pPr algn="ctr" defTabSz="914400"/>
                                        <a:r>
                                          <a:rPr lang="en-US" sz="800" dirty="0">
                                            <a:solidFill>
                                              <a:srgbClr val="000000"/>
                                            </a:solidFill>
                                            <a:cs typeface="Times New Roman" charset="0"/>
                                          </a:rPr>
                                          <a:t>Decisions on management of Commonwealth environmental </a:t>
                                        </a:r>
                                        <a:r>
                                          <a:rPr lang="en-US" sz="800" dirty="0" smtClean="0">
                                            <a:solidFill>
                                              <a:srgbClr val="000000"/>
                                            </a:solidFill>
                                            <a:cs typeface="Times New Roman" charset="0"/>
                                          </a:rPr>
                                          <a:t>water</a:t>
                                        </a:r>
                                        <a:endParaRPr lang="en-US" sz="800" dirty="0">
                                          <a:latin typeface="Times New Roman" charset="0"/>
                                          <a:cs typeface="Times New Roman" charset="0"/>
                                        </a:endParaRPr>
                                      </a:p>
                                      <a:p>
                                        <a:pPr defTabSz="914400"/>
                                        <a:endParaRPr lang="en-US" sz="1200" dirty="0">
                                          <a:latin typeface="Times New Roman" charset="0"/>
                                          <a:cs typeface="Times New Roman" charset="0"/>
                                        </a:endParaRPr>
                                      </a:p>
                                    </a:txBody>
                                    <a:useSpRect/>
                                  </a:txSp>
                                </a:sp>
                                <a:sp>
                                  <a:nvSpPr>
                                    <a:cNvPr id="2082" name="Text Box 24"/>
                                    <a:cNvSpPr txBox="1">
                                      <a:spLocks noChangeArrowheads="1"/>
                                    </a:cNvSpPr>
                                  </a:nvSpPr>
                                  <a:spPr bwMode="auto">
                                    <a:xfrm>
                                      <a:off x="3614" y="1487"/>
                                      <a:ext cx="792" cy="410"/>
                                    </a:xfrm>
                                    <a:prstGeom prst="rect">
                                      <a:avLst/>
                                    </a:prstGeom>
                                    <a:solidFill>
                                      <a:srgbClr val="FF9900"/>
                                    </a:solidFill>
                                    <a:ln w="9525">
                                      <a:solidFill>
                                        <a:srgbClr val="000000"/>
                                      </a:solidFill>
                                      <a:miter lim="800000"/>
                                      <a:headEnd/>
                                      <a:tailEnd/>
                                    </a:ln>
                                  </a:spPr>
                                  <a:txSp>
                                    <a:txBody>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900" b="1">
                                            <a:solidFill>
                                              <a:srgbClr val="000000"/>
                                            </a:solidFill>
                                            <a:cs typeface="Times New Roman" charset="0"/>
                                          </a:rPr>
                                          <a:t>Murray-Darling Basin Authority</a:t>
                                        </a:r>
                                        <a:endParaRPr lang="en-US" sz="1200">
                                          <a:latin typeface="Times New Roman" charset="0"/>
                                          <a:cs typeface="Times New Roman" charset="0"/>
                                        </a:endParaRPr>
                                      </a:p>
                                      <a:p>
                                        <a:pPr algn="ctr" defTabSz="914400"/>
                                        <a:endParaRPr lang="en-US" sz="900">
                                          <a:latin typeface="Times New Roman" charset="0"/>
                                          <a:cs typeface="Times New Roman" charset="0"/>
                                        </a:endParaRPr>
                                      </a:p>
                                      <a:p>
                                        <a:pPr algn="ctr" defTabSz="914400"/>
                                        <a:r>
                                          <a:rPr lang="en-US" sz="800">
                                            <a:solidFill>
                                              <a:srgbClr val="000000"/>
                                            </a:solidFill>
                                            <a:cs typeface="Times New Roman" charset="0"/>
                                          </a:rPr>
                                          <a:t>Basin Plan</a:t>
                                        </a:r>
                                        <a:endParaRPr lang="en-US" sz="800">
                                          <a:latin typeface="Times New Roman" charset="0"/>
                                          <a:cs typeface="Times New Roman" charset="0"/>
                                        </a:endParaRPr>
                                      </a:p>
                                      <a:p>
                                        <a:pPr defTabSz="914400"/>
                                        <a:endParaRPr lang="en-US" sz="1200">
                                          <a:latin typeface="Times New Roman" charset="0"/>
                                          <a:cs typeface="Times New Roman" charset="0"/>
                                        </a:endParaRPr>
                                      </a:p>
                                    </a:txBody>
                                    <a:useSpRect/>
                                  </a:txSp>
                                </a:sp>
                                <a:sp>
                                  <a:nvSpPr>
                                    <a:cNvPr id="2083" name="Text Box 26"/>
                                    <a:cNvSpPr txBox="1">
                                      <a:spLocks noChangeArrowheads="1"/>
                                    </a:cNvSpPr>
                                  </a:nvSpPr>
                                  <a:spPr bwMode="auto">
                                    <a:xfrm>
                                      <a:off x="2138" y="2520"/>
                                      <a:ext cx="792" cy="648"/>
                                    </a:xfrm>
                                    <a:prstGeom prst="rect">
                                      <a:avLst/>
                                    </a:prstGeom>
                                    <a:solidFill>
                                      <a:srgbClr val="339966"/>
                                    </a:solidFill>
                                    <a:ln w="9525">
                                      <a:solidFill>
                                        <a:srgbClr val="000000"/>
                                      </a:solidFill>
                                      <a:miter lim="800000"/>
                                      <a:headEnd/>
                                      <a:tailEnd/>
                                    </a:ln>
                                  </a:spPr>
                                  <a:txSp>
                                    <a:txBody>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900" b="1">
                                            <a:solidFill>
                                              <a:srgbClr val="000000"/>
                                            </a:solidFill>
                                            <a:cs typeface="Times New Roman" charset="0"/>
                                          </a:rPr>
                                          <a:t>Commonwealth Environmental Water Office</a:t>
                                        </a:r>
                                      </a:p>
                                      <a:p>
                                        <a:pPr algn="ctr" defTabSz="914400"/>
                                        <a:endParaRPr lang="en-US" sz="900" b="1">
                                          <a:solidFill>
                                            <a:srgbClr val="000000"/>
                                          </a:solidFill>
                                          <a:cs typeface="Times New Roman" charset="0"/>
                                        </a:endParaRPr>
                                      </a:p>
                                      <a:p>
                                        <a:pPr algn="ctr" defTabSz="914400"/>
                                        <a:r>
                                          <a:rPr lang="en-US" sz="800">
                                            <a:solidFill>
                                              <a:srgbClr val="000000"/>
                                            </a:solidFill>
                                            <a:cs typeface="Times New Roman" charset="0"/>
                                          </a:rPr>
                                          <a:t>Provides advice and support to CEWH and implements decisions</a:t>
                                        </a:r>
                                      </a:p>
                                      <a:p>
                                        <a:pPr algn="ctr" defTabSz="914400"/>
                                        <a:endParaRPr lang="en-US" sz="1200">
                                          <a:latin typeface="Times New Roman" charset="0"/>
                                          <a:cs typeface="Times New Roman" charset="0"/>
                                        </a:endParaRPr>
                                      </a:p>
                                    </a:txBody>
                                    <a:useSpRect/>
                                  </a:txSp>
                                </a:sp>
                                <a:sp>
                                  <a:nvSpPr>
                                    <a:cNvPr id="2084" name="Rectangle 21"/>
                                    <a:cNvSpPr>
                                      <a:spLocks noChangeArrowheads="1"/>
                                    </a:cNvSpPr>
                                  </a:nvSpPr>
                                  <a:spPr bwMode="auto">
                                    <a:xfrm>
                                      <a:off x="1642" y="1759"/>
                                      <a:ext cx="360" cy="178"/>
                                    </a:xfrm>
                                    <a:prstGeom prst="rect">
                                      <a:avLst/>
                                    </a:prstGeom>
                                    <a:solidFill>
                                      <a:srgbClr val="FFFFFF"/>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dirty="0">
                                            <a:solidFill>
                                              <a:srgbClr val="000000"/>
                                            </a:solidFill>
                                            <a:cs typeface="Times New Roman" charset="0"/>
                                          </a:rPr>
                                          <a:t>Independent</a:t>
                                        </a:r>
                                      </a:p>
                                      <a:p>
                                        <a:pPr algn="ctr" defTabSz="914400"/>
                                        <a:r>
                                          <a:rPr lang="en-US" sz="700" dirty="0">
                                            <a:solidFill>
                                              <a:srgbClr val="000000"/>
                                            </a:solidFill>
                                            <a:cs typeface="Times New Roman" charset="0"/>
                                          </a:rPr>
                                          <a:t>scientific advice</a:t>
                                        </a:r>
                                      </a:p>
                                    </a:txBody>
                                    <a:useSpRect/>
                                  </a:txSp>
                                </a:sp>
                                <a:sp>
                                  <a:nvSpPr>
                                    <a:cNvPr id="2085" name="Rectangle 28"/>
                                    <a:cNvSpPr>
                                      <a:spLocks noChangeArrowheads="1"/>
                                    </a:cNvSpPr>
                                  </a:nvSpPr>
                                  <a:spPr bwMode="auto">
                                    <a:xfrm>
                                      <a:off x="2150" y="2197"/>
                                      <a:ext cx="396" cy="178"/>
                                    </a:xfrm>
                                    <a:prstGeom prst="rect">
                                      <a:avLst/>
                                    </a:prstGeom>
                                    <a:solidFill>
                                      <a:schemeClr val="bg1"/>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a:solidFill>
                                              <a:srgbClr val="000000"/>
                                            </a:solidFill>
                                            <a:cs typeface="Times New Roman" charset="0"/>
                                          </a:rPr>
                                          <a:t>Advice on holdings and use</a:t>
                                        </a:r>
                                        <a:endParaRPr lang="en-US" sz="1200">
                                          <a:latin typeface="Times New Roman" charset="0"/>
                                          <a:cs typeface="Times New Roman" charset="0"/>
                                        </a:endParaRPr>
                                      </a:p>
                                    </a:txBody>
                                    <a:useSpRect/>
                                  </a:txSp>
                                </a:sp>
                                <a:sp>
                                  <a:nvSpPr>
                                    <a:cNvPr id="2086" name="Rectangle 28"/>
                                    <a:cNvSpPr>
                                      <a:spLocks noChangeArrowheads="1"/>
                                    </a:cNvSpPr>
                                  </a:nvSpPr>
                                  <a:spPr bwMode="auto">
                                    <a:xfrm>
                                      <a:off x="2546" y="2255"/>
                                      <a:ext cx="408" cy="120"/>
                                    </a:xfrm>
                                    <a:prstGeom prst="rect">
                                      <a:avLst/>
                                    </a:prstGeom>
                                    <a:solidFill>
                                      <a:schemeClr val="bg1"/>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a:solidFill>
                                              <a:srgbClr val="000000"/>
                                            </a:solidFill>
                                            <a:cs typeface="Times New Roman" charset="0"/>
                                          </a:rPr>
                                          <a:t>Decisions for implementation</a:t>
                                        </a:r>
                                        <a:endParaRPr lang="en-US" sz="1200">
                                          <a:latin typeface="Times New Roman" charset="0"/>
                                          <a:cs typeface="Times New Roman" charset="0"/>
                                        </a:endParaRPr>
                                      </a:p>
                                    </a:txBody>
                                    <a:useSpRect/>
                                  </a:txSp>
                                </a:sp>
                              </a:grpSp>
                              <a:sp>
                                <a:nvSpPr>
                                  <a:cNvPr id="2070" name="TextBox 68"/>
                                  <a:cNvSpPr txBox="1">
                                    <a:spLocks noChangeArrowheads="1"/>
                                  </a:cNvSpPr>
                                </a:nvSpPr>
                                <a:spPr bwMode="auto">
                                  <a:xfrm>
                                    <a:off x="2800352" y="6303674"/>
                                    <a:ext cx="1257298" cy="738752"/>
                                  </a:xfrm>
                                  <a:prstGeom prst="rect">
                                    <a:avLst/>
                                  </a:prstGeom>
                                  <a:solidFill>
                                    <a:srgbClr val="00B0F0"/>
                                  </a:solidFill>
                                  <a:ln w="9525">
                                    <a:solidFill>
                                      <a:schemeClr val="tx1"/>
                                    </a:solidFill>
                                    <a:miter lim="800000"/>
                                    <a:headEnd/>
                                    <a:tailEnd/>
                                  </a:ln>
                                </a:spPr>
                                <a:txSp>
                                  <a:txBody>
                                    <a:bodyPr>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a:r>
                                        <a:rPr lang="en-AU" sz="900" b="1"/>
                                        <a:t>Delivery partners:</a:t>
                                      </a:r>
                                    </a:p>
                                    <a:p>
                                      <a:pPr algn="ctr"/>
                                      <a:endParaRPr lang="en-AU" sz="900" b="1">
                                        <a:solidFill>
                                          <a:srgbClr val="000000"/>
                                        </a:solidFill>
                                        <a:cs typeface="Times New Roman" charset="0"/>
                                      </a:endParaRPr>
                                    </a:p>
                                    <a:p>
                                      <a:pPr algn="ctr"/>
                                      <a:r>
                                        <a:rPr lang="en-AU" sz="800">
                                          <a:solidFill>
                                            <a:srgbClr val="000000"/>
                                          </a:solidFill>
                                          <a:cs typeface="Times New Roman" charset="0"/>
                                        </a:rPr>
                                        <a:t>Provide local expertise and manage water delivery</a:t>
                                      </a:r>
                                      <a:endParaRPr lang="en-US" sz="800">
                                        <a:solidFill>
                                          <a:srgbClr val="000000"/>
                                        </a:solidFill>
                                        <a:cs typeface="Times New Roman" charset="0"/>
                                      </a:endParaRPr>
                                    </a:p>
                                  </a:txBody>
                                  <a:useSpRect/>
                                </a:txSp>
                              </a:sp>
                              <a:cxnSp>
                                <a:nvCxnSpPr>
                                  <a:cNvPr id="98" name="Straight Arrow Connector 97"/>
                                  <a:cNvCxnSpPr/>
                                </a:nvCxnSpPr>
                                <a:spPr>
                                  <a:xfrm rot="10800000" flipV="1">
                                    <a:off x="4034205" y="2627810"/>
                                    <a:ext cx="1085333" cy="11114"/>
                                  </a:xfrm>
                                  <a:prstGeom prst="straightConnector1">
                                    <a:avLst/>
                                  </a:prstGeom>
                                  <a:ln w="22225">
                                    <a:miter lim="800000"/>
                                    <a:tailEnd type="triangle"/>
                                  </a:ln>
                                </a:spPr>
                                <a:style>
                                  <a:lnRef idx="2">
                                    <a:schemeClr val="dk1"/>
                                  </a:lnRef>
                                  <a:fillRef idx="0">
                                    <a:schemeClr val="dk1"/>
                                  </a:fillRef>
                                  <a:effectRef idx="1">
                                    <a:schemeClr val="dk1"/>
                                  </a:effectRef>
                                  <a:fontRef idx="minor">
                                    <a:schemeClr val="tx1"/>
                                  </a:fontRef>
                                </a:style>
                              </a:cxnSp>
                              <a:cxnSp>
                                <a:nvCxnSpPr>
                                  <a:cNvPr id="117" name="Elbow Connector 116"/>
                                  <a:cNvCxnSpPr/>
                                </a:nvCxnSpPr>
                                <a:spPr>
                                  <a:xfrm>
                                    <a:off x="4297659" y="2615109"/>
                                    <a:ext cx="826648" cy="12701"/>
                                  </a:xfrm>
                                  <a:prstGeom prst="bentConnector3">
                                    <a:avLst>
                                      <a:gd name="adj1" fmla="val 50000"/>
                                    </a:avLst>
                                  </a:prstGeom>
                                  <a:ln w="22225">
                                    <a:miter lim="800000"/>
                                    <a:tailEnd type="triangle"/>
                                  </a:ln>
                                </a:spPr>
                                <a:style>
                                  <a:lnRef idx="2">
                                    <a:schemeClr val="dk1"/>
                                  </a:lnRef>
                                  <a:fillRef idx="0">
                                    <a:schemeClr val="dk1"/>
                                  </a:fillRef>
                                  <a:effectRef idx="1">
                                    <a:schemeClr val="dk1"/>
                                  </a:effectRef>
                                  <a:fontRef idx="minor">
                                    <a:schemeClr val="tx1"/>
                                  </a:fontRef>
                                </a:style>
                              </a:cxnSp>
                              <a:sp>
                                <a:nvSpPr>
                                  <a:cNvPr id="2074" name="Rectangle 21"/>
                                  <a:cNvSpPr>
                                    <a:spLocks noChangeArrowheads="1"/>
                                  </a:cNvSpPr>
                                </a:nvSpPr>
                                <a:spPr bwMode="auto">
                                  <a:xfrm>
                                    <a:off x="4297659" y="2483786"/>
                                    <a:ext cx="648671" cy="361180"/>
                                  </a:xfrm>
                                  <a:prstGeom prst="rect">
                                    <a:avLst/>
                                  </a:prstGeom>
                                  <a:solidFill>
                                    <a:srgbClr val="FFFFFF"/>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dirty="0" smtClean="0">
                                          <a:solidFill>
                                            <a:srgbClr val="000000"/>
                                          </a:solidFill>
                                          <a:cs typeface="Times New Roman" charset="0"/>
                                        </a:rPr>
                                        <a:t>Basin Plan Implementation</a:t>
                                      </a:r>
                                      <a:endParaRPr lang="en-US" sz="700" dirty="0">
                                        <a:solidFill>
                                          <a:srgbClr val="000000"/>
                                        </a:solidFill>
                                        <a:cs typeface="Times New Roman" charset="0"/>
                                      </a:endParaRPr>
                                    </a:p>
                                  </a:txBody>
                                  <a:useSpRect/>
                                </a:txSp>
                              </a:sp>
                              <a:cxnSp>
                                <a:nvCxnSpPr>
                                  <a:cNvPr id="162" name="Straight Arrow Connector 161"/>
                                  <a:cNvCxnSpPr/>
                                </a:nvCxnSpPr>
                                <a:spPr>
                                  <a:xfrm rot="5400000" flipH="1" flipV="1">
                                    <a:off x="2708532" y="5869991"/>
                                    <a:ext cx="866824" cy="1590"/>
                                  </a:xfrm>
                                  <a:prstGeom prst="straightConnector1">
                                    <a:avLst/>
                                  </a:prstGeom>
                                  <a:ln w="22225">
                                    <a:miter lim="800000"/>
                                    <a:tailEnd type="triangle"/>
                                  </a:ln>
                                </a:spPr>
                                <a:style>
                                  <a:lnRef idx="2">
                                    <a:schemeClr val="dk1"/>
                                  </a:lnRef>
                                  <a:fillRef idx="0">
                                    <a:schemeClr val="dk1"/>
                                  </a:fillRef>
                                  <a:effectRef idx="1">
                                    <a:schemeClr val="dk1"/>
                                  </a:effectRef>
                                  <a:fontRef idx="minor">
                                    <a:schemeClr val="tx1"/>
                                  </a:fontRef>
                                </a:style>
                              </a:cxnSp>
                              <a:cxnSp>
                                <a:nvCxnSpPr>
                                  <a:cNvPr id="165" name="Straight Arrow Connector 164"/>
                                  <a:cNvCxnSpPr/>
                                </a:nvCxnSpPr>
                                <a:spPr>
                                  <a:xfrm rot="16200000" flipH="1">
                                    <a:off x="3282980" y="5870786"/>
                                    <a:ext cx="866824" cy="0"/>
                                  </a:xfrm>
                                  <a:prstGeom prst="straightConnector1">
                                    <a:avLst/>
                                  </a:prstGeom>
                                  <a:ln w="22225">
                                    <a:miter lim="800000"/>
                                    <a:tailEnd type="triangle"/>
                                  </a:ln>
                                </a:spPr>
                                <a:style>
                                  <a:lnRef idx="2">
                                    <a:schemeClr val="dk1"/>
                                  </a:lnRef>
                                  <a:fillRef idx="0">
                                    <a:schemeClr val="dk1"/>
                                  </a:fillRef>
                                  <a:effectRef idx="1">
                                    <a:schemeClr val="dk1"/>
                                  </a:effectRef>
                                  <a:fontRef idx="minor">
                                    <a:schemeClr val="tx1"/>
                                  </a:fontRef>
                                </a:style>
                              </a:cxnSp>
                              <a:sp>
                                <a:nvSpPr>
                                  <a:cNvPr id="2077" name="Rectangle 28"/>
                                  <a:cNvSpPr>
                                    <a:spLocks noChangeArrowheads="1"/>
                                  </a:cNvSpPr>
                                </a:nvSpPr>
                                <a:spPr bwMode="auto">
                                  <a:xfrm>
                                    <a:off x="2800350" y="5655592"/>
                                    <a:ext cx="628650" cy="428576"/>
                                  </a:xfrm>
                                  <a:prstGeom prst="rect">
                                    <a:avLst/>
                                  </a:prstGeom>
                                  <a:solidFill>
                                    <a:schemeClr val="bg1"/>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a:solidFill>
                                            <a:srgbClr val="000000"/>
                                          </a:solidFill>
                                          <a:cs typeface="Times New Roman" charset="0"/>
                                        </a:rPr>
                                        <a:t>Local </a:t>
                                      </a:r>
                                    </a:p>
                                    <a:p>
                                      <a:pPr algn="ctr" defTabSz="914400"/>
                                      <a:r>
                                        <a:rPr lang="en-US" sz="700">
                                          <a:solidFill>
                                            <a:srgbClr val="000000"/>
                                          </a:solidFill>
                                          <a:cs typeface="Times New Roman" charset="0"/>
                                        </a:rPr>
                                        <a:t>expertise on environmental water use </a:t>
                                      </a:r>
                                      <a:endParaRPr lang="en-US" sz="1200">
                                        <a:latin typeface="Times New Roman" charset="0"/>
                                        <a:cs typeface="Times New Roman" charset="0"/>
                                      </a:endParaRPr>
                                    </a:p>
                                  </a:txBody>
                                  <a:useSpRect/>
                                </a:txSp>
                              </a:sp>
                              <a:sp>
                                <a:nvSpPr>
                                  <a:cNvPr id="2078" name="Rectangle 28"/>
                                  <a:cNvSpPr>
                                    <a:spLocks noChangeArrowheads="1"/>
                                  </a:cNvSpPr>
                                </a:nvSpPr>
                                <a:spPr bwMode="auto">
                                  <a:xfrm>
                                    <a:off x="3429000" y="5647453"/>
                                    <a:ext cx="628650" cy="436715"/>
                                  </a:xfrm>
                                  <a:prstGeom prst="rect">
                                    <a:avLst/>
                                  </a:prstGeom>
                                  <a:solidFill>
                                    <a:schemeClr val="bg1"/>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a:solidFill>
                                            <a:srgbClr val="000000"/>
                                          </a:solidFill>
                                          <a:cs typeface="Times New Roman" charset="0"/>
                                        </a:rPr>
                                        <a:t>Work together to implement watering actions</a:t>
                                      </a:r>
                                      <a:endParaRPr lang="en-US" sz="1200">
                                        <a:latin typeface="Times New Roman" charset="0"/>
                                        <a:cs typeface="Times New Roman" charset="0"/>
                                      </a:endParaRPr>
                                    </a:p>
                                  </a:txBody>
                                  <a:useSpRect/>
                                </a:txSp>
                              </a:sp>
                            </a:grpSp>
                            <a:cxnSp>
                              <a:nvCxnSpPr>
                                <a:cNvPr id="143" name="Shape 142"/>
                                <a:cNvCxnSpPr>
                                  <a:endCxn id="2080" idx="0"/>
                                </a:cNvCxnSpPr>
                              </a:nvCxnSpPr>
                              <a:spPr>
                                <a:xfrm>
                                  <a:off x="4038974" y="3257612"/>
                                  <a:ext cx="1713015" cy="1136714"/>
                                </a:xfrm>
                                <a:prstGeom prst="bentConnector2">
                                  <a:avLst/>
                                </a:prstGeom>
                                <a:ln w="19050">
                                  <a:tailEnd type="triangle"/>
                                </a:ln>
                              </a:spPr>
                              <a:style>
                                <a:lnRef idx="1">
                                  <a:schemeClr val="dk1"/>
                                </a:lnRef>
                                <a:fillRef idx="0">
                                  <a:schemeClr val="dk1"/>
                                </a:fillRef>
                                <a:effectRef idx="0">
                                  <a:schemeClr val="dk1"/>
                                </a:effectRef>
                                <a:fontRef idx="minor">
                                  <a:schemeClr val="tx1"/>
                                </a:fontRef>
                              </a:style>
                            </a:cxnSp>
                            <a:sp>
                              <a:nvSpPr>
                                <a:cNvPr id="2065" name="Rectangle 28"/>
                                <a:cNvSpPr>
                                  <a:spLocks noChangeArrowheads="1"/>
                                </a:cNvSpPr>
                              </a:nvSpPr>
                              <a:spPr bwMode="auto">
                                <a:xfrm>
                                  <a:off x="5429221" y="3708445"/>
                                  <a:ext cx="647760" cy="214930"/>
                                </a:xfrm>
                                <a:prstGeom prst="rect">
                                  <a:avLst/>
                                </a:prstGeom>
                                <a:solidFill>
                                  <a:schemeClr val="bg1"/>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a:solidFill>
                                          <a:srgbClr val="000000"/>
                                        </a:solidFill>
                                        <a:cs typeface="Times New Roman" charset="0"/>
                                      </a:rPr>
                                      <a:t>Acquisitions advice</a:t>
                                    </a:r>
                                  </a:p>
                                  <a:p>
                                    <a:pPr algn="ctr" defTabSz="914400"/>
                                    <a:endParaRPr lang="en-US" sz="600">
                                      <a:solidFill>
                                        <a:srgbClr val="000000"/>
                                      </a:solidFill>
                                      <a:cs typeface="Times New Roman" charset="0"/>
                                    </a:endParaRPr>
                                  </a:p>
                                  <a:p>
                                    <a:pPr algn="ctr" defTabSz="914400"/>
                                    <a:endParaRPr lang="en-US" sz="1200">
                                      <a:latin typeface="Times New Roman" charset="0"/>
                                      <a:cs typeface="Times New Roman" charset="0"/>
                                    </a:endParaRPr>
                                  </a:p>
                                </a:txBody>
                                <a:useSpRect/>
                              </a:txSp>
                            </a:sp>
                          </a:grpSp>
                          <a:cxnSp>
                            <a:nvCxnSpPr>
                              <a:cNvPr id="151" name="Straight Arrow Connector 150"/>
                              <a:cNvCxnSpPr/>
                            </a:nvCxnSpPr>
                            <a:spPr bwMode="auto">
                              <a:xfrm rot="16200000" flipV="1">
                                <a:off x="5616614" y="3771800"/>
                                <a:ext cx="1244522" cy="0"/>
                              </a:xfrm>
                              <a:prstGeom prst="straightConnector1">
                                <a:avLst/>
                              </a:prstGeom>
                              <a:ln w="22225">
                                <a:miter lim="800000"/>
                                <a:tailEnd type="triangle"/>
                              </a:ln>
                            </a:spPr>
                            <a:style>
                              <a:lnRef idx="2">
                                <a:schemeClr val="dk1"/>
                              </a:lnRef>
                              <a:fillRef idx="0">
                                <a:schemeClr val="dk1"/>
                              </a:fillRef>
                              <a:effectRef idx="1">
                                <a:schemeClr val="dk1"/>
                              </a:effectRef>
                              <a:fontRef idx="minor">
                                <a:schemeClr val="tx1"/>
                              </a:fontRef>
                            </a:style>
                          </a:cxnSp>
                          <a:sp>
                            <a:nvSpPr>
                              <a:cNvPr id="2062" name="Rectangle 21"/>
                              <a:cNvSpPr>
                                <a:spLocks noChangeArrowheads="1"/>
                              </a:cNvSpPr>
                            </a:nvSpPr>
                            <a:spPr bwMode="auto">
                              <a:xfrm>
                                <a:off x="5951171" y="3708261"/>
                                <a:ext cx="718189" cy="358796"/>
                              </a:xfrm>
                              <a:prstGeom prst="rect">
                                <a:avLst/>
                              </a:prstGeom>
                              <a:solidFill>
                                <a:schemeClr val="bg1"/>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dirty="0">
                                      <a:solidFill>
                                        <a:srgbClr val="000000"/>
                                      </a:solidFill>
                                      <a:cs typeface="Times New Roman" charset="0"/>
                                    </a:rPr>
                                    <a:t>Input to </a:t>
                                  </a:r>
                                </a:p>
                                <a:p>
                                  <a:pPr algn="ctr" defTabSz="914400"/>
                                  <a:r>
                                    <a:rPr lang="en-US" sz="700" dirty="0">
                                      <a:solidFill>
                                        <a:srgbClr val="000000"/>
                                      </a:solidFill>
                                      <a:cs typeface="Times New Roman" charset="0"/>
                                    </a:rPr>
                                    <a:t>Basin </a:t>
                                  </a:r>
                                  <a:r>
                                    <a:rPr lang="en-US" sz="700" dirty="0" smtClean="0">
                                      <a:solidFill>
                                        <a:srgbClr val="000000"/>
                                      </a:solidFill>
                                      <a:cs typeface="Times New Roman" charset="0"/>
                                    </a:rPr>
                                    <a:t>Plan Implementation</a:t>
                                  </a:r>
                                  <a:endParaRPr lang="en-US" sz="700" dirty="0">
                                    <a:solidFill>
                                      <a:srgbClr val="000000"/>
                                    </a:solidFill>
                                    <a:cs typeface="Times New Roman" charset="0"/>
                                  </a:endParaRPr>
                                </a:p>
                              </a:txBody>
                              <a:useSpRect/>
                            </a:txSp>
                          </a:sp>
                        </a:grpSp>
                        <a:sp>
                          <a:nvSpPr>
                            <a:cNvPr id="2058" name="Rectangle 28"/>
                            <a:cNvSpPr>
                              <a:spLocks noChangeArrowheads="1"/>
                            </a:cNvSpPr>
                          </a:nvSpPr>
                          <a:spPr bwMode="auto">
                            <a:xfrm>
                              <a:off x="4959350" y="3675063"/>
                              <a:ext cx="558800" cy="106362"/>
                            </a:xfrm>
                            <a:prstGeom prst="rect">
                              <a:avLst/>
                            </a:prstGeom>
                            <a:solidFill>
                              <a:schemeClr val="bg1"/>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a:cs typeface="Arial" charset="0"/>
                                  </a:rPr>
                                  <a:t>Entitlements</a:t>
                                </a:r>
                              </a:p>
                            </a:txBody>
                            <a:useSpRect/>
                          </a:txSp>
                        </a:sp>
                        <a:sp>
                          <a:nvSpPr>
                            <a:cNvPr id="89" name="Rectangle 18"/>
                            <a:cNvSpPr>
                              <a:spLocks noChangeArrowheads="1"/>
                            </a:cNvSpPr>
                          </a:nvSpPr>
                          <a:spPr bwMode="auto">
                            <a:xfrm>
                              <a:off x="460375" y="3708304"/>
                              <a:ext cx="1255713" cy="628611"/>
                            </a:xfrm>
                            <a:prstGeom prst="rect">
                              <a:avLst/>
                            </a:prstGeom>
                            <a:solidFill>
                              <a:schemeClr val="tx2">
                                <a:lumMod val="20000"/>
                                <a:lumOff val="80000"/>
                              </a:schemeClr>
                            </a:solidFill>
                            <a:ln w="9525">
                              <a:solidFill>
                                <a:srgbClr val="000000"/>
                              </a:solidFill>
                              <a:miter lim="800000"/>
                              <a:headEnd/>
                              <a:tailEnd/>
                            </a:ln>
                          </a:spPr>
                          <a:txSp>
                            <a:txBody>
                              <a:bodyPr lIns="0" tIns="3600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defRPr/>
                                </a:pPr>
                                <a:r>
                                  <a:rPr lang="en-US" sz="900" b="1" dirty="0">
                                    <a:solidFill>
                                      <a:srgbClr val="000000"/>
                                    </a:solidFill>
                                    <a:cs typeface="Times New Roman" charset="0"/>
                                  </a:rPr>
                                  <a:t>Commonwealth Environmental Water</a:t>
                                </a:r>
                              </a:p>
                              <a:p>
                                <a:pPr algn="ctr" defTabSz="914400">
                                  <a:defRPr/>
                                </a:pPr>
                                <a:r>
                                  <a:rPr lang="en-US" sz="900" b="1" dirty="0">
                                    <a:solidFill>
                                      <a:srgbClr val="000000"/>
                                    </a:solidFill>
                                    <a:cs typeface="Times New Roman" charset="0"/>
                                  </a:rPr>
                                  <a:t>Stakeholder Reference Panel </a:t>
                                </a:r>
                              </a:p>
                            </a:txBody>
                            <a:useSpRect/>
                          </a:txSp>
                        </a:sp>
                      </a:grpSp>
                      <a:sp>
                        <a:nvSpPr>
                          <a:cNvPr id="2054" name="Rectangle 21"/>
                          <a:cNvSpPr>
                            <a:spLocks noChangeArrowheads="1"/>
                          </a:cNvSpPr>
                        </a:nvSpPr>
                        <a:spPr bwMode="auto">
                          <a:xfrm>
                            <a:off x="2009337" y="4008945"/>
                            <a:ext cx="570936" cy="262509"/>
                          </a:xfrm>
                          <a:prstGeom prst="rect">
                            <a:avLst/>
                          </a:prstGeom>
                          <a:solidFill>
                            <a:srgbClr val="FFFFFF"/>
                          </a:solidFill>
                          <a:ln w="9525">
                            <a:noFill/>
                            <a:miter lim="800000"/>
                            <a:headEnd/>
                            <a:tailEnd/>
                          </a:ln>
                        </a:spPr>
                        <a:txSp>
                          <a:txBody>
                            <a:bodyPr lIns="0" tIns="0" rIns="0" bIns="0"/>
                            <a:lstStyle>
                              <a:defPPr>
                                <a:defRPr lang="en-US"/>
                              </a:defPPr>
                              <a:lvl1pPr algn="l" defTabSz="457200" rtl="0" fontAlgn="base">
                                <a:spcBef>
                                  <a:spcPct val="0"/>
                                </a:spcBef>
                                <a:spcAft>
                                  <a:spcPct val="0"/>
                                </a:spcAft>
                                <a:defRPr kern="1200">
                                  <a:solidFill>
                                    <a:schemeClr val="tx1"/>
                                  </a:solidFill>
                                  <a:latin typeface="Arial" charset="0"/>
                                  <a:ea typeface="ＭＳ Ｐゴシック" pitchFamily="-65" charset="-128"/>
                                  <a:cs typeface="+mn-cs"/>
                                </a:defRPr>
                              </a:lvl1pPr>
                              <a:lvl2pPr marL="457200" algn="l" defTabSz="457200" rtl="0" fontAlgn="base">
                                <a:spcBef>
                                  <a:spcPct val="0"/>
                                </a:spcBef>
                                <a:spcAft>
                                  <a:spcPct val="0"/>
                                </a:spcAft>
                                <a:defRPr kern="1200">
                                  <a:solidFill>
                                    <a:schemeClr val="tx1"/>
                                  </a:solidFill>
                                  <a:latin typeface="Arial" charset="0"/>
                                  <a:ea typeface="ＭＳ Ｐゴシック" pitchFamily="-65" charset="-128"/>
                                  <a:cs typeface="+mn-cs"/>
                                </a:defRPr>
                              </a:lvl2pPr>
                              <a:lvl3pPr marL="914400" algn="l" defTabSz="457200" rtl="0" fontAlgn="base">
                                <a:spcBef>
                                  <a:spcPct val="0"/>
                                </a:spcBef>
                                <a:spcAft>
                                  <a:spcPct val="0"/>
                                </a:spcAft>
                                <a:defRPr kern="1200">
                                  <a:solidFill>
                                    <a:schemeClr val="tx1"/>
                                  </a:solidFill>
                                  <a:latin typeface="Arial" charset="0"/>
                                  <a:ea typeface="ＭＳ Ｐゴシック" pitchFamily="-65" charset="-128"/>
                                  <a:cs typeface="+mn-cs"/>
                                </a:defRPr>
                              </a:lvl3pPr>
                              <a:lvl4pPr marL="1371600" algn="l" defTabSz="457200" rtl="0" fontAlgn="base">
                                <a:spcBef>
                                  <a:spcPct val="0"/>
                                </a:spcBef>
                                <a:spcAft>
                                  <a:spcPct val="0"/>
                                </a:spcAft>
                                <a:defRPr kern="1200">
                                  <a:solidFill>
                                    <a:schemeClr val="tx1"/>
                                  </a:solidFill>
                                  <a:latin typeface="Arial" charset="0"/>
                                  <a:ea typeface="ＭＳ Ｐゴシック" pitchFamily="-65" charset="-128"/>
                                  <a:cs typeface="+mn-cs"/>
                                </a:defRPr>
                              </a:lvl4pPr>
                              <a:lvl5pPr marL="1828800" algn="l" defTabSz="457200" rtl="0" fontAlgn="base">
                                <a:spcBef>
                                  <a:spcPct val="0"/>
                                </a:spcBef>
                                <a:spcAft>
                                  <a:spcPct val="0"/>
                                </a:spcAft>
                                <a:defRPr kern="1200">
                                  <a:solidFill>
                                    <a:schemeClr val="tx1"/>
                                  </a:solidFill>
                                  <a:latin typeface="Arial" charset="0"/>
                                  <a:ea typeface="ＭＳ Ｐゴシック" pitchFamily="-65" charset="-128"/>
                                  <a:cs typeface="+mn-cs"/>
                                </a:defRPr>
                              </a:lvl5pPr>
                              <a:lvl6pPr marL="2286000" algn="l" defTabSz="914400" rtl="0" eaLnBrk="1" latinLnBrk="0" hangingPunct="1">
                                <a:defRPr kern="1200">
                                  <a:solidFill>
                                    <a:schemeClr val="tx1"/>
                                  </a:solidFill>
                                  <a:latin typeface="Arial" charset="0"/>
                                  <a:ea typeface="ＭＳ Ｐゴシック" pitchFamily="-65" charset="-128"/>
                                  <a:cs typeface="+mn-cs"/>
                                </a:defRPr>
                              </a:lvl6pPr>
                              <a:lvl7pPr marL="2743200" algn="l" defTabSz="914400" rtl="0" eaLnBrk="1" latinLnBrk="0" hangingPunct="1">
                                <a:defRPr kern="1200">
                                  <a:solidFill>
                                    <a:schemeClr val="tx1"/>
                                  </a:solidFill>
                                  <a:latin typeface="Arial" charset="0"/>
                                  <a:ea typeface="ＭＳ Ｐゴシック" pitchFamily="-65" charset="-128"/>
                                  <a:cs typeface="+mn-cs"/>
                                </a:defRPr>
                              </a:lvl7pPr>
                              <a:lvl8pPr marL="3200400" algn="l" defTabSz="914400" rtl="0" eaLnBrk="1" latinLnBrk="0" hangingPunct="1">
                                <a:defRPr kern="1200">
                                  <a:solidFill>
                                    <a:schemeClr val="tx1"/>
                                  </a:solidFill>
                                  <a:latin typeface="Arial" charset="0"/>
                                  <a:ea typeface="ＭＳ Ｐゴシック" pitchFamily="-65" charset="-128"/>
                                  <a:cs typeface="+mn-cs"/>
                                </a:defRPr>
                              </a:lvl8pPr>
                              <a:lvl9pPr marL="3657600" algn="l" defTabSz="914400" rtl="0" eaLnBrk="1" latinLnBrk="0" hangingPunct="1">
                                <a:defRPr kern="1200">
                                  <a:solidFill>
                                    <a:schemeClr val="tx1"/>
                                  </a:solidFill>
                                  <a:latin typeface="Arial" charset="0"/>
                                  <a:ea typeface="ＭＳ Ｐゴシック" pitchFamily="-65" charset="-128"/>
                                  <a:cs typeface="+mn-cs"/>
                                </a:defRPr>
                              </a:lvl9pPr>
                            </a:lstStyle>
                            <a:p>
                              <a:pPr algn="ctr" defTabSz="914400"/>
                              <a:r>
                                <a:rPr lang="en-US" sz="700">
                                  <a:solidFill>
                                    <a:srgbClr val="000000"/>
                                  </a:solidFill>
                                  <a:cs typeface="Times New Roman" charset="0"/>
                                </a:rPr>
                                <a:t>Stakeholder views</a:t>
                              </a:r>
                            </a:p>
                          </a:txBody>
                          <a:useSpRect/>
                        </a:txSp>
                      </a:sp>
                    </a:grpSp>
                    <a:cxnSp>
                      <a:nvCxnSpPr>
                        <a:cNvPr id="45" name="Straight Connector 44"/>
                        <a:cNvCxnSpPr>
                          <a:endCxn id="2084" idx="0"/>
                        </a:cNvCxnSpPr>
                      </a:nvCxnSpPr>
                      <a:spPr>
                        <a:xfrm>
                          <a:off x="2295525" y="2595563"/>
                          <a:ext cx="0" cy="285750"/>
                        </a:xfrm>
                        <a:prstGeom prst="line">
                          <a:avLst/>
                        </a:prstGeom>
                        <a:ln w="22225">
                          <a:miter lim="800000"/>
                          <a:headEnd type="none" w="med" len="med"/>
                          <a:tailEnd type="none" w="med" len="med"/>
                        </a:ln>
                      </a:spPr>
                      <a:style>
                        <a:lnRef idx="2">
                          <a:schemeClr val="dk1"/>
                        </a:lnRef>
                        <a:fillRef idx="0">
                          <a:schemeClr val="dk1"/>
                        </a:fillRef>
                        <a:effectRef idx="1">
                          <a:schemeClr val="dk1"/>
                        </a:effectRef>
                        <a:fontRef idx="minor">
                          <a:schemeClr val="tx1"/>
                        </a:fontRef>
                      </a:style>
                    </a:cxnSp>
                    <a:cxnSp>
                      <a:nvCxnSpPr>
                        <a:cNvPr id="48" name="Straight Arrow Connector 47"/>
                        <a:cNvCxnSpPr/>
                      </a:nvCxnSpPr>
                      <a:spPr>
                        <a:xfrm>
                          <a:off x="2295525" y="2595563"/>
                          <a:ext cx="498475" cy="0"/>
                        </a:xfrm>
                        <a:prstGeom prst="straightConnector1">
                          <a:avLst/>
                        </a:prstGeom>
                        <a:ln w="22225">
                          <a:miter lim="800000"/>
                          <a:tailEnd type="triangle"/>
                        </a:ln>
                      </a:spPr>
                      <a:style>
                        <a:lnRef idx="2">
                          <a:schemeClr val="dk1"/>
                        </a:lnRef>
                        <a:fillRef idx="0">
                          <a:schemeClr val="dk1"/>
                        </a:fillRef>
                        <a:effectRef idx="1">
                          <a:schemeClr val="dk1"/>
                        </a:effectRef>
                        <a:fontRef idx="minor">
                          <a:schemeClr val="tx1"/>
                        </a:fontRef>
                      </a:style>
                    </a:cxnSp>
                  </a:grpSp>
                </lc:lockedCanvas>
              </a:graphicData>
            </a:graphic>
          </wp:inline>
        </w:drawing>
      </w:r>
    </w:p>
    <w:p w:rsidR="00B81FBC" w:rsidRPr="00FB3DFF" w:rsidRDefault="00323540" w:rsidP="00FB3DFF">
      <w:pPr>
        <w:pStyle w:val="TableFigNotes18"/>
        <w:ind w:left="709"/>
        <w:rPr>
          <w:rFonts w:ascii="Century Gothic" w:hAnsi="Century Gothic" w:cs="Arial"/>
          <w:szCs w:val="22"/>
        </w:rPr>
      </w:pPr>
      <w:r w:rsidRPr="00FB3DFF">
        <w:rPr>
          <w:rFonts w:ascii="Century Gothic" w:hAnsi="Century Gothic" w:cs="Arial"/>
          <w:b/>
          <w:sz w:val="22"/>
          <w:szCs w:val="22"/>
        </w:rPr>
        <w:t xml:space="preserve">Figure 1: </w:t>
      </w:r>
      <w:r w:rsidR="00B81FBC" w:rsidRPr="00FB3DFF">
        <w:rPr>
          <w:rFonts w:ascii="Century Gothic" w:hAnsi="Century Gothic" w:cs="Arial"/>
          <w:b/>
          <w:sz w:val="22"/>
          <w:szCs w:val="22"/>
        </w:rPr>
        <w:t>Key environmental water responsibilities</w:t>
      </w:r>
    </w:p>
    <w:p w:rsidR="00711B91" w:rsidRPr="00FB3DFF" w:rsidRDefault="00585A6D" w:rsidP="00FB3DFF">
      <w:pPr>
        <w:pStyle w:val="BPHeading2Left063cmFirstline063cm"/>
        <w:rPr>
          <w:rFonts w:ascii="Century Gothic" w:hAnsi="Century Gothic"/>
        </w:rPr>
      </w:pPr>
      <w:bookmarkStart w:id="37" w:name="_Toc333227705"/>
      <w:bookmarkStart w:id="38" w:name="_Toc371409446"/>
      <w:r w:rsidRPr="00FB3DFF">
        <w:rPr>
          <w:rFonts w:ascii="Century Gothic" w:hAnsi="Century Gothic"/>
        </w:rPr>
        <w:t>3</w:t>
      </w:r>
      <w:r w:rsidR="00323540" w:rsidRPr="00FB3DFF">
        <w:rPr>
          <w:rFonts w:ascii="Century Gothic" w:hAnsi="Century Gothic"/>
        </w:rPr>
        <w:t xml:space="preserve">.1 </w:t>
      </w:r>
      <w:r w:rsidR="00323540" w:rsidRPr="00FB3DFF">
        <w:rPr>
          <w:rFonts w:ascii="Century Gothic" w:hAnsi="Century Gothic"/>
        </w:rPr>
        <w:tab/>
      </w:r>
      <w:r w:rsidR="0088283F" w:rsidRPr="00FB3DFF">
        <w:rPr>
          <w:rFonts w:ascii="Century Gothic" w:hAnsi="Century Gothic"/>
        </w:rPr>
        <w:t>Commonwealth Environmental Water Holder</w:t>
      </w:r>
      <w:bookmarkEnd w:id="37"/>
      <w:bookmarkEnd w:id="38"/>
    </w:p>
    <w:p w:rsidR="0088283F" w:rsidRPr="00FB3DFF" w:rsidRDefault="00993823" w:rsidP="00FB3DFF">
      <w:pPr>
        <w:spacing w:before="100" w:beforeAutospacing="1"/>
        <w:rPr>
          <w:rFonts w:ascii="Century Gothic" w:hAnsi="Century Gothic" w:cs="Arial"/>
          <w:sz w:val="22"/>
          <w:szCs w:val="22"/>
        </w:rPr>
      </w:pPr>
      <w:r w:rsidRPr="00FB3DFF">
        <w:rPr>
          <w:rFonts w:ascii="Century Gothic" w:hAnsi="Century Gothic" w:cs="Arial"/>
          <w:sz w:val="22"/>
          <w:szCs w:val="22"/>
        </w:rPr>
        <w:t>The C</w:t>
      </w:r>
      <w:r w:rsidR="006C5135">
        <w:rPr>
          <w:rFonts w:ascii="Century Gothic" w:hAnsi="Century Gothic" w:cs="Arial"/>
          <w:sz w:val="22"/>
          <w:szCs w:val="22"/>
        </w:rPr>
        <w:t>EWH</w:t>
      </w:r>
      <w:r w:rsidRPr="00FB3DFF">
        <w:rPr>
          <w:rFonts w:ascii="Century Gothic" w:hAnsi="Century Gothic" w:cs="Arial"/>
          <w:sz w:val="22"/>
          <w:szCs w:val="22"/>
        </w:rPr>
        <w:t xml:space="preserve"> is an independent statutory position created by th</w:t>
      </w:r>
      <w:r w:rsidR="006127F2">
        <w:rPr>
          <w:rFonts w:ascii="Century Gothic" w:hAnsi="Century Gothic" w:cs="Arial"/>
          <w:sz w:val="22"/>
          <w:szCs w:val="22"/>
        </w:rPr>
        <w:t>e Act</w:t>
      </w:r>
      <w:r w:rsidRPr="00FB3DFF">
        <w:rPr>
          <w:rFonts w:ascii="Century Gothic" w:hAnsi="Century Gothic" w:cs="Arial"/>
          <w:sz w:val="22"/>
          <w:szCs w:val="22"/>
        </w:rPr>
        <w:t xml:space="preserve"> to manage the Commonwealth’s environmental water holdings and to administer the Environmental Water Holdings Special Account.</w:t>
      </w:r>
      <w:r w:rsidR="006C5135" w:rsidRPr="006C5135">
        <w:rPr>
          <w:rFonts w:ascii="Century Gothic" w:hAnsi="Century Gothic"/>
          <w:sz w:val="22"/>
          <w:szCs w:val="22"/>
        </w:rPr>
        <w:t xml:space="preserve"> </w:t>
      </w:r>
      <w:r w:rsidR="006C5135" w:rsidRPr="00FB3DFF">
        <w:rPr>
          <w:rFonts w:ascii="Century Gothic" w:hAnsi="Century Gothic"/>
          <w:sz w:val="22"/>
          <w:szCs w:val="22"/>
        </w:rPr>
        <w:t xml:space="preserve">The </w:t>
      </w:r>
      <w:r w:rsidR="00AD3C0B">
        <w:rPr>
          <w:rFonts w:ascii="Century Gothic" w:hAnsi="Century Gothic"/>
          <w:sz w:val="22"/>
          <w:szCs w:val="22"/>
        </w:rPr>
        <w:t xml:space="preserve">CEWH </w:t>
      </w:r>
      <w:r w:rsidR="006C5135" w:rsidRPr="00FB3DFF">
        <w:rPr>
          <w:rFonts w:ascii="Century Gothic" w:hAnsi="Century Gothic"/>
          <w:sz w:val="22"/>
          <w:szCs w:val="22"/>
        </w:rPr>
        <w:t>leads the Office.</w:t>
      </w:r>
    </w:p>
    <w:p w:rsidR="00DF1E44" w:rsidRPr="00FB3DFF" w:rsidRDefault="0088283F" w:rsidP="00692930">
      <w:pPr>
        <w:rPr>
          <w:rFonts w:ascii="Century Gothic" w:hAnsi="Century Gothic" w:cs="Arial"/>
          <w:sz w:val="22"/>
          <w:szCs w:val="22"/>
        </w:rPr>
      </w:pPr>
      <w:r w:rsidRPr="00FB3DFF">
        <w:rPr>
          <w:rFonts w:ascii="Century Gothic" w:hAnsi="Century Gothic" w:cs="Arial"/>
          <w:sz w:val="22"/>
          <w:szCs w:val="22"/>
        </w:rPr>
        <w:t xml:space="preserve">The </w:t>
      </w:r>
      <w:r w:rsidR="00C227E7" w:rsidRPr="00FB3DFF">
        <w:rPr>
          <w:rFonts w:ascii="Century Gothic" w:hAnsi="Century Gothic" w:cs="Arial"/>
          <w:sz w:val="22"/>
          <w:szCs w:val="22"/>
        </w:rPr>
        <w:t>C</w:t>
      </w:r>
      <w:r w:rsidR="006C5135">
        <w:rPr>
          <w:rFonts w:ascii="Century Gothic" w:hAnsi="Century Gothic" w:cs="Arial"/>
          <w:sz w:val="22"/>
          <w:szCs w:val="22"/>
        </w:rPr>
        <w:t>EWH</w:t>
      </w:r>
      <w:r w:rsidR="00C227E7" w:rsidRPr="00FB3DFF">
        <w:rPr>
          <w:rFonts w:ascii="Century Gothic" w:hAnsi="Century Gothic" w:cs="Arial"/>
          <w:sz w:val="22"/>
          <w:szCs w:val="22"/>
        </w:rPr>
        <w:t xml:space="preserve"> </w:t>
      </w:r>
      <w:r w:rsidRPr="00FB3DFF">
        <w:rPr>
          <w:rFonts w:ascii="Century Gothic" w:hAnsi="Century Gothic" w:cs="Arial"/>
          <w:sz w:val="22"/>
          <w:szCs w:val="22"/>
        </w:rPr>
        <w:t xml:space="preserve">is appointed under </w:t>
      </w:r>
      <w:r w:rsidR="006329BF" w:rsidRPr="00FB3DFF">
        <w:rPr>
          <w:rFonts w:ascii="Century Gothic" w:hAnsi="Century Gothic" w:cs="Arial"/>
          <w:sz w:val="22"/>
          <w:szCs w:val="22"/>
        </w:rPr>
        <w:t xml:space="preserve">s. </w:t>
      </w:r>
      <w:r w:rsidRPr="00FB3DFF">
        <w:rPr>
          <w:rFonts w:ascii="Century Gothic" w:hAnsi="Century Gothic" w:cs="Arial"/>
          <w:sz w:val="22"/>
          <w:szCs w:val="22"/>
        </w:rPr>
        <w:t xml:space="preserve">115 with statutory functions set out in Part 6 of </w:t>
      </w:r>
      <w:r w:rsidR="00CB3B8A" w:rsidRPr="00FB3DFF">
        <w:rPr>
          <w:rFonts w:ascii="Century Gothic" w:hAnsi="Century Gothic" w:cs="Arial"/>
          <w:sz w:val="22"/>
          <w:szCs w:val="22"/>
        </w:rPr>
        <w:t>th</w:t>
      </w:r>
      <w:r w:rsidR="00CB3B8A">
        <w:rPr>
          <w:rFonts w:ascii="Century Gothic" w:hAnsi="Century Gothic" w:cs="Arial"/>
          <w:sz w:val="22"/>
          <w:szCs w:val="22"/>
        </w:rPr>
        <w:t>e</w:t>
      </w:r>
      <w:r w:rsidR="006127F2">
        <w:rPr>
          <w:rFonts w:ascii="Century Gothic" w:hAnsi="Century Gothic" w:cs="Arial"/>
          <w:sz w:val="22"/>
          <w:szCs w:val="22"/>
        </w:rPr>
        <w:t xml:space="preserve"> Act</w:t>
      </w:r>
      <w:r w:rsidRPr="00FB3DFF">
        <w:rPr>
          <w:rFonts w:ascii="Century Gothic" w:hAnsi="Century Gothic" w:cs="Arial"/>
          <w:sz w:val="22"/>
          <w:szCs w:val="22"/>
        </w:rPr>
        <w:t xml:space="preserve">, which are performed on behalf of the Commonwealth. The position holder must be engaged under the </w:t>
      </w:r>
      <w:r w:rsidRPr="00FB3DFF">
        <w:rPr>
          <w:rFonts w:ascii="Century Gothic" w:hAnsi="Century Gothic" w:cs="Arial"/>
          <w:i/>
          <w:sz w:val="22"/>
          <w:szCs w:val="22"/>
        </w:rPr>
        <w:t>Public Service Act 1999</w:t>
      </w:r>
      <w:r w:rsidRPr="00FB3DFF">
        <w:rPr>
          <w:rFonts w:ascii="Century Gothic" w:hAnsi="Century Gothic" w:cs="Arial"/>
          <w:sz w:val="22"/>
          <w:szCs w:val="22"/>
        </w:rPr>
        <w:t>.</w:t>
      </w:r>
      <w:r w:rsidR="00692930">
        <w:rPr>
          <w:rFonts w:ascii="Century Gothic" w:hAnsi="Century Gothic" w:cs="Arial"/>
          <w:sz w:val="22"/>
          <w:szCs w:val="22"/>
        </w:rPr>
        <w:t xml:space="preserve"> </w:t>
      </w:r>
      <w:r w:rsidR="00DF1E44" w:rsidRPr="00FB3DFF">
        <w:rPr>
          <w:rFonts w:ascii="Century Gothic" w:hAnsi="Century Gothic" w:cs="Arial"/>
          <w:sz w:val="22"/>
          <w:szCs w:val="22"/>
        </w:rPr>
        <w:br w:type="page"/>
      </w:r>
    </w:p>
    <w:p w:rsidR="0088283F" w:rsidRPr="00FB3DFF" w:rsidRDefault="0088283F"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Section 107 of the Act provides that the </w:t>
      </w:r>
      <w:r w:rsidR="006C5135">
        <w:rPr>
          <w:rFonts w:ascii="Century Gothic" w:hAnsi="Century Gothic"/>
          <w:sz w:val="22"/>
          <w:szCs w:val="22"/>
        </w:rPr>
        <w:t>CEWH i</w:t>
      </w:r>
      <w:r w:rsidRPr="00FB3DFF">
        <w:rPr>
          <w:rFonts w:ascii="Century Gothic" w:hAnsi="Century Gothic"/>
          <w:sz w:val="22"/>
          <w:szCs w:val="22"/>
        </w:rPr>
        <w:t>s not subject to direction from the Minister or Secretary in relation to exerci</w:t>
      </w:r>
      <w:r w:rsidR="00946B17" w:rsidRPr="00FB3DFF">
        <w:rPr>
          <w:rFonts w:ascii="Century Gothic" w:hAnsi="Century Gothic"/>
          <w:sz w:val="22"/>
          <w:szCs w:val="22"/>
        </w:rPr>
        <w:t>sing</w:t>
      </w:r>
      <w:r w:rsidRPr="00FB3DFF">
        <w:rPr>
          <w:rFonts w:ascii="Century Gothic" w:hAnsi="Century Gothic"/>
          <w:sz w:val="22"/>
          <w:szCs w:val="22"/>
        </w:rPr>
        <w:t xml:space="preserve"> any powers to purchase, dispose of and other</w:t>
      </w:r>
      <w:r w:rsidR="00B51338" w:rsidRPr="00FB3DFF">
        <w:rPr>
          <w:rFonts w:ascii="Century Gothic" w:hAnsi="Century Gothic"/>
          <w:sz w:val="22"/>
          <w:szCs w:val="22"/>
        </w:rPr>
        <w:t xml:space="preserve">wise </w:t>
      </w:r>
      <w:r w:rsidRPr="00FB3DFF">
        <w:rPr>
          <w:rFonts w:ascii="Century Gothic" w:hAnsi="Century Gothic"/>
          <w:sz w:val="22"/>
          <w:szCs w:val="22"/>
        </w:rPr>
        <w:t xml:space="preserve">deal in water and water access rights. Any directions that have been given, that do not relate to matters </w:t>
      </w:r>
      <w:r w:rsidR="006329BF" w:rsidRPr="00FB3DFF">
        <w:rPr>
          <w:rFonts w:ascii="Century Gothic" w:hAnsi="Century Gothic"/>
          <w:sz w:val="22"/>
          <w:szCs w:val="22"/>
        </w:rPr>
        <w:t xml:space="preserve">under ss. </w:t>
      </w:r>
      <w:r w:rsidRPr="00FB3DFF">
        <w:rPr>
          <w:rFonts w:ascii="Century Gothic" w:hAnsi="Century Gothic"/>
          <w:sz w:val="22"/>
          <w:szCs w:val="22"/>
        </w:rPr>
        <w:t>105</w:t>
      </w:r>
      <w:r w:rsidR="00052B8E" w:rsidRPr="00FB3DFF">
        <w:rPr>
          <w:rFonts w:ascii="Century Gothic" w:hAnsi="Century Gothic"/>
          <w:sz w:val="22"/>
          <w:szCs w:val="22"/>
        </w:rPr>
        <w:t>(2)</w:t>
      </w:r>
      <w:r w:rsidR="00E2077E" w:rsidRPr="00FB3DFF">
        <w:rPr>
          <w:rFonts w:ascii="Century Gothic" w:hAnsi="Century Gothic"/>
          <w:sz w:val="22"/>
          <w:szCs w:val="22"/>
        </w:rPr>
        <w:t xml:space="preserve"> </w:t>
      </w:r>
      <w:r w:rsidRPr="00FB3DFF">
        <w:rPr>
          <w:rFonts w:ascii="Century Gothic" w:hAnsi="Century Gothic"/>
          <w:sz w:val="22"/>
          <w:szCs w:val="22"/>
        </w:rPr>
        <w:t xml:space="preserve">(a)-(c), must be reported in the </w:t>
      </w:r>
      <w:r w:rsidR="006C5135">
        <w:rPr>
          <w:rFonts w:ascii="Century Gothic" w:hAnsi="Century Gothic"/>
          <w:sz w:val="22"/>
          <w:szCs w:val="22"/>
        </w:rPr>
        <w:t>CEWH</w:t>
      </w:r>
      <w:r w:rsidR="00041E86" w:rsidRPr="00FB3DFF">
        <w:rPr>
          <w:rFonts w:ascii="Century Gothic" w:hAnsi="Century Gothic"/>
          <w:sz w:val="22"/>
          <w:szCs w:val="22"/>
        </w:rPr>
        <w:t xml:space="preserve">’s </w:t>
      </w:r>
      <w:r w:rsidRPr="00FB3DFF">
        <w:rPr>
          <w:rFonts w:ascii="Century Gothic" w:hAnsi="Century Gothic"/>
          <w:sz w:val="22"/>
          <w:szCs w:val="22"/>
        </w:rPr>
        <w:t xml:space="preserve">annual report pursuant to </w:t>
      </w:r>
      <w:r w:rsidR="006329BF" w:rsidRPr="00FB3DFF">
        <w:rPr>
          <w:rFonts w:ascii="Century Gothic" w:hAnsi="Century Gothic"/>
          <w:sz w:val="22"/>
          <w:szCs w:val="22"/>
        </w:rPr>
        <w:t xml:space="preserve">s. </w:t>
      </w:r>
      <w:r w:rsidRPr="00FB3DFF">
        <w:rPr>
          <w:rFonts w:ascii="Century Gothic" w:hAnsi="Century Gothic"/>
          <w:sz w:val="22"/>
          <w:szCs w:val="22"/>
        </w:rPr>
        <w:t>114 (</w:t>
      </w:r>
      <w:r w:rsidR="00C74E89" w:rsidRPr="00FB3DFF">
        <w:rPr>
          <w:rFonts w:ascii="Century Gothic" w:hAnsi="Century Gothic"/>
          <w:sz w:val="22"/>
          <w:szCs w:val="22"/>
        </w:rPr>
        <w:t>refer to Section </w:t>
      </w:r>
      <w:r w:rsidR="000318AF" w:rsidRPr="00FB3DFF">
        <w:rPr>
          <w:rFonts w:ascii="Century Gothic" w:hAnsi="Century Gothic"/>
          <w:sz w:val="22"/>
          <w:szCs w:val="22"/>
        </w:rPr>
        <w:t>4.2</w:t>
      </w:r>
      <w:r w:rsidR="008270AF" w:rsidRPr="00FB3DFF">
        <w:rPr>
          <w:rFonts w:ascii="Century Gothic" w:hAnsi="Century Gothic"/>
          <w:sz w:val="22"/>
          <w:szCs w:val="22"/>
        </w:rPr>
        <w:t>).</w:t>
      </w:r>
      <w:r w:rsidR="005E0729">
        <w:rPr>
          <w:rFonts w:ascii="Century Gothic" w:hAnsi="Century Gothic"/>
          <w:sz w:val="22"/>
          <w:szCs w:val="22"/>
        </w:rPr>
        <w:t xml:space="preserve"> </w:t>
      </w:r>
    </w:p>
    <w:p w:rsidR="00870D66" w:rsidRPr="00FB3DFF" w:rsidRDefault="00585A6D" w:rsidP="00FB3DFF">
      <w:pPr>
        <w:pStyle w:val="Heading2"/>
        <w:tabs>
          <w:tab w:val="left" w:pos="1276"/>
        </w:tabs>
        <w:ind w:firstLine="0"/>
        <w:rPr>
          <w:rFonts w:ascii="Century Gothic" w:hAnsi="Century Gothic"/>
          <w:color w:val="auto"/>
        </w:rPr>
      </w:pPr>
      <w:bookmarkStart w:id="39" w:name="_Toc333227706"/>
      <w:bookmarkStart w:id="40" w:name="_Toc371409447"/>
      <w:r w:rsidRPr="00FB3DFF">
        <w:rPr>
          <w:rFonts w:ascii="Century Gothic" w:hAnsi="Century Gothic"/>
          <w:color w:val="auto"/>
        </w:rPr>
        <w:t>3</w:t>
      </w:r>
      <w:r w:rsidR="00323540" w:rsidRPr="00FB3DFF">
        <w:rPr>
          <w:rFonts w:ascii="Century Gothic" w:hAnsi="Century Gothic"/>
          <w:color w:val="auto"/>
        </w:rPr>
        <w:t xml:space="preserve">.2 </w:t>
      </w:r>
      <w:r w:rsidR="00323540" w:rsidRPr="00FB3DFF">
        <w:rPr>
          <w:rFonts w:ascii="Century Gothic" w:hAnsi="Century Gothic"/>
          <w:color w:val="auto"/>
        </w:rPr>
        <w:tab/>
      </w:r>
      <w:r w:rsidR="00870D66" w:rsidRPr="00FB3DFF">
        <w:rPr>
          <w:rFonts w:ascii="Century Gothic" w:hAnsi="Century Gothic"/>
          <w:color w:val="auto"/>
        </w:rPr>
        <w:t>Internal relationships</w:t>
      </w:r>
      <w:bookmarkEnd w:id="39"/>
      <w:bookmarkEnd w:id="40"/>
    </w:p>
    <w:p w:rsidR="00711B91" w:rsidRPr="00FB3DFF" w:rsidRDefault="00585A6D" w:rsidP="00FB3DFF">
      <w:pPr>
        <w:pStyle w:val="Heading3"/>
        <w:tabs>
          <w:tab w:val="left" w:pos="1418"/>
        </w:tabs>
        <w:ind w:left="709" w:firstLine="0"/>
        <w:rPr>
          <w:rFonts w:ascii="Century Gothic" w:hAnsi="Century Gothic"/>
        </w:rPr>
      </w:pPr>
      <w:bookmarkStart w:id="41" w:name="_Toc333227707"/>
      <w:bookmarkStart w:id="42" w:name="_Toc371409448"/>
      <w:r w:rsidRPr="00FB3DFF">
        <w:rPr>
          <w:rFonts w:ascii="Century Gothic" w:hAnsi="Century Gothic"/>
        </w:rPr>
        <w:t>3</w:t>
      </w:r>
      <w:r w:rsidR="00323540" w:rsidRPr="00FB3DFF">
        <w:rPr>
          <w:rFonts w:ascii="Century Gothic" w:hAnsi="Century Gothic"/>
        </w:rPr>
        <w:t>.2.1</w:t>
      </w:r>
      <w:r w:rsidR="00323540" w:rsidRPr="00FB3DFF">
        <w:rPr>
          <w:rFonts w:ascii="Century Gothic" w:hAnsi="Century Gothic"/>
        </w:rPr>
        <w:tab/>
      </w:r>
      <w:r w:rsidR="00D25EB8" w:rsidRPr="00FB3DFF">
        <w:rPr>
          <w:rFonts w:ascii="Century Gothic" w:hAnsi="Century Gothic"/>
        </w:rPr>
        <w:t>Commonwealth Environmental Water Office</w:t>
      </w:r>
      <w:bookmarkEnd w:id="41"/>
      <w:bookmarkEnd w:id="42"/>
    </w:p>
    <w:p w:rsidR="002E7D47" w:rsidRPr="00FB3DFF" w:rsidRDefault="005B600D" w:rsidP="00FB3DFF">
      <w:pPr>
        <w:ind w:left="709"/>
        <w:rPr>
          <w:rFonts w:ascii="Century Gothic" w:hAnsi="Century Gothic" w:cs="Arial"/>
          <w:color w:val="auto"/>
          <w:sz w:val="22"/>
          <w:szCs w:val="22"/>
        </w:rPr>
      </w:pPr>
      <w:r w:rsidRPr="00FB3DFF">
        <w:rPr>
          <w:rFonts w:ascii="Century Gothic" w:hAnsi="Century Gothic" w:cs="Arial"/>
          <w:color w:val="auto"/>
          <w:sz w:val="22"/>
          <w:szCs w:val="22"/>
        </w:rPr>
        <w:t xml:space="preserve">The Office </w:t>
      </w:r>
      <w:r w:rsidR="00035A33" w:rsidRPr="00FB3DFF">
        <w:rPr>
          <w:rFonts w:ascii="Century Gothic" w:hAnsi="Century Gothic" w:cs="Arial"/>
          <w:color w:val="auto"/>
          <w:sz w:val="22"/>
          <w:szCs w:val="22"/>
        </w:rPr>
        <w:t xml:space="preserve">operates as a distinct entity within the Department </w:t>
      </w:r>
      <w:r w:rsidR="009A2A57" w:rsidRPr="00FB3DFF">
        <w:rPr>
          <w:rFonts w:ascii="Century Gothic" w:hAnsi="Century Gothic" w:cs="Arial"/>
          <w:color w:val="auto"/>
          <w:sz w:val="22"/>
          <w:szCs w:val="22"/>
        </w:rPr>
        <w:t xml:space="preserve">of the Environment </w:t>
      </w:r>
      <w:r w:rsidR="00035A33" w:rsidRPr="00FB3DFF">
        <w:rPr>
          <w:rFonts w:ascii="Century Gothic" w:hAnsi="Century Gothic" w:cs="Arial"/>
          <w:color w:val="auto"/>
          <w:sz w:val="22"/>
          <w:szCs w:val="22"/>
        </w:rPr>
        <w:t xml:space="preserve">and </w:t>
      </w:r>
      <w:r w:rsidR="009B72D8" w:rsidRPr="00FB3DFF">
        <w:rPr>
          <w:rFonts w:ascii="Century Gothic" w:hAnsi="Century Gothic" w:cs="Arial"/>
          <w:color w:val="auto"/>
          <w:sz w:val="22"/>
          <w:szCs w:val="22"/>
        </w:rPr>
        <w:t xml:space="preserve">provides </w:t>
      </w:r>
      <w:r w:rsidR="00930330" w:rsidRPr="00FB3DFF">
        <w:rPr>
          <w:rFonts w:ascii="Century Gothic" w:hAnsi="Century Gothic" w:cs="Arial"/>
          <w:color w:val="auto"/>
          <w:sz w:val="22"/>
          <w:szCs w:val="22"/>
        </w:rPr>
        <w:t xml:space="preserve">formal </w:t>
      </w:r>
      <w:r w:rsidR="009B72D8" w:rsidRPr="00FB3DFF">
        <w:rPr>
          <w:rFonts w:ascii="Century Gothic" w:hAnsi="Century Gothic" w:cs="Arial"/>
          <w:color w:val="auto"/>
          <w:sz w:val="22"/>
          <w:szCs w:val="22"/>
        </w:rPr>
        <w:t xml:space="preserve">support to the </w:t>
      </w:r>
      <w:r w:rsidR="006C5135">
        <w:rPr>
          <w:rFonts w:ascii="Century Gothic" w:hAnsi="Century Gothic" w:cs="Arial"/>
          <w:color w:val="auto"/>
          <w:sz w:val="22"/>
          <w:szCs w:val="22"/>
        </w:rPr>
        <w:t>CEWH</w:t>
      </w:r>
      <w:r w:rsidR="009B72D8" w:rsidRPr="00FB3DFF">
        <w:rPr>
          <w:rFonts w:ascii="Century Gothic" w:hAnsi="Century Gothic" w:cs="Arial"/>
          <w:color w:val="auto"/>
          <w:sz w:val="22"/>
          <w:szCs w:val="22"/>
        </w:rPr>
        <w:t xml:space="preserve"> in meeting </w:t>
      </w:r>
      <w:r w:rsidR="006958EA" w:rsidRPr="00FB3DFF">
        <w:rPr>
          <w:rFonts w:ascii="Century Gothic" w:hAnsi="Century Gothic" w:cs="Arial"/>
          <w:color w:val="auto"/>
          <w:sz w:val="22"/>
          <w:szCs w:val="22"/>
        </w:rPr>
        <w:t>the</w:t>
      </w:r>
      <w:r w:rsidR="009B72D8" w:rsidRPr="00FB3DFF">
        <w:rPr>
          <w:rFonts w:ascii="Century Gothic" w:hAnsi="Century Gothic" w:cs="Arial"/>
          <w:color w:val="auto"/>
          <w:sz w:val="22"/>
          <w:szCs w:val="22"/>
        </w:rPr>
        <w:t xml:space="preserve"> statutory obligations under the Act.</w:t>
      </w:r>
    </w:p>
    <w:p w:rsidR="00A71BF3" w:rsidRPr="00FB3DFF" w:rsidRDefault="00930330" w:rsidP="00FB3DFF">
      <w:pPr>
        <w:ind w:left="709"/>
        <w:rPr>
          <w:rFonts w:ascii="Century Gothic" w:hAnsi="Century Gothic" w:cs="Arial"/>
          <w:color w:val="auto"/>
          <w:sz w:val="22"/>
          <w:szCs w:val="22"/>
        </w:rPr>
      </w:pPr>
      <w:r w:rsidRPr="00FB3DFF">
        <w:rPr>
          <w:rFonts w:ascii="Century Gothic" w:hAnsi="Century Gothic" w:cs="Arial"/>
          <w:color w:val="auto"/>
          <w:sz w:val="22"/>
          <w:szCs w:val="22"/>
        </w:rPr>
        <w:t xml:space="preserve">Office </w:t>
      </w:r>
      <w:r w:rsidR="006C5515" w:rsidRPr="00FB3DFF">
        <w:rPr>
          <w:rFonts w:ascii="Century Gothic" w:hAnsi="Century Gothic" w:cs="Arial"/>
          <w:color w:val="auto"/>
          <w:sz w:val="22"/>
          <w:szCs w:val="22"/>
        </w:rPr>
        <w:t>s</w:t>
      </w:r>
      <w:r w:rsidR="00C74E89" w:rsidRPr="00FB3DFF">
        <w:rPr>
          <w:rFonts w:ascii="Century Gothic" w:hAnsi="Century Gothic" w:cs="Arial"/>
          <w:color w:val="auto"/>
          <w:sz w:val="22"/>
          <w:szCs w:val="22"/>
        </w:rPr>
        <w:t>taff</w:t>
      </w:r>
      <w:r w:rsidR="004D5CED" w:rsidRPr="00FB3DFF">
        <w:rPr>
          <w:rFonts w:ascii="Century Gothic" w:hAnsi="Century Gothic" w:cs="Arial"/>
          <w:color w:val="auto"/>
          <w:sz w:val="22"/>
          <w:szCs w:val="22"/>
        </w:rPr>
        <w:t xml:space="preserve"> </w:t>
      </w:r>
      <w:r w:rsidR="0022280B" w:rsidRPr="00FB3DFF">
        <w:rPr>
          <w:rFonts w:ascii="Century Gothic" w:hAnsi="Century Gothic" w:cs="Arial"/>
          <w:color w:val="auto"/>
          <w:sz w:val="22"/>
          <w:szCs w:val="22"/>
        </w:rPr>
        <w:t xml:space="preserve">have </w:t>
      </w:r>
      <w:r w:rsidR="00C74E89" w:rsidRPr="00FB3DFF">
        <w:rPr>
          <w:rFonts w:ascii="Century Gothic" w:hAnsi="Century Gothic" w:cs="Arial"/>
          <w:color w:val="auto"/>
          <w:sz w:val="22"/>
          <w:szCs w:val="22"/>
        </w:rPr>
        <w:t>expertise in</w:t>
      </w:r>
      <w:r w:rsidR="003172CE" w:rsidRPr="00FB3DFF">
        <w:rPr>
          <w:rFonts w:ascii="Century Gothic" w:hAnsi="Century Gothic" w:cs="Arial"/>
          <w:color w:val="auto"/>
          <w:sz w:val="22"/>
          <w:szCs w:val="22"/>
        </w:rPr>
        <w:t xml:space="preserve"> areas including</w:t>
      </w:r>
      <w:r w:rsidR="00C74E89" w:rsidRPr="00FB3DFF">
        <w:rPr>
          <w:rFonts w:ascii="Century Gothic" w:hAnsi="Century Gothic" w:cs="Arial"/>
          <w:color w:val="auto"/>
          <w:sz w:val="22"/>
          <w:szCs w:val="22"/>
        </w:rPr>
        <w:t xml:space="preserve"> science, </w:t>
      </w:r>
      <w:r w:rsidR="001C677B" w:rsidRPr="00FB3DFF">
        <w:rPr>
          <w:rFonts w:ascii="Century Gothic" w:hAnsi="Century Gothic" w:cs="Arial"/>
          <w:color w:val="auto"/>
          <w:sz w:val="22"/>
          <w:szCs w:val="22"/>
        </w:rPr>
        <w:t xml:space="preserve">engineering, river operations, </w:t>
      </w:r>
      <w:r w:rsidR="00C74E89" w:rsidRPr="00FB3DFF">
        <w:rPr>
          <w:rFonts w:ascii="Century Gothic" w:hAnsi="Century Gothic" w:cs="Arial"/>
          <w:color w:val="auto"/>
          <w:sz w:val="22"/>
          <w:szCs w:val="22"/>
        </w:rPr>
        <w:t xml:space="preserve">economics, information technology and accounting. </w:t>
      </w:r>
      <w:r w:rsidR="00025B61" w:rsidRPr="00FB3DFF">
        <w:rPr>
          <w:rFonts w:ascii="Century Gothic" w:hAnsi="Century Gothic" w:cs="Arial"/>
          <w:color w:val="auto"/>
          <w:sz w:val="22"/>
          <w:szCs w:val="22"/>
        </w:rPr>
        <w:t xml:space="preserve">The structure of </w:t>
      </w:r>
      <w:r w:rsidRPr="00FB3DFF">
        <w:rPr>
          <w:rFonts w:ascii="Century Gothic" w:hAnsi="Century Gothic" w:cs="Arial"/>
          <w:color w:val="auto"/>
          <w:sz w:val="22"/>
          <w:szCs w:val="22"/>
        </w:rPr>
        <w:t xml:space="preserve">the Office </w:t>
      </w:r>
      <w:r w:rsidR="00025B61" w:rsidRPr="00FB3DFF">
        <w:rPr>
          <w:rFonts w:ascii="Century Gothic" w:hAnsi="Century Gothic" w:cs="Arial"/>
          <w:color w:val="auto"/>
          <w:sz w:val="22"/>
          <w:szCs w:val="22"/>
        </w:rPr>
        <w:t xml:space="preserve">is </w:t>
      </w:r>
      <w:r w:rsidR="00AC1315" w:rsidRPr="00FB3DFF">
        <w:rPr>
          <w:rFonts w:ascii="Century Gothic" w:hAnsi="Century Gothic" w:cs="Arial"/>
          <w:color w:val="auto"/>
          <w:sz w:val="22"/>
          <w:szCs w:val="22"/>
        </w:rPr>
        <w:t xml:space="preserve">described </w:t>
      </w:r>
      <w:r w:rsidR="00025B61" w:rsidRPr="00FB3DFF">
        <w:rPr>
          <w:rFonts w:ascii="Century Gothic" w:hAnsi="Century Gothic" w:cs="Arial"/>
          <w:color w:val="auto"/>
          <w:sz w:val="22"/>
          <w:szCs w:val="22"/>
        </w:rPr>
        <w:t xml:space="preserve">in </w:t>
      </w:r>
      <w:r w:rsidR="00025B61" w:rsidRPr="00FB3DFF">
        <w:rPr>
          <w:rFonts w:ascii="Century Gothic" w:hAnsi="Century Gothic" w:cs="Arial"/>
          <w:color w:val="auto"/>
          <w:sz w:val="22"/>
          <w:szCs w:val="22"/>
          <w:u w:val="single"/>
        </w:rPr>
        <w:t xml:space="preserve">Appendix </w:t>
      </w:r>
      <w:r w:rsidR="003B54E6" w:rsidRPr="00FB3DFF">
        <w:rPr>
          <w:rFonts w:ascii="Century Gothic" w:hAnsi="Century Gothic" w:cs="Arial"/>
          <w:color w:val="auto"/>
          <w:sz w:val="22"/>
          <w:szCs w:val="22"/>
          <w:u w:val="single"/>
        </w:rPr>
        <w:t>A</w:t>
      </w:r>
      <w:r w:rsidR="00025B61" w:rsidRPr="00FB3DFF">
        <w:rPr>
          <w:rFonts w:ascii="Century Gothic" w:hAnsi="Century Gothic" w:cs="Arial"/>
          <w:color w:val="auto"/>
          <w:sz w:val="22"/>
          <w:szCs w:val="22"/>
        </w:rPr>
        <w:t xml:space="preserve">.  </w:t>
      </w:r>
    </w:p>
    <w:p w:rsidR="0034045E" w:rsidRPr="00FB3DFF" w:rsidRDefault="0034045E" w:rsidP="00FB3DFF">
      <w:pPr>
        <w:pStyle w:val="BPBodyTextArialJustified"/>
        <w:ind w:left="709"/>
        <w:jc w:val="left"/>
        <w:rPr>
          <w:rFonts w:ascii="Century Gothic" w:hAnsi="Century Gothic"/>
          <w:sz w:val="22"/>
          <w:szCs w:val="22"/>
        </w:rPr>
      </w:pPr>
      <w:r w:rsidRPr="00FB3DFF">
        <w:rPr>
          <w:rFonts w:ascii="Century Gothic" w:hAnsi="Century Gothic"/>
          <w:sz w:val="22"/>
          <w:szCs w:val="22"/>
        </w:rPr>
        <w:t>The Department meets the costs of employing the staff</w:t>
      </w:r>
      <w:r w:rsidR="003A7A4D" w:rsidRPr="00FB3DFF">
        <w:rPr>
          <w:rFonts w:ascii="Century Gothic" w:hAnsi="Century Gothic"/>
          <w:sz w:val="22"/>
          <w:szCs w:val="22"/>
        </w:rPr>
        <w:t xml:space="preserve"> </w:t>
      </w:r>
      <w:r w:rsidR="0022280B" w:rsidRPr="00FB3DFF">
        <w:rPr>
          <w:rFonts w:ascii="Century Gothic" w:hAnsi="Century Gothic"/>
          <w:sz w:val="22"/>
          <w:szCs w:val="22"/>
        </w:rPr>
        <w:t>from</w:t>
      </w:r>
      <w:r w:rsidR="00202EDF" w:rsidRPr="00FB3DFF">
        <w:rPr>
          <w:rFonts w:ascii="Century Gothic" w:hAnsi="Century Gothic"/>
          <w:sz w:val="22"/>
          <w:szCs w:val="22"/>
        </w:rPr>
        <w:t xml:space="preserve"> Commonwealth budget appropriations. The Department</w:t>
      </w:r>
      <w:r w:rsidR="00E334EB" w:rsidRPr="00FB3DFF">
        <w:rPr>
          <w:rFonts w:ascii="Century Gothic" w:hAnsi="Century Gothic"/>
          <w:sz w:val="22"/>
          <w:szCs w:val="22"/>
        </w:rPr>
        <w:t xml:space="preserve"> </w:t>
      </w:r>
      <w:r w:rsidR="003A7A4D" w:rsidRPr="00FB3DFF">
        <w:rPr>
          <w:rFonts w:ascii="Century Gothic" w:hAnsi="Century Gothic"/>
          <w:sz w:val="22"/>
          <w:szCs w:val="22"/>
        </w:rPr>
        <w:t xml:space="preserve">provides funding for departmental expenses and </w:t>
      </w:r>
      <w:r w:rsidR="00E334EB" w:rsidRPr="00FB3DFF">
        <w:rPr>
          <w:rFonts w:ascii="Century Gothic" w:hAnsi="Century Gothic"/>
          <w:sz w:val="22"/>
          <w:szCs w:val="22"/>
        </w:rPr>
        <w:t>provides a</w:t>
      </w:r>
      <w:r w:rsidR="003A7A4D" w:rsidRPr="00FB3DFF">
        <w:rPr>
          <w:rFonts w:ascii="Century Gothic" w:hAnsi="Century Gothic"/>
          <w:sz w:val="22"/>
          <w:szCs w:val="22"/>
        </w:rPr>
        <w:t xml:space="preserve"> range of </w:t>
      </w:r>
      <w:r w:rsidR="00E334EB" w:rsidRPr="00FB3DFF">
        <w:rPr>
          <w:rFonts w:ascii="Century Gothic" w:hAnsi="Century Gothic"/>
          <w:sz w:val="22"/>
          <w:szCs w:val="22"/>
        </w:rPr>
        <w:t xml:space="preserve">support </w:t>
      </w:r>
      <w:r w:rsidR="003A7A4D" w:rsidRPr="00FB3DFF">
        <w:rPr>
          <w:rFonts w:ascii="Century Gothic" w:hAnsi="Century Gothic"/>
          <w:sz w:val="22"/>
          <w:szCs w:val="22"/>
        </w:rPr>
        <w:t>services, including corporate</w:t>
      </w:r>
      <w:r w:rsidR="00025B61" w:rsidRPr="00FB3DFF">
        <w:rPr>
          <w:rFonts w:ascii="Century Gothic" w:hAnsi="Century Gothic"/>
          <w:sz w:val="22"/>
          <w:szCs w:val="22"/>
        </w:rPr>
        <w:t xml:space="preserve"> and </w:t>
      </w:r>
      <w:r w:rsidR="003A7A4D" w:rsidRPr="00FB3DFF">
        <w:rPr>
          <w:rFonts w:ascii="Century Gothic" w:hAnsi="Century Gothic"/>
          <w:sz w:val="22"/>
          <w:szCs w:val="22"/>
        </w:rPr>
        <w:t xml:space="preserve">financial management </w:t>
      </w:r>
      <w:r w:rsidR="00025B61" w:rsidRPr="00FB3DFF">
        <w:rPr>
          <w:rFonts w:ascii="Century Gothic" w:hAnsi="Century Gothic"/>
          <w:sz w:val="22"/>
          <w:szCs w:val="22"/>
        </w:rPr>
        <w:t>services</w:t>
      </w:r>
      <w:r w:rsidR="00E334EB" w:rsidRPr="00FB3DFF">
        <w:rPr>
          <w:rFonts w:ascii="Century Gothic" w:hAnsi="Century Gothic"/>
          <w:sz w:val="22"/>
          <w:szCs w:val="22"/>
        </w:rPr>
        <w:t xml:space="preserve"> functions.</w:t>
      </w:r>
    </w:p>
    <w:p w:rsidR="00B05CD0" w:rsidRPr="00FB3DFF" w:rsidRDefault="00585A6D" w:rsidP="00FB3DFF">
      <w:pPr>
        <w:pStyle w:val="Heading3Left127cmFirstline0cmLeft127"/>
        <w:rPr>
          <w:rFonts w:ascii="Century Gothic" w:hAnsi="Century Gothic"/>
        </w:rPr>
      </w:pPr>
      <w:bookmarkStart w:id="43" w:name="_Toc305509748"/>
      <w:bookmarkStart w:id="44" w:name="_Toc305509749"/>
      <w:bookmarkStart w:id="45" w:name="_Toc305509750"/>
      <w:bookmarkStart w:id="46" w:name="_Toc305509751"/>
      <w:bookmarkStart w:id="47" w:name="_Toc305509752"/>
      <w:bookmarkStart w:id="48" w:name="_Toc333227708"/>
      <w:bookmarkStart w:id="49" w:name="_Toc371409449"/>
      <w:bookmarkStart w:id="50" w:name="_Toc302546793"/>
      <w:bookmarkEnd w:id="43"/>
      <w:bookmarkEnd w:id="44"/>
      <w:bookmarkEnd w:id="45"/>
      <w:bookmarkEnd w:id="46"/>
      <w:bookmarkEnd w:id="47"/>
      <w:r w:rsidRPr="00FB3DFF">
        <w:rPr>
          <w:rFonts w:ascii="Century Gothic" w:hAnsi="Century Gothic"/>
        </w:rPr>
        <w:t>3</w:t>
      </w:r>
      <w:r w:rsidR="00B736B4" w:rsidRPr="00FB3DFF">
        <w:rPr>
          <w:rFonts w:ascii="Century Gothic" w:hAnsi="Century Gothic"/>
        </w:rPr>
        <w:t>.2.2</w:t>
      </w:r>
      <w:r w:rsidR="00B736B4" w:rsidRPr="00FB3DFF">
        <w:rPr>
          <w:rFonts w:ascii="Century Gothic" w:hAnsi="Century Gothic"/>
        </w:rPr>
        <w:tab/>
      </w:r>
      <w:r w:rsidR="00B05CD0" w:rsidRPr="00FB3DFF">
        <w:rPr>
          <w:rFonts w:ascii="Century Gothic" w:hAnsi="Century Gothic"/>
        </w:rPr>
        <w:t xml:space="preserve">Department of </w:t>
      </w:r>
      <w:bookmarkEnd w:id="48"/>
      <w:r w:rsidR="00595F3A" w:rsidRPr="00FB3DFF">
        <w:rPr>
          <w:rFonts w:ascii="Century Gothic" w:hAnsi="Century Gothic"/>
        </w:rPr>
        <w:t>the Environment</w:t>
      </w:r>
      <w:bookmarkEnd w:id="49"/>
    </w:p>
    <w:p w:rsidR="00B05CD0" w:rsidRPr="00FB3DFF" w:rsidRDefault="00B05CD0" w:rsidP="00FB3DFF">
      <w:pPr>
        <w:rPr>
          <w:rFonts w:ascii="Century Gothic" w:hAnsi="Century Gothic"/>
          <w:sz w:val="22"/>
          <w:szCs w:val="22"/>
        </w:rPr>
      </w:pPr>
      <w:r w:rsidRPr="00FB3DFF">
        <w:rPr>
          <w:rFonts w:ascii="Century Gothic" w:hAnsi="Century Gothic"/>
          <w:sz w:val="22"/>
          <w:szCs w:val="22"/>
        </w:rPr>
        <w:t>The Water Efficiency Division in the Department manages the Restoring the Balance in the Basin and the Sustainable Rural Water Use and Infrastructure programs, which are part of the Australian Government’s Water for the Future initiative. These programs acquire entitlements which become part of the Commonwealth’s environmental water holdings.</w:t>
      </w:r>
    </w:p>
    <w:p w:rsidR="00B05CD0" w:rsidRPr="00FB3DFF" w:rsidRDefault="00B05CD0"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In </w:t>
      </w:r>
      <w:r w:rsidR="00DC67BD" w:rsidRPr="00FB3DFF">
        <w:rPr>
          <w:rFonts w:ascii="Century Gothic" w:hAnsi="Century Gothic"/>
          <w:sz w:val="22"/>
          <w:szCs w:val="22"/>
        </w:rPr>
        <w:t>2013-14</w:t>
      </w:r>
      <w:r w:rsidRPr="00FB3DFF">
        <w:rPr>
          <w:rFonts w:ascii="Century Gothic" w:hAnsi="Century Gothic"/>
          <w:sz w:val="22"/>
          <w:szCs w:val="22"/>
        </w:rPr>
        <w:t xml:space="preserve">, </w:t>
      </w:r>
      <w:r w:rsidR="00930330" w:rsidRPr="00FB3DFF">
        <w:rPr>
          <w:rFonts w:ascii="Century Gothic" w:hAnsi="Century Gothic"/>
          <w:sz w:val="22"/>
          <w:szCs w:val="22"/>
        </w:rPr>
        <w:t xml:space="preserve">the Office </w:t>
      </w:r>
      <w:r w:rsidRPr="00FB3DFF">
        <w:rPr>
          <w:rFonts w:ascii="Century Gothic" w:hAnsi="Century Gothic"/>
          <w:sz w:val="22"/>
          <w:szCs w:val="22"/>
        </w:rPr>
        <w:t xml:space="preserve">will continue to work with the Water Efficiency Division to inform the approach to water acquisitions. Advice to the Department on water acquisitions will be provided by the </w:t>
      </w:r>
      <w:r w:rsidR="006C5135">
        <w:rPr>
          <w:rFonts w:ascii="Century Gothic" w:hAnsi="Century Gothic"/>
          <w:sz w:val="22"/>
          <w:szCs w:val="22"/>
        </w:rPr>
        <w:t>CEWH</w:t>
      </w:r>
      <w:r w:rsidRPr="00FB3DFF">
        <w:rPr>
          <w:rFonts w:ascii="Century Gothic" w:hAnsi="Century Gothic"/>
          <w:sz w:val="22"/>
          <w:szCs w:val="22"/>
        </w:rPr>
        <w:t>.</w:t>
      </w:r>
    </w:p>
    <w:p w:rsidR="005E0729" w:rsidRDefault="00B05CD0"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Water Reform Division in the Department is responsible for coordinating a national approach on research and modelling strategies for water, as well as developing frameworks for monitoring river and wetland health (including as they relate to Australia’s international obligations), the identification of high ecological value aquatic ecosystems, and providing advice on the water market, water charge and trading rules. </w:t>
      </w:r>
    </w:p>
    <w:p w:rsidR="005E0729" w:rsidRDefault="005E0729">
      <w:pPr>
        <w:spacing w:after="0"/>
        <w:ind w:left="0"/>
        <w:rPr>
          <w:rFonts w:ascii="Century Gothic" w:hAnsi="Century Gothic"/>
          <w:sz w:val="22"/>
          <w:szCs w:val="22"/>
        </w:rPr>
      </w:pPr>
      <w:r>
        <w:rPr>
          <w:rFonts w:ascii="Century Gothic" w:hAnsi="Century Gothic"/>
          <w:sz w:val="22"/>
          <w:szCs w:val="22"/>
        </w:rPr>
        <w:br w:type="page"/>
      </w:r>
    </w:p>
    <w:p w:rsidR="00F9726B" w:rsidRPr="00FB3DFF" w:rsidRDefault="00585A6D" w:rsidP="00FB3DFF">
      <w:pPr>
        <w:pStyle w:val="BPHeading2Left063cmFirstline063cm"/>
        <w:rPr>
          <w:rFonts w:ascii="Century Gothic" w:hAnsi="Century Gothic"/>
        </w:rPr>
      </w:pPr>
      <w:bookmarkStart w:id="51" w:name="_Toc333227709"/>
      <w:bookmarkStart w:id="52" w:name="_Toc371409450"/>
      <w:r w:rsidRPr="00FB3DFF">
        <w:rPr>
          <w:rFonts w:ascii="Century Gothic" w:hAnsi="Century Gothic"/>
        </w:rPr>
        <w:t>3</w:t>
      </w:r>
      <w:r w:rsidR="00FA65C6" w:rsidRPr="00FB3DFF">
        <w:rPr>
          <w:rFonts w:ascii="Century Gothic" w:hAnsi="Century Gothic"/>
        </w:rPr>
        <w:t>.3</w:t>
      </w:r>
      <w:bookmarkEnd w:id="50"/>
      <w:r w:rsidR="00B736B4" w:rsidRPr="00FB3DFF">
        <w:rPr>
          <w:rFonts w:ascii="Century Gothic" w:hAnsi="Century Gothic"/>
        </w:rPr>
        <w:tab/>
      </w:r>
      <w:r w:rsidR="00F9726B" w:rsidRPr="00FB3DFF">
        <w:rPr>
          <w:rFonts w:ascii="Century Gothic" w:hAnsi="Century Gothic"/>
        </w:rPr>
        <w:t xml:space="preserve">Commonwealth </w:t>
      </w:r>
      <w:r w:rsidR="000243AA" w:rsidRPr="00FB3DFF">
        <w:rPr>
          <w:rFonts w:ascii="Century Gothic" w:hAnsi="Century Gothic"/>
        </w:rPr>
        <w:t>Environmental Water</w:t>
      </w:r>
      <w:r w:rsidR="003A23A8" w:rsidRPr="00FB3DFF">
        <w:rPr>
          <w:rFonts w:ascii="Century Gothic" w:hAnsi="Century Gothic"/>
        </w:rPr>
        <w:t xml:space="preserve"> Office </w:t>
      </w:r>
      <w:r w:rsidR="000243AA" w:rsidRPr="00FB3DFF">
        <w:rPr>
          <w:rFonts w:ascii="Century Gothic" w:hAnsi="Century Gothic"/>
        </w:rPr>
        <w:t>a</w:t>
      </w:r>
      <w:r w:rsidR="00F9726B" w:rsidRPr="00FB3DFF">
        <w:rPr>
          <w:rFonts w:ascii="Century Gothic" w:hAnsi="Century Gothic"/>
        </w:rPr>
        <w:t xml:space="preserve">dvisory </w:t>
      </w:r>
      <w:r w:rsidR="000243AA" w:rsidRPr="00FB3DFF">
        <w:rPr>
          <w:rFonts w:ascii="Century Gothic" w:hAnsi="Century Gothic"/>
        </w:rPr>
        <w:t>g</w:t>
      </w:r>
      <w:r w:rsidR="00F9726B" w:rsidRPr="00FB3DFF">
        <w:rPr>
          <w:rFonts w:ascii="Century Gothic" w:hAnsi="Century Gothic"/>
        </w:rPr>
        <w:t>roups</w:t>
      </w:r>
      <w:bookmarkStart w:id="53" w:name="_Toc302546794"/>
      <w:bookmarkEnd w:id="51"/>
      <w:bookmarkEnd w:id="52"/>
    </w:p>
    <w:p w:rsidR="000243AA" w:rsidRPr="00FB3DFF" w:rsidRDefault="00585A6D" w:rsidP="00FB3DFF">
      <w:pPr>
        <w:pStyle w:val="BPHeading3Left127cmFirstline0cm"/>
        <w:rPr>
          <w:rFonts w:ascii="Century Gothic" w:hAnsi="Century Gothic"/>
        </w:rPr>
      </w:pPr>
      <w:bookmarkStart w:id="54" w:name="_Toc333227711"/>
      <w:bookmarkStart w:id="55" w:name="_Toc371409451"/>
      <w:r w:rsidRPr="00FB3DFF">
        <w:rPr>
          <w:rFonts w:ascii="Century Gothic" w:hAnsi="Century Gothic"/>
        </w:rPr>
        <w:t>3</w:t>
      </w:r>
      <w:r w:rsidR="00595F3A" w:rsidRPr="00FB3DFF">
        <w:rPr>
          <w:rFonts w:ascii="Century Gothic" w:hAnsi="Century Gothic"/>
        </w:rPr>
        <w:t>.3.1</w:t>
      </w:r>
      <w:r w:rsidR="000243AA" w:rsidRPr="00FB3DFF">
        <w:rPr>
          <w:rFonts w:ascii="Century Gothic" w:hAnsi="Century Gothic"/>
        </w:rPr>
        <w:tab/>
      </w:r>
      <w:r w:rsidR="003A23A8" w:rsidRPr="00FB3DFF">
        <w:rPr>
          <w:rFonts w:ascii="Century Gothic" w:hAnsi="Century Gothic"/>
        </w:rPr>
        <w:t xml:space="preserve">Commonwealth </w:t>
      </w:r>
      <w:r w:rsidR="000243AA" w:rsidRPr="00FB3DFF">
        <w:rPr>
          <w:rFonts w:ascii="Century Gothic" w:hAnsi="Century Gothic"/>
        </w:rPr>
        <w:t>Environmental Water Scientific Advisory Panel</w:t>
      </w:r>
      <w:bookmarkEnd w:id="54"/>
      <w:bookmarkEnd w:id="55"/>
    </w:p>
    <w:p w:rsidR="000243AA" w:rsidRPr="00FB3DFF" w:rsidRDefault="000243AA" w:rsidP="00FB3DFF">
      <w:pPr>
        <w:pStyle w:val="Normalbeforebullet"/>
        <w:spacing w:after="240"/>
        <w:rPr>
          <w:rFonts w:ascii="Century Gothic" w:hAnsi="Century Gothic"/>
          <w:sz w:val="22"/>
          <w:szCs w:val="22"/>
        </w:rPr>
      </w:pPr>
      <w:r w:rsidRPr="00FB3DFF">
        <w:rPr>
          <w:rFonts w:ascii="Century Gothic" w:hAnsi="Century Gothic"/>
          <w:sz w:val="22"/>
          <w:szCs w:val="22"/>
        </w:rPr>
        <w:t xml:space="preserve">The </w:t>
      </w:r>
      <w:r w:rsidR="003A23A8" w:rsidRPr="00FB3DFF">
        <w:rPr>
          <w:rFonts w:ascii="Century Gothic" w:hAnsi="Century Gothic"/>
          <w:sz w:val="22"/>
          <w:szCs w:val="22"/>
        </w:rPr>
        <w:t xml:space="preserve">Commonwealth </w:t>
      </w:r>
      <w:r w:rsidRPr="00FB3DFF">
        <w:rPr>
          <w:rFonts w:ascii="Century Gothic" w:hAnsi="Century Gothic"/>
          <w:sz w:val="22"/>
          <w:szCs w:val="22"/>
        </w:rPr>
        <w:t>Environmental Water Scientific Advisory Panel advise</w:t>
      </w:r>
      <w:r w:rsidR="00595F3A" w:rsidRPr="00FB3DFF">
        <w:rPr>
          <w:rFonts w:ascii="Century Gothic" w:hAnsi="Century Gothic"/>
          <w:sz w:val="22"/>
          <w:szCs w:val="22"/>
        </w:rPr>
        <w:t>s</w:t>
      </w:r>
      <w:r w:rsidRPr="00FB3DFF">
        <w:rPr>
          <w:rFonts w:ascii="Century Gothic" w:hAnsi="Century Gothic"/>
          <w:sz w:val="22"/>
          <w:szCs w:val="22"/>
        </w:rPr>
        <w:t xml:space="preserve"> </w:t>
      </w:r>
      <w:r w:rsidR="00506532" w:rsidRPr="00FB3DFF">
        <w:rPr>
          <w:rFonts w:ascii="Century Gothic" w:hAnsi="Century Gothic"/>
          <w:sz w:val="22"/>
          <w:szCs w:val="22"/>
        </w:rPr>
        <w:t xml:space="preserve">the </w:t>
      </w:r>
      <w:r w:rsidR="006C5135">
        <w:rPr>
          <w:rFonts w:ascii="Century Gothic" w:hAnsi="Century Gothic"/>
          <w:sz w:val="22"/>
          <w:szCs w:val="22"/>
        </w:rPr>
        <w:t>CEWH</w:t>
      </w:r>
      <w:r w:rsidR="00506532" w:rsidRPr="00FB3DFF">
        <w:rPr>
          <w:rFonts w:ascii="Century Gothic" w:hAnsi="Century Gothic"/>
          <w:sz w:val="22"/>
          <w:szCs w:val="22"/>
        </w:rPr>
        <w:t xml:space="preserve"> </w:t>
      </w:r>
      <w:r w:rsidRPr="00FB3DFF">
        <w:rPr>
          <w:rFonts w:ascii="Century Gothic" w:hAnsi="Century Gothic"/>
          <w:sz w:val="22"/>
          <w:szCs w:val="22"/>
        </w:rPr>
        <w:t>on:</w:t>
      </w:r>
    </w:p>
    <w:p w:rsidR="000243AA" w:rsidRPr="00FB3DFF" w:rsidRDefault="000243AA" w:rsidP="00FB3DFF">
      <w:pPr>
        <w:pStyle w:val="Bullet6"/>
        <w:tabs>
          <w:tab w:val="clear" w:pos="360"/>
          <w:tab w:val="clear" w:pos="1080"/>
          <w:tab w:val="left" w:pos="1134"/>
        </w:tabs>
        <w:spacing w:after="240"/>
        <w:ind w:left="1134"/>
        <w:rPr>
          <w:rFonts w:ascii="Century Gothic" w:hAnsi="Century Gothic"/>
          <w:sz w:val="22"/>
          <w:szCs w:val="22"/>
        </w:rPr>
      </w:pPr>
      <w:r w:rsidRPr="00FB3DFF">
        <w:rPr>
          <w:rFonts w:ascii="Century Gothic" w:hAnsi="Century Gothic"/>
          <w:sz w:val="22"/>
          <w:szCs w:val="22"/>
        </w:rPr>
        <w:t>methods for determining relative p</w:t>
      </w:r>
      <w:r w:rsidR="005E0729">
        <w:rPr>
          <w:rFonts w:ascii="Century Gothic" w:hAnsi="Century Gothic"/>
          <w:sz w:val="22"/>
          <w:szCs w:val="22"/>
        </w:rPr>
        <w:t>riority of environmental assets</w:t>
      </w:r>
    </w:p>
    <w:p w:rsidR="000243AA" w:rsidRPr="00FB3DFF" w:rsidRDefault="000243AA" w:rsidP="00FB3DFF">
      <w:pPr>
        <w:pStyle w:val="Bullet6"/>
        <w:tabs>
          <w:tab w:val="clear" w:pos="360"/>
          <w:tab w:val="clear" w:pos="1080"/>
          <w:tab w:val="left" w:pos="1134"/>
        </w:tabs>
        <w:spacing w:after="240"/>
        <w:ind w:left="1134"/>
        <w:rPr>
          <w:rFonts w:ascii="Century Gothic" w:hAnsi="Century Gothic"/>
          <w:sz w:val="22"/>
          <w:szCs w:val="22"/>
        </w:rPr>
      </w:pPr>
      <w:r w:rsidRPr="00FB3DFF">
        <w:rPr>
          <w:rFonts w:ascii="Century Gothic" w:hAnsi="Century Gothic"/>
          <w:sz w:val="22"/>
          <w:szCs w:val="22"/>
        </w:rPr>
        <w:t>areas that merit additional investigation, in</w:t>
      </w:r>
      <w:r w:rsidR="005E0729">
        <w:rPr>
          <w:rFonts w:ascii="Century Gothic" w:hAnsi="Century Gothic"/>
          <w:sz w:val="22"/>
          <w:szCs w:val="22"/>
        </w:rPr>
        <w:t>cluding additional research</w:t>
      </w:r>
    </w:p>
    <w:p w:rsidR="000243AA" w:rsidRPr="00FB3DFF" w:rsidRDefault="000243AA" w:rsidP="00FB3DFF">
      <w:pPr>
        <w:pStyle w:val="Bullet12"/>
        <w:tabs>
          <w:tab w:val="clear" w:pos="360"/>
          <w:tab w:val="clear" w:pos="1080"/>
          <w:tab w:val="left" w:pos="1134"/>
        </w:tabs>
        <w:ind w:left="1134"/>
        <w:rPr>
          <w:rFonts w:ascii="Century Gothic" w:hAnsi="Century Gothic"/>
          <w:sz w:val="22"/>
          <w:szCs w:val="22"/>
        </w:rPr>
      </w:pPr>
      <w:r w:rsidRPr="00FB3DFF">
        <w:rPr>
          <w:rFonts w:ascii="Century Gothic" w:hAnsi="Century Gothic"/>
          <w:sz w:val="22"/>
          <w:szCs w:val="22"/>
        </w:rPr>
        <w:t>assessment of the benefits of the use of environmental water.</w:t>
      </w:r>
    </w:p>
    <w:p w:rsidR="000243AA" w:rsidRPr="00FB3DFF" w:rsidRDefault="000243AA"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w:t>
      </w:r>
      <w:r w:rsidR="00D26038" w:rsidRPr="00FB3DFF">
        <w:rPr>
          <w:rFonts w:ascii="Century Gothic" w:hAnsi="Century Gothic"/>
          <w:sz w:val="22"/>
          <w:szCs w:val="22"/>
        </w:rPr>
        <w:t xml:space="preserve">Panel </w:t>
      </w:r>
      <w:r w:rsidRPr="00FB3DFF">
        <w:rPr>
          <w:rFonts w:ascii="Century Gothic" w:hAnsi="Century Gothic"/>
          <w:sz w:val="22"/>
          <w:szCs w:val="22"/>
        </w:rPr>
        <w:t xml:space="preserve">comprises scientists and experts in fields such as hydrology, limnology, river operations management, river and floodplain ecology, and the management of aquatic ecosystems. </w:t>
      </w:r>
    </w:p>
    <w:p w:rsidR="000243AA" w:rsidRPr="00FB3DFF" w:rsidRDefault="00585A6D" w:rsidP="00FB3DFF">
      <w:pPr>
        <w:pStyle w:val="BPHeading3Left127cmFirstline0cm"/>
        <w:rPr>
          <w:rFonts w:ascii="Century Gothic" w:hAnsi="Century Gothic"/>
        </w:rPr>
      </w:pPr>
      <w:bookmarkStart w:id="56" w:name="_Toc333227712"/>
      <w:bookmarkStart w:id="57" w:name="_Toc371409452"/>
      <w:r w:rsidRPr="00FB3DFF">
        <w:rPr>
          <w:rFonts w:ascii="Century Gothic" w:hAnsi="Century Gothic"/>
        </w:rPr>
        <w:t>3</w:t>
      </w:r>
      <w:r w:rsidR="00595F3A" w:rsidRPr="00FB3DFF">
        <w:rPr>
          <w:rFonts w:ascii="Century Gothic" w:hAnsi="Century Gothic"/>
        </w:rPr>
        <w:t>.3.2</w:t>
      </w:r>
      <w:r w:rsidR="000243AA" w:rsidRPr="00FB3DFF">
        <w:rPr>
          <w:rFonts w:ascii="Century Gothic" w:hAnsi="Century Gothic"/>
        </w:rPr>
        <w:tab/>
        <w:t>Commonwealth Environmental Water Stakeholder Reference Panel</w:t>
      </w:r>
      <w:bookmarkEnd w:id="56"/>
      <w:bookmarkEnd w:id="57"/>
    </w:p>
    <w:p w:rsidR="000243AA" w:rsidRPr="00FB3DFF" w:rsidRDefault="000243AA"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Commonwealth Environmental Water Stakeholder Reference Panel has been established to advise the </w:t>
      </w:r>
      <w:r w:rsidR="006C5135">
        <w:rPr>
          <w:rFonts w:ascii="Century Gothic" w:hAnsi="Century Gothic"/>
          <w:sz w:val="22"/>
          <w:szCs w:val="22"/>
        </w:rPr>
        <w:t>CEWH</w:t>
      </w:r>
      <w:r w:rsidRPr="00FB3DFF">
        <w:rPr>
          <w:rFonts w:ascii="Century Gothic" w:hAnsi="Century Gothic"/>
          <w:sz w:val="22"/>
          <w:szCs w:val="22"/>
        </w:rPr>
        <w:t xml:space="preserve"> on stakeholder issues relating to Commonwealth environmental water including:</w:t>
      </w:r>
    </w:p>
    <w:p w:rsidR="000243AA" w:rsidRPr="00FB3DFF" w:rsidRDefault="000243AA" w:rsidP="00FB3DFF">
      <w:pPr>
        <w:pStyle w:val="Bullet6"/>
        <w:tabs>
          <w:tab w:val="clear" w:pos="360"/>
          <w:tab w:val="clear" w:pos="1080"/>
          <w:tab w:val="left" w:pos="1134"/>
        </w:tabs>
        <w:spacing w:after="240"/>
        <w:ind w:left="1134"/>
        <w:rPr>
          <w:rFonts w:ascii="Century Gothic" w:hAnsi="Century Gothic"/>
          <w:sz w:val="22"/>
          <w:szCs w:val="22"/>
        </w:rPr>
      </w:pPr>
      <w:r w:rsidRPr="00FB3DFF">
        <w:rPr>
          <w:rFonts w:ascii="Century Gothic" w:hAnsi="Century Gothic"/>
          <w:sz w:val="22"/>
          <w:szCs w:val="22"/>
        </w:rPr>
        <w:t>sharing of information and views on C</w:t>
      </w:r>
      <w:r w:rsidR="005E0729">
        <w:rPr>
          <w:rFonts w:ascii="Century Gothic" w:hAnsi="Century Gothic"/>
          <w:sz w:val="22"/>
          <w:szCs w:val="22"/>
        </w:rPr>
        <w:t>ommonwealth environmental water</w:t>
      </w:r>
    </w:p>
    <w:p w:rsidR="000243AA" w:rsidRPr="00FB3DFF" w:rsidRDefault="000243AA" w:rsidP="00FB3DFF">
      <w:pPr>
        <w:pStyle w:val="Bullet6"/>
        <w:tabs>
          <w:tab w:val="clear" w:pos="360"/>
          <w:tab w:val="clear" w:pos="1080"/>
          <w:tab w:val="left" w:pos="1134"/>
        </w:tabs>
        <w:spacing w:after="240"/>
        <w:ind w:left="1134"/>
        <w:rPr>
          <w:rFonts w:ascii="Century Gothic" w:hAnsi="Century Gothic"/>
          <w:sz w:val="22"/>
          <w:szCs w:val="22"/>
        </w:rPr>
      </w:pPr>
      <w:r w:rsidRPr="00FB3DFF">
        <w:rPr>
          <w:rFonts w:ascii="Century Gothic" w:hAnsi="Century Gothic"/>
          <w:sz w:val="22"/>
          <w:szCs w:val="22"/>
        </w:rPr>
        <w:t>identification of priority stakeholder issues concerning C</w:t>
      </w:r>
      <w:r w:rsidR="005E0729">
        <w:rPr>
          <w:rFonts w:ascii="Century Gothic" w:hAnsi="Century Gothic"/>
          <w:sz w:val="22"/>
          <w:szCs w:val="22"/>
        </w:rPr>
        <w:t>ommonwealth environmental water</w:t>
      </w:r>
    </w:p>
    <w:p w:rsidR="000243AA" w:rsidRPr="00FB3DFF" w:rsidRDefault="000243AA" w:rsidP="00FB3DFF">
      <w:pPr>
        <w:pStyle w:val="Bullet6"/>
        <w:tabs>
          <w:tab w:val="clear" w:pos="360"/>
          <w:tab w:val="clear" w:pos="1080"/>
          <w:tab w:val="left" w:pos="1134"/>
        </w:tabs>
        <w:spacing w:after="240"/>
        <w:ind w:left="1134"/>
        <w:rPr>
          <w:rFonts w:ascii="Century Gothic" w:hAnsi="Century Gothic"/>
          <w:sz w:val="22"/>
          <w:szCs w:val="22"/>
        </w:rPr>
      </w:pPr>
      <w:r w:rsidRPr="00FB3DFF">
        <w:rPr>
          <w:rFonts w:ascii="Century Gothic" w:hAnsi="Century Gothic"/>
          <w:sz w:val="22"/>
          <w:szCs w:val="22"/>
        </w:rPr>
        <w:t>opportunities and methods for engaging stakeholders on Common</w:t>
      </w:r>
      <w:r w:rsidR="005E0729">
        <w:rPr>
          <w:rFonts w:ascii="Century Gothic" w:hAnsi="Century Gothic"/>
          <w:sz w:val="22"/>
          <w:szCs w:val="22"/>
        </w:rPr>
        <w:t>wealth environmental water</w:t>
      </w:r>
    </w:p>
    <w:p w:rsidR="000243AA" w:rsidRPr="00FB3DFF" w:rsidRDefault="000243AA" w:rsidP="00FB3DFF">
      <w:pPr>
        <w:pStyle w:val="Bullet6"/>
        <w:tabs>
          <w:tab w:val="clear" w:pos="360"/>
          <w:tab w:val="clear" w:pos="1080"/>
          <w:tab w:val="left" w:pos="1134"/>
        </w:tabs>
        <w:spacing w:after="240"/>
        <w:ind w:left="1134"/>
        <w:rPr>
          <w:rFonts w:ascii="Century Gothic" w:hAnsi="Century Gothic"/>
          <w:sz w:val="22"/>
          <w:szCs w:val="22"/>
        </w:rPr>
      </w:pPr>
      <w:r w:rsidRPr="00FB3DFF">
        <w:rPr>
          <w:rFonts w:ascii="Century Gothic" w:hAnsi="Century Gothic"/>
          <w:sz w:val="22"/>
          <w:szCs w:val="22"/>
        </w:rPr>
        <w:t>assessing the effectiveness of stakeholder engagement about Commonwealth environmental water.</w:t>
      </w:r>
    </w:p>
    <w:p w:rsidR="000243AA" w:rsidRPr="00FB3DFF" w:rsidRDefault="000243AA"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Panel </w:t>
      </w:r>
      <w:r w:rsidR="006D6321" w:rsidRPr="00FB3DFF">
        <w:rPr>
          <w:rFonts w:ascii="Century Gothic" w:hAnsi="Century Gothic"/>
          <w:sz w:val="22"/>
          <w:szCs w:val="22"/>
        </w:rPr>
        <w:t>is</w:t>
      </w:r>
      <w:r w:rsidRPr="00FB3DFF">
        <w:rPr>
          <w:rFonts w:ascii="Century Gothic" w:hAnsi="Century Gothic"/>
          <w:sz w:val="22"/>
          <w:szCs w:val="22"/>
        </w:rPr>
        <w:t xml:space="preserve"> chaired by the </w:t>
      </w:r>
      <w:r w:rsidR="006C5135">
        <w:rPr>
          <w:rFonts w:ascii="Century Gothic" w:hAnsi="Century Gothic"/>
          <w:sz w:val="22"/>
          <w:szCs w:val="22"/>
        </w:rPr>
        <w:t>CEWH</w:t>
      </w:r>
      <w:r w:rsidRPr="00FB3DFF">
        <w:rPr>
          <w:rFonts w:ascii="Century Gothic" w:hAnsi="Century Gothic"/>
          <w:sz w:val="22"/>
          <w:szCs w:val="22"/>
        </w:rPr>
        <w:t xml:space="preserve"> and comprises stakeholders concerned with the use of Commonwealth environmental water. The Panel members will play an important role in consulting and liaising with the broader range of stakeholders with an interest in Commonwealth environmental water.</w:t>
      </w:r>
    </w:p>
    <w:p w:rsidR="000243AA" w:rsidRPr="00FB3DFF" w:rsidRDefault="00693ABF" w:rsidP="00FB3DFF">
      <w:pPr>
        <w:pStyle w:val="BPHeading3Left127cmFirstline0cm"/>
        <w:rPr>
          <w:rFonts w:ascii="Century Gothic" w:hAnsi="Century Gothic"/>
        </w:rPr>
      </w:pPr>
      <w:bookmarkStart w:id="58" w:name="_Toc333227713"/>
      <w:bookmarkStart w:id="59" w:name="_Toc371409453"/>
      <w:r w:rsidRPr="00FB3DFF">
        <w:rPr>
          <w:rFonts w:ascii="Century Gothic" w:hAnsi="Century Gothic"/>
        </w:rPr>
        <w:t>3</w:t>
      </w:r>
      <w:r w:rsidR="00595F3A" w:rsidRPr="00FB3DFF">
        <w:rPr>
          <w:rFonts w:ascii="Century Gothic" w:hAnsi="Century Gothic"/>
        </w:rPr>
        <w:t>.3.3</w:t>
      </w:r>
      <w:r w:rsidR="000243AA" w:rsidRPr="00FB3DFF">
        <w:rPr>
          <w:rFonts w:ascii="Century Gothic" w:hAnsi="Century Gothic"/>
        </w:rPr>
        <w:tab/>
      </w:r>
      <w:r w:rsidR="00FE4D9C" w:rsidRPr="00FB3DFF">
        <w:rPr>
          <w:rFonts w:ascii="Century Gothic" w:hAnsi="Century Gothic"/>
        </w:rPr>
        <w:t>Procuring additional expertise</w:t>
      </w:r>
      <w:bookmarkEnd w:id="58"/>
      <w:bookmarkEnd w:id="59"/>
    </w:p>
    <w:p w:rsidR="000243AA" w:rsidRPr="00FB3DFF" w:rsidRDefault="00693ABF" w:rsidP="00FB3DFF">
      <w:pPr>
        <w:pStyle w:val="BPBodyTextArialJustified"/>
        <w:jc w:val="left"/>
        <w:rPr>
          <w:rFonts w:ascii="Century Gothic" w:hAnsi="Century Gothic"/>
        </w:rPr>
      </w:pPr>
      <w:r w:rsidRPr="00FB3DFF">
        <w:rPr>
          <w:rFonts w:ascii="Century Gothic" w:hAnsi="Century Gothic"/>
          <w:sz w:val="22"/>
          <w:szCs w:val="22"/>
        </w:rPr>
        <w:t xml:space="preserve">The </w:t>
      </w:r>
      <w:r w:rsidR="005D3294" w:rsidRPr="00FB3DFF">
        <w:rPr>
          <w:rFonts w:ascii="Century Gothic" w:hAnsi="Century Gothic"/>
          <w:sz w:val="22"/>
          <w:szCs w:val="22"/>
        </w:rPr>
        <w:t>Office</w:t>
      </w:r>
      <w:r w:rsidRPr="00FB3DFF">
        <w:rPr>
          <w:rFonts w:ascii="Century Gothic" w:hAnsi="Century Gothic"/>
          <w:sz w:val="22"/>
          <w:szCs w:val="22"/>
        </w:rPr>
        <w:t xml:space="preserve"> </w:t>
      </w:r>
      <w:r w:rsidR="000243AA" w:rsidRPr="00FB3DFF">
        <w:rPr>
          <w:rFonts w:ascii="Century Gothic" w:hAnsi="Century Gothic"/>
          <w:sz w:val="22"/>
          <w:szCs w:val="22"/>
        </w:rPr>
        <w:t>has established an</w:t>
      </w:r>
      <w:r w:rsidR="000243AA" w:rsidRPr="00FB3DFF">
        <w:rPr>
          <w:rFonts w:ascii="Century Gothic" w:hAnsi="Century Gothic"/>
        </w:rPr>
        <w:t xml:space="preserve"> </w:t>
      </w:r>
      <w:r w:rsidR="000243AA" w:rsidRPr="00FB3DFF">
        <w:rPr>
          <w:rFonts w:ascii="Century Gothic" w:hAnsi="Century Gothic"/>
          <w:sz w:val="22"/>
          <w:szCs w:val="22"/>
        </w:rPr>
        <w:t>environmental water management services panel comprising firms with expertise in a range of fields including river operations, water management, monitoring and evaluation, information management, hydrology and ecology, portfolio management and communications. The panel is used to procure services and expertise to support the management of environmental water.</w:t>
      </w:r>
      <w:r w:rsidR="000243AA" w:rsidRPr="00FB3DFF">
        <w:rPr>
          <w:rFonts w:ascii="Century Gothic" w:hAnsi="Century Gothic"/>
        </w:rPr>
        <w:t xml:space="preserve"> </w:t>
      </w:r>
    </w:p>
    <w:p w:rsidR="00DF1E44" w:rsidRPr="00FB3DFF" w:rsidRDefault="00DF1E44" w:rsidP="00FB3DFF">
      <w:pPr>
        <w:spacing w:after="0"/>
        <w:ind w:left="0"/>
        <w:rPr>
          <w:rFonts w:ascii="Century Gothic" w:hAnsi="Century Gothic"/>
        </w:rPr>
      </w:pPr>
      <w:r w:rsidRPr="00FB3DFF">
        <w:rPr>
          <w:rFonts w:ascii="Century Gothic" w:hAnsi="Century Gothic"/>
        </w:rPr>
        <w:br w:type="page"/>
      </w:r>
    </w:p>
    <w:p w:rsidR="006A6780" w:rsidRPr="00FB3DFF" w:rsidRDefault="00693ABF" w:rsidP="00FB3DFF">
      <w:pPr>
        <w:pStyle w:val="BPHeading2Left063cmFirstline063cm"/>
        <w:rPr>
          <w:rFonts w:ascii="Century Gothic" w:hAnsi="Century Gothic"/>
        </w:rPr>
      </w:pPr>
      <w:bookmarkStart w:id="60" w:name="_Toc333227714"/>
      <w:bookmarkStart w:id="61" w:name="_Toc371409454"/>
      <w:r w:rsidRPr="00FB3DFF">
        <w:rPr>
          <w:rFonts w:ascii="Century Gothic" w:hAnsi="Century Gothic"/>
        </w:rPr>
        <w:t>3</w:t>
      </w:r>
      <w:r w:rsidR="006A6780" w:rsidRPr="00FB3DFF">
        <w:rPr>
          <w:rFonts w:ascii="Century Gothic" w:hAnsi="Century Gothic"/>
        </w:rPr>
        <w:t>.4</w:t>
      </w:r>
      <w:r w:rsidR="006A6780" w:rsidRPr="00FB3DFF">
        <w:rPr>
          <w:rFonts w:ascii="Century Gothic" w:hAnsi="Century Gothic"/>
        </w:rPr>
        <w:tab/>
        <w:t xml:space="preserve">External </w:t>
      </w:r>
      <w:r w:rsidR="006A6780" w:rsidRPr="00FB3DFF">
        <w:rPr>
          <w:rFonts w:ascii="Century Gothic" w:hAnsi="Century Gothic"/>
          <w:szCs w:val="26"/>
        </w:rPr>
        <w:t>relationships</w:t>
      </w:r>
      <w:bookmarkEnd w:id="60"/>
      <w:bookmarkEnd w:id="61"/>
    </w:p>
    <w:p w:rsidR="00711B91" w:rsidRPr="00FB3DFF" w:rsidRDefault="00693ABF" w:rsidP="00FB3DFF">
      <w:pPr>
        <w:pStyle w:val="BPHeading3Left127cmFirstline0cm"/>
        <w:rPr>
          <w:rFonts w:ascii="Century Gothic" w:hAnsi="Century Gothic"/>
        </w:rPr>
      </w:pPr>
      <w:bookmarkStart w:id="62" w:name="_Toc333227715"/>
      <w:bookmarkStart w:id="63" w:name="_Toc371409455"/>
      <w:r w:rsidRPr="00FB3DFF">
        <w:rPr>
          <w:rFonts w:ascii="Century Gothic" w:hAnsi="Century Gothic"/>
        </w:rPr>
        <w:t>3</w:t>
      </w:r>
      <w:r w:rsidR="006A6780" w:rsidRPr="00FB3DFF">
        <w:rPr>
          <w:rFonts w:ascii="Century Gothic" w:hAnsi="Century Gothic"/>
        </w:rPr>
        <w:t>.4</w:t>
      </w:r>
      <w:r w:rsidR="004931EF" w:rsidRPr="00FB3DFF">
        <w:rPr>
          <w:rFonts w:ascii="Century Gothic" w:hAnsi="Century Gothic"/>
        </w:rPr>
        <w:t xml:space="preserve">.1 </w:t>
      </w:r>
      <w:r w:rsidR="004931EF" w:rsidRPr="00FB3DFF">
        <w:rPr>
          <w:rFonts w:ascii="Century Gothic" w:hAnsi="Century Gothic"/>
        </w:rPr>
        <w:tab/>
      </w:r>
      <w:r w:rsidR="006A6780" w:rsidRPr="00FB3DFF">
        <w:rPr>
          <w:rFonts w:ascii="Century Gothic" w:hAnsi="Century Gothic"/>
        </w:rPr>
        <w:t>Delivery partners</w:t>
      </w:r>
      <w:bookmarkEnd w:id="62"/>
      <w:bookmarkEnd w:id="63"/>
    </w:p>
    <w:p w:rsidR="001F2B20" w:rsidRPr="00FB3DFF" w:rsidRDefault="005D3294" w:rsidP="00FB3DFF">
      <w:pPr>
        <w:rPr>
          <w:rFonts w:ascii="Century Gothic" w:hAnsi="Century Gothic" w:cs="Arial"/>
          <w:color w:val="auto"/>
          <w:sz w:val="22"/>
          <w:szCs w:val="22"/>
        </w:rPr>
      </w:pPr>
      <w:r w:rsidRPr="00FB3DFF">
        <w:rPr>
          <w:rFonts w:ascii="Century Gothic" w:hAnsi="Century Gothic" w:cs="Arial"/>
          <w:color w:val="auto"/>
          <w:sz w:val="22"/>
          <w:szCs w:val="22"/>
        </w:rPr>
        <w:t xml:space="preserve">The Office </w:t>
      </w:r>
      <w:r w:rsidR="00C74E89" w:rsidRPr="00FB3DFF">
        <w:rPr>
          <w:rFonts w:ascii="Century Gothic" w:hAnsi="Century Gothic" w:cs="Arial"/>
          <w:color w:val="auto"/>
          <w:sz w:val="22"/>
          <w:szCs w:val="22"/>
        </w:rPr>
        <w:t xml:space="preserve">works with an extensive network of </w:t>
      </w:r>
      <w:r w:rsidR="00AA44A0" w:rsidRPr="00FB3DFF">
        <w:rPr>
          <w:rFonts w:ascii="Century Gothic" w:hAnsi="Century Gothic" w:cs="Arial"/>
          <w:color w:val="auto"/>
          <w:sz w:val="22"/>
          <w:szCs w:val="22"/>
        </w:rPr>
        <w:t xml:space="preserve">delivery </w:t>
      </w:r>
      <w:r w:rsidR="00C74E89" w:rsidRPr="00FB3DFF">
        <w:rPr>
          <w:rFonts w:ascii="Century Gothic" w:hAnsi="Century Gothic" w:cs="Arial"/>
          <w:color w:val="auto"/>
          <w:sz w:val="22"/>
          <w:szCs w:val="22"/>
        </w:rPr>
        <w:t>partners</w:t>
      </w:r>
      <w:r w:rsidR="00E334EB" w:rsidRPr="00FB3DFF">
        <w:rPr>
          <w:rFonts w:ascii="Century Gothic" w:hAnsi="Century Gothic" w:cs="Arial"/>
          <w:color w:val="auto"/>
          <w:sz w:val="22"/>
          <w:szCs w:val="22"/>
        </w:rPr>
        <w:t xml:space="preserve"> </w:t>
      </w:r>
      <w:r w:rsidR="00C74E89" w:rsidRPr="00FB3DFF">
        <w:rPr>
          <w:rFonts w:ascii="Century Gothic" w:hAnsi="Century Gothic" w:cs="Arial"/>
          <w:color w:val="auto"/>
          <w:sz w:val="22"/>
          <w:szCs w:val="22"/>
        </w:rPr>
        <w:t xml:space="preserve">to support watering decisions and actions. In particular, partners provide information and knowledge </w:t>
      </w:r>
      <w:r w:rsidR="00052B8E" w:rsidRPr="00FB3DFF">
        <w:rPr>
          <w:rFonts w:ascii="Century Gothic" w:hAnsi="Century Gothic" w:cs="Arial"/>
          <w:color w:val="auto"/>
          <w:sz w:val="22"/>
          <w:szCs w:val="22"/>
        </w:rPr>
        <w:t>at</w:t>
      </w:r>
      <w:r w:rsidR="00C74E89" w:rsidRPr="00FB3DFF">
        <w:rPr>
          <w:rFonts w:ascii="Century Gothic" w:hAnsi="Century Gothic" w:cs="Arial"/>
          <w:color w:val="auto"/>
          <w:sz w:val="22"/>
          <w:szCs w:val="22"/>
        </w:rPr>
        <w:t xml:space="preserve"> the local level </w:t>
      </w:r>
      <w:r w:rsidR="00052B8E" w:rsidRPr="00FB3DFF">
        <w:rPr>
          <w:rFonts w:ascii="Century Gothic" w:hAnsi="Century Gothic" w:cs="Arial"/>
          <w:color w:val="auto"/>
          <w:sz w:val="22"/>
          <w:szCs w:val="22"/>
        </w:rPr>
        <w:t>on</w:t>
      </w:r>
      <w:r w:rsidR="00C74E89" w:rsidRPr="00FB3DFF">
        <w:rPr>
          <w:rFonts w:ascii="Century Gothic" w:hAnsi="Century Gothic" w:cs="Arial"/>
          <w:color w:val="auto"/>
          <w:sz w:val="22"/>
          <w:szCs w:val="22"/>
        </w:rPr>
        <w:t xml:space="preserve"> environmental water needs, conditions and options for managing water delivery. </w:t>
      </w:r>
      <w:r w:rsidR="00AA44A0" w:rsidRPr="00FB3DFF">
        <w:rPr>
          <w:rFonts w:ascii="Century Gothic" w:hAnsi="Century Gothic" w:cs="Arial"/>
          <w:color w:val="auto"/>
          <w:sz w:val="22"/>
          <w:szCs w:val="22"/>
        </w:rPr>
        <w:t xml:space="preserve">Delivery </w:t>
      </w:r>
      <w:r w:rsidR="00C74E89" w:rsidRPr="00FB3DFF">
        <w:rPr>
          <w:rFonts w:ascii="Century Gothic" w:hAnsi="Century Gothic" w:cs="Arial"/>
          <w:color w:val="auto"/>
          <w:sz w:val="22"/>
          <w:szCs w:val="22"/>
        </w:rPr>
        <w:t xml:space="preserve">partners also undertake watering actions </w:t>
      </w:r>
      <w:r w:rsidR="002C51F6" w:rsidRPr="00FB3DFF">
        <w:rPr>
          <w:rFonts w:ascii="Century Gothic" w:hAnsi="Century Gothic" w:cs="Arial"/>
          <w:color w:val="auto"/>
          <w:sz w:val="22"/>
          <w:szCs w:val="22"/>
        </w:rPr>
        <w:t>which involve</w:t>
      </w:r>
      <w:r w:rsidR="00C74E89" w:rsidRPr="00FB3DFF">
        <w:rPr>
          <w:rFonts w:ascii="Century Gothic" w:hAnsi="Century Gothic" w:cs="Arial"/>
          <w:color w:val="auto"/>
          <w:sz w:val="22"/>
          <w:szCs w:val="22"/>
        </w:rPr>
        <w:t xml:space="preserve"> Commonwealth </w:t>
      </w:r>
      <w:r w:rsidR="002C51F6" w:rsidRPr="00FB3DFF">
        <w:rPr>
          <w:rFonts w:ascii="Century Gothic" w:hAnsi="Century Gothic" w:cs="Arial"/>
          <w:color w:val="auto"/>
          <w:sz w:val="22"/>
          <w:szCs w:val="22"/>
        </w:rPr>
        <w:t xml:space="preserve">environmental water </w:t>
      </w:r>
      <w:r w:rsidR="00C74E89" w:rsidRPr="00FB3DFF">
        <w:rPr>
          <w:rFonts w:ascii="Century Gothic" w:hAnsi="Century Gothic" w:cs="Arial"/>
          <w:color w:val="auto"/>
          <w:sz w:val="22"/>
          <w:szCs w:val="22"/>
        </w:rPr>
        <w:t xml:space="preserve">and monitor the outcomes. </w:t>
      </w:r>
    </w:p>
    <w:p w:rsidR="00030F7D" w:rsidRDefault="00AA44A0" w:rsidP="00FB3DFF">
      <w:pPr>
        <w:rPr>
          <w:rFonts w:ascii="Century Gothic" w:hAnsi="Century Gothic" w:cs="Arial"/>
          <w:color w:val="auto"/>
          <w:sz w:val="22"/>
          <w:szCs w:val="22"/>
        </w:rPr>
      </w:pPr>
      <w:r w:rsidRPr="00FB3DFF">
        <w:rPr>
          <w:rFonts w:ascii="Century Gothic" w:hAnsi="Century Gothic" w:cs="Arial"/>
          <w:color w:val="auto"/>
          <w:sz w:val="22"/>
          <w:szCs w:val="22"/>
        </w:rPr>
        <w:t>Delivery</w:t>
      </w:r>
      <w:r w:rsidR="00C74E89" w:rsidRPr="00FB3DFF">
        <w:rPr>
          <w:rFonts w:ascii="Century Gothic" w:hAnsi="Century Gothic" w:cs="Arial"/>
          <w:color w:val="auto"/>
          <w:sz w:val="22"/>
          <w:szCs w:val="22"/>
        </w:rPr>
        <w:t xml:space="preserve"> partners are </w:t>
      </w:r>
      <w:r w:rsidR="006E557A" w:rsidRPr="00FB3DFF">
        <w:rPr>
          <w:rFonts w:ascii="Century Gothic" w:hAnsi="Century Gothic" w:cs="Arial"/>
          <w:color w:val="auto"/>
          <w:sz w:val="22"/>
          <w:szCs w:val="22"/>
        </w:rPr>
        <w:t xml:space="preserve">located </w:t>
      </w:r>
      <w:r w:rsidR="00C74E89" w:rsidRPr="00FB3DFF">
        <w:rPr>
          <w:rFonts w:ascii="Century Gothic" w:hAnsi="Century Gothic" w:cs="Arial"/>
          <w:color w:val="auto"/>
          <w:sz w:val="22"/>
          <w:szCs w:val="22"/>
        </w:rPr>
        <w:t xml:space="preserve">in catchments across the Basin and include other environmental water managers, catchment management authorities, </w:t>
      </w:r>
      <w:r w:rsidR="008A609D" w:rsidRPr="00FB3DFF">
        <w:rPr>
          <w:rFonts w:ascii="Century Gothic" w:hAnsi="Century Gothic" w:cs="Arial"/>
          <w:color w:val="auto"/>
          <w:sz w:val="22"/>
          <w:szCs w:val="22"/>
        </w:rPr>
        <w:t xml:space="preserve">state agencies, </w:t>
      </w:r>
      <w:r w:rsidR="00C74E89" w:rsidRPr="00FB3DFF">
        <w:rPr>
          <w:rFonts w:ascii="Century Gothic" w:hAnsi="Century Gothic" w:cs="Arial"/>
          <w:color w:val="auto"/>
          <w:sz w:val="22"/>
          <w:szCs w:val="22"/>
        </w:rPr>
        <w:t>environmental water advisory groups, river operators, scientific organisations</w:t>
      </w:r>
      <w:r w:rsidR="008A609D" w:rsidRPr="00FB3DFF">
        <w:rPr>
          <w:rFonts w:ascii="Century Gothic" w:hAnsi="Century Gothic" w:cs="Arial"/>
          <w:color w:val="auto"/>
          <w:sz w:val="22"/>
          <w:szCs w:val="22"/>
        </w:rPr>
        <w:t xml:space="preserve"> and</w:t>
      </w:r>
      <w:r w:rsidR="00C74E89" w:rsidRPr="00FB3DFF">
        <w:rPr>
          <w:rFonts w:ascii="Century Gothic" w:hAnsi="Century Gothic" w:cs="Arial"/>
          <w:color w:val="auto"/>
          <w:sz w:val="22"/>
          <w:szCs w:val="22"/>
        </w:rPr>
        <w:t xml:space="preserve"> site managers</w:t>
      </w:r>
      <w:r w:rsidR="008A609D" w:rsidRPr="00FB3DFF">
        <w:rPr>
          <w:rFonts w:ascii="Century Gothic" w:hAnsi="Century Gothic" w:cs="Arial"/>
          <w:color w:val="auto"/>
          <w:sz w:val="22"/>
          <w:szCs w:val="22"/>
        </w:rPr>
        <w:t>.</w:t>
      </w:r>
      <w:r w:rsidR="00C74E89" w:rsidRPr="00FB3DFF">
        <w:rPr>
          <w:rFonts w:ascii="Century Gothic" w:hAnsi="Century Gothic" w:cs="Arial"/>
          <w:color w:val="auto"/>
          <w:sz w:val="22"/>
          <w:szCs w:val="22"/>
        </w:rPr>
        <w:t xml:space="preserve"> A </w:t>
      </w:r>
      <w:r w:rsidR="008A609D" w:rsidRPr="00FB3DFF">
        <w:rPr>
          <w:rFonts w:ascii="Century Gothic" w:hAnsi="Century Gothic" w:cs="Arial"/>
          <w:color w:val="auto"/>
          <w:sz w:val="22"/>
          <w:szCs w:val="22"/>
        </w:rPr>
        <w:t xml:space="preserve">current </w:t>
      </w:r>
      <w:r w:rsidR="00C74E89" w:rsidRPr="00FB3DFF">
        <w:rPr>
          <w:rFonts w:ascii="Century Gothic" w:hAnsi="Century Gothic" w:cs="Arial"/>
          <w:color w:val="auto"/>
          <w:sz w:val="22"/>
          <w:szCs w:val="22"/>
        </w:rPr>
        <w:t xml:space="preserve">list of partners is provided at </w:t>
      </w:r>
      <w:r w:rsidR="00916075" w:rsidRPr="00FB3DFF">
        <w:rPr>
          <w:rFonts w:ascii="Century Gothic" w:hAnsi="Century Gothic" w:cs="Arial"/>
          <w:color w:val="auto"/>
          <w:sz w:val="22"/>
          <w:szCs w:val="22"/>
          <w:u w:val="single"/>
        </w:rPr>
        <w:t xml:space="preserve">Appendix </w:t>
      </w:r>
      <w:r w:rsidR="00EA0BE6" w:rsidRPr="00FB3DFF">
        <w:rPr>
          <w:rFonts w:ascii="Century Gothic" w:hAnsi="Century Gothic" w:cs="Arial"/>
          <w:color w:val="auto"/>
          <w:sz w:val="22"/>
          <w:szCs w:val="22"/>
          <w:u w:val="single"/>
        </w:rPr>
        <w:t>D</w:t>
      </w:r>
      <w:r w:rsidR="00C74E89" w:rsidRPr="00FB3DFF">
        <w:rPr>
          <w:rFonts w:ascii="Century Gothic" w:hAnsi="Century Gothic" w:cs="Arial"/>
          <w:color w:val="auto"/>
          <w:sz w:val="22"/>
          <w:szCs w:val="22"/>
        </w:rPr>
        <w:t>.</w:t>
      </w:r>
      <w:bookmarkStart w:id="64" w:name="_Toc302546795"/>
      <w:bookmarkEnd w:id="53"/>
      <w:r w:rsidR="00A734DC" w:rsidRPr="00FB3DFF">
        <w:rPr>
          <w:rFonts w:ascii="Century Gothic" w:hAnsi="Century Gothic" w:cs="Arial"/>
          <w:color w:val="auto"/>
          <w:sz w:val="22"/>
          <w:szCs w:val="22"/>
        </w:rPr>
        <w:t xml:space="preserve"> </w:t>
      </w:r>
    </w:p>
    <w:p w:rsidR="00FE3DF7" w:rsidRDefault="00A734DC" w:rsidP="00FB3DFF">
      <w:pPr>
        <w:rPr>
          <w:rFonts w:ascii="Century Gothic" w:hAnsi="Century Gothic" w:cs="Arial"/>
          <w:color w:val="auto"/>
          <w:sz w:val="22"/>
          <w:szCs w:val="22"/>
        </w:rPr>
      </w:pPr>
      <w:r w:rsidRPr="00FB3DFF">
        <w:rPr>
          <w:rFonts w:ascii="Century Gothic" w:hAnsi="Century Gothic" w:cs="Arial"/>
          <w:color w:val="auto"/>
          <w:sz w:val="22"/>
          <w:szCs w:val="22"/>
        </w:rPr>
        <w:t xml:space="preserve">We welcome suggestions </w:t>
      </w:r>
      <w:r w:rsidR="003172CE" w:rsidRPr="00FB3DFF">
        <w:rPr>
          <w:rFonts w:ascii="Century Gothic" w:hAnsi="Century Gothic" w:cs="Arial"/>
          <w:color w:val="auto"/>
          <w:sz w:val="22"/>
          <w:szCs w:val="22"/>
        </w:rPr>
        <w:t xml:space="preserve">from anyone </w:t>
      </w:r>
      <w:r w:rsidRPr="00FB3DFF">
        <w:rPr>
          <w:rFonts w:ascii="Century Gothic" w:hAnsi="Century Gothic" w:cs="Arial"/>
          <w:color w:val="auto"/>
          <w:sz w:val="22"/>
          <w:szCs w:val="22"/>
        </w:rPr>
        <w:t>about new delivery arrangements or alternate uses of water</w:t>
      </w:r>
      <w:r w:rsidR="006F25A8" w:rsidRPr="00FB3DFF">
        <w:rPr>
          <w:rFonts w:ascii="Century Gothic" w:hAnsi="Century Gothic" w:cs="Arial"/>
          <w:color w:val="auto"/>
          <w:sz w:val="22"/>
          <w:szCs w:val="22"/>
        </w:rPr>
        <w:t>.</w:t>
      </w:r>
      <w:r w:rsidR="00030F7D">
        <w:rPr>
          <w:rFonts w:ascii="Century Gothic" w:hAnsi="Century Gothic" w:cs="Arial"/>
          <w:color w:val="auto"/>
          <w:sz w:val="22"/>
          <w:szCs w:val="22"/>
        </w:rPr>
        <w:t xml:space="preserve"> For more information see </w:t>
      </w:r>
      <w:r w:rsidR="00547130" w:rsidRPr="00547130">
        <w:rPr>
          <w:rFonts w:ascii="Century Gothic" w:hAnsi="Century Gothic" w:cs="Arial"/>
          <w:i/>
          <w:color w:val="auto"/>
          <w:sz w:val="22"/>
          <w:szCs w:val="22"/>
        </w:rPr>
        <w:t>Your suggestions for potential water use options</w:t>
      </w:r>
      <w:r w:rsidR="00547130">
        <w:rPr>
          <w:rFonts w:ascii="Century Gothic" w:hAnsi="Century Gothic" w:cs="Arial"/>
          <w:i/>
          <w:color w:val="auto"/>
          <w:sz w:val="22"/>
          <w:szCs w:val="22"/>
        </w:rPr>
        <w:t xml:space="preserve"> </w:t>
      </w:r>
      <w:hyperlink r:id="rId22" w:history="1">
        <w:r w:rsidR="00547130" w:rsidRPr="00547130">
          <w:rPr>
            <w:rStyle w:val="Hyperlink"/>
            <w:rFonts w:ascii="Century Gothic" w:hAnsi="Century Gothic"/>
            <w:sz w:val="22"/>
            <w:szCs w:val="22"/>
          </w:rPr>
          <w:t>http://www.environment.gov.au/node/18973</w:t>
        </w:r>
      </w:hyperlink>
    </w:p>
    <w:p w:rsidR="00711B91" w:rsidRPr="00FB3DFF" w:rsidRDefault="00693ABF" w:rsidP="00FB3DFF">
      <w:pPr>
        <w:pStyle w:val="BPHeading3Left127cmFirstline0cm"/>
        <w:rPr>
          <w:rFonts w:ascii="Century Gothic" w:hAnsi="Century Gothic"/>
        </w:rPr>
      </w:pPr>
      <w:bookmarkStart w:id="65" w:name="_Toc302546796"/>
      <w:bookmarkStart w:id="66" w:name="_Toc333227716"/>
      <w:bookmarkStart w:id="67" w:name="_Toc371409456"/>
      <w:bookmarkEnd w:id="64"/>
      <w:r w:rsidRPr="00FB3DFF">
        <w:rPr>
          <w:rFonts w:ascii="Century Gothic" w:hAnsi="Century Gothic"/>
        </w:rPr>
        <w:t>3</w:t>
      </w:r>
      <w:r w:rsidR="006A6780" w:rsidRPr="00FB3DFF">
        <w:rPr>
          <w:rFonts w:ascii="Century Gothic" w:hAnsi="Century Gothic"/>
        </w:rPr>
        <w:t>.4.2</w:t>
      </w:r>
      <w:r w:rsidR="004931EF" w:rsidRPr="00FB3DFF">
        <w:rPr>
          <w:rFonts w:ascii="Century Gothic" w:hAnsi="Century Gothic"/>
        </w:rPr>
        <w:tab/>
      </w:r>
      <w:r w:rsidR="0088283F" w:rsidRPr="00FB3DFF">
        <w:rPr>
          <w:rFonts w:ascii="Century Gothic" w:hAnsi="Century Gothic"/>
        </w:rPr>
        <w:t>Murray–Darling Basin Authority</w:t>
      </w:r>
      <w:bookmarkEnd w:id="65"/>
      <w:bookmarkEnd w:id="66"/>
      <w:bookmarkEnd w:id="67"/>
    </w:p>
    <w:p w:rsidR="00687FE8" w:rsidRPr="00FB3DFF" w:rsidRDefault="00687FE8" w:rsidP="00FB3DFF">
      <w:pPr>
        <w:rPr>
          <w:rFonts w:ascii="Century Gothic" w:hAnsi="Century Gothic" w:cs="Arial"/>
          <w:color w:val="auto"/>
          <w:sz w:val="22"/>
          <w:szCs w:val="22"/>
        </w:rPr>
      </w:pPr>
      <w:r w:rsidRPr="00FB3DFF">
        <w:rPr>
          <w:rFonts w:ascii="Century Gothic" w:hAnsi="Century Gothic" w:cs="Arial"/>
          <w:color w:val="auto"/>
          <w:sz w:val="22"/>
          <w:szCs w:val="22"/>
        </w:rPr>
        <w:t>The Authority has a number of roles in relation to environmental water management, including the implementation of the Basin Plan and undertaking environmental watering in the southern-connected Basin.</w:t>
      </w:r>
    </w:p>
    <w:p w:rsidR="00687FE8" w:rsidRPr="00FB3DFF" w:rsidRDefault="00687FE8" w:rsidP="00FB3DFF">
      <w:pPr>
        <w:rPr>
          <w:rFonts w:ascii="Century Gothic" w:hAnsi="Century Gothic" w:cs="Arial"/>
          <w:i/>
          <w:iCs/>
          <w:color w:val="000000" w:themeColor="text1"/>
          <w:sz w:val="22"/>
          <w:szCs w:val="22"/>
        </w:rPr>
      </w:pPr>
      <w:r w:rsidRPr="00FB3DFF">
        <w:rPr>
          <w:rFonts w:ascii="Century Gothic" w:hAnsi="Century Gothic" w:cs="Arial"/>
          <w:i/>
          <w:iCs/>
          <w:color w:val="000000" w:themeColor="text1"/>
          <w:sz w:val="22"/>
          <w:szCs w:val="22"/>
        </w:rPr>
        <w:t>Basin Plan implementation</w:t>
      </w:r>
    </w:p>
    <w:p w:rsidR="00687FE8" w:rsidRPr="00FB3DFF" w:rsidRDefault="00687FE8" w:rsidP="00FB3DFF">
      <w:pPr>
        <w:rPr>
          <w:rFonts w:ascii="Century Gothic" w:hAnsi="Century Gothic" w:cs="Arial"/>
          <w:color w:val="auto"/>
          <w:sz w:val="22"/>
          <w:szCs w:val="22"/>
        </w:rPr>
      </w:pPr>
      <w:r w:rsidRPr="00FB3DFF">
        <w:rPr>
          <w:rFonts w:ascii="Century Gothic" w:hAnsi="Century Gothic" w:cs="Arial"/>
          <w:color w:val="auto"/>
          <w:sz w:val="22"/>
          <w:szCs w:val="22"/>
        </w:rPr>
        <w:t xml:space="preserve">Under the Basin Plan’s environmental watering plan, the Authority is responsible for the development of the Basin-wide environmental watering strategy and Basin annual environmental watering priorities. The first strategy is to be developed by November 2014 and the CEWH must perform its functions and exercise its powers consistent with it. The priorities must be published prior to the start of each water year and the CEWH must have regard to them when undertaking environmental watering. The 2013–14 Basin annual environmental watering priorities are available here: </w:t>
      </w:r>
      <w:hyperlink r:id="rId23" w:history="1">
        <w:r w:rsidR="00300A36" w:rsidRPr="00F576DD">
          <w:rPr>
            <w:rStyle w:val="Hyperlink"/>
            <w:rFonts w:ascii="Century Gothic" w:hAnsi="Century Gothic" w:cs="Arial"/>
            <w:sz w:val="22"/>
            <w:szCs w:val="22"/>
          </w:rPr>
          <w:t>http://www.mdba.gov.au/what-we-do/environmental-water/environmental-watering-priorities</w:t>
        </w:r>
      </w:hyperlink>
      <w:r w:rsidRPr="00FB3DFF">
        <w:rPr>
          <w:rFonts w:ascii="Century Gothic" w:hAnsi="Century Gothic" w:cs="Arial"/>
          <w:color w:val="auto"/>
          <w:sz w:val="22"/>
          <w:szCs w:val="22"/>
        </w:rPr>
        <w:t>.</w:t>
      </w:r>
      <w:r w:rsidR="00547130">
        <w:rPr>
          <w:rFonts w:ascii="Century Gothic" w:hAnsi="Century Gothic" w:cs="Arial"/>
          <w:color w:val="auto"/>
          <w:sz w:val="22"/>
          <w:szCs w:val="22"/>
        </w:rPr>
        <w:t xml:space="preserve"> </w:t>
      </w:r>
    </w:p>
    <w:p w:rsidR="00687FE8" w:rsidRPr="00FB3DFF" w:rsidRDefault="00687FE8" w:rsidP="00FB3DFF">
      <w:pPr>
        <w:rPr>
          <w:rFonts w:ascii="Century Gothic" w:hAnsi="Century Gothic" w:cs="Arial"/>
          <w:color w:val="auto"/>
          <w:sz w:val="22"/>
          <w:szCs w:val="22"/>
        </w:rPr>
      </w:pPr>
      <w:r w:rsidRPr="00FB3DFF">
        <w:rPr>
          <w:rFonts w:ascii="Century Gothic" w:hAnsi="Century Gothic" w:cs="Arial"/>
          <w:color w:val="auto"/>
          <w:sz w:val="22"/>
          <w:szCs w:val="22"/>
        </w:rPr>
        <w:t>Other Basin Plan implementation activities undertaken by the Authority that are of relevance to the CEWH include:</w:t>
      </w:r>
    </w:p>
    <w:p w:rsidR="00687FE8" w:rsidRPr="00547130" w:rsidRDefault="00687FE8" w:rsidP="00547130">
      <w:pPr>
        <w:pStyle w:val="Bullet6"/>
        <w:tabs>
          <w:tab w:val="clear" w:pos="360"/>
          <w:tab w:val="clear" w:pos="1080"/>
          <w:tab w:val="left" w:pos="1134"/>
        </w:tabs>
        <w:spacing w:after="240"/>
        <w:ind w:left="1134"/>
        <w:rPr>
          <w:rFonts w:ascii="Century Gothic" w:hAnsi="Century Gothic"/>
          <w:sz w:val="22"/>
          <w:szCs w:val="22"/>
        </w:rPr>
      </w:pPr>
      <w:r w:rsidRPr="00547130">
        <w:rPr>
          <w:rFonts w:ascii="Century Gothic" w:hAnsi="Century Gothic"/>
          <w:sz w:val="22"/>
          <w:szCs w:val="22"/>
        </w:rPr>
        <w:t>the development of the constraints management strategy</w:t>
      </w:r>
    </w:p>
    <w:p w:rsidR="00687FE8" w:rsidRPr="00547130" w:rsidRDefault="00687FE8" w:rsidP="00547130">
      <w:pPr>
        <w:pStyle w:val="Bullet6"/>
        <w:tabs>
          <w:tab w:val="clear" w:pos="360"/>
          <w:tab w:val="clear" w:pos="1080"/>
          <w:tab w:val="left" w:pos="1134"/>
        </w:tabs>
        <w:spacing w:after="240"/>
        <w:ind w:left="1134"/>
        <w:rPr>
          <w:rFonts w:ascii="Century Gothic" w:hAnsi="Century Gothic"/>
          <w:sz w:val="22"/>
          <w:szCs w:val="22"/>
        </w:rPr>
      </w:pPr>
      <w:r w:rsidRPr="00547130">
        <w:rPr>
          <w:rFonts w:ascii="Century Gothic" w:hAnsi="Century Gothic"/>
          <w:sz w:val="22"/>
          <w:szCs w:val="22"/>
        </w:rPr>
        <w:t>the assessment of supply and constraints measures under the sustainable diversion limit adjustment mechanism</w:t>
      </w:r>
    </w:p>
    <w:p w:rsidR="00687FE8" w:rsidRPr="00547130" w:rsidRDefault="00687FE8" w:rsidP="00547130">
      <w:pPr>
        <w:pStyle w:val="Bullet6"/>
        <w:tabs>
          <w:tab w:val="clear" w:pos="360"/>
          <w:tab w:val="clear" w:pos="1080"/>
          <w:tab w:val="left" w:pos="1134"/>
        </w:tabs>
        <w:spacing w:after="240"/>
        <w:ind w:left="1134"/>
        <w:rPr>
          <w:rFonts w:ascii="Century Gothic" w:hAnsi="Century Gothic"/>
          <w:sz w:val="22"/>
          <w:szCs w:val="22"/>
        </w:rPr>
      </w:pPr>
      <w:r w:rsidRPr="00547130">
        <w:rPr>
          <w:rFonts w:ascii="Century Gothic" w:hAnsi="Century Gothic"/>
          <w:sz w:val="22"/>
          <w:szCs w:val="22"/>
        </w:rPr>
        <w:t>guidelines for the implementation of the water quality and salinity management plan, and for complying with the Basin Plan trade rules</w:t>
      </w:r>
    </w:p>
    <w:p w:rsidR="00687FE8" w:rsidRPr="00547130" w:rsidRDefault="00687FE8" w:rsidP="00547130">
      <w:pPr>
        <w:pStyle w:val="Bullet6"/>
        <w:tabs>
          <w:tab w:val="clear" w:pos="360"/>
          <w:tab w:val="clear" w:pos="1080"/>
          <w:tab w:val="left" w:pos="1134"/>
        </w:tabs>
        <w:spacing w:after="240"/>
        <w:ind w:left="1134"/>
        <w:rPr>
          <w:rFonts w:ascii="Century Gothic" w:hAnsi="Century Gothic"/>
          <w:sz w:val="22"/>
          <w:szCs w:val="22"/>
        </w:rPr>
      </w:pPr>
      <w:r w:rsidRPr="00547130">
        <w:rPr>
          <w:rFonts w:ascii="Century Gothic" w:hAnsi="Century Gothic"/>
          <w:sz w:val="22"/>
          <w:szCs w:val="22"/>
        </w:rPr>
        <w:t>monitoring, evaluation and reporting, particularly in relation to ‘the achievement of environmental outcomes at a Basin scale’.</w:t>
      </w:r>
    </w:p>
    <w:p w:rsidR="00687FE8" w:rsidRPr="00FB3DFF" w:rsidRDefault="00687FE8" w:rsidP="00FB3DFF">
      <w:pPr>
        <w:pStyle w:val="ListParagraph"/>
        <w:spacing w:after="0"/>
        <w:contextualSpacing w:val="0"/>
        <w:rPr>
          <w:rFonts w:ascii="Century Gothic" w:hAnsi="Century Gothic" w:cs="Arial"/>
          <w:color w:val="000000" w:themeColor="text1"/>
          <w:sz w:val="22"/>
          <w:szCs w:val="22"/>
        </w:rPr>
      </w:pPr>
    </w:p>
    <w:p w:rsidR="00300A36" w:rsidRDefault="00687FE8" w:rsidP="00FB3DFF">
      <w:pPr>
        <w:rPr>
          <w:rFonts w:ascii="Century Gothic" w:hAnsi="Century Gothic" w:cs="Arial"/>
          <w:color w:val="auto"/>
          <w:sz w:val="22"/>
          <w:szCs w:val="22"/>
        </w:rPr>
      </w:pPr>
      <w:r w:rsidRPr="00FB3DFF">
        <w:rPr>
          <w:rFonts w:ascii="Century Gothic" w:hAnsi="Century Gothic" w:cs="Arial"/>
          <w:color w:val="auto"/>
          <w:sz w:val="22"/>
          <w:szCs w:val="22"/>
        </w:rPr>
        <w:t>The CEWH is a signatory to the Basin Plan Implementation Agreement 2013, which is an agreement with the Authority and Basin States on how the parties will work together in implementing their respective obligations under the Basin Plan. The agreement establishes a Basin Plan Implementation Committee, of which the CEWH is a member, as a high-level multijurisdictional forum to monitor, review and make decisions relevant to implementing the Basin Plan. A number of working groups are being established to undertake tasks on behalf of the committee, including on environmental water, water quality and salinity, water trading and monitoring and evaluation.</w:t>
      </w:r>
    </w:p>
    <w:p w:rsidR="00687FE8" w:rsidRPr="00FB3DFF" w:rsidRDefault="00687FE8" w:rsidP="00FB3DFF">
      <w:pPr>
        <w:rPr>
          <w:rFonts w:ascii="Century Gothic" w:hAnsi="Century Gothic" w:cs="Arial"/>
          <w:i/>
          <w:iCs/>
          <w:color w:val="000000" w:themeColor="text1"/>
          <w:sz w:val="22"/>
          <w:szCs w:val="22"/>
        </w:rPr>
      </w:pPr>
      <w:r w:rsidRPr="00FB3DFF">
        <w:rPr>
          <w:rFonts w:ascii="Century Gothic" w:hAnsi="Century Gothic" w:cs="Arial"/>
          <w:i/>
          <w:iCs/>
          <w:color w:val="000000" w:themeColor="text1"/>
          <w:sz w:val="22"/>
          <w:szCs w:val="22"/>
        </w:rPr>
        <w:t>Environmental watering in the southern-connected Basin</w:t>
      </w:r>
    </w:p>
    <w:p w:rsidR="00687FE8" w:rsidRPr="00FB3DFF" w:rsidRDefault="00687FE8" w:rsidP="00FB3DFF">
      <w:pPr>
        <w:rPr>
          <w:rFonts w:ascii="Century Gothic" w:hAnsi="Century Gothic" w:cs="Arial"/>
          <w:color w:val="auto"/>
          <w:sz w:val="22"/>
          <w:szCs w:val="22"/>
        </w:rPr>
      </w:pPr>
      <w:r w:rsidRPr="00FB3DFF">
        <w:rPr>
          <w:rFonts w:ascii="Century Gothic" w:hAnsi="Century Gothic" w:cs="Arial"/>
          <w:color w:val="auto"/>
          <w:sz w:val="22"/>
          <w:szCs w:val="22"/>
        </w:rPr>
        <w:t>In order to support the efficient and effective management of Commonwealth environmental water, it is important that the CEWH coordinates its environmental watering with other environmental water holders and river operators. In the southern-connected Basin this includes consulting with and coordinating water use with the Authority in its role as both an environmental water holder (as the manager of the portfolio of environmental water that has been secured through The Living Murray initiative) and as the river operator for the River Murray system. To help facilitate coordinated water use, the CEWH and the Authority co-convene an annual forum to bring together all the relevant environmental water holders and river operators in the southern Basin.</w:t>
      </w:r>
    </w:p>
    <w:p w:rsidR="00711B91" w:rsidRPr="00FB3DFF" w:rsidRDefault="00693ABF" w:rsidP="00FB3DFF">
      <w:pPr>
        <w:pStyle w:val="BPHeading2Left063cmFirstline063cm"/>
        <w:rPr>
          <w:rFonts w:ascii="Century Gothic" w:hAnsi="Century Gothic"/>
        </w:rPr>
      </w:pPr>
      <w:bookmarkStart w:id="68" w:name="_Toc302546798"/>
      <w:bookmarkStart w:id="69" w:name="_Toc333227717"/>
      <w:bookmarkStart w:id="70" w:name="_Toc371409457"/>
      <w:r w:rsidRPr="00FB3DFF">
        <w:rPr>
          <w:rFonts w:ascii="Century Gothic" w:hAnsi="Century Gothic"/>
        </w:rPr>
        <w:t>3</w:t>
      </w:r>
      <w:r w:rsidR="006A6780" w:rsidRPr="00FB3DFF">
        <w:rPr>
          <w:rFonts w:ascii="Century Gothic" w:hAnsi="Century Gothic"/>
        </w:rPr>
        <w:t>.5</w:t>
      </w:r>
      <w:r w:rsidR="004931EF" w:rsidRPr="00FB3DFF">
        <w:rPr>
          <w:rFonts w:ascii="Century Gothic" w:hAnsi="Century Gothic"/>
        </w:rPr>
        <w:tab/>
      </w:r>
      <w:r w:rsidR="0088283F" w:rsidRPr="00FB3DFF">
        <w:rPr>
          <w:rFonts w:ascii="Century Gothic" w:hAnsi="Century Gothic"/>
        </w:rPr>
        <w:t>Communications and stakeholder engagement</w:t>
      </w:r>
      <w:bookmarkEnd w:id="68"/>
      <w:bookmarkEnd w:id="69"/>
      <w:bookmarkEnd w:id="70"/>
    </w:p>
    <w:p w:rsidR="00FB7276" w:rsidRPr="00FB3DFF" w:rsidRDefault="00FB7276" w:rsidP="00FB3DFF">
      <w:pPr>
        <w:rPr>
          <w:rFonts w:ascii="Century Gothic" w:hAnsi="Century Gothic" w:cs="Arial"/>
          <w:color w:val="auto"/>
          <w:sz w:val="22"/>
          <w:szCs w:val="22"/>
        </w:rPr>
      </w:pPr>
      <w:r w:rsidRPr="00FB3DFF">
        <w:rPr>
          <w:rFonts w:ascii="Century Gothic" w:hAnsi="Century Gothic" w:cs="Arial"/>
          <w:color w:val="auto"/>
          <w:sz w:val="22"/>
          <w:szCs w:val="22"/>
        </w:rPr>
        <w:t xml:space="preserve">The objectives of community engagement and communication activities of the Office in 2013–14 are to: </w:t>
      </w:r>
    </w:p>
    <w:p w:rsidR="00FB7276" w:rsidRPr="00FB3DFF" w:rsidRDefault="00FB7276" w:rsidP="00FB3DFF">
      <w:pPr>
        <w:pStyle w:val="Bullet12"/>
        <w:numPr>
          <w:ilvl w:val="0"/>
          <w:numId w:val="39"/>
        </w:numPr>
        <w:tabs>
          <w:tab w:val="clear" w:pos="1080"/>
        </w:tabs>
        <w:ind w:left="1134"/>
        <w:rPr>
          <w:rFonts w:ascii="Century Gothic" w:hAnsi="Century Gothic" w:cs="Arial"/>
          <w:sz w:val="22"/>
          <w:szCs w:val="22"/>
        </w:rPr>
      </w:pPr>
      <w:r w:rsidRPr="00FB3DFF">
        <w:rPr>
          <w:rFonts w:ascii="Century Gothic" w:hAnsi="Century Gothic" w:cs="Arial"/>
          <w:sz w:val="22"/>
          <w:szCs w:val="22"/>
        </w:rPr>
        <w:t>support transparent and accountable management of Commonwealth environmental water;</w:t>
      </w:r>
    </w:p>
    <w:p w:rsidR="00FB7276" w:rsidRPr="00FB3DFF" w:rsidRDefault="00FB7276" w:rsidP="00FB3DFF">
      <w:pPr>
        <w:pStyle w:val="Bullet12"/>
        <w:numPr>
          <w:ilvl w:val="0"/>
          <w:numId w:val="39"/>
        </w:numPr>
        <w:tabs>
          <w:tab w:val="clear" w:pos="1080"/>
        </w:tabs>
        <w:ind w:left="1134"/>
        <w:rPr>
          <w:rFonts w:ascii="Century Gothic" w:hAnsi="Century Gothic" w:cs="Arial"/>
          <w:sz w:val="22"/>
          <w:szCs w:val="22"/>
        </w:rPr>
      </w:pPr>
      <w:r w:rsidRPr="00FB3DFF">
        <w:rPr>
          <w:rFonts w:ascii="Century Gothic" w:hAnsi="Century Gothic" w:cs="Arial"/>
          <w:sz w:val="22"/>
          <w:szCs w:val="22"/>
        </w:rPr>
        <w:t>improve public understanding of and respond to requests for information on the use and outcomes of Commonwealth environmental water; and</w:t>
      </w:r>
    </w:p>
    <w:p w:rsidR="00FB7276" w:rsidRPr="00FB3DFF" w:rsidRDefault="00FB7276" w:rsidP="00FB3DFF">
      <w:pPr>
        <w:pStyle w:val="Bullet12"/>
        <w:numPr>
          <w:ilvl w:val="0"/>
          <w:numId w:val="39"/>
        </w:numPr>
        <w:tabs>
          <w:tab w:val="clear" w:pos="1080"/>
        </w:tabs>
        <w:ind w:left="1134"/>
        <w:rPr>
          <w:rFonts w:ascii="Century Gothic" w:hAnsi="Century Gothic" w:cs="Arial"/>
          <w:sz w:val="22"/>
          <w:szCs w:val="22"/>
        </w:rPr>
      </w:pPr>
      <w:r w:rsidRPr="00FB3DFF">
        <w:rPr>
          <w:rFonts w:ascii="Century Gothic" w:hAnsi="Century Gothic" w:cs="Arial"/>
          <w:sz w:val="22"/>
          <w:szCs w:val="22"/>
        </w:rPr>
        <w:t>strengthen relationships with partners, local communities and organisations to support efficient and effective management of Commonwealth environmental water.</w:t>
      </w:r>
    </w:p>
    <w:p w:rsidR="00FB7276" w:rsidRPr="00FB3DFF" w:rsidRDefault="00FB7276" w:rsidP="00FB3DFF">
      <w:pPr>
        <w:pStyle w:val="Normalbeforebullet"/>
        <w:spacing w:after="240"/>
        <w:rPr>
          <w:rFonts w:ascii="Century Gothic" w:hAnsi="Century Gothic" w:cs="Arial"/>
          <w:sz w:val="22"/>
          <w:szCs w:val="22"/>
        </w:rPr>
      </w:pPr>
      <w:r w:rsidRPr="00FB3DFF">
        <w:rPr>
          <w:rFonts w:ascii="Century Gothic" w:hAnsi="Century Gothic" w:cs="Arial"/>
          <w:sz w:val="22"/>
          <w:szCs w:val="22"/>
        </w:rPr>
        <w:t xml:space="preserve">To achieve these objectives the Office in 2013−14 will: </w:t>
      </w:r>
    </w:p>
    <w:p w:rsidR="00FB7276" w:rsidRDefault="00A804DB" w:rsidP="00FB3DFF">
      <w:pPr>
        <w:pStyle w:val="Bullet12"/>
        <w:numPr>
          <w:ilvl w:val="0"/>
          <w:numId w:val="39"/>
        </w:numPr>
        <w:tabs>
          <w:tab w:val="clear" w:pos="1080"/>
        </w:tabs>
        <w:ind w:left="1134"/>
        <w:rPr>
          <w:rFonts w:ascii="Century Gothic" w:hAnsi="Century Gothic" w:cs="Arial"/>
          <w:sz w:val="22"/>
          <w:szCs w:val="22"/>
        </w:rPr>
      </w:pPr>
      <w:r w:rsidRPr="00FB3DFF">
        <w:rPr>
          <w:rFonts w:ascii="Century Gothic" w:hAnsi="Century Gothic" w:cs="Arial"/>
          <w:sz w:val="22"/>
          <w:szCs w:val="22"/>
        </w:rPr>
        <w:t>d</w:t>
      </w:r>
      <w:r w:rsidR="00FB7276" w:rsidRPr="00FB3DFF">
        <w:rPr>
          <w:rFonts w:ascii="Century Gothic" w:hAnsi="Century Gothic" w:cs="Arial"/>
          <w:sz w:val="22"/>
          <w:szCs w:val="22"/>
        </w:rPr>
        <w:t xml:space="preserve">evelop, publish and disseminate information on Commonwealth environmental water holdings, activities and outcomes through: the </w:t>
      </w:r>
      <w:hyperlink r:id="rId24" w:history="1">
        <w:r w:rsidR="00FB7276" w:rsidRPr="00FB3DFF">
          <w:rPr>
            <w:rFonts w:ascii="Century Gothic" w:hAnsi="Century Gothic" w:cs="Arial"/>
            <w:sz w:val="22"/>
            <w:szCs w:val="22"/>
          </w:rPr>
          <w:t>website</w:t>
        </w:r>
      </w:hyperlink>
      <w:r w:rsidR="00FB7276" w:rsidRPr="00FB3DFF">
        <w:rPr>
          <w:rFonts w:ascii="Century Gothic" w:hAnsi="Century Gothic" w:cs="Arial"/>
          <w:sz w:val="22"/>
          <w:szCs w:val="22"/>
        </w:rPr>
        <w:t>, the Commonwealth Environmental Water Annual report and Outcomes report, electronic mail updates and other publicat</w:t>
      </w:r>
      <w:r w:rsidRPr="00FB3DFF">
        <w:rPr>
          <w:rFonts w:ascii="Century Gothic" w:hAnsi="Century Gothic" w:cs="Arial"/>
          <w:sz w:val="22"/>
          <w:szCs w:val="22"/>
        </w:rPr>
        <w:t>ions and communication products</w:t>
      </w:r>
    </w:p>
    <w:p w:rsidR="00300A36" w:rsidRDefault="00300A36">
      <w:pPr>
        <w:spacing w:after="0"/>
        <w:ind w:left="0"/>
        <w:rPr>
          <w:rFonts w:ascii="Century Gothic" w:hAnsi="Century Gothic" w:cs="Arial"/>
          <w:sz w:val="22"/>
          <w:szCs w:val="22"/>
        </w:rPr>
      </w:pPr>
      <w:r>
        <w:rPr>
          <w:rFonts w:ascii="Century Gothic" w:hAnsi="Century Gothic" w:cs="Arial"/>
          <w:sz w:val="22"/>
          <w:szCs w:val="22"/>
        </w:rPr>
        <w:br w:type="page"/>
      </w:r>
    </w:p>
    <w:p w:rsidR="00FB7276" w:rsidRPr="00FB3DFF" w:rsidRDefault="00A804DB" w:rsidP="00FB3DFF">
      <w:pPr>
        <w:pStyle w:val="Bullet12"/>
        <w:numPr>
          <w:ilvl w:val="0"/>
          <w:numId w:val="39"/>
        </w:numPr>
        <w:tabs>
          <w:tab w:val="clear" w:pos="1080"/>
        </w:tabs>
        <w:ind w:left="1134"/>
        <w:rPr>
          <w:rFonts w:ascii="Century Gothic" w:hAnsi="Century Gothic" w:cs="Arial"/>
          <w:sz w:val="22"/>
          <w:szCs w:val="22"/>
        </w:rPr>
      </w:pPr>
      <w:r w:rsidRPr="00FB3DFF">
        <w:rPr>
          <w:rFonts w:ascii="Century Gothic" w:hAnsi="Century Gothic" w:cs="Arial"/>
          <w:sz w:val="22"/>
          <w:szCs w:val="22"/>
        </w:rPr>
        <w:t>i</w:t>
      </w:r>
      <w:r w:rsidR="00FB7276" w:rsidRPr="00FB3DFF">
        <w:rPr>
          <w:rFonts w:ascii="Century Gothic" w:hAnsi="Century Gothic" w:cs="Arial"/>
          <w:sz w:val="22"/>
          <w:szCs w:val="22"/>
        </w:rPr>
        <w:t>ncrease and strengthen engagement with Basin communities and organisations through: site visits, participation in the existing local consultation processes established by state agencies and catchment management authorities (such as environmental water advisory groups), meetings, presentations to external forums and events, and the development of targeted communications mate</w:t>
      </w:r>
      <w:r w:rsidRPr="00FB3DFF">
        <w:rPr>
          <w:rFonts w:ascii="Century Gothic" w:hAnsi="Century Gothic" w:cs="Arial"/>
          <w:sz w:val="22"/>
          <w:szCs w:val="22"/>
        </w:rPr>
        <w:t>rials</w:t>
      </w:r>
      <w:r w:rsidR="00FB7276" w:rsidRPr="00FB3DFF">
        <w:rPr>
          <w:rFonts w:ascii="Century Gothic" w:hAnsi="Century Gothic" w:cs="Arial"/>
          <w:sz w:val="22"/>
          <w:szCs w:val="22"/>
        </w:rPr>
        <w:t xml:space="preserve"> </w:t>
      </w:r>
    </w:p>
    <w:p w:rsidR="00FB7276" w:rsidRPr="00FB3DFF" w:rsidRDefault="00A804DB" w:rsidP="00FB3DFF">
      <w:pPr>
        <w:pStyle w:val="Bullet12"/>
        <w:numPr>
          <w:ilvl w:val="0"/>
          <w:numId w:val="39"/>
        </w:numPr>
        <w:tabs>
          <w:tab w:val="clear" w:pos="1080"/>
        </w:tabs>
        <w:ind w:left="1134"/>
        <w:rPr>
          <w:rFonts w:ascii="Century Gothic" w:hAnsi="Century Gothic" w:cs="Arial"/>
          <w:sz w:val="22"/>
          <w:szCs w:val="22"/>
        </w:rPr>
      </w:pPr>
      <w:r w:rsidRPr="00FB3DFF">
        <w:rPr>
          <w:rFonts w:ascii="Century Gothic" w:hAnsi="Century Gothic" w:cs="Arial"/>
          <w:sz w:val="22"/>
          <w:szCs w:val="22"/>
        </w:rPr>
        <w:t>h</w:t>
      </w:r>
      <w:r w:rsidR="00FB7276" w:rsidRPr="00FB3DFF">
        <w:rPr>
          <w:rFonts w:ascii="Century Gothic" w:hAnsi="Century Gothic" w:cs="Arial"/>
          <w:sz w:val="22"/>
          <w:szCs w:val="22"/>
        </w:rPr>
        <w:t xml:space="preserve">old meetings of its </w:t>
      </w:r>
      <w:hyperlink r:id="rId25" w:history="1">
        <w:r w:rsidR="00FB7276" w:rsidRPr="00FB3DFF">
          <w:rPr>
            <w:rFonts w:ascii="Century Gothic" w:hAnsi="Century Gothic" w:cs="Arial"/>
            <w:sz w:val="22"/>
            <w:szCs w:val="22"/>
          </w:rPr>
          <w:t>Stakeholder Reference Panel</w:t>
        </w:r>
      </w:hyperlink>
      <w:r w:rsidR="00FB7276" w:rsidRPr="00FB3DFF">
        <w:rPr>
          <w:rFonts w:ascii="Century Gothic" w:hAnsi="Century Gothic" w:cs="Arial"/>
          <w:sz w:val="22"/>
          <w:szCs w:val="22"/>
        </w:rPr>
        <w:t xml:space="preserve"> </w:t>
      </w:r>
    </w:p>
    <w:p w:rsidR="00FB7276" w:rsidRPr="00FB3DFF" w:rsidRDefault="00FB7276" w:rsidP="00FB3DFF">
      <w:pPr>
        <w:pStyle w:val="Bullet12"/>
        <w:numPr>
          <w:ilvl w:val="0"/>
          <w:numId w:val="39"/>
        </w:numPr>
        <w:tabs>
          <w:tab w:val="clear" w:pos="1080"/>
        </w:tabs>
        <w:ind w:left="1134"/>
        <w:rPr>
          <w:rFonts w:ascii="Century Gothic" w:hAnsi="Century Gothic" w:cs="Arial"/>
          <w:sz w:val="22"/>
          <w:szCs w:val="22"/>
        </w:rPr>
      </w:pPr>
      <w:r w:rsidRPr="00FB3DFF">
        <w:rPr>
          <w:rFonts w:ascii="Century Gothic" w:hAnsi="Century Gothic" w:cs="Arial"/>
          <w:sz w:val="22"/>
          <w:szCs w:val="22"/>
        </w:rPr>
        <w:t xml:space="preserve">recruit up to six </w:t>
      </w:r>
      <w:hyperlink r:id="rId26" w:history="1">
        <w:r w:rsidRPr="00FB3DFF">
          <w:rPr>
            <w:rFonts w:ascii="Century Gothic" w:hAnsi="Century Gothic" w:cs="Arial"/>
            <w:sz w:val="22"/>
            <w:szCs w:val="22"/>
          </w:rPr>
          <w:t>Local Engagement Officers</w:t>
        </w:r>
      </w:hyperlink>
      <w:r w:rsidRPr="00FB3DFF">
        <w:rPr>
          <w:rFonts w:ascii="Century Gothic" w:hAnsi="Century Gothic" w:cs="Arial"/>
          <w:sz w:val="22"/>
          <w:szCs w:val="22"/>
        </w:rPr>
        <w:t xml:space="preserve"> in key regions of the Basin who will work with and build the capacity of local communities to enable them to engage meaningfully in decision-making on environmental watering. </w:t>
      </w:r>
    </w:p>
    <w:p w:rsidR="009B48AC" w:rsidRPr="00FB3DFF" w:rsidRDefault="004916B0" w:rsidP="00AD3C0B">
      <w:pPr>
        <w:rPr>
          <w:rFonts w:ascii="Century Gothic" w:hAnsi="Century Gothic" w:cs="Arial"/>
          <w:sz w:val="22"/>
          <w:szCs w:val="22"/>
        </w:rPr>
      </w:pPr>
      <w:r w:rsidRPr="00FB3DFF">
        <w:rPr>
          <w:rFonts w:ascii="Century Gothic" w:hAnsi="Century Gothic" w:cs="Arial"/>
          <w:sz w:val="22"/>
          <w:szCs w:val="22"/>
        </w:rPr>
        <w:t xml:space="preserve">To receive updates about </w:t>
      </w:r>
      <w:r w:rsidR="009B0147" w:rsidRPr="00FB3DFF">
        <w:rPr>
          <w:rFonts w:ascii="Century Gothic" w:hAnsi="Century Gothic" w:cs="Arial"/>
          <w:sz w:val="22"/>
          <w:szCs w:val="22"/>
        </w:rPr>
        <w:t>Commonwealth environmental w</w:t>
      </w:r>
      <w:r w:rsidRPr="00FB3DFF">
        <w:rPr>
          <w:rFonts w:ascii="Century Gothic" w:hAnsi="Century Gothic" w:cs="Arial"/>
          <w:sz w:val="22"/>
          <w:szCs w:val="22"/>
        </w:rPr>
        <w:t>atering in the Basin</w:t>
      </w:r>
      <w:r w:rsidR="00486535" w:rsidRPr="00FB3DFF">
        <w:rPr>
          <w:rFonts w:ascii="Century Gothic" w:hAnsi="Century Gothic" w:cs="Arial"/>
          <w:sz w:val="22"/>
          <w:szCs w:val="22"/>
        </w:rPr>
        <w:t>, visit:</w:t>
      </w:r>
      <w:r w:rsidR="001A2213">
        <w:rPr>
          <w:rFonts w:ascii="Century Gothic" w:hAnsi="Century Gothic" w:cs="Arial"/>
          <w:sz w:val="22"/>
          <w:szCs w:val="22"/>
        </w:rPr>
        <w:t xml:space="preserve"> </w:t>
      </w:r>
      <w:hyperlink r:id="rId27" w:history="1">
        <w:r w:rsidR="001A2213" w:rsidRPr="00F576DD">
          <w:rPr>
            <w:rStyle w:val="Hyperlink"/>
            <w:rFonts w:ascii="Century Gothic" w:hAnsi="Century Gothic" w:cs="Arial"/>
            <w:sz w:val="22"/>
            <w:szCs w:val="22"/>
          </w:rPr>
          <w:t>http://www.environment.gov.au/topics/water/commonwealth-environmental-water-office/about-office/subscribe</w:t>
        </w:r>
      </w:hyperlink>
    </w:p>
    <w:p w:rsidR="001C4B33" w:rsidRPr="00FB3DFF" w:rsidRDefault="001C4B33" w:rsidP="00FB3DFF">
      <w:pPr>
        <w:pStyle w:val="Bullet12"/>
        <w:numPr>
          <w:ilvl w:val="0"/>
          <w:numId w:val="0"/>
        </w:numPr>
        <w:ind w:left="360" w:hanging="360"/>
        <w:rPr>
          <w:rFonts w:ascii="Century Gothic" w:hAnsi="Century Gothic" w:cs="Arial"/>
        </w:rPr>
      </w:pPr>
    </w:p>
    <w:p w:rsidR="00711B91" w:rsidRPr="00FB3DFF" w:rsidRDefault="00B03FA5" w:rsidP="00FB3DFF">
      <w:pPr>
        <w:pStyle w:val="BPHeading1CustomColorRGB9573122BottomNoborde"/>
        <w:ind w:left="1134" w:hanging="414"/>
        <w:rPr>
          <w:rFonts w:ascii="Century Gothic" w:hAnsi="Century Gothic"/>
        </w:rPr>
      </w:pPr>
      <w:bookmarkStart w:id="71" w:name="_Toc303167031"/>
      <w:bookmarkStart w:id="72" w:name="_Toc303242298"/>
      <w:bookmarkStart w:id="73" w:name="_Toc303242656"/>
      <w:bookmarkStart w:id="74" w:name="_Toc303242734"/>
      <w:bookmarkEnd w:id="71"/>
      <w:bookmarkEnd w:id="72"/>
      <w:bookmarkEnd w:id="73"/>
      <w:bookmarkEnd w:id="74"/>
      <w:r w:rsidRPr="00FB3DFF">
        <w:rPr>
          <w:rFonts w:ascii="Century Gothic" w:hAnsi="Century Gothic" w:cs="Arial"/>
        </w:rPr>
        <w:br w:type="page"/>
      </w:r>
      <w:bookmarkStart w:id="75" w:name="_Toc303242320"/>
      <w:bookmarkStart w:id="76" w:name="_Toc303242678"/>
      <w:bookmarkStart w:id="77" w:name="_Toc303242755"/>
      <w:bookmarkStart w:id="78" w:name="_Toc303243543"/>
      <w:bookmarkStart w:id="79" w:name="_Toc303242322"/>
      <w:bookmarkStart w:id="80" w:name="_Toc303242680"/>
      <w:bookmarkStart w:id="81" w:name="_Toc303242757"/>
      <w:bookmarkStart w:id="82" w:name="_Toc303243545"/>
      <w:bookmarkStart w:id="83" w:name="_Toc303242323"/>
      <w:bookmarkStart w:id="84" w:name="_Toc303242681"/>
      <w:bookmarkStart w:id="85" w:name="_Toc303242758"/>
      <w:bookmarkStart w:id="86" w:name="_Toc303243546"/>
      <w:bookmarkStart w:id="87" w:name="_Toc303242324"/>
      <w:bookmarkStart w:id="88" w:name="_Toc303242682"/>
      <w:bookmarkStart w:id="89" w:name="_Toc303242759"/>
      <w:bookmarkStart w:id="90" w:name="_Toc303243547"/>
      <w:bookmarkStart w:id="91" w:name="_Toc303242325"/>
      <w:bookmarkStart w:id="92" w:name="_Toc303242683"/>
      <w:bookmarkStart w:id="93" w:name="_Toc303242760"/>
      <w:bookmarkStart w:id="94" w:name="_Toc303243548"/>
      <w:bookmarkStart w:id="95" w:name="_Toc303242326"/>
      <w:bookmarkStart w:id="96" w:name="_Toc303242684"/>
      <w:bookmarkStart w:id="97" w:name="_Toc303242761"/>
      <w:bookmarkStart w:id="98" w:name="_Toc303243549"/>
      <w:bookmarkStart w:id="99" w:name="_Toc303242327"/>
      <w:bookmarkStart w:id="100" w:name="_Toc303242685"/>
      <w:bookmarkStart w:id="101" w:name="_Toc303242762"/>
      <w:bookmarkStart w:id="102" w:name="_Toc303243550"/>
      <w:bookmarkStart w:id="103" w:name="_Toc303242328"/>
      <w:bookmarkStart w:id="104" w:name="_Toc303242686"/>
      <w:bookmarkStart w:id="105" w:name="_Toc303242763"/>
      <w:bookmarkStart w:id="106" w:name="_Toc303243551"/>
      <w:bookmarkStart w:id="107" w:name="_Toc303242329"/>
      <w:bookmarkStart w:id="108" w:name="_Toc303242687"/>
      <w:bookmarkStart w:id="109" w:name="_Toc303242764"/>
      <w:bookmarkStart w:id="110" w:name="_Toc303243552"/>
      <w:bookmarkStart w:id="111" w:name="_Toc303242330"/>
      <w:bookmarkStart w:id="112" w:name="_Toc303242688"/>
      <w:bookmarkStart w:id="113" w:name="_Toc303242765"/>
      <w:bookmarkStart w:id="114" w:name="_Toc303243553"/>
      <w:bookmarkStart w:id="115" w:name="_Toc303242331"/>
      <w:bookmarkStart w:id="116" w:name="_Toc303242689"/>
      <w:bookmarkStart w:id="117" w:name="_Toc303242766"/>
      <w:bookmarkStart w:id="118" w:name="_Toc303243554"/>
      <w:bookmarkStart w:id="119" w:name="_Toc333227718"/>
      <w:bookmarkStart w:id="120" w:name="_Toc37140945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982A83" w:rsidRPr="00FB3DFF">
        <w:rPr>
          <w:rFonts w:ascii="Century Gothic" w:hAnsi="Century Gothic"/>
        </w:rPr>
        <w:t>4</w:t>
      </w:r>
      <w:r w:rsidR="00207F9B" w:rsidRPr="00FB3DFF">
        <w:rPr>
          <w:rFonts w:ascii="Century Gothic" w:hAnsi="Century Gothic"/>
        </w:rPr>
        <w:t>.</w:t>
      </w:r>
      <w:r w:rsidR="00194C7A" w:rsidRPr="00FB3DFF">
        <w:rPr>
          <w:rFonts w:ascii="Century Gothic" w:hAnsi="Century Gothic"/>
        </w:rPr>
        <w:tab/>
      </w:r>
      <w:r w:rsidR="007F4DCB" w:rsidRPr="00FB3DFF">
        <w:rPr>
          <w:rFonts w:ascii="Century Gothic" w:hAnsi="Century Gothic"/>
        </w:rPr>
        <w:t>F</w:t>
      </w:r>
      <w:r w:rsidR="00D81C6D" w:rsidRPr="00FB3DFF">
        <w:rPr>
          <w:rFonts w:ascii="Century Gothic" w:hAnsi="Century Gothic"/>
        </w:rPr>
        <w:t>inancial management</w:t>
      </w:r>
      <w:r w:rsidR="00977D98" w:rsidRPr="00FB3DFF">
        <w:rPr>
          <w:rFonts w:ascii="Century Gothic" w:hAnsi="Century Gothic"/>
        </w:rPr>
        <w:t xml:space="preserve"> and accountability</w:t>
      </w:r>
      <w:bookmarkEnd w:id="119"/>
      <w:bookmarkEnd w:id="120"/>
    </w:p>
    <w:p w:rsidR="00E06E3F" w:rsidRPr="00FB3DFF" w:rsidRDefault="00E06E3F" w:rsidP="00FB3DFF">
      <w:pPr>
        <w:pStyle w:val="BPBodyTextArialJustified"/>
        <w:jc w:val="left"/>
        <w:rPr>
          <w:rFonts w:ascii="Century Gothic" w:hAnsi="Century Gothic"/>
          <w:sz w:val="22"/>
          <w:szCs w:val="22"/>
        </w:rPr>
      </w:pPr>
      <w:r w:rsidRPr="00FB3DFF">
        <w:rPr>
          <w:rFonts w:ascii="Century Gothic" w:hAnsi="Century Gothic"/>
          <w:sz w:val="22"/>
          <w:szCs w:val="22"/>
        </w:rPr>
        <w:t>Th</w:t>
      </w:r>
      <w:r w:rsidR="00DF36D4" w:rsidRPr="00FB3DFF">
        <w:rPr>
          <w:rFonts w:ascii="Century Gothic" w:hAnsi="Century Gothic"/>
          <w:sz w:val="22"/>
          <w:szCs w:val="22"/>
        </w:rPr>
        <w:t>is</w:t>
      </w:r>
      <w:r w:rsidRPr="00FB3DFF">
        <w:rPr>
          <w:rFonts w:ascii="Century Gothic" w:hAnsi="Century Gothic"/>
          <w:sz w:val="22"/>
          <w:szCs w:val="22"/>
        </w:rPr>
        <w:t xml:space="preserve"> section describes budget and financial management arrangements</w:t>
      </w:r>
      <w:r w:rsidR="006A05A7" w:rsidRPr="00FB3DFF">
        <w:rPr>
          <w:rFonts w:ascii="Century Gothic" w:hAnsi="Century Gothic"/>
          <w:sz w:val="22"/>
          <w:szCs w:val="22"/>
        </w:rPr>
        <w:t>,</w:t>
      </w:r>
      <w:r w:rsidRPr="00FB3DFF">
        <w:rPr>
          <w:rFonts w:ascii="Century Gothic" w:hAnsi="Century Gothic"/>
          <w:sz w:val="22"/>
          <w:szCs w:val="22"/>
        </w:rPr>
        <w:t xml:space="preserve"> administration of the </w:t>
      </w:r>
      <w:r w:rsidR="00DE46E2" w:rsidRPr="00FB3DFF">
        <w:rPr>
          <w:rFonts w:ascii="Century Gothic" w:hAnsi="Century Gothic"/>
          <w:sz w:val="22"/>
          <w:szCs w:val="22"/>
        </w:rPr>
        <w:t>E</w:t>
      </w:r>
      <w:r w:rsidRPr="00FB3DFF">
        <w:rPr>
          <w:rFonts w:ascii="Century Gothic" w:hAnsi="Century Gothic"/>
          <w:sz w:val="22"/>
          <w:szCs w:val="22"/>
        </w:rPr>
        <w:t xml:space="preserve">nvironmental </w:t>
      </w:r>
      <w:r w:rsidR="00DE46E2" w:rsidRPr="00FB3DFF">
        <w:rPr>
          <w:rFonts w:ascii="Century Gothic" w:hAnsi="Century Gothic"/>
          <w:sz w:val="22"/>
          <w:szCs w:val="22"/>
        </w:rPr>
        <w:t>W</w:t>
      </w:r>
      <w:r w:rsidRPr="00FB3DFF">
        <w:rPr>
          <w:rFonts w:ascii="Century Gothic" w:hAnsi="Century Gothic"/>
          <w:sz w:val="22"/>
          <w:szCs w:val="22"/>
        </w:rPr>
        <w:t xml:space="preserve">ater </w:t>
      </w:r>
      <w:r w:rsidR="00DE46E2" w:rsidRPr="00FB3DFF">
        <w:rPr>
          <w:rFonts w:ascii="Century Gothic" w:hAnsi="Century Gothic"/>
          <w:sz w:val="22"/>
          <w:szCs w:val="22"/>
        </w:rPr>
        <w:t>H</w:t>
      </w:r>
      <w:r w:rsidRPr="00FB3DFF">
        <w:rPr>
          <w:rFonts w:ascii="Century Gothic" w:hAnsi="Century Gothic"/>
          <w:sz w:val="22"/>
          <w:szCs w:val="22"/>
        </w:rPr>
        <w:t xml:space="preserve">oldings </w:t>
      </w:r>
      <w:r w:rsidR="00DE46E2" w:rsidRPr="00FB3DFF">
        <w:rPr>
          <w:rFonts w:ascii="Century Gothic" w:hAnsi="Century Gothic"/>
          <w:sz w:val="22"/>
          <w:szCs w:val="22"/>
        </w:rPr>
        <w:t>S</w:t>
      </w:r>
      <w:r w:rsidRPr="00FB3DFF">
        <w:rPr>
          <w:rFonts w:ascii="Century Gothic" w:hAnsi="Century Gothic"/>
          <w:sz w:val="22"/>
          <w:szCs w:val="22"/>
        </w:rPr>
        <w:t xml:space="preserve">pecial </w:t>
      </w:r>
      <w:r w:rsidR="00DE46E2" w:rsidRPr="00FB3DFF">
        <w:rPr>
          <w:rFonts w:ascii="Century Gothic" w:hAnsi="Century Gothic"/>
          <w:sz w:val="22"/>
          <w:szCs w:val="22"/>
        </w:rPr>
        <w:t>A</w:t>
      </w:r>
      <w:r w:rsidRPr="00FB3DFF">
        <w:rPr>
          <w:rFonts w:ascii="Century Gothic" w:hAnsi="Century Gothic"/>
          <w:sz w:val="22"/>
          <w:szCs w:val="22"/>
        </w:rPr>
        <w:t>ccount, the register of holdings and reporting arrangements.</w:t>
      </w:r>
    </w:p>
    <w:p w:rsidR="00E06E3F" w:rsidRPr="00FB3DFF" w:rsidRDefault="00982A83" w:rsidP="00FB3DFF">
      <w:pPr>
        <w:pStyle w:val="BPHeading2Left063cmFirstline063cm"/>
        <w:rPr>
          <w:rFonts w:ascii="Century Gothic" w:hAnsi="Century Gothic"/>
        </w:rPr>
      </w:pPr>
      <w:bookmarkStart w:id="121" w:name="_Toc333227719"/>
      <w:bookmarkStart w:id="122" w:name="_Toc371409459"/>
      <w:r w:rsidRPr="00FB3DFF">
        <w:rPr>
          <w:rFonts w:ascii="Century Gothic" w:hAnsi="Century Gothic"/>
        </w:rPr>
        <w:t>4</w:t>
      </w:r>
      <w:r w:rsidR="00570BAE" w:rsidRPr="00FB3DFF">
        <w:rPr>
          <w:rFonts w:ascii="Century Gothic" w:hAnsi="Century Gothic"/>
        </w:rPr>
        <w:t>.1</w:t>
      </w:r>
      <w:r w:rsidR="00570BAE" w:rsidRPr="00FB3DFF">
        <w:rPr>
          <w:rFonts w:ascii="Century Gothic" w:hAnsi="Century Gothic"/>
        </w:rPr>
        <w:tab/>
      </w:r>
      <w:r w:rsidR="00E06E3F" w:rsidRPr="00FB3DFF">
        <w:rPr>
          <w:rFonts w:ascii="Century Gothic" w:hAnsi="Century Gothic"/>
        </w:rPr>
        <w:t>Budget and financial management</w:t>
      </w:r>
      <w:bookmarkEnd w:id="121"/>
      <w:bookmarkEnd w:id="122"/>
    </w:p>
    <w:p w:rsidR="00461685" w:rsidRPr="00FB3DFF" w:rsidRDefault="00461685"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budget for </w:t>
      </w:r>
      <w:r w:rsidR="005F07F9" w:rsidRPr="00FB3DFF">
        <w:rPr>
          <w:rFonts w:ascii="Century Gothic" w:hAnsi="Century Gothic"/>
          <w:sz w:val="22"/>
          <w:szCs w:val="22"/>
        </w:rPr>
        <w:t xml:space="preserve">the Office </w:t>
      </w:r>
      <w:r w:rsidRPr="00FB3DFF">
        <w:rPr>
          <w:rFonts w:ascii="Century Gothic" w:hAnsi="Century Gothic"/>
          <w:sz w:val="22"/>
          <w:szCs w:val="22"/>
        </w:rPr>
        <w:t xml:space="preserve">in </w:t>
      </w:r>
      <w:r w:rsidR="00DC67BD" w:rsidRPr="00FB3DFF">
        <w:rPr>
          <w:rFonts w:ascii="Century Gothic" w:hAnsi="Century Gothic"/>
          <w:sz w:val="22"/>
          <w:szCs w:val="22"/>
        </w:rPr>
        <w:t>2013-14</w:t>
      </w:r>
      <w:r w:rsidRPr="00FB3DFF">
        <w:rPr>
          <w:rFonts w:ascii="Century Gothic" w:hAnsi="Century Gothic"/>
          <w:sz w:val="22"/>
          <w:szCs w:val="22"/>
        </w:rPr>
        <w:t xml:space="preserve"> is included in Table </w:t>
      </w:r>
      <w:r w:rsidR="001940BB" w:rsidRPr="00FB3DFF">
        <w:rPr>
          <w:rFonts w:ascii="Century Gothic" w:hAnsi="Century Gothic"/>
          <w:sz w:val="22"/>
          <w:szCs w:val="22"/>
        </w:rPr>
        <w:t xml:space="preserve">1 </w:t>
      </w:r>
      <w:r w:rsidRPr="00FB3DFF">
        <w:rPr>
          <w:rFonts w:ascii="Century Gothic" w:hAnsi="Century Gothic"/>
          <w:sz w:val="22"/>
          <w:szCs w:val="22"/>
        </w:rPr>
        <w:t>below.</w:t>
      </w:r>
    </w:p>
    <w:p w:rsidR="004A4102" w:rsidRPr="00FB3DFF" w:rsidRDefault="004A4102" w:rsidP="00FB3DFF">
      <w:pPr>
        <w:pStyle w:val="BPBodyTextArialJustified"/>
        <w:jc w:val="left"/>
        <w:rPr>
          <w:rFonts w:ascii="Century Gothic" w:hAnsi="Century Gothic"/>
          <w:color w:val="4C6696"/>
        </w:rPr>
      </w:pPr>
      <w:bookmarkStart w:id="123" w:name="_Toc333227720"/>
      <w:r w:rsidRPr="00FB3DFF">
        <w:rPr>
          <w:rFonts w:ascii="Century Gothic" w:hAnsi="Century Gothic"/>
          <w:sz w:val="22"/>
          <w:szCs w:val="22"/>
        </w:rPr>
        <w:t>Table 1: Commonwealth Environmental Water</w:t>
      </w:r>
      <w:r w:rsidR="00E47AE3">
        <w:rPr>
          <w:rFonts w:ascii="Century Gothic" w:hAnsi="Century Gothic"/>
          <w:sz w:val="22"/>
          <w:szCs w:val="22"/>
        </w:rPr>
        <w:t xml:space="preserve"> Office</w:t>
      </w:r>
      <w:r w:rsidRPr="00FB3DFF">
        <w:rPr>
          <w:rFonts w:ascii="Century Gothic" w:hAnsi="Century Gothic"/>
          <w:sz w:val="22"/>
          <w:szCs w:val="22"/>
        </w:rPr>
        <w:t xml:space="preserve"> budget </w:t>
      </w:r>
      <w:bookmarkEnd w:id="123"/>
      <w:r w:rsidR="00DC67BD" w:rsidRPr="00FB3DFF">
        <w:rPr>
          <w:rFonts w:ascii="Century Gothic" w:hAnsi="Century Gothic"/>
          <w:sz w:val="22"/>
          <w:szCs w:val="22"/>
        </w:rPr>
        <w:t>2013-14</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2"/>
        <w:gridCol w:w="3180"/>
      </w:tblGrid>
      <w:tr w:rsidR="00255F95" w:rsidRPr="00FB3DFF" w:rsidTr="00194C7A">
        <w:tc>
          <w:tcPr>
            <w:tcW w:w="5342" w:type="dxa"/>
            <w:shd w:val="clear" w:color="auto" w:fill="AEBCD6"/>
          </w:tcPr>
          <w:p w:rsidR="00255F95" w:rsidRPr="00FB3DFF" w:rsidRDefault="00255F95" w:rsidP="00FB3DFF">
            <w:pPr>
              <w:spacing w:before="120" w:after="120"/>
              <w:ind w:left="0"/>
              <w:rPr>
                <w:rFonts w:ascii="Century Gothic" w:hAnsi="Century Gothic" w:cs="Arial"/>
                <w:b/>
              </w:rPr>
            </w:pPr>
            <w:r w:rsidRPr="00FB3DFF">
              <w:rPr>
                <w:rFonts w:ascii="Century Gothic" w:hAnsi="Century Gothic" w:cs="Arial"/>
                <w:b/>
              </w:rPr>
              <w:t>Funding</w:t>
            </w:r>
          </w:p>
        </w:tc>
        <w:tc>
          <w:tcPr>
            <w:tcW w:w="3180" w:type="dxa"/>
            <w:shd w:val="clear" w:color="auto" w:fill="AEBCD6"/>
          </w:tcPr>
          <w:p w:rsidR="00255F95" w:rsidRPr="00FB3DFF" w:rsidRDefault="00255F95" w:rsidP="00E47AE3">
            <w:pPr>
              <w:spacing w:before="120" w:after="120"/>
              <w:ind w:left="0" w:right="95"/>
              <w:jc w:val="right"/>
              <w:rPr>
                <w:rFonts w:ascii="Century Gothic" w:hAnsi="Century Gothic" w:cs="Arial"/>
                <w:b/>
              </w:rPr>
            </w:pPr>
            <w:r w:rsidRPr="00FB3DFF">
              <w:rPr>
                <w:rFonts w:ascii="Century Gothic" w:hAnsi="Century Gothic" w:cs="Arial"/>
                <w:b/>
              </w:rPr>
              <w:t>$ million</w:t>
            </w:r>
          </w:p>
        </w:tc>
      </w:tr>
      <w:tr w:rsidR="00255F95" w:rsidRPr="00FB3DFF" w:rsidTr="00A83CC9">
        <w:tc>
          <w:tcPr>
            <w:tcW w:w="5342" w:type="dxa"/>
          </w:tcPr>
          <w:p w:rsidR="00255F95" w:rsidRPr="00FB3DFF" w:rsidRDefault="00255F95" w:rsidP="00FB3DFF">
            <w:pPr>
              <w:spacing w:before="120" w:after="120"/>
              <w:ind w:left="0"/>
              <w:rPr>
                <w:rFonts w:ascii="Century Gothic" w:hAnsi="Century Gothic" w:cs="Arial"/>
              </w:rPr>
            </w:pPr>
            <w:r w:rsidRPr="00FB3DFF">
              <w:rPr>
                <w:rFonts w:ascii="Century Gothic" w:hAnsi="Century Gothic" w:cs="Arial"/>
              </w:rPr>
              <w:t>Departmental</w:t>
            </w:r>
          </w:p>
          <w:p w:rsidR="00CE3838" w:rsidRPr="00FB3DFF" w:rsidRDefault="00CE3838" w:rsidP="00FB3DFF">
            <w:pPr>
              <w:spacing w:before="120" w:after="120"/>
              <w:ind w:left="0"/>
              <w:rPr>
                <w:rFonts w:ascii="Century Gothic" w:hAnsi="Century Gothic" w:cs="Arial"/>
              </w:rPr>
            </w:pPr>
            <w:r w:rsidRPr="00FB3DFF">
              <w:rPr>
                <w:rFonts w:ascii="Century Gothic" w:hAnsi="Century Gothic" w:cs="Arial"/>
              </w:rPr>
              <w:t>(less corporate contribution)</w:t>
            </w:r>
          </w:p>
        </w:tc>
        <w:tc>
          <w:tcPr>
            <w:tcW w:w="3180" w:type="dxa"/>
          </w:tcPr>
          <w:p w:rsidR="00255F95" w:rsidRPr="00FB3DFF" w:rsidRDefault="00004146" w:rsidP="00E47AE3">
            <w:pPr>
              <w:spacing w:before="120" w:after="120"/>
              <w:ind w:left="0" w:right="95"/>
              <w:jc w:val="right"/>
              <w:rPr>
                <w:rFonts w:ascii="Century Gothic" w:hAnsi="Century Gothic" w:cs="Arial"/>
              </w:rPr>
            </w:pPr>
            <w:r w:rsidRPr="00FB3DFF">
              <w:rPr>
                <w:rFonts w:ascii="Century Gothic" w:hAnsi="Century Gothic" w:cs="Arial"/>
              </w:rPr>
              <w:t>9.603</w:t>
            </w:r>
          </w:p>
          <w:p w:rsidR="00CE3838" w:rsidRPr="00FB3DFF" w:rsidRDefault="00004146" w:rsidP="00E47AE3">
            <w:pPr>
              <w:spacing w:before="120" w:after="120"/>
              <w:ind w:left="0" w:right="95"/>
              <w:jc w:val="right"/>
              <w:rPr>
                <w:rFonts w:ascii="Century Gothic" w:hAnsi="Century Gothic" w:cs="Arial"/>
              </w:rPr>
            </w:pPr>
            <w:r w:rsidRPr="00FB3DFF">
              <w:rPr>
                <w:rFonts w:ascii="Century Gothic" w:hAnsi="Century Gothic" w:cs="Arial"/>
              </w:rPr>
              <w:t>(2.379</w:t>
            </w:r>
            <w:r w:rsidR="00CE3838" w:rsidRPr="00FB3DFF">
              <w:rPr>
                <w:rFonts w:ascii="Century Gothic" w:hAnsi="Century Gothic" w:cs="Arial"/>
              </w:rPr>
              <w:t>)</w:t>
            </w:r>
          </w:p>
        </w:tc>
      </w:tr>
      <w:tr w:rsidR="00255F95" w:rsidRPr="00FB3DFF" w:rsidTr="00A83CC9">
        <w:tc>
          <w:tcPr>
            <w:tcW w:w="5342" w:type="dxa"/>
          </w:tcPr>
          <w:p w:rsidR="00255F95" w:rsidRPr="00FB3DFF" w:rsidRDefault="00255F95" w:rsidP="00FB3DFF">
            <w:pPr>
              <w:spacing w:before="120" w:after="120"/>
              <w:ind w:left="0"/>
              <w:rPr>
                <w:rFonts w:ascii="Century Gothic" w:hAnsi="Century Gothic" w:cs="Arial"/>
                <w:b/>
              </w:rPr>
            </w:pPr>
            <w:r w:rsidRPr="00FB3DFF">
              <w:rPr>
                <w:rFonts w:ascii="Century Gothic" w:hAnsi="Century Gothic" w:cs="Arial"/>
                <w:b/>
              </w:rPr>
              <w:t>Total</w:t>
            </w:r>
          </w:p>
        </w:tc>
        <w:tc>
          <w:tcPr>
            <w:tcW w:w="3180" w:type="dxa"/>
          </w:tcPr>
          <w:p w:rsidR="00255F95" w:rsidRPr="00FB3DFF" w:rsidRDefault="00004146" w:rsidP="00E47AE3">
            <w:pPr>
              <w:spacing w:before="120" w:after="120"/>
              <w:ind w:left="0" w:right="95"/>
              <w:jc w:val="right"/>
              <w:rPr>
                <w:rFonts w:ascii="Century Gothic" w:hAnsi="Century Gothic" w:cs="Arial"/>
                <w:b/>
              </w:rPr>
            </w:pPr>
            <w:r w:rsidRPr="00FB3DFF">
              <w:rPr>
                <w:rFonts w:ascii="Century Gothic" w:hAnsi="Century Gothic" w:cs="Arial"/>
                <w:b/>
              </w:rPr>
              <w:t>7</w:t>
            </w:r>
            <w:r w:rsidR="00CE3838" w:rsidRPr="00FB3DFF">
              <w:rPr>
                <w:rFonts w:ascii="Century Gothic" w:hAnsi="Century Gothic" w:cs="Arial"/>
                <w:b/>
              </w:rPr>
              <w:t>.2</w:t>
            </w:r>
            <w:r w:rsidRPr="00FB3DFF">
              <w:rPr>
                <w:rFonts w:ascii="Century Gothic" w:hAnsi="Century Gothic" w:cs="Arial"/>
                <w:b/>
              </w:rPr>
              <w:t>24</w:t>
            </w:r>
          </w:p>
        </w:tc>
      </w:tr>
      <w:tr w:rsidR="00255F95" w:rsidRPr="00FB3DFF" w:rsidTr="00194C7A">
        <w:tc>
          <w:tcPr>
            <w:tcW w:w="5342" w:type="dxa"/>
            <w:shd w:val="clear" w:color="auto" w:fill="AEBCD6"/>
          </w:tcPr>
          <w:p w:rsidR="00255F95" w:rsidRPr="00FB3DFF" w:rsidRDefault="00255F95" w:rsidP="00FB3DFF">
            <w:pPr>
              <w:spacing w:before="120" w:after="120"/>
              <w:ind w:left="0"/>
              <w:rPr>
                <w:rFonts w:ascii="Century Gothic" w:hAnsi="Century Gothic" w:cs="Arial"/>
                <w:b/>
              </w:rPr>
            </w:pPr>
            <w:r w:rsidRPr="00FB3DFF">
              <w:rPr>
                <w:rFonts w:ascii="Century Gothic" w:hAnsi="Century Gothic" w:cs="Arial"/>
                <w:b/>
              </w:rPr>
              <w:t>Program</w:t>
            </w:r>
          </w:p>
        </w:tc>
        <w:tc>
          <w:tcPr>
            <w:tcW w:w="3180" w:type="dxa"/>
            <w:shd w:val="clear" w:color="auto" w:fill="AEBCD6"/>
          </w:tcPr>
          <w:p w:rsidR="00255F95" w:rsidRPr="00FB3DFF" w:rsidRDefault="00255F95" w:rsidP="00E47AE3">
            <w:pPr>
              <w:spacing w:before="120" w:after="120"/>
              <w:ind w:left="0" w:right="95"/>
              <w:jc w:val="right"/>
              <w:rPr>
                <w:rFonts w:ascii="Century Gothic" w:hAnsi="Century Gothic" w:cs="Arial"/>
                <w:b/>
              </w:rPr>
            </w:pPr>
            <w:r w:rsidRPr="00FB3DFF">
              <w:rPr>
                <w:rFonts w:ascii="Century Gothic" w:hAnsi="Century Gothic" w:cs="Arial"/>
                <w:b/>
              </w:rPr>
              <w:t>$ million</w:t>
            </w:r>
          </w:p>
        </w:tc>
      </w:tr>
      <w:tr w:rsidR="00255F95" w:rsidRPr="00FB3DFF" w:rsidTr="00A83CC9">
        <w:tc>
          <w:tcPr>
            <w:tcW w:w="5342" w:type="dxa"/>
          </w:tcPr>
          <w:p w:rsidR="00255F95" w:rsidRPr="00FB3DFF" w:rsidRDefault="00255F95" w:rsidP="00FB3DFF">
            <w:pPr>
              <w:spacing w:before="120" w:after="120"/>
              <w:ind w:left="0"/>
              <w:rPr>
                <w:rFonts w:ascii="Century Gothic" w:hAnsi="Century Gothic" w:cs="Arial"/>
              </w:rPr>
            </w:pPr>
            <w:r w:rsidRPr="00FB3DFF">
              <w:rPr>
                <w:rFonts w:ascii="Century Gothic" w:hAnsi="Century Gothic" w:cs="Arial"/>
              </w:rPr>
              <w:t xml:space="preserve">Administered: </w:t>
            </w:r>
            <w:r w:rsidRPr="00FB3DFF">
              <w:rPr>
                <w:rFonts w:ascii="Century Gothic" w:hAnsi="Century Gothic" w:cs="Arial"/>
              </w:rPr>
              <w:br/>
              <w:t>Environmental Water Holdings Special Account</w:t>
            </w:r>
          </w:p>
        </w:tc>
        <w:tc>
          <w:tcPr>
            <w:tcW w:w="3180" w:type="dxa"/>
          </w:tcPr>
          <w:p w:rsidR="00255F95" w:rsidRPr="00FB3DFF" w:rsidRDefault="00E70ADC" w:rsidP="00E47AE3">
            <w:pPr>
              <w:spacing w:before="120" w:after="120"/>
              <w:ind w:left="0" w:right="95"/>
              <w:jc w:val="right"/>
              <w:rPr>
                <w:rFonts w:ascii="Century Gothic" w:hAnsi="Century Gothic" w:cs="Arial"/>
              </w:rPr>
            </w:pPr>
            <w:r w:rsidRPr="00FB3DFF">
              <w:rPr>
                <w:rFonts w:ascii="Century Gothic" w:hAnsi="Century Gothic" w:cs="Arial"/>
              </w:rPr>
              <w:br/>
              <w:t>24</w:t>
            </w:r>
            <w:r w:rsidR="00285A8C" w:rsidRPr="00FB3DFF">
              <w:rPr>
                <w:rFonts w:ascii="Century Gothic" w:hAnsi="Century Gothic" w:cs="Arial"/>
              </w:rPr>
              <w:t>.</w:t>
            </w:r>
            <w:r w:rsidRPr="00FB3DFF">
              <w:rPr>
                <w:rFonts w:ascii="Century Gothic" w:hAnsi="Century Gothic" w:cs="Arial"/>
              </w:rPr>
              <w:t>533</w:t>
            </w:r>
          </w:p>
        </w:tc>
      </w:tr>
      <w:tr w:rsidR="00255F95" w:rsidRPr="00FB3DFF" w:rsidTr="00A83CC9">
        <w:tc>
          <w:tcPr>
            <w:tcW w:w="5342" w:type="dxa"/>
          </w:tcPr>
          <w:p w:rsidR="00255F95" w:rsidRPr="00FB3DFF" w:rsidRDefault="00255F95" w:rsidP="00FB3DFF">
            <w:pPr>
              <w:spacing w:before="120" w:after="120"/>
              <w:ind w:left="0"/>
              <w:rPr>
                <w:rFonts w:ascii="Century Gothic" w:hAnsi="Century Gothic" w:cs="Arial"/>
                <w:b/>
              </w:rPr>
            </w:pPr>
            <w:r w:rsidRPr="00FB3DFF">
              <w:rPr>
                <w:rFonts w:ascii="Century Gothic" w:hAnsi="Century Gothic" w:cs="Arial"/>
                <w:b/>
              </w:rPr>
              <w:t>Total</w:t>
            </w:r>
          </w:p>
        </w:tc>
        <w:tc>
          <w:tcPr>
            <w:tcW w:w="3180" w:type="dxa"/>
          </w:tcPr>
          <w:p w:rsidR="00255F95" w:rsidRPr="00FB3DFF" w:rsidRDefault="00E70ADC" w:rsidP="00E47AE3">
            <w:pPr>
              <w:spacing w:before="120" w:after="120"/>
              <w:ind w:left="0" w:right="95"/>
              <w:jc w:val="right"/>
              <w:rPr>
                <w:rFonts w:ascii="Century Gothic" w:hAnsi="Century Gothic" w:cs="Arial"/>
                <w:b/>
              </w:rPr>
            </w:pPr>
            <w:r w:rsidRPr="00FB3DFF">
              <w:rPr>
                <w:rFonts w:ascii="Century Gothic" w:hAnsi="Century Gothic" w:cs="Arial"/>
                <w:b/>
              </w:rPr>
              <w:t>24</w:t>
            </w:r>
            <w:r w:rsidR="00285A8C" w:rsidRPr="00FB3DFF">
              <w:rPr>
                <w:rFonts w:ascii="Century Gothic" w:hAnsi="Century Gothic" w:cs="Arial"/>
                <w:b/>
              </w:rPr>
              <w:t>.</w:t>
            </w:r>
            <w:r w:rsidRPr="00FB3DFF">
              <w:rPr>
                <w:rFonts w:ascii="Century Gothic" w:hAnsi="Century Gothic" w:cs="Arial"/>
                <w:b/>
              </w:rPr>
              <w:t>533</w:t>
            </w:r>
          </w:p>
        </w:tc>
      </w:tr>
    </w:tbl>
    <w:p w:rsidR="00BF5C2B" w:rsidRPr="00FB3DFF" w:rsidRDefault="00BF5C2B" w:rsidP="00AD3C0B">
      <w:pPr>
        <w:pStyle w:val="BPBodyTextArialJustified"/>
        <w:jc w:val="left"/>
        <w:rPr>
          <w:rFonts w:ascii="Century Gothic" w:hAnsi="Century Gothic" w:cs="Arial"/>
          <w:sz w:val="22"/>
          <w:szCs w:val="22"/>
        </w:rPr>
      </w:pPr>
    </w:p>
    <w:p w:rsidR="00814837" w:rsidRPr="00AD3C0B" w:rsidRDefault="00814837" w:rsidP="00AD3C0B">
      <w:pPr>
        <w:pStyle w:val="BPBodyTextArialJustified"/>
        <w:jc w:val="left"/>
        <w:rPr>
          <w:rFonts w:ascii="Century Gothic" w:hAnsi="Century Gothic"/>
          <w:sz w:val="22"/>
          <w:szCs w:val="22"/>
        </w:rPr>
      </w:pPr>
      <w:r w:rsidRPr="00AD3C0B">
        <w:rPr>
          <w:rFonts w:ascii="Century Gothic" w:hAnsi="Century Gothic"/>
          <w:sz w:val="22"/>
          <w:szCs w:val="22"/>
        </w:rPr>
        <w:t xml:space="preserve">In 2012-13 departmental funding (less corporate contribution) was $8.212 million, and administered funding for the Environmental Water Holdings Special Account was $21 million. </w:t>
      </w:r>
      <w:r w:rsidR="00FA1176" w:rsidRPr="00AD3C0B">
        <w:rPr>
          <w:rFonts w:ascii="Century Gothic" w:hAnsi="Century Gothic"/>
          <w:sz w:val="22"/>
          <w:szCs w:val="22"/>
        </w:rPr>
        <w:t>In 2013-14 the Office will be required to make adjustments to manage increased water holdings with reduced departmental resources.</w:t>
      </w:r>
    </w:p>
    <w:p w:rsidR="00E06E3F" w:rsidRPr="00AD3C0B" w:rsidRDefault="00E06E3F" w:rsidP="00AD3C0B">
      <w:pPr>
        <w:pStyle w:val="BPBodyTextArialJustified"/>
        <w:jc w:val="left"/>
        <w:rPr>
          <w:rFonts w:ascii="Century Gothic" w:hAnsi="Century Gothic"/>
          <w:sz w:val="22"/>
          <w:szCs w:val="22"/>
        </w:rPr>
      </w:pPr>
      <w:r w:rsidRPr="00AD3C0B">
        <w:rPr>
          <w:rFonts w:ascii="Century Gothic" w:hAnsi="Century Gothic"/>
          <w:sz w:val="22"/>
          <w:szCs w:val="22"/>
        </w:rPr>
        <w:t xml:space="preserve">The functions and activities of </w:t>
      </w:r>
      <w:r w:rsidR="005F07F9" w:rsidRPr="00AD3C0B">
        <w:rPr>
          <w:rFonts w:ascii="Century Gothic" w:hAnsi="Century Gothic"/>
          <w:sz w:val="22"/>
          <w:szCs w:val="22"/>
        </w:rPr>
        <w:t xml:space="preserve">the Office </w:t>
      </w:r>
      <w:r w:rsidRPr="00AD3C0B">
        <w:rPr>
          <w:rFonts w:ascii="Century Gothic" w:hAnsi="Century Gothic"/>
          <w:sz w:val="22"/>
          <w:szCs w:val="22"/>
        </w:rPr>
        <w:t xml:space="preserve">are conducted in accordance with established Departmental financial arrangements. The Department has made arrangements to support the </w:t>
      </w:r>
      <w:r w:rsidR="00E47AE3" w:rsidRPr="00AD3C0B">
        <w:rPr>
          <w:rFonts w:ascii="Century Gothic" w:hAnsi="Century Gothic"/>
          <w:sz w:val="22"/>
          <w:szCs w:val="22"/>
        </w:rPr>
        <w:t>CEWH</w:t>
      </w:r>
      <w:r w:rsidR="00FE7A0F" w:rsidRPr="00AD3C0B">
        <w:rPr>
          <w:rFonts w:ascii="Century Gothic" w:hAnsi="Century Gothic"/>
          <w:sz w:val="22"/>
          <w:szCs w:val="22"/>
        </w:rPr>
        <w:t xml:space="preserve"> </w:t>
      </w:r>
      <w:r w:rsidRPr="00AD3C0B">
        <w:rPr>
          <w:rFonts w:ascii="Century Gothic" w:hAnsi="Century Gothic"/>
          <w:sz w:val="22"/>
          <w:szCs w:val="22"/>
        </w:rPr>
        <w:t>in the following areas:</w:t>
      </w:r>
    </w:p>
    <w:p w:rsidR="00E06E3F" w:rsidRPr="00FB3DFF" w:rsidRDefault="00710360"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f</w:t>
      </w:r>
      <w:r w:rsidR="00E06E3F" w:rsidRPr="00FB3DFF">
        <w:rPr>
          <w:rFonts w:ascii="Century Gothic" w:hAnsi="Century Gothic" w:cs="Arial"/>
          <w:sz w:val="22"/>
          <w:szCs w:val="22"/>
        </w:rPr>
        <w:t>inancial systems for managing expenses</w:t>
      </w:r>
      <w:r w:rsidRPr="00FB3DFF">
        <w:rPr>
          <w:rFonts w:ascii="Century Gothic" w:hAnsi="Century Gothic" w:cs="Arial"/>
          <w:sz w:val="22"/>
          <w:szCs w:val="22"/>
        </w:rPr>
        <w:t>;</w:t>
      </w:r>
    </w:p>
    <w:p w:rsidR="00E06E3F" w:rsidRPr="00FB3DFF" w:rsidRDefault="00710360"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t</w:t>
      </w:r>
      <w:r w:rsidR="00E06E3F" w:rsidRPr="00FB3DFF">
        <w:rPr>
          <w:rFonts w:ascii="Century Gothic" w:hAnsi="Century Gothic" w:cs="Arial"/>
          <w:sz w:val="22"/>
          <w:szCs w:val="22"/>
        </w:rPr>
        <w:t xml:space="preserve">he holdings register and the </w:t>
      </w:r>
      <w:r w:rsidR="00482F6E" w:rsidRPr="00FB3DFF">
        <w:rPr>
          <w:rFonts w:ascii="Century Gothic" w:hAnsi="Century Gothic" w:cs="Arial"/>
          <w:sz w:val="22"/>
          <w:szCs w:val="22"/>
        </w:rPr>
        <w:t>S</w:t>
      </w:r>
      <w:r w:rsidR="00E06E3F" w:rsidRPr="00FB3DFF">
        <w:rPr>
          <w:rFonts w:ascii="Century Gothic" w:hAnsi="Century Gothic" w:cs="Arial"/>
          <w:sz w:val="22"/>
          <w:szCs w:val="22"/>
        </w:rPr>
        <w:t xml:space="preserve">pecial </w:t>
      </w:r>
      <w:r w:rsidR="00482F6E" w:rsidRPr="00FB3DFF">
        <w:rPr>
          <w:rFonts w:ascii="Century Gothic" w:hAnsi="Century Gothic" w:cs="Arial"/>
          <w:sz w:val="22"/>
          <w:szCs w:val="22"/>
        </w:rPr>
        <w:t>A</w:t>
      </w:r>
      <w:r w:rsidR="00E06E3F" w:rsidRPr="00FB3DFF">
        <w:rPr>
          <w:rFonts w:ascii="Century Gothic" w:hAnsi="Century Gothic" w:cs="Arial"/>
          <w:sz w:val="22"/>
          <w:szCs w:val="22"/>
        </w:rPr>
        <w:t>ccount</w:t>
      </w:r>
      <w:r w:rsidRPr="00FB3DFF">
        <w:rPr>
          <w:rFonts w:ascii="Century Gothic" w:hAnsi="Century Gothic" w:cs="Arial"/>
          <w:sz w:val="22"/>
          <w:szCs w:val="22"/>
        </w:rPr>
        <w:t>;</w:t>
      </w:r>
    </w:p>
    <w:p w:rsidR="00E06E3F" w:rsidRPr="00FB3DFF" w:rsidRDefault="00710360"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l</w:t>
      </w:r>
      <w:r w:rsidR="00E06E3F" w:rsidRPr="00FB3DFF">
        <w:rPr>
          <w:rFonts w:ascii="Century Gothic" w:hAnsi="Century Gothic" w:cs="Arial"/>
          <w:sz w:val="22"/>
          <w:szCs w:val="22"/>
        </w:rPr>
        <w:t xml:space="preserve">egal and technical advice on </w:t>
      </w:r>
      <w:r w:rsidR="006A05A7" w:rsidRPr="00FB3DFF">
        <w:rPr>
          <w:rFonts w:ascii="Century Gothic" w:hAnsi="Century Gothic" w:cs="Arial"/>
          <w:sz w:val="22"/>
          <w:szCs w:val="22"/>
        </w:rPr>
        <w:t>Commonwealth environmental water</w:t>
      </w:r>
      <w:r w:rsidR="00E06E3F" w:rsidRPr="00FB3DFF">
        <w:rPr>
          <w:rFonts w:ascii="Century Gothic" w:hAnsi="Century Gothic" w:cs="Arial"/>
          <w:sz w:val="22"/>
          <w:szCs w:val="22"/>
        </w:rPr>
        <w:t xml:space="preserve"> functions</w:t>
      </w:r>
      <w:r w:rsidRPr="00FB3DFF">
        <w:rPr>
          <w:rFonts w:ascii="Century Gothic" w:hAnsi="Century Gothic" w:cs="Arial"/>
          <w:sz w:val="22"/>
          <w:szCs w:val="22"/>
        </w:rPr>
        <w:t>; and</w:t>
      </w:r>
    </w:p>
    <w:p w:rsidR="00E06E3F" w:rsidRPr="00FB3DFF" w:rsidRDefault="00710360" w:rsidP="00FB3DFF">
      <w:pPr>
        <w:pStyle w:val="Bullet12"/>
        <w:tabs>
          <w:tab w:val="clear" w:pos="360"/>
          <w:tab w:val="clear" w:pos="1080"/>
          <w:tab w:val="left" w:pos="1134"/>
        </w:tabs>
        <w:ind w:left="1134"/>
        <w:rPr>
          <w:rFonts w:ascii="Century Gothic" w:hAnsi="Century Gothic" w:cs="Arial"/>
          <w:sz w:val="22"/>
          <w:szCs w:val="22"/>
        </w:rPr>
      </w:pPr>
      <w:r w:rsidRPr="00FB3DFF">
        <w:rPr>
          <w:rFonts w:ascii="Century Gothic" w:hAnsi="Century Gothic" w:cs="Arial"/>
          <w:sz w:val="22"/>
          <w:szCs w:val="22"/>
        </w:rPr>
        <w:t>t</w:t>
      </w:r>
      <w:r w:rsidR="00E06E3F" w:rsidRPr="00FB3DFF">
        <w:rPr>
          <w:rFonts w:ascii="Century Gothic" w:hAnsi="Century Gothic" w:cs="Arial"/>
          <w:sz w:val="22"/>
          <w:szCs w:val="22"/>
        </w:rPr>
        <w:t>he provision of funding for Departmental expenses</w:t>
      </w:r>
      <w:r w:rsidR="00DF36D4" w:rsidRPr="00FB3DFF">
        <w:rPr>
          <w:rFonts w:ascii="Century Gothic" w:hAnsi="Century Gothic" w:cs="Arial"/>
          <w:sz w:val="22"/>
          <w:szCs w:val="22"/>
        </w:rPr>
        <w:t>.</w:t>
      </w:r>
    </w:p>
    <w:p w:rsidR="00DF1E44" w:rsidRPr="00FB3DFF" w:rsidRDefault="00DF1E44" w:rsidP="00FB3DFF">
      <w:pPr>
        <w:spacing w:after="0"/>
        <w:ind w:left="0"/>
        <w:rPr>
          <w:rFonts w:ascii="Century Gothic" w:hAnsi="Century Gothic" w:cs="Arial"/>
          <w:sz w:val="22"/>
          <w:szCs w:val="22"/>
        </w:rPr>
      </w:pPr>
      <w:r w:rsidRPr="00FB3DFF">
        <w:rPr>
          <w:rFonts w:ascii="Century Gothic" w:hAnsi="Century Gothic" w:cs="Arial"/>
          <w:sz w:val="22"/>
          <w:szCs w:val="22"/>
        </w:rPr>
        <w:br w:type="page"/>
      </w:r>
    </w:p>
    <w:p w:rsidR="00E06E3F" w:rsidRPr="00FB3DFF" w:rsidRDefault="00982A83" w:rsidP="00FB3DFF">
      <w:pPr>
        <w:pStyle w:val="BPHeading3Left127cmFirstline0cm"/>
        <w:rPr>
          <w:rFonts w:ascii="Century Gothic" w:hAnsi="Century Gothic"/>
        </w:rPr>
      </w:pPr>
      <w:bookmarkStart w:id="124" w:name="_Toc333227721"/>
      <w:bookmarkStart w:id="125" w:name="_Toc371409460"/>
      <w:r w:rsidRPr="00FB3DFF">
        <w:rPr>
          <w:rFonts w:ascii="Century Gothic" w:hAnsi="Century Gothic"/>
        </w:rPr>
        <w:t>4</w:t>
      </w:r>
      <w:r w:rsidR="00570BAE" w:rsidRPr="00FB3DFF">
        <w:rPr>
          <w:rFonts w:ascii="Century Gothic" w:hAnsi="Century Gothic"/>
        </w:rPr>
        <w:t>.1.1</w:t>
      </w:r>
      <w:r w:rsidR="00570BAE" w:rsidRPr="00FB3DFF">
        <w:rPr>
          <w:rFonts w:ascii="Century Gothic" w:hAnsi="Century Gothic"/>
        </w:rPr>
        <w:tab/>
      </w:r>
      <w:r w:rsidR="00E06E3F" w:rsidRPr="00FB3DFF">
        <w:rPr>
          <w:rFonts w:ascii="Century Gothic" w:hAnsi="Century Gothic"/>
        </w:rPr>
        <w:t>The Environmental Water Holdings Special Account</w:t>
      </w:r>
      <w:bookmarkEnd w:id="124"/>
      <w:bookmarkEnd w:id="125"/>
    </w:p>
    <w:p w:rsidR="004A4102" w:rsidRPr="00FB3DFF" w:rsidRDefault="004A4102" w:rsidP="00FB3DFF">
      <w:pPr>
        <w:rPr>
          <w:rFonts w:ascii="Century Gothic" w:hAnsi="Century Gothic" w:cs="Arial"/>
          <w:sz w:val="22"/>
          <w:szCs w:val="22"/>
        </w:rPr>
      </w:pPr>
      <w:r w:rsidRPr="00FB3DFF">
        <w:rPr>
          <w:rFonts w:ascii="Century Gothic" w:hAnsi="Century Gothic" w:cs="Arial"/>
          <w:sz w:val="22"/>
          <w:szCs w:val="22"/>
        </w:rPr>
        <w:t xml:space="preserve">The Environmental Water Holdings Special Account (the Special Account) is established under s. 111 of the Act and administered in accordance with the Act and Part 4 of the </w:t>
      </w:r>
      <w:r w:rsidRPr="00FB3DFF">
        <w:rPr>
          <w:rFonts w:ascii="Century Gothic" w:hAnsi="Century Gothic" w:cs="Arial"/>
          <w:i/>
          <w:sz w:val="22"/>
          <w:szCs w:val="22"/>
        </w:rPr>
        <w:t>Financial Management and Accountability Act 1997</w:t>
      </w:r>
      <w:r w:rsidRPr="00FB3DFF">
        <w:rPr>
          <w:rFonts w:ascii="Century Gothic" w:hAnsi="Century Gothic" w:cs="Arial"/>
          <w:sz w:val="22"/>
          <w:szCs w:val="22"/>
        </w:rPr>
        <w:t xml:space="preserve"> (Cth). Entitlements in the holdings are administered assets and liabilities of the Department. </w:t>
      </w:r>
    </w:p>
    <w:p w:rsidR="004A4102" w:rsidRPr="00FB3DFF" w:rsidRDefault="004A4102"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Special Account will be used to pay for: </w:t>
      </w:r>
    </w:p>
    <w:p w:rsidR="004A4102" w:rsidRPr="00FB3DFF" w:rsidRDefault="004A4102"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rates and charges;</w:t>
      </w:r>
    </w:p>
    <w:p w:rsidR="004A4102" w:rsidRPr="00FB3DFF" w:rsidRDefault="004A4102"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pumping;</w:t>
      </w:r>
    </w:p>
    <w:p w:rsidR="004A4102" w:rsidRPr="00FB3DFF" w:rsidRDefault="004A4102"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monitoring and evaluation;</w:t>
      </w:r>
    </w:p>
    <w:p w:rsidR="004A4102" w:rsidRPr="00FB3DFF" w:rsidRDefault="004A4102"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works and measures; and</w:t>
      </w:r>
    </w:p>
    <w:p w:rsidR="004A4102" w:rsidRPr="00FB3DFF" w:rsidRDefault="004A4102"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development of environmental registers and systems.</w:t>
      </w:r>
    </w:p>
    <w:p w:rsidR="00E06E3F" w:rsidRPr="00FB3DFF" w:rsidRDefault="00A44F09"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Act specifies that the </w:t>
      </w:r>
      <w:r w:rsidR="00E47AE3">
        <w:rPr>
          <w:rFonts w:ascii="Century Gothic" w:hAnsi="Century Gothic"/>
          <w:sz w:val="22"/>
          <w:szCs w:val="22"/>
        </w:rPr>
        <w:t>CEWH</w:t>
      </w:r>
      <w:r w:rsidR="00FE7A0F" w:rsidRPr="00FB3DFF">
        <w:rPr>
          <w:rFonts w:ascii="Century Gothic" w:hAnsi="Century Gothic"/>
          <w:sz w:val="22"/>
          <w:szCs w:val="22"/>
        </w:rPr>
        <w:t xml:space="preserve"> </w:t>
      </w:r>
      <w:r w:rsidRPr="00FB3DFF">
        <w:rPr>
          <w:rFonts w:ascii="Century Gothic" w:hAnsi="Century Gothic"/>
          <w:sz w:val="22"/>
          <w:szCs w:val="22"/>
        </w:rPr>
        <w:t xml:space="preserve">is to administer the Special Account on behalf of the Commonwealth. The </w:t>
      </w:r>
      <w:r w:rsidR="00E47AE3">
        <w:rPr>
          <w:rFonts w:ascii="Century Gothic" w:hAnsi="Century Gothic"/>
          <w:sz w:val="22"/>
          <w:szCs w:val="22"/>
        </w:rPr>
        <w:t>CEWH</w:t>
      </w:r>
      <w:r w:rsidR="00FE7A0F" w:rsidRPr="00FB3DFF">
        <w:rPr>
          <w:rFonts w:ascii="Century Gothic" w:hAnsi="Century Gothic"/>
          <w:sz w:val="22"/>
          <w:szCs w:val="22"/>
        </w:rPr>
        <w:t xml:space="preserve"> </w:t>
      </w:r>
      <w:r w:rsidRPr="00FB3DFF">
        <w:rPr>
          <w:rFonts w:ascii="Century Gothic" w:hAnsi="Century Gothic"/>
          <w:sz w:val="22"/>
          <w:szCs w:val="22"/>
        </w:rPr>
        <w:t xml:space="preserve">may delegate some or all of this administration to a Senior Executive Officer in accordance with s. 117 of the Act. </w:t>
      </w:r>
    </w:p>
    <w:p w:rsidR="00E06E3F" w:rsidRPr="00FB3DFF" w:rsidRDefault="00A44F09" w:rsidP="00FB3DFF">
      <w:pPr>
        <w:pStyle w:val="Normalbeforebullet"/>
        <w:spacing w:after="240"/>
        <w:rPr>
          <w:rFonts w:ascii="Century Gothic" w:hAnsi="Century Gothic" w:cs="Arial"/>
          <w:sz w:val="22"/>
          <w:szCs w:val="22"/>
        </w:rPr>
      </w:pPr>
      <w:r w:rsidRPr="00FB3DFF">
        <w:rPr>
          <w:rFonts w:ascii="Century Gothic" w:hAnsi="Century Gothic" w:cs="Arial"/>
          <w:sz w:val="22"/>
          <w:szCs w:val="22"/>
        </w:rPr>
        <w:t>Section 112 of the Act specifies the allowable credits, which are:</w:t>
      </w:r>
    </w:p>
    <w:p w:rsidR="00E06E3F" w:rsidRPr="00FB3DFF" w:rsidRDefault="00A44F09"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appropriations for the Special Account</w:t>
      </w:r>
      <w:r w:rsidR="00FE7A0F" w:rsidRPr="00FB3DFF">
        <w:rPr>
          <w:rFonts w:ascii="Century Gothic" w:hAnsi="Century Gothic" w:cs="Arial"/>
          <w:sz w:val="22"/>
          <w:szCs w:val="22"/>
        </w:rPr>
        <w:t>;</w:t>
      </w:r>
    </w:p>
    <w:p w:rsidR="00E06E3F" w:rsidRPr="00FB3DFF" w:rsidRDefault="00A44F09"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 xml:space="preserve">amounts received by the Commonwealth in the performance of the </w:t>
      </w:r>
      <w:r w:rsidR="00E47AE3">
        <w:rPr>
          <w:rFonts w:ascii="Century Gothic" w:hAnsi="Century Gothic" w:cs="Arial"/>
          <w:sz w:val="22"/>
          <w:szCs w:val="22"/>
        </w:rPr>
        <w:t>CEWH</w:t>
      </w:r>
      <w:r w:rsidR="00FE7A0F" w:rsidRPr="00FB3DFF">
        <w:rPr>
          <w:rFonts w:ascii="Century Gothic" w:hAnsi="Century Gothic" w:cs="Arial"/>
          <w:sz w:val="22"/>
          <w:szCs w:val="22"/>
        </w:rPr>
        <w:t xml:space="preserve">’s </w:t>
      </w:r>
      <w:r w:rsidRPr="00FB3DFF">
        <w:rPr>
          <w:rFonts w:ascii="Century Gothic" w:hAnsi="Century Gothic" w:cs="Arial"/>
          <w:sz w:val="22"/>
          <w:szCs w:val="22"/>
        </w:rPr>
        <w:t>functions</w:t>
      </w:r>
      <w:r w:rsidR="00FE7A0F" w:rsidRPr="00FB3DFF">
        <w:rPr>
          <w:rFonts w:ascii="Century Gothic" w:hAnsi="Century Gothic" w:cs="Arial"/>
          <w:sz w:val="22"/>
          <w:szCs w:val="22"/>
        </w:rPr>
        <w:t>;</w:t>
      </w:r>
    </w:p>
    <w:p w:rsidR="00E06E3F" w:rsidRPr="00FB3DFF" w:rsidRDefault="00A44F09"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amounts received from Basin states</w:t>
      </w:r>
      <w:r w:rsidR="00FE7A0F" w:rsidRPr="00FB3DFF">
        <w:rPr>
          <w:rFonts w:ascii="Century Gothic" w:hAnsi="Century Gothic" w:cs="Arial"/>
          <w:sz w:val="22"/>
          <w:szCs w:val="22"/>
        </w:rPr>
        <w:t>;</w:t>
      </w:r>
    </w:p>
    <w:p w:rsidR="00E06E3F" w:rsidRPr="00FB3DFF" w:rsidRDefault="0025335D" w:rsidP="00FB3DFF">
      <w:pPr>
        <w:pStyle w:val="Bullet6"/>
        <w:tabs>
          <w:tab w:val="clear" w:pos="360"/>
          <w:tab w:val="clear" w:pos="1080"/>
          <w:tab w:val="left" w:pos="1134"/>
        </w:tabs>
        <w:spacing w:after="240"/>
        <w:ind w:left="1134"/>
        <w:rPr>
          <w:rFonts w:ascii="Century Gothic" w:hAnsi="Century Gothic" w:cs="Arial"/>
          <w:sz w:val="22"/>
          <w:szCs w:val="22"/>
        </w:rPr>
      </w:pPr>
      <w:r w:rsidRPr="00FB3DFF">
        <w:rPr>
          <w:rFonts w:ascii="Century Gothic" w:hAnsi="Century Gothic" w:cs="Arial"/>
          <w:sz w:val="22"/>
          <w:szCs w:val="22"/>
        </w:rPr>
        <w:t xml:space="preserve">amounts received from the sale of property paid for from the </w:t>
      </w:r>
      <w:r w:rsidR="00F97270" w:rsidRPr="00FB3DFF">
        <w:rPr>
          <w:rFonts w:ascii="Century Gothic" w:hAnsi="Century Gothic" w:cs="Arial"/>
          <w:sz w:val="22"/>
          <w:szCs w:val="22"/>
        </w:rPr>
        <w:t>S</w:t>
      </w:r>
      <w:r w:rsidRPr="00FB3DFF">
        <w:rPr>
          <w:rFonts w:ascii="Century Gothic" w:hAnsi="Century Gothic" w:cs="Arial"/>
          <w:sz w:val="22"/>
          <w:szCs w:val="22"/>
        </w:rPr>
        <w:t xml:space="preserve">pecial </w:t>
      </w:r>
      <w:r w:rsidR="00F97270" w:rsidRPr="00FB3DFF">
        <w:rPr>
          <w:rFonts w:ascii="Century Gothic" w:hAnsi="Century Gothic" w:cs="Arial"/>
          <w:sz w:val="22"/>
          <w:szCs w:val="22"/>
        </w:rPr>
        <w:t>A</w:t>
      </w:r>
      <w:r w:rsidRPr="00FB3DFF">
        <w:rPr>
          <w:rFonts w:ascii="Century Gothic" w:hAnsi="Century Gothic" w:cs="Arial"/>
          <w:sz w:val="22"/>
          <w:szCs w:val="22"/>
        </w:rPr>
        <w:t>ccount</w:t>
      </w:r>
      <w:r w:rsidR="00FE7A0F" w:rsidRPr="00FB3DFF">
        <w:rPr>
          <w:rFonts w:ascii="Century Gothic" w:hAnsi="Century Gothic" w:cs="Arial"/>
          <w:sz w:val="22"/>
          <w:szCs w:val="22"/>
        </w:rPr>
        <w:t>; or</w:t>
      </w:r>
    </w:p>
    <w:p w:rsidR="00E06E3F" w:rsidRPr="00FB3DFF" w:rsidRDefault="0025335D" w:rsidP="00FB3DFF">
      <w:pPr>
        <w:pStyle w:val="Bullet12"/>
        <w:tabs>
          <w:tab w:val="clear" w:pos="360"/>
          <w:tab w:val="clear" w:pos="1080"/>
          <w:tab w:val="left" w:pos="1134"/>
        </w:tabs>
        <w:ind w:left="1134"/>
        <w:rPr>
          <w:rFonts w:ascii="Century Gothic" w:hAnsi="Century Gothic" w:cs="Arial"/>
          <w:sz w:val="22"/>
          <w:szCs w:val="22"/>
        </w:rPr>
      </w:pPr>
      <w:r w:rsidRPr="00FB3DFF">
        <w:rPr>
          <w:rFonts w:ascii="Century Gothic" w:hAnsi="Century Gothic" w:cs="Arial"/>
          <w:sz w:val="22"/>
          <w:szCs w:val="22"/>
        </w:rPr>
        <w:t xml:space="preserve">donations. </w:t>
      </w:r>
    </w:p>
    <w:p w:rsidR="00E06E3F" w:rsidRPr="00FB3DFF" w:rsidRDefault="00A44F09" w:rsidP="00FB3DFF">
      <w:pPr>
        <w:pStyle w:val="BPBodyTextArialJustified"/>
        <w:jc w:val="left"/>
        <w:rPr>
          <w:rFonts w:ascii="Century Gothic" w:hAnsi="Century Gothic"/>
          <w:sz w:val="22"/>
          <w:szCs w:val="22"/>
        </w:rPr>
      </w:pPr>
      <w:r w:rsidRPr="00FB3DFF">
        <w:rPr>
          <w:rFonts w:ascii="Century Gothic" w:hAnsi="Century Gothic"/>
          <w:sz w:val="22"/>
          <w:szCs w:val="22"/>
        </w:rPr>
        <w:t xml:space="preserve">The Act requires the </w:t>
      </w:r>
      <w:r w:rsidR="00E47AE3">
        <w:rPr>
          <w:rFonts w:ascii="Century Gothic" w:hAnsi="Century Gothic"/>
          <w:sz w:val="22"/>
          <w:szCs w:val="22"/>
        </w:rPr>
        <w:t>CEWH</w:t>
      </w:r>
      <w:r w:rsidR="00A3795E" w:rsidRPr="00FB3DFF">
        <w:rPr>
          <w:rFonts w:ascii="Century Gothic" w:hAnsi="Century Gothic"/>
          <w:sz w:val="22"/>
          <w:szCs w:val="22"/>
        </w:rPr>
        <w:t xml:space="preserve"> </w:t>
      </w:r>
      <w:r w:rsidRPr="00FB3DFF">
        <w:rPr>
          <w:rFonts w:ascii="Century Gothic" w:hAnsi="Century Gothic"/>
          <w:sz w:val="22"/>
          <w:szCs w:val="22"/>
        </w:rPr>
        <w:t xml:space="preserve">to report annually on the management of the </w:t>
      </w:r>
      <w:r w:rsidR="00524392" w:rsidRPr="00FB3DFF">
        <w:rPr>
          <w:rFonts w:ascii="Century Gothic" w:hAnsi="Century Gothic"/>
          <w:sz w:val="22"/>
          <w:szCs w:val="22"/>
        </w:rPr>
        <w:t>S</w:t>
      </w:r>
      <w:r w:rsidRPr="00FB3DFF">
        <w:rPr>
          <w:rFonts w:ascii="Century Gothic" w:hAnsi="Century Gothic"/>
          <w:sz w:val="22"/>
          <w:szCs w:val="22"/>
        </w:rPr>
        <w:t xml:space="preserve">pecial </w:t>
      </w:r>
      <w:r w:rsidR="00524392" w:rsidRPr="00FB3DFF">
        <w:rPr>
          <w:rFonts w:ascii="Century Gothic" w:hAnsi="Century Gothic"/>
          <w:sz w:val="22"/>
          <w:szCs w:val="22"/>
        </w:rPr>
        <w:t>A</w:t>
      </w:r>
      <w:r w:rsidRPr="00FB3DFF">
        <w:rPr>
          <w:rFonts w:ascii="Century Gothic" w:hAnsi="Century Gothic"/>
          <w:sz w:val="22"/>
          <w:szCs w:val="22"/>
        </w:rPr>
        <w:t>ccount. Th</w:t>
      </w:r>
      <w:r w:rsidR="006A05A7" w:rsidRPr="00FB3DFF">
        <w:rPr>
          <w:rFonts w:ascii="Century Gothic" w:hAnsi="Century Gothic"/>
          <w:sz w:val="22"/>
          <w:szCs w:val="22"/>
        </w:rPr>
        <w:t>is will be</w:t>
      </w:r>
      <w:r w:rsidRPr="00FB3DFF">
        <w:rPr>
          <w:rFonts w:ascii="Century Gothic" w:hAnsi="Century Gothic"/>
          <w:sz w:val="22"/>
          <w:szCs w:val="22"/>
        </w:rPr>
        <w:t xml:space="preserve"> undertake</w:t>
      </w:r>
      <w:r w:rsidR="006A05A7" w:rsidRPr="00FB3DFF">
        <w:rPr>
          <w:rFonts w:ascii="Century Gothic" w:hAnsi="Century Gothic"/>
          <w:sz w:val="22"/>
          <w:szCs w:val="22"/>
        </w:rPr>
        <w:t>n</w:t>
      </w:r>
      <w:r w:rsidRPr="00FB3DFF">
        <w:rPr>
          <w:rFonts w:ascii="Century Gothic" w:hAnsi="Century Gothic"/>
          <w:sz w:val="22"/>
          <w:szCs w:val="22"/>
        </w:rPr>
        <w:t xml:space="preserve"> in conjunction with the Department, which is required to report on the </w:t>
      </w:r>
      <w:r w:rsidR="00524392" w:rsidRPr="00FB3DFF">
        <w:rPr>
          <w:rFonts w:ascii="Century Gothic" w:hAnsi="Century Gothic"/>
          <w:sz w:val="22"/>
          <w:szCs w:val="22"/>
        </w:rPr>
        <w:t>S</w:t>
      </w:r>
      <w:r w:rsidRPr="00FB3DFF">
        <w:rPr>
          <w:rFonts w:ascii="Century Gothic" w:hAnsi="Century Gothic"/>
          <w:sz w:val="22"/>
          <w:szCs w:val="22"/>
        </w:rPr>
        <w:t xml:space="preserve">pecial </w:t>
      </w:r>
      <w:r w:rsidR="00524392" w:rsidRPr="00FB3DFF">
        <w:rPr>
          <w:rFonts w:ascii="Century Gothic" w:hAnsi="Century Gothic"/>
          <w:sz w:val="22"/>
          <w:szCs w:val="22"/>
        </w:rPr>
        <w:t>A</w:t>
      </w:r>
      <w:r w:rsidRPr="00FB3DFF">
        <w:rPr>
          <w:rFonts w:ascii="Century Gothic" w:hAnsi="Century Gothic"/>
          <w:sz w:val="22"/>
          <w:szCs w:val="22"/>
        </w:rPr>
        <w:t xml:space="preserve">ccount in its financial statements. </w:t>
      </w:r>
    </w:p>
    <w:p w:rsidR="00E06E3F" w:rsidRDefault="00A44F09" w:rsidP="00FB3DFF">
      <w:pPr>
        <w:pStyle w:val="BPBodyTextArialJustified"/>
        <w:jc w:val="left"/>
        <w:rPr>
          <w:rFonts w:ascii="Century Gothic" w:hAnsi="Century Gothic"/>
          <w:sz w:val="22"/>
          <w:szCs w:val="22"/>
        </w:rPr>
      </w:pPr>
      <w:r w:rsidRPr="00FB3DFF">
        <w:rPr>
          <w:rFonts w:ascii="Century Gothic" w:hAnsi="Century Gothic"/>
          <w:sz w:val="22"/>
          <w:szCs w:val="22"/>
        </w:rPr>
        <w:t>The Special Account is audited as part of the audit of the Department’s financial statements.</w:t>
      </w:r>
    </w:p>
    <w:p w:rsidR="00E47AE3" w:rsidRDefault="00E47AE3">
      <w:pPr>
        <w:spacing w:after="0"/>
        <w:ind w:left="0"/>
        <w:rPr>
          <w:rFonts w:ascii="Century Gothic" w:hAnsi="Century Gothic"/>
          <w:sz w:val="22"/>
          <w:szCs w:val="22"/>
        </w:rPr>
      </w:pPr>
      <w:r>
        <w:rPr>
          <w:rFonts w:ascii="Century Gothic" w:hAnsi="Century Gothic"/>
          <w:sz w:val="22"/>
          <w:szCs w:val="22"/>
        </w:rPr>
        <w:br w:type="page"/>
      </w:r>
    </w:p>
    <w:p w:rsidR="00DD470C" w:rsidRPr="00FB3DFF" w:rsidRDefault="00982A83" w:rsidP="00FB3DFF">
      <w:pPr>
        <w:pStyle w:val="BPHeading2Left063cmFirstline063cm"/>
        <w:rPr>
          <w:rFonts w:ascii="Century Gothic" w:hAnsi="Century Gothic"/>
        </w:rPr>
      </w:pPr>
      <w:bookmarkStart w:id="126" w:name="_Toc305509792"/>
      <w:bookmarkStart w:id="127" w:name="_Toc303331164"/>
      <w:bookmarkStart w:id="128" w:name="_Toc333227723"/>
      <w:bookmarkStart w:id="129" w:name="_Toc371409461"/>
      <w:bookmarkEnd w:id="126"/>
      <w:bookmarkEnd w:id="127"/>
      <w:r w:rsidRPr="00FB3DFF">
        <w:rPr>
          <w:rFonts w:ascii="Century Gothic" w:hAnsi="Century Gothic"/>
        </w:rPr>
        <w:t>4</w:t>
      </w:r>
      <w:r w:rsidR="00A12AF2" w:rsidRPr="00FB3DFF">
        <w:rPr>
          <w:rFonts w:ascii="Century Gothic" w:hAnsi="Century Gothic"/>
        </w:rPr>
        <w:t>.2</w:t>
      </w:r>
      <w:r w:rsidR="00FC49AF" w:rsidRPr="00FB3DFF">
        <w:rPr>
          <w:rFonts w:ascii="Century Gothic" w:hAnsi="Century Gothic"/>
        </w:rPr>
        <w:tab/>
      </w:r>
      <w:r w:rsidR="00DD470C" w:rsidRPr="00FB3DFF">
        <w:rPr>
          <w:rFonts w:ascii="Century Gothic" w:hAnsi="Century Gothic"/>
        </w:rPr>
        <w:t xml:space="preserve">The </w:t>
      </w:r>
      <w:r w:rsidR="00E47AE3">
        <w:rPr>
          <w:rFonts w:ascii="Century Gothic" w:hAnsi="Century Gothic"/>
        </w:rPr>
        <w:t xml:space="preserve">Commonwealth environmental water </w:t>
      </w:r>
      <w:r w:rsidR="00DD470C" w:rsidRPr="00FB3DFF">
        <w:rPr>
          <w:rFonts w:ascii="Century Gothic" w:hAnsi="Century Gothic"/>
        </w:rPr>
        <w:t>annual report</w:t>
      </w:r>
      <w:bookmarkEnd w:id="128"/>
      <w:bookmarkEnd w:id="129"/>
    </w:p>
    <w:p w:rsidR="00E47AE3" w:rsidRDefault="00DD470C" w:rsidP="00E47AE3">
      <w:pPr>
        <w:pStyle w:val="BPBodyTextArialJustified"/>
        <w:jc w:val="left"/>
        <w:rPr>
          <w:rFonts w:ascii="Century Gothic" w:hAnsi="Century Gothic" w:cs="Arial"/>
          <w:sz w:val="22"/>
          <w:szCs w:val="22"/>
        </w:rPr>
      </w:pPr>
      <w:r w:rsidRPr="00FB3DFF">
        <w:rPr>
          <w:rFonts w:ascii="Century Gothic" w:hAnsi="Century Gothic"/>
          <w:sz w:val="22"/>
          <w:szCs w:val="22"/>
        </w:rPr>
        <w:t xml:space="preserve">The </w:t>
      </w:r>
      <w:r w:rsidR="00E47AE3">
        <w:rPr>
          <w:rFonts w:ascii="Century Gothic" w:hAnsi="Century Gothic"/>
          <w:sz w:val="22"/>
          <w:szCs w:val="22"/>
        </w:rPr>
        <w:t>CEWH</w:t>
      </w:r>
      <w:r w:rsidR="00731EFE" w:rsidRPr="00FB3DFF">
        <w:rPr>
          <w:rFonts w:ascii="Century Gothic" w:hAnsi="Century Gothic"/>
          <w:sz w:val="22"/>
          <w:szCs w:val="22"/>
        </w:rPr>
        <w:t xml:space="preserve"> </w:t>
      </w:r>
      <w:r w:rsidRPr="00FB3DFF">
        <w:rPr>
          <w:rFonts w:ascii="Century Gothic" w:hAnsi="Century Gothic"/>
          <w:sz w:val="22"/>
          <w:szCs w:val="22"/>
        </w:rPr>
        <w:t>is required to provide the Minister with an annual report as soon as practicable following 30 June of each year</w:t>
      </w:r>
      <w:r w:rsidR="00731EFE" w:rsidRPr="00FB3DFF">
        <w:rPr>
          <w:rFonts w:ascii="Century Gothic" w:hAnsi="Century Gothic"/>
          <w:sz w:val="22"/>
          <w:szCs w:val="22"/>
        </w:rPr>
        <w:t xml:space="preserve"> (</w:t>
      </w:r>
      <w:r w:rsidRPr="00FB3DFF">
        <w:rPr>
          <w:rFonts w:ascii="Century Gothic" w:hAnsi="Century Gothic"/>
          <w:sz w:val="22"/>
          <w:szCs w:val="22"/>
        </w:rPr>
        <w:t>s. 114(1)</w:t>
      </w:r>
      <w:r w:rsidR="00731EFE" w:rsidRPr="00FB3DFF">
        <w:rPr>
          <w:rFonts w:ascii="Century Gothic" w:hAnsi="Century Gothic"/>
          <w:sz w:val="22"/>
          <w:szCs w:val="22"/>
        </w:rPr>
        <w:t>)</w:t>
      </w:r>
      <w:r w:rsidRPr="00FB3DFF">
        <w:rPr>
          <w:rFonts w:ascii="Century Gothic" w:hAnsi="Century Gothic"/>
          <w:sz w:val="22"/>
          <w:szCs w:val="22"/>
        </w:rPr>
        <w:t xml:space="preserve">. The annual report must provide information on achievements against the objectives of the environmental watering plan, management of the </w:t>
      </w:r>
      <w:r w:rsidR="00524392" w:rsidRPr="00FB3DFF">
        <w:rPr>
          <w:rFonts w:ascii="Century Gothic" w:hAnsi="Century Gothic"/>
          <w:sz w:val="22"/>
          <w:szCs w:val="22"/>
        </w:rPr>
        <w:t>S</w:t>
      </w:r>
      <w:r w:rsidRPr="00FB3DFF">
        <w:rPr>
          <w:rFonts w:ascii="Century Gothic" w:hAnsi="Century Gothic"/>
          <w:sz w:val="22"/>
          <w:szCs w:val="22"/>
        </w:rPr>
        <w:t xml:space="preserve">pecial </w:t>
      </w:r>
      <w:r w:rsidR="00524392" w:rsidRPr="00FB3DFF">
        <w:rPr>
          <w:rFonts w:ascii="Century Gothic" w:hAnsi="Century Gothic"/>
          <w:sz w:val="22"/>
          <w:szCs w:val="22"/>
        </w:rPr>
        <w:t>A</w:t>
      </w:r>
      <w:r w:rsidRPr="00FB3DFF">
        <w:rPr>
          <w:rFonts w:ascii="Century Gothic" w:hAnsi="Century Gothic"/>
          <w:sz w:val="22"/>
          <w:szCs w:val="22"/>
        </w:rPr>
        <w:t xml:space="preserve">ccount, and any directions that the Minister and the Secretary have given to the </w:t>
      </w:r>
      <w:r w:rsidR="00E47AE3">
        <w:rPr>
          <w:rFonts w:ascii="Century Gothic" w:hAnsi="Century Gothic"/>
          <w:sz w:val="22"/>
          <w:szCs w:val="22"/>
        </w:rPr>
        <w:t>CEWH</w:t>
      </w:r>
      <w:r w:rsidR="00904F05" w:rsidRPr="00FB3DFF">
        <w:rPr>
          <w:rFonts w:ascii="Century Gothic" w:hAnsi="Century Gothic"/>
          <w:sz w:val="22"/>
          <w:szCs w:val="22"/>
        </w:rPr>
        <w:t xml:space="preserve"> </w:t>
      </w:r>
      <w:r w:rsidR="00C014FD" w:rsidRPr="00FB3DFF">
        <w:rPr>
          <w:rFonts w:ascii="Century Gothic" w:hAnsi="Century Gothic"/>
          <w:sz w:val="22"/>
          <w:szCs w:val="22"/>
        </w:rPr>
        <w:t>(</w:t>
      </w:r>
      <w:r w:rsidRPr="00FB3DFF">
        <w:rPr>
          <w:rFonts w:ascii="Century Gothic" w:hAnsi="Century Gothic"/>
          <w:sz w:val="22"/>
          <w:szCs w:val="22"/>
        </w:rPr>
        <w:t>s. 114(2)</w:t>
      </w:r>
      <w:r w:rsidR="00C014FD" w:rsidRPr="00FB3DFF">
        <w:rPr>
          <w:rFonts w:ascii="Century Gothic" w:hAnsi="Century Gothic"/>
          <w:sz w:val="22"/>
          <w:szCs w:val="22"/>
        </w:rPr>
        <w:t>)</w:t>
      </w:r>
      <w:r w:rsidRPr="00FB3DFF">
        <w:rPr>
          <w:rFonts w:ascii="Century Gothic" w:hAnsi="Century Gothic"/>
          <w:sz w:val="22"/>
          <w:szCs w:val="22"/>
        </w:rPr>
        <w:t xml:space="preserve">. </w:t>
      </w:r>
      <w:r w:rsidRPr="00FB3DFF">
        <w:rPr>
          <w:rFonts w:ascii="Century Gothic" w:hAnsi="Century Gothic" w:cs="Arial"/>
          <w:sz w:val="22"/>
          <w:szCs w:val="22"/>
        </w:rPr>
        <w:t xml:space="preserve">The </w:t>
      </w:r>
      <w:r w:rsidR="00E47AE3">
        <w:rPr>
          <w:rFonts w:ascii="Century Gothic" w:hAnsi="Century Gothic" w:cs="Arial"/>
          <w:sz w:val="22"/>
          <w:szCs w:val="22"/>
        </w:rPr>
        <w:t xml:space="preserve">Commonwealth environmental water </w:t>
      </w:r>
      <w:r w:rsidRPr="00FB3DFF">
        <w:rPr>
          <w:rFonts w:ascii="Century Gothic" w:hAnsi="Century Gothic" w:cs="Arial"/>
          <w:sz w:val="22"/>
          <w:szCs w:val="22"/>
        </w:rPr>
        <w:t xml:space="preserve">annual report is published in the Department’s annual report in accordance with the </w:t>
      </w:r>
      <w:r w:rsidRPr="00FB3DFF">
        <w:rPr>
          <w:rFonts w:ascii="Century Gothic" w:hAnsi="Century Gothic" w:cs="Arial"/>
          <w:i/>
          <w:sz w:val="22"/>
          <w:szCs w:val="22"/>
        </w:rPr>
        <w:t>Public Service Act 1999</w:t>
      </w:r>
      <w:r w:rsidRPr="00FB3DFF">
        <w:rPr>
          <w:rFonts w:ascii="Century Gothic" w:hAnsi="Century Gothic" w:cs="Arial"/>
          <w:sz w:val="22"/>
          <w:szCs w:val="22"/>
        </w:rPr>
        <w:t xml:space="preserve"> (Cth).  </w:t>
      </w:r>
    </w:p>
    <w:p w:rsidR="00DD470C" w:rsidRPr="00FB3DFF" w:rsidRDefault="00982A83" w:rsidP="00FB3DFF">
      <w:pPr>
        <w:pStyle w:val="BPHeading2Left063cmFirstline063cm"/>
        <w:rPr>
          <w:rFonts w:ascii="Century Gothic" w:hAnsi="Century Gothic"/>
        </w:rPr>
      </w:pPr>
      <w:bookmarkStart w:id="130" w:name="_Toc333227724"/>
      <w:bookmarkStart w:id="131" w:name="_Toc371409462"/>
      <w:r w:rsidRPr="00FB3DFF">
        <w:rPr>
          <w:rFonts w:ascii="Century Gothic" w:hAnsi="Century Gothic"/>
        </w:rPr>
        <w:t>4</w:t>
      </w:r>
      <w:r w:rsidR="00A12AF2" w:rsidRPr="00FB3DFF">
        <w:rPr>
          <w:rFonts w:ascii="Century Gothic" w:hAnsi="Century Gothic"/>
        </w:rPr>
        <w:t>.3</w:t>
      </w:r>
      <w:r w:rsidR="00FC49AF" w:rsidRPr="00FB3DFF">
        <w:rPr>
          <w:rFonts w:ascii="Century Gothic" w:hAnsi="Century Gothic"/>
        </w:rPr>
        <w:tab/>
      </w:r>
      <w:r w:rsidR="00AC500D" w:rsidRPr="00FB3DFF">
        <w:rPr>
          <w:rFonts w:ascii="Century Gothic" w:hAnsi="Century Gothic"/>
        </w:rPr>
        <w:t>Risk management</w:t>
      </w:r>
      <w:bookmarkEnd w:id="130"/>
      <w:bookmarkEnd w:id="131"/>
      <w:r w:rsidR="005E79AC" w:rsidRPr="00FB3DFF">
        <w:rPr>
          <w:rFonts w:ascii="Century Gothic" w:hAnsi="Century Gothic"/>
        </w:rPr>
        <w:t xml:space="preserve"> </w:t>
      </w:r>
    </w:p>
    <w:p w:rsidR="008A2643" w:rsidRPr="00FB3DFF" w:rsidRDefault="008A2643" w:rsidP="00FB3DFF">
      <w:pPr>
        <w:rPr>
          <w:rFonts w:ascii="Century Gothic" w:hAnsi="Century Gothic" w:cs="Arial"/>
          <w:sz w:val="22"/>
          <w:szCs w:val="22"/>
        </w:rPr>
      </w:pPr>
      <w:bookmarkStart w:id="132" w:name="_Toc303331185"/>
      <w:bookmarkEnd w:id="132"/>
      <w:r w:rsidRPr="00FB3DFF">
        <w:rPr>
          <w:rFonts w:ascii="Century Gothic" w:hAnsi="Century Gothic" w:cs="Arial"/>
          <w:sz w:val="22"/>
          <w:szCs w:val="22"/>
        </w:rPr>
        <w:t>The development and implementation of risk management approaches are important in supporting good governance in decision-making across the range of Commonwealth environmental watering activities. Managing the risks associated with the Commonwealth watering activities helps to ensure that:</w:t>
      </w:r>
    </w:p>
    <w:p w:rsidR="008A2643" w:rsidRPr="00FB3DFF" w:rsidRDefault="008A2643" w:rsidP="00FB3DFF">
      <w:pPr>
        <w:pStyle w:val="ListBullet"/>
        <w:rPr>
          <w:rFonts w:ascii="Century Gothic" w:hAnsi="Century Gothic"/>
        </w:rPr>
      </w:pPr>
      <w:r w:rsidRPr="00FB3DFF">
        <w:rPr>
          <w:rFonts w:ascii="Century Gothic" w:hAnsi="Century Gothic"/>
        </w:rPr>
        <w:t>there are minimum unintended impacts;</w:t>
      </w:r>
    </w:p>
    <w:p w:rsidR="008A2643" w:rsidRPr="00FB3DFF" w:rsidRDefault="008A2643" w:rsidP="00FB3DFF">
      <w:pPr>
        <w:pStyle w:val="ListBullet"/>
        <w:rPr>
          <w:rFonts w:ascii="Century Gothic" w:hAnsi="Century Gothic"/>
        </w:rPr>
      </w:pPr>
      <w:r w:rsidRPr="00FB3DFF">
        <w:rPr>
          <w:rFonts w:ascii="Century Gothic" w:hAnsi="Century Gothic"/>
        </w:rPr>
        <w:t>maximum environmental outcome is achieved;</w:t>
      </w:r>
    </w:p>
    <w:p w:rsidR="008A2643" w:rsidRPr="00FB3DFF" w:rsidRDefault="008A2643" w:rsidP="00FB3DFF">
      <w:pPr>
        <w:pStyle w:val="ListBullet"/>
        <w:rPr>
          <w:rFonts w:ascii="Century Gothic" w:hAnsi="Century Gothic"/>
        </w:rPr>
      </w:pPr>
      <w:r w:rsidRPr="00FB3DFF">
        <w:rPr>
          <w:rFonts w:ascii="Century Gothic" w:hAnsi="Century Gothic"/>
        </w:rPr>
        <w:t>there is efficient and effective use of environmental water; and</w:t>
      </w:r>
    </w:p>
    <w:p w:rsidR="008A2643" w:rsidRPr="00FB3DFF" w:rsidRDefault="008A2643" w:rsidP="00FB3DFF">
      <w:pPr>
        <w:pStyle w:val="ListBullet"/>
        <w:rPr>
          <w:rFonts w:ascii="Century Gothic" w:hAnsi="Century Gothic"/>
        </w:rPr>
      </w:pPr>
      <w:r w:rsidRPr="00FB3DFF">
        <w:rPr>
          <w:rFonts w:ascii="Century Gothic" w:hAnsi="Century Gothic"/>
        </w:rPr>
        <w:t>there is a high standard of stewardship of Commonwealth assets.</w:t>
      </w:r>
    </w:p>
    <w:p w:rsidR="008A2643" w:rsidRPr="00FB3DFF" w:rsidRDefault="008A2643" w:rsidP="00FB3DFF">
      <w:pPr>
        <w:rPr>
          <w:rFonts w:ascii="Century Gothic" w:hAnsi="Century Gothic" w:cs="Arial"/>
          <w:sz w:val="22"/>
          <w:szCs w:val="22"/>
        </w:rPr>
      </w:pPr>
      <w:r w:rsidRPr="00FB3DFF">
        <w:rPr>
          <w:rFonts w:ascii="Century Gothic" w:hAnsi="Century Gothic" w:cs="Arial"/>
          <w:sz w:val="22"/>
          <w:szCs w:val="22"/>
        </w:rPr>
        <w:t xml:space="preserve">Prior to the use of any water, the </w:t>
      </w:r>
      <w:r w:rsidR="00E47AE3">
        <w:rPr>
          <w:rFonts w:ascii="Century Gothic" w:hAnsi="Century Gothic" w:cs="Arial"/>
          <w:sz w:val="22"/>
          <w:szCs w:val="22"/>
        </w:rPr>
        <w:t>Office</w:t>
      </w:r>
      <w:r w:rsidRPr="00FB3DFF">
        <w:rPr>
          <w:rFonts w:ascii="Century Gothic" w:hAnsi="Century Gothic" w:cs="Arial"/>
          <w:sz w:val="22"/>
          <w:szCs w:val="22"/>
        </w:rPr>
        <w:t xml:space="preserve"> undertakes appropriate risk identification, assessment and management to ensure that all risks are appropriately identified, assessed, treated and mitigated. The approach is in accordance with the Australian standard for risk management (AS/NZS ISO 31000) and is informed by a range of sources, including information from delivery partners, on-ground delivery officers and the local community. It takes into account information on previous water use at the site and at connected locations downstream. Risk assessments are updated regularly as new information arises or situations change.</w:t>
      </w:r>
    </w:p>
    <w:p w:rsidR="008A2643" w:rsidRDefault="008A2643" w:rsidP="00FB3DFF">
      <w:pPr>
        <w:rPr>
          <w:rFonts w:ascii="Century Gothic" w:hAnsi="Century Gothic" w:cs="Arial"/>
          <w:sz w:val="22"/>
          <w:szCs w:val="22"/>
        </w:rPr>
      </w:pPr>
      <w:r w:rsidRPr="00FB3DFF">
        <w:rPr>
          <w:rFonts w:ascii="Century Gothic" w:hAnsi="Century Gothic" w:cs="Arial"/>
          <w:sz w:val="22"/>
          <w:szCs w:val="22"/>
        </w:rPr>
        <w:t xml:space="preserve">The </w:t>
      </w:r>
      <w:r w:rsidR="00E47AE3">
        <w:rPr>
          <w:rFonts w:ascii="Century Gothic" w:hAnsi="Century Gothic" w:cs="Arial"/>
          <w:sz w:val="22"/>
          <w:szCs w:val="22"/>
        </w:rPr>
        <w:t>Office</w:t>
      </w:r>
      <w:r w:rsidRPr="00FB3DFF">
        <w:rPr>
          <w:rFonts w:ascii="Century Gothic" w:hAnsi="Century Gothic" w:cs="Arial"/>
          <w:sz w:val="22"/>
          <w:szCs w:val="22"/>
        </w:rPr>
        <w:t xml:space="preserve"> generally enters into arrangements with relevant Basin state governments, and with other environmental water managers or catchment management authorities to facilitate the delivery of environmental water, including appropriate risk mitigation measures. These delivery partners work with river operators to arrange for the release of the water, or in unregulated rivers, to implement water shepherding. In these cases, the Commonwealth does not have direct control over the release of water, and so there are responsibilities that lie with the other authorities who undertake on-ground management.</w:t>
      </w:r>
      <w:r w:rsidR="005C2DB4" w:rsidRPr="00FB3DFF">
        <w:rPr>
          <w:rFonts w:ascii="Century Gothic" w:hAnsi="Century Gothic" w:cs="Arial"/>
          <w:sz w:val="22"/>
          <w:szCs w:val="22"/>
        </w:rPr>
        <w:t xml:space="preserve"> All deliveries of Commonwealth environmental water are within the flow limits set for the state water authorities, which are often defined in the approvals to operate water infrastructure.</w:t>
      </w:r>
    </w:p>
    <w:p w:rsidR="00E47AE3" w:rsidRDefault="00E47AE3">
      <w:pPr>
        <w:spacing w:after="0"/>
        <w:ind w:left="0"/>
        <w:rPr>
          <w:rFonts w:ascii="Century Gothic" w:hAnsi="Century Gothic" w:cs="Arial"/>
          <w:sz w:val="22"/>
          <w:szCs w:val="22"/>
        </w:rPr>
      </w:pPr>
      <w:r>
        <w:rPr>
          <w:rFonts w:ascii="Century Gothic" w:hAnsi="Century Gothic" w:cs="Arial"/>
          <w:sz w:val="22"/>
          <w:szCs w:val="22"/>
        </w:rPr>
        <w:br w:type="page"/>
      </w:r>
    </w:p>
    <w:p w:rsidR="008A2643" w:rsidRPr="00FB3DFF" w:rsidRDefault="008A2643" w:rsidP="00FB3DFF">
      <w:pPr>
        <w:rPr>
          <w:rFonts w:ascii="Century Gothic" w:hAnsi="Century Gothic" w:cs="Arial"/>
          <w:sz w:val="22"/>
          <w:szCs w:val="22"/>
        </w:rPr>
      </w:pPr>
      <w:r w:rsidRPr="00FB3DFF">
        <w:rPr>
          <w:rFonts w:ascii="Century Gothic" w:hAnsi="Century Gothic" w:cs="Arial"/>
          <w:sz w:val="22"/>
          <w:szCs w:val="22"/>
        </w:rPr>
        <w:t xml:space="preserve">All watering events are subject to appropriate mitigation controls. Any watering event with an unacceptable level of risk (after mitigation measures are applied) will not proceed. </w:t>
      </w:r>
    </w:p>
    <w:p w:rsidR="008A2643" w:rsidRPr="00FB3DFF" w:rsidRDefault="008A2643" w:rsidP="00FB3DFF">
      <w:pPr>
        <w:rPr>
          <w:rFonts w:ascii="Century Gothic" w:hAnsi="Century Gothic" w:cs="Arial"/>
          <w:sz w:val="22"/>
          <w:szCs w:val="22"/>
        </w:rPr>
      </w:pPr>
      <w:r w:rsidRPr="00FB3DFF">
        <w:rPr>
          <w:rFonts w:ascii="Century Gothic" w:hAnsi="Century Gothic" w:cs="Arial"/>
          <w:sz w:val="22"/>
          <w:szCs w:val="22"/>
        </w:rPr>
        <w:t xml:space="preserve">In circumstances where the </w:t>
      </w:r>
      <w:r w:rsidR="00E47AE3">
        <w:rPr>
          <w:rFonts w:ascii="Century Gothic" w:hAnsi="Century Gothic" w:cs="Arial"/>
          <w:sz w:val="22"/>
          <w:szCs w:val="22"/>
        </w:rPr>
        <w:t>Office</w:t>
      </w:r>
      <w:r w:rsidRPr="00FB3DFF">
        <w:rPr>
          <w:rFonts w:ascii="Century Gothic" w:hAnsi="Century Gothic" w:cs="Arial"/>
          <w:sz w:val="22"/>
          <w:szCs w:val="22"/>
        </w:rPr>
        <w:t xml:space="preserve"> has a more direct role in water delivery through the engagement of river and other infrastructure operators, including contractors, the </w:t>
      </w:r>
      <w:r w:rsidR="00E47AE3">
        <w:rPr>
          <w:rFonts w:ascii="Century Gothic" w:hAnsi="Century Gothic" w:cs="Arial"/>
          <w:sz w:val="22"/>
          <w:szCs w:val="22"/>
        </w:rPr>
        <w:t>Office</w:t>
      </w:r>
      <w:r w:rsidRPr="00FB3DFF">
        <w:rPr>
          <w:rFonts w:ascii="Century Gothic" w:hAnsi="Century Gothic" w:cs="Arial"/>
          <w:sz w:val="22"/>
          <w:szCs w:val="22"/>
        </w:rPr>
        <w:t xml:space="preserve"> will ensure that all relevant risks are adequately mitigated through arrangements with those parties.</w:t>
      </w:r>
    </w:p>
    <w:p w:rsidR="008A2643" w:rsidRPr="00FB3DFF" w:rsidRDefault="008A2643" w:rsidP="00FB3DFF">
      <w:pPr>
        <w:rPr>
          <w:rFonts w:ascii="Century Gothic" w:hAnsi="Century Gothic" w:cs="Arial"/>
          <w:sz w:val="22"/>
          <w:szCs w:val="22"/>
        </w:rPr>
      </w:pPr>
      <w:r w:rsidRPr="00FB3DFF">
        <w:rPr>
          <w:rFonts w:ascii="Century Gothic" w:hAnsi="Century Gothic" w:cs="Arial"/>
          <w:sz w:val="22"/>
          <w:szCs w:val="22"/>
        </w:rPr>
        <w:t xml:space="preserve">The </w:t>
      </w:r>
      <w:r w:rsidR="00E47AE3">
        <w:rPr>
          <w:rFonts w:ascii="Century Gothic" w:hAnsi="Century Gothic" w:cs="Arial"/>
          <w:sz w:val="22"/>
          <w:szCs w:val="22"/>
        </w:rPr>
        <w:t>Office</w:t>
      </w:r>
      <w:r w:rsidRPr="00FB3DFF">
        <w:rPr>
          <w:rFonts w:ascii="Century Gothic" w:hAnsi="Century Gothic" w:cs="Arial"/>
          <w:sz w:val="22"/>
          <w:szCs w:val="22"/>
        </w:rPr>
        <w:t xml:space="preserve"> has a comprehensive risk mitigation and treatment plan in place that will be implemented throughout 2013-14.</w:t>
      </w:r>
    </w:p>
    <w:p w:rsidR="00B46CB7" w:rsidRPr="00FB3DFF" w:rsidRDefault="00B46CB7" w:rsidP="00FB3DFF">
      <w:pPr>
        <w:ind w:left="709"/>
        <w:rPr>
          <w:rFonts w:ascii="Century Gothic" w:hAnsi="Century Gothic" w:cs="Arial"/>
          <w:sz w:val="22"/>
          <w:szCs w:val="22"/>
        </w:rPr>
        <w:sectPr w:rsidR="00B46CB7" w:rsidRPr="00FB3DFF" w:rsidSect="00280E72">
          <w:headerReference w:type="even" r:id="rId28"/>
          <w:footerReference w:type="even" r:id="rId29"/>
          <w:footerReference w:type="default" r:id="rId30"/>
          <w:type w:val="oddPage"/>
          <w:pgSz w:w="11906" w:h="16838" w:code="9"/>
          <w:pgMar w:top="1440" w:right="1440" w:bottom="1134" w:left="1440" w:header="576" w:footer="576" w:gutter="0"/>
          <w:cols w:space="720"/>
          <w:titlePg/>
        </w:sectPr>
      </w:pPr>
      <w:r w:rsidRPr="00FB3DFF">
        <w:rPr>
          <w:rFonts w:ascii="Century Gothic" w:hAnsi="Century Gothic" w:cs="Arial"/>
          <w:sz w:val="22"/>
          <w:szCs w:val="22"/>
        </w:rPr>
        <w:tab/>
      </w:r>
    </w:p>
    <w:p w:rsidR="006E557A" w:rsidRPr="00FB3DFF" w:rsidRDefault="00D81C6D" w:rsidP="00FB3DFF">
      <w:pPr>
        <w:pStyle w:val="BPHeading1CustomColorRGB9573122BottomNoborde"/>
        <w:rPr>
          <w:rFonts w:ascii="Century Gothic" w:hAnsi="Century Gothic"/>
        </w:rPr>
      </w:pPr>
      <w:bookmarkStart w:id="133" w:name="_Toc333227730"/>
      <w:bookmarkStart w:id="134" w:name="_Toc371409463"/>
      <w:r w:rsidRPr="00FB3DFF">
        <w:rPr>
          <w:rFonts w:ascii="Century Gothic" w:hAnsi="Century Gothic"/>
        </w:rPr>
        <w:t>Glossary</w:t>
      </w:r>
      <w:bookmarkEnd w:id="133"/>
      <w:bookmarkEnd w:id="134"/>
    </w:p>
    <w:tbl>
      <w:tblPr>
        <w:tblStyle w:val="LightShading-Accent11"/>
        <w:tblW w:w="9747" w:type="dxa"/>
        <w:tblLook w:val="0180"/>
      </w:tblPr>
      <w:tblGrid>
        <w:gridCol w:w="1668"/>
        <w:gridCol w:w="8079"/>
      </w:tblGrid>
      <w:tr w:rsidR="00D81C6D" w:rsidRPr="00FB3DFF" w:rsidTr="000701A9">
        <w:trPr>
          <w:cnfStyle w:val="000000100000"/>
        </w:trPr>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Allocation</w:t>
            </w:r>
          </w:p>
        </w:tc>
        <w:tc>
          <w:tcPr>
            <w:cnfStyle w:val="000100000000"/>
            <w:tcW w:w="8079" w:type="dxa"/>
          </w:tcPr>
          <w:p w:rsidR="00D81C6D" w:rsidRPr="000701A9" w:rsidRDefault="00D81C6D" w:rsidP="00FB3DFF">
            <w:pPr>
              <w:pStyle w:val="TableText"/>
              <w:rPr>
                <w:rFonts w:ascii="Century Gothic" w:hAnsi="Century Gothic" w:cs="Arial"/>
                <w:b w:val="0"/>
              </w:rPr>
            </w:pPr>
            <w:r w:rsidRPr="000701A9">
              <w:rPr>
                <w:rFonts w:ascii="Century Gothic" w:hAnsi="Century Gothic" w:cs="Arial"/>
                <w:b w:val="0"/>
              </w:rPr>
              <w:t xml:space="preserve">A volume of water allocated for use in any year under a </w:t>
            </w:r>
            <w:r w:rsidRPr="000701A9">
              <w:rPr>
                <w:rFonts w:ascii="Century Gothic" w:hAnsi="Century Gothic" w:cs="Arial"/>
                <w:b w:val="0"/>
                <w:i/>
              </w:rPr>
              <w:t>water right</w:t>
            </w:r>
            <w:r w:rsidRPr="000701A9">
              <w:rPr>
                <w:rFonts w:ascii="Century Gothic" w:hAnsi="Century Gothic" w:cs="Arial"/>
                <w:b w:val="0"/>
              </w:rPr>
              <w:t>.</w:t>
            </w:r>
          </w:p>
        </w:tc>
      </w:tr>
      <w:tr w:rsidR="00D81C6D" w:rsidRPr="00FB3DFF" w:rsidTr="000701A9">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Basin Plan</w:t>
            </w:r>
          </w:p>
        </w:tc>
        <w:tc>
          <w:tcPr>
            <w:cnfStyle w:val="000100000000"/>
            <w:tcW w:w="8079" w:type="dxa"/>
          </w:tcPr>
          <w:p w:rsidR="00D81C6D" w:rsidRPr="000701A9" w:rsidRDefault="00D81C6D" w:rsidP="006127F2">
            <w:pPr>
              <w:pStyle w:val="TableText"/>
              <w:rPr>
                <w:rFonts w:ascii="Century Gothic" w:hAnsi="Century Gothic" w:cs="Arial"/>
                <w:b w:val="0"/>
              </w:rPr>
            </w:pPr>
            <w:r w:rsidRPr="000701A9">
              <w:rPr>
                <w:rFonts w:ascii="Century Gothic" w:hAnsi="Century Gothic" w:cs="Arial"/>
                <w:b w:val="0"/>
              </w:rPr>
              <w:t>The plan for water management in the Basin under Part 2 of th</w:t>
            </w:r>
            <w:r w:rsidR="006127F2">
              <w:rPr>
                <w:rFonts w:ascii="Century Gothic" w:hAnsi="Century Gothic" w:cs="Arial"/>
                <w:b w:val="0"/>
              </w:rPr>
              <w:t>e Act</w:t>
            </w:r>
            <w:r w:rsidRPr="000701A9">
              <w:rPr>
                <w:rFonts w:ascii="Century Gothic" w:hAnsi="Century Gothic" w:cs="Arial"/>
                <w:b w:val="0"/>
              </w:rPr>
              <w:t>, to be developed by the Authority and passed into legislation by the Minister.</w:t>
            </w:r>
          </w:p>
        </w:tc>
      </w:tr>
      <w:tr w:rsidR="00D81C6D" w:rsidRPr="00FB3DFF" w:rsidTr="000701A9">
        <w:trPr>
          <w:cnfStyle w:val="000000100000"/>
        </w:trPr>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Entitlement</w:t>
            </w:r>
          </w:p>
        </w:tc>
        <w:tc>
          <w:tcPr>
            <w:cnfStyle w:val="000100000000"/>
            <w:tcW w:w="8079" w:type="dxa"/>
          </w:tcPr>
          <w:p w:rsidR="00D81C6D" w:rsidRPr="000701A9" w:rsidRDefault="00D81C6D" w:rsidP="00FB3DFF">
            <w:pPr>
              <w:pStyle w:val="TableText"/>
              <w:rPr>
                <w:rFonts w:ascii="Century Gothic" w:hAnsi="Century Gothic" w:cs="Arial"/>
                <w:b w:val="0"/>
              </w:rPr>
            </w:pPr>
            <w:r w:rsidRPr="000701A9">
              <w:rPr>
                <w:rFonts w:ascii="Century Gothic" w:hAnsi="Century Gothic" w:cs="Arial"/>
                <w:b w:val="0"/>
              </w:rPr>
              <w:t xml:space="preserve">Common name for a </w:t>
            </w:r>
            <w:r w:rsidRPr="000701A9">
              <w:rPr>
                <w:rFonts w:ascii="Century Gothic" w:hAnsi="Century Gothic" w:cs="Arial"/>
                <w:b w:val="0"/>
                <w:i/>
              </w:rPr>
              <w:t>water right</w:t>
            </w:r>
            <w:r w:rsidRPr="000701A9">
              <w:rPr>
                <w:rFonts w:ascii="Century Gothic" w:hAnsi="Century Gothic" w:cs="Arial"/>
                <w:b w:val="0"/>
              </w:rPr>
              <w:t xml:space="preserve"> issued under state and territory legislation.</w:t>
            </w:r>
          </w:p>
        </w:tc>
      </w:tr>
      <w:tr w:rsidR="00AC500D" w:rsidRPr="00FB3DFF" w:rsidTr="000701A9">
        <w:tc>
          <w:tcPr>
            <w:cnfStyle w:val="001000000000"/>
            <w:tcW w:w="1668" w:type="dxa"/>
          </w:tcPr>
          <w:p w:rsidR="00AC500D" w:rsidRPr="00FB3DFF" w:rsidRDefault="00AC500D" w:rsidP="00FB3DFF">
            <w:pPr>
              <w:pStyle w:val="TableHeading"/>
              <w:rPr>
                <w:rFonts w:ascii="Century Gothic" w:hAnsi="Century Gothic" w:cs="Arial"/>
              </w:rPr>
            </w:pPr>
            <w:r w:rsidRPr="00FB3DFF">
              <w:rPr>
                <w:rFonts w:ascii="Century Gothic" w:hAnsi="Century Gothic" w:cs="Arial"/>
              </w:rPr>
              <w:t>Environmental Assets</w:t>
            </w:r>
          </w:p>
        </w:tc>
        <w:tc>
          <w:tcPr>
            <w:cnfStyle w:val="000100000000"/>
            <w:tcW w:w="8079" w:type="dxa"/>
          </w:tcPr>
          <w:p w:rsidR="00AC500D" w:rsidRPr="000701A9" w:rsidRDefault="00782880" w:rsidP="006127F2">
            <w:pPr>
              <w:pStyle w:val="TableText"/>
              <w:rPr>
                <w:rFonts w:ascii="Century Gothic" w:hAnsi="Century Gothic" w:cs="Arial"/>
                <w:b w:val="0"/>
              </w:rPr>
            </w:pPr>
            <w:r w:rsidRPr="000701A9">
              <w:rPr>
                <w:rFonts w:ascii="Century Gothic" w:hAnsi="Century Gothic" w:cs="Arial"/>
                <w:b w:val="0"/>
              </w:rPr>
              <w:t>Under th</w:t>
            </w:r>
            <w:r w:rsidR="006127F2">
              <w:rPr>
                <w:rFonts w:ascii="Century Gothic" w:hAnsi="Century Gothic" w:cs="Arial"/>
                <w:b w:val="0"/>
              </w:rPr>
              <w:t>e Act</w:t>
            </w:r>
            <w:r w:rsidRPr="000701A9">
              <w:rPr>
                <w:rFonts w:ascii="Century Gothic" w:hAnsi="Century Gothic" w:cs="Arial"/>
                <w:b w:val="0"/>
              </w:rPr>
              <w:t>, environmental assets are defined to include: water dependent ecosystems; ecosystem services; and sites with ecological significance.</w:t>
            </w:r>
          </w:p>
        </w:tc>
      </w:tr>
      <w:tr w:rsidR="00D81C6D" w:rsidRPr="00FB3DFF" w:rsidTr="000701A9">
        <w:trPr>
          <w:cnfStyle w:val="000000100000"/>
        </w:trPr>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Environmental watering plan</w:t>
            </w:r>
          </w:p>
        </w:tc>
        <w:tc>
          <w:tcPr>
            <w:cnfStyle w:val="000100000000"/>
            <w:tcW w:w="8079" w:type="dxa"/>
          </w:tcPr>
          <w:p w:rsidR="00D81C6D" w:rsidRPr="000701A9" w:rsidRDefault="00D81C6D" w:rsidP="006127F2">
            <w:pPr>
              <w:pStyle w:val="TableText"/>
              <w:rPr>
                <w:rFonts w:ascii="Century Gothic" w:hAnsi="Century Gothic" w:cs="Arial"/>
                <w:b w:val="0"/>
              </w:rPr>
            </w:pPr>
            <w:r w:rsidRPr="000701A9">
              <w:rPr>
                <w:rFonts w:ascii="Century Gothic" w:hAnsi="Century Gothic" w:cs="Arial"/>
                <w:b w:val="0"/>
              </w:rPr>
              <w:t xml:space="preserve">Part of the </w:t>
            </w:r>
            <w:r w:rsidRPr="000701A9">
              <w:rPr>
                <w:rFonts w:ascii="Century Gothic" w:hAnsi="Century Gothic" w:cs="Arial"/>
                <w:b w:val="0"/>
                <w:i/>
              </w:rPr>
              <w:t>Basin Plan</w:t>
            </w:r>
            <w:r w:rsidRPr="000701A9">
              <w:rPr>
                <w:rFonts w:ascii="Century Gothic" w:hAnsi="Century Gothic" w:cs="Arial"/>
                <w:b w:val="0"/>
              </w:rPr>
              <w:t xml:space="preserve"> that deals with managing water designated for the protection and restoration of environmental assets, as detailed in s. 28 of the</w:t>
            </w:r>
            <w:r w:rsidR="006127F2">
              <w:rPr>
                <w:rFonts w:ascii="Century Gothic" w:hAnsi="Century Gothic" w:cs="Arial"/>
                <w:b w:val="0"/>
              </w:rPr>
              <w:t xml:space="preserve"> Act</w:t>
            </w:r>
            <w:r w:rsidRPr="000701A9">
              <w:rPr>
                <w:rFonts w:ascii="Century Gothic" w:hAnsi="Century Gothic" w:cs="Arial"/>
                <w:b w:val="0"/>
              </w:rPr>
              <w:t>.</w:t>
            </w:r>
          </w:p>
        </w:tc>
      </w:tr>
      <w:tr w:rsidR="00D81C6D" w:rsidRPr="00FB3DFF" w:rsidTr="000701A9">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Holdings</w:t>
            </w:r>
          </w:p>
        </w:tc>
        <w:tc>
          <w:tcPr>
            <w:cnfStyle w:val="000100000000"/>
            <w:tcW w:w="8079" w:type="dxa"/>
          </w:tcPr>
          <w:p w:rsidR="00D81C6D" w:rsidRPr="000701A9" w:rsidRDefault="00D81C6D" w:rsidP="006127F2">
            <w:pPr>
              <w:pStyle w:val="TableText"/>
              <w:rPr>
                <w:rFonts w:ascii="Century Gothic" w:hAnsi="Century Gothic" w:cs="Arial"/>
                <w:b w:val="0"/>
              </w:rPr>
            </w:pPr>
            <w:r w:rsidRPr="000701A9">
              <w:rPr>
                <w:rFonts w:ascii="Century Gothic" w:hAnsi="Century Gothic" w:cs="Arial"/>
                <w:b w:val="0"/>
              </w:rPr>
              <w:t xml:space="preserve">All </w:t>
            </w:r>
            <w:r w:rsidRPr="000701A9">
              <w:rPr>
                <w:rFonts w:ascii="Century Gothic" w:hAnsi="Century Gothic" w:cs="Arial"/>
                <w:b w:val="0"/>
                <w:i/>
              </w:rPr>
              <w:t>water rights</w:t>
            </w:r>
            <w:r w:rsidRPr="000701A9">
              <w:rPr>
                <w:rFonts w:ascii="Century Gothic" w:hAnsi="Century Gothic" w:cs="Arial"/>
                <w:b w:val="0"/>
              </w:rPr>
              <w:t xml:space="preserve"> owned by the Commonwealth, except those that are not for the purpose of water management under the</w:t>
            </w:r>
            <w:r w:rsidR="006127F2">
              <w:rPr>
                <w:rFonts w:ascii="Century Gothic" w:hAnsi="Century Gothic" w:cs="Arial"/>
                <w:b w:val="0"/>
              </w:rPr>
              <w:t xml:space="preserve"> Act</w:t>
            </w:r>
            <w:r w:rsidRPr="000701A9">
              <w:rPr>
                <w:rFonts w:ascii="Century Gothic" w:hAnsi="Century Gothic" w:cs="Arial"/>
                <w:b w:val="0"/>
              </w:rPr>
              <w:t>. The holdings include all Commonwealth-owned water rights that are held for the purpose of protecting or restoring environmental assets.</w:t>
            </w:r>
          </w:p>
        </w:tc>
      </w:tr>
      <w:tr w:rsidR="00D81C6D" w:rsidRPr="00FB3DFF" w:rsidTr="000701A9">
        <w:trPr>
          <w:cnfStyle w:val="000000100000"/>
        </w:trPr>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Gigalitres (GL)</w:t>
            </w:r>
          </w:p>
        </w:tc>
        <w:tc>
          <w:tcPr>
            <w:cnfStyle w:val="000100000000"/>
            <w:tcW w:w="8079" w:type="dxa"/>
          </w:tcPr>
          <w:p w:rsidR="00D81C6D" w:rsidRPr="000701A9" w:rsidRDefault="00D81C6D" w:rsidP="00FB3DFF">
            <w:pPr>
              <w:pStyle w:val="TableText"/>
              <w:rPr>
                <w:rFonts w:ascii="Century Gothic" w:hAnsi="Century Gothic" w:cs="Arial"/>
                <w:b w:val="0"/>
              </w:rPr>
            </w:pPr>
            <w:r w:rsidRPr="000701A9">
              <w:rPr>
                <w:rFonts w:ascii="Century Gothic" w:hAnsi="Century Gothic" w:cs="Arial"/>
                <w:b w:val="0"/>
              </w:rPr>
              <w:t>One billion litres, or one square kilometre of one-metre-deep water.</w:t>
            </w:r>
          </w:p>
        </w:tc>
      </w:tr>
      <w:tr w:rsidR="00D81C6D" w:rsidRPr="00FB3DFF" w:rsidTr="000701A9">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Operating rules</w:t>
            </w:r>
          </w:p>
        </w:tc>
        <w:tc>
          <w:tcPr>
            <w:cnfStyle w:val="000100000000"/>
            <w:tcW w:w="8079" w:type="dxa"/>
          </w:tcPr>
          <w:p w:rsidR="00D81C6D" w:rsidRPr="000701A9" w:rsidRDefault="00D81C6D" w:rsidP="006127F2">
            <w:pPr>
              <w:pStyle w:val="TableText"/>
              <w:rPr>
                <w:rFonts w:ascii="Century Gothic" w:hAnsi="Century Gothic" w:cs="Arial"/>
                <w:b w:val="0"/>
              </w:rPr>
            </w:pPr>
            <w:r w:rsidRPr="000701A9">
              <w:rPr>
                <w:rFonts w:ascii="Century Gothic" w:hAnsi="Century Gothic" w:cs="Arial"/>
                <w:b w:val="0"/>
              </w:rPr>
              <w:t>The Minister may, with the approval of the Australian Parliament, make operating rules that provide general direction to the C</w:t>
            </w:r>
            <w:r w:rsidR="00EE19BE">
              <w:rPr>
                <w:rFonts w:ascii="Century Gothic" w:hAnsi="Century Gothic" w:cs="Arial"/>
                <w:b w:val="0"/>
              </w:rPr>
              <w:t>EWH</w:t>
            </w:r>
            <w:r w:rsidRPr="000701A9">
              <w:rPr>
                <w:rFonts w:ascii="Century Gothic" w:hAnsi="Century Gothic" w:cs="Arial"/>
                <w:b w:val="0"/>
              </w:rPr>
              <w:t xml:space="preserve"> around </w:t>
            </w:r>
            <w:r w:rsidRPr="000701A9">
              <w:rPr>
                <w:rFonts w:ascii="Century Gothic" w:hAnsi="Century Gothic" w:cs="Arial"/>
                <w:b w:val="0"/>
                <w:i/>
              </w:rPr>
              <w:t>water trading</w:t>
            </w:r>
            <w:r w:rsidRPr="000701A9">
              <w:rPr>
                <w:rFonts w:ascii="Century Gothic" w:hAnsi="Century Gothic" w:cs="Arial"/>
                <w:b w:val="0"/>
              </w:rPr>
              <w:t xml:space="preserve">. This is found in s. 109 of the </w:t>
            </w:r>
            <w:r w:rsidR="006127F2" w:rsidRPr="006127F2">
              <w:rPr>
                <w:rFonts w:ascii="Century Gothic" w:hAnsi="Century Gothic" w:cs="Arial"/>
                <w:b w:val="0"/>
              </w:rPr>
              <w:t>Act</w:t>
            </w:r>
            <w:r w:rsidRPr="000701A9">
              <w:rPr>
                <w:rFonts w:ascii="Century Gothic" w:hAnsi="Century Gothic" w:cs="Arial"/>
                <w:b w:val="0"/>
              </w:rPr>
              <w:t>.</w:t>
            </w:r>
          </w:p>
        </w:tc>
      </w:tr>
      <w:tr w:rsidR="00D81C6D" w:rsidRPr="00FB3DFF" w:rsidTr="000701A9">
        <w:trPr>
          <w:cnfStyle w:val="000000100000"/>
        </w:trPr>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Southern-connected rivers</w:t>
            </w:r>
          </w:p>
        </w:tc>
        <w:tc>
          <w:tcPr>
            <w:cnfStyle w:val="000100000000"/>
            <w:tcW w:w="8079" w:type="dxa"/>
          </w:tcPr>
          <w:p w:rsidR="00D81C6D" w:rsidRPr="000701A9" w:rsidRDefault="00D81C6D" w:rsidP="00FB3DFF">
            <w:pPr>
              <w:pStyle w:val="TableText"/>
              <w:rPr>
                <w:rFonts w:ascii="Century Gothic" w:hAnsi="Century Gothic" w:cs="Arial"/>
                <w:b w:val="0"/>
              </w:rPr>
            </w:pPr>
            <w:r w:rsidRPr="000701A9">
              <w:rPr>
                <w:rFonts w:ascii="Century Gothic" w:hAnsi="Century Gothic" w:cs="Arial"/>
                <w:b w:val="0"/>
              </w:rPr>
              <w:t>Rivers located within the southern part of the Basin with permanent (or near permanent) hydrologic connection, allowing water from upstream catchments to be used in downstream catchments. The major southern-connected rivers include:</w:t>
            </w:r>
          </w:p>
          <w:p w:rsidR="00D81C6D" w:rsidRPr="000701A9" w:rsidRDefault="00D81C6D" w:rsidP="00FB3DFF">
            <w:pPr>
              <w:pStyle w:val="TableBullet"/>
              <w:rPr>
                <w:rFonts w:ascii="Century Gothic" w:hAnsi="Century Gothic" w:cs="Arial"/>
                <w:b w:val="0"/>
              </w:rPr>
            </w:pPr>
            <w:r w:rsidRPr="000701A9">
              <w:rPr>
                <w:rFonts w:ascii="Century Gothic" w:hAnsi="Century Gothic" w:cs="Arial"/>
                <w:b w:val="0"/>
              </w:rPr>
              <w:t>Murray River</w:t>
            </w:r>
          </w:p>
          <w:p w:rsidR="00D81C6D" w:rsidRPr="000701A9" w:rsidRDefault="00D81C6D" w:rsidP="00FB3DFF">
            <w:pPr>
              <w:pStyle w:val="TableBullet"/>
              <w:rPr>
                <w:rFonts w:ascii="Century Gothic" w:hAnsi="Century Gothic" w:cs="Arial"/>
                <w:b w:val="0"/>
              </w:rPr>
            </w:pPr>
            <w:r w:rsidRPr="000701A9">
              <w:rPr>
                <w:rFonts w:ascii="Century Gothic" w:hAnsi="Century Gothic" w:cs="Arial"/>
                <w:b w:val="0"/>
              </w:rPr>
              <w:t>Murrumbidgee River</w:t>
            </w:r>
          </w:p>
          <w:p w:rsidR="00D81C6D" w:rsidRPr="000701A9" w:rsidRDefault="00D81C6D" w:rsidP="00FB3DFF">
            <w:pPr>
              <w:pStyle w:val="TableBullet"/>
              <w:rPr>
                <w:rFonts w:ascii="Century Gothic" w:hAnsi="Century Gothic" w:cs="Arial"/>
                <w:b w:val="0"/>
              </w:rPr>
            </w:pPr>
            <w:r w:rsidRPr="000701A9">
              <w:rPr>
                <w:rFonts w:ascii="Century Gothic" w:hAnsi="Century Gothic" w:cs="Arial"/>
                <w:b w:val="0"/>
              </w:rPr>
              <w:t>Darling River downstream of Menindee Lakes</w:t>
            </w:r>
          </w:p>
          <w:p w:rsidR="00D81C6D" w:rsidRPr="000701A9" w:rsidRDefault="00D81C6D" w:rsidP="00FB3DFF">
            <w:pPr>
              <w:pStyle w:val="TableBullet"/>
              <w:rPr>
                <w:rFonts w:ascii="Century Gothic" w:hAnsi="Century Gothic" w:cs="Arial"/>
                <w:b w:val="0"/>
              </w:rPr>
            </w:pPr>
            <w:r w:rsidRPr="000701A9">
              <w:rPr>
                <w:rFonts w:ascii="Century Gothic" w:hAnsi="Century Gothic" w:cs="Arial"/>
                <w:b w:val="0"/>
              </w:rPr>
              <w:t>Goulburn River</w:t>
            </w:r>
          </w:p>
          <w:p w:rsidR="00D81C6D" w:rsidRPr="000701A9" w:rsidRDefault="00D81C6D" w:rsidP="00FB3DFF">
            <w:pPr>
              <w:pStyle w:val="TableBullet"/>
              <w:rPr>
                <w:rFonts w:ascii="Century Gothic" w:hAnsi="Century Gothic" w:cs="Arial"/>
                <w:b w:val="0"/>
              </w:rPr>
            </w:pPr>
            <w:r w:rsidRPr="000701A9">
              <w:rPr>
                <w:rFonts w:ascii="Century Gothic" w:hAnsi="Century Gothic" w:cs="Arial"/>
                <w:b w:val="0"/>
              </w:rPr>
              <w:t>other rivers of northern Victoria within the Murray–Darling Basin.</w:t>
            </w:r>
          </w:p>
        </w:tc>
      </w:tr>
      <w:tr w:rsidR="00D81C6D" w:rsidRPr="00FB3DFF" w:rsidTr="000701A9">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Special account</w:t>
            </w:r>
          </w:p>
        </w:tc>
        <w:tc>
          <w:tcPr>
            <w:cnfStyle w:val="000100000000"/>
            <w:tcW w:w="8079" w:type="dxa"/>
          </w:tcPr>
          <w:p w:rsidR="00D81C6D" w:rsidRPr="000701A9" w:rsidRDefault="00D81C6D" w:rsidP="006127F2">
            <w:pPr>
              <w:pStyle w:val="TableText"/>
              <w:rPr>
                <w:rFonts w:ascii="Century Gothic" w:hAnsi="Century Gothic" w:cs="Arial"/>
                <w:b w:val="0"/>
              </w:rPr>
            </w:pPr>
            <w:r w:rsidRPr="000701A9">
              <w:rPr>
                <w:rFonts w:ascii="Century Gothic" w:hAnsi="Century Gothic" w:cs="Arial"/>
                <w:b w:val="0"/>
              </w:rPr>
              <w:t xml:space="preserve">The Environmental Water Holdings Special Account established under s. 111 of the </w:t>
            </w:r>
            <w:r w:rsidR="006127F2" w:rsidRPr="006127F2">
              <w:rPr>
                <w:rFonts w:ascii="Century Gothic" w:hAnsi="Century Gothic" w:cs="Arial"/>
                <w:b w:val="0"/>
              </w:rPr>
              <w:t>Act</w:t>
            </w:r>
            <w:r w:rsidRPr="000701A9">
              <w:rPr>
                <w:rFonts w:ascii="Century Gothic" w:hAnsi="Century Gothic" w:cs="Arial"/>
                <w:b w:val="0"/>
              </w:rPr>
              <w:t>, which is to be managed by the C</w:t>
            </w:r>
            <w:r w:rsidR="00EE19BE">
              <w:rPr>
                <w:rFonts w:ascii="Century Gothic" w:hAnsi="Century Gothic" w:cs="Arial"/>
                <w:b w:val="0"/>
              </w:rPr>
              <w:t>EWH</w:t>
            </w:r>
            <w:r w:rsidRPr="000701A9">
              <w:rPr>
                <w:rFonts w:ascii="Century Gothic" w:hAnsi="Century Gothic" w:cs="Arial"/>
                <w:b w:val="0"/>
              </w:rPr>
              <w:t>.</w:t>
            </w:r>
          </w:p>
        </w:tc>
      </w:tr>
      <w:tr w:rsidR="00D81C6D" w:rsidRPr="00FB3DFF" w:rsidTr="000701A9">
        <w:trPr>
          <w:cnfStyle w:val="000000100000"/>
        </w:trPr>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Water right</w:t>
            </w:r>
          </w:p>
        </w:tc>
        <w:tc>
          <w:tcPr>
            <w:cnfStyle w:val="000100000000"/>
            <w:tcW w:w="8079" w:type="dxa"/>
          </w:tcPr>
          <w:p w:rsidR="00D81C6D" w:rsidRPr="000701A9" w:rsidRDefault="00D81C6D" w:rsidP="00FB3DFF">
            <w:pPr>
              <w:pStyle w:val="TableText"/>
              <w:rPr>
                <w:rFonts w:ascii="Century Gothic" w:hAnsi="Century Gothic" w:cs="Arial"/>
                <w:b w:val="0"/>
              </w:rPr>
            </w:pPr>
            <w:r w:rsidRPr="000701A9">
              <w:rPr>
                <w:rFonts w:ascii="Century Gothic" w:hAnsi="Century Gothic" w:cs="Arial"/>
                <w:b w:val="0"/>
              </w:rPr>
              <w:t xml:space="preserve">Any </w:t>
            </w:r>
            <w:r w:rsidRPr="000701A9">
              <w:rPr>
                <w:rFonts w:ascii="Century Gothic" w:hAnsi="Century Gothic" w:cs="Arial"/>
                <w:b w:val="0"/>
                <w:i/>
              </w:rPr>
              <w:t>water right</w:t>
            </w:r>
            <w:r w:rsidRPr="000701A9">
              <w:rPr>
                <w:rFonts w:ascii="Century Gothic" w:hAnsi="Century Gothic" w:cs="Arial"/>
                <w:b w:val="0"/>
              </w:rPr>
              <w:t xml:space="preserve"> (or share in a </w:t>
            </w:r>
            <w:r w:rsidRPr="000701A9">
              <w:rPr>
                <w:rFonts w:ascii="Century Gothic" w:hAnsi="Century Gothic" w:cs="Arial"/>
                <w:b w:val="0"/>
                <w:i/>
              </w:rPr>
              <w:t>water right</w:t>
            </w:r>
            <w:r w:rsidRPr="000701A9">
              <w:rPr>
                <w:rFonts w:ascii="Century Gothic" w:hAnsi="Century Gothic" w:cs="Arial"/>
                <w:b w:val="0"/>
              </w:rPr>
              <w:t xml:space="preserve">) conferred under state law to hold or take a nominal volume of water from a water resource, usually in the form of an annual </w:t>
            </w:r>
            <w:r w:rsidRPr="000701A9">
              <w:rPr>
                <w:rFonts w:ascii="Century Gothic" w:hAnsi="Century Gothic" w:cs="Arial"/>
                <w:b w:val="0"/>
                <w:i/>
              </w:rPr>
              <w:t>allocation</w:t>
            </w:r>
            <w:r w:rsidRPr="000701A9">
              <w:rPr>
                <w:rFonts w:ascii="Century Gothic" w:hAnsi="Century Gothic" w:cs="Arial"/>
                <w:b w:val="0"/>
              </w:rPr>
              <w:t xml:space="preserve">. The actual volume of each </w:t>
            </w:r>
            <w:r w:rsidRPr="000701A9">
              <w:rPr>
                <w:rFonts w:ascii="Century Gothic" w:hAnsi="Century Gothic" w:cs="Arial"/>
                <w:b w:val="0"/>
                <w:i/>
              </w:rPr>
              <w:t>allocation</w:t>
            </w:r>
            <w:r w:rsidRPr="000701A9">
              <w:rPr>
                <w:rFonts w:ascii="Century Gothic" w:hAnsi="Century Gothic" w:cs="Arial"/>
                <w:b w:val="0"/>
              </w:rPr>
              <w:t xml:space="preserve"> varies from year to year, depending on the amount available.</w:t>
            </w:r>
          </w:p>
          <w:p w:rsidR="00D81C6D" w:rsidRPr="000701A9" w:rsidRDefault="00D81C6D" w:rsidP="00FB3DFF">
            <w:pPr>
              <w:pStyle w:val="TableText"/>
              <w:rPr>
                <w:rFonts w:ascii="Century Gothic" w:hAnsi="Century Gothic" w:cs="Arial"/>
                <w:b w:val="0"/>
              </w:rPr>
            </w:pPr>
            <w:r w:rsidRPr="000701A9">
              <w:rPr>
                <w:rFonts w:ascii="Century Gothic" w:hAnsi="Century Gothic" w:cs="Arial"/>
                <w:b w:val="0"/>
              </w:rPr>
              <w:t>Water rights issued in each state are referred to by different names:</w:t>
            </w:r>
          </w:p>
          <w:p w:rsidR="00D81C6D" w:rsidRPr="000701A9" w:rsidRDefault="00D81C6D" w:rsidP="00FB3DFF">
            <w:pPr>
              <w:pStyle w:val="TableBullet"/>
              <w:rPr>
                <w:rFonts w:ascii="Century Gothic" w:hAnsi="Century Gothic" w:cs="Arial"/>
                <w:b w:val="0"/>
              </w:rPr>
            </w:pPr>
            <w:r w:rsidRPr="000701A9">
              <w:rPr>
                <w:rFonts w:ascii="Century Gothic" w:hAnsi="Century Gothic" w:cs="Arial"/>
                <w:b w:val="0"/>
              </w:rPr>
              <w:t>entitlement (New South Wales)</w:t>
            </w:r>
          </w:p>
          <w:p w:rsidR="00D81C6D" w:rsidRPr="000701A9" w:rsidRDefault="00D81C6D" w:rsidP="00FB3DFF">
            <w:pPr>
              <w:pStyle w:val="TableBullet"/>
              <w:rPr>
                <w:rFonts w:ascii="Century Gothic" w:hAnsi="Century Gothic" w:cs="Arial"/>
                <w:b w:val="0"/>
              </w:rPr>
            </w:pPr>
            <w:r w:rsidRPr="000701A9">
              <w:rPr>
                <w:rFonts w:ascii="Century Gothic" w:hAnsi="Century Gothic" w:cs="Arial"/>
                <w:b w:val="0"/>
              </w:rPr>
              <w:t>water share (Victoria)</w:t>
            </w:r>
          </w:p>
          <w:p w:rsidR="00D81C6D" w:rsidRPr="000701A9" w:rsidRDefault="00D81C6D" w:rsidP="00FB3DFF">
            <w:pPr>
              <w:pStyle w:val="TableBullet"/>
              <w:rPr>
                <w:rFonts w:ascii="Century Gothic" w:hAnsi="Century Gothic" w:cs="Arial"/>
                <w:b w:val="0"/>
              </w:rPr>
            </w:pPr>
            <w:r w:rsidRPr="000701A9">
              <w:rPr>
                <w:rFonts w:ascii="Century Gothic" w:hAnsi="Century Gothic" w:cs="Arial"/>
                <w:b w:val="0"/>
              </w:rPr>
              <w:t>supplemented allocation (Queensland)</w:t>
            </w:r>
          </w:p>
          <w:p w:rsidR="00D81C6D" w:rsidRPr="000701A9" w:rsidRDefault="00D81C6D" w:rsidP="00FB3DFF">
            <w:pPr>
              <w:pStyle w:val="TableBullet"/>
              <w:rPr>
                <w:rFonts w:ascii="Century Gothic" w:hAnsi="Century Gothic" w:cs="Arial"/>
                <w:b w:val="0"/>
              </w:rPr>
            </w:pPr>
            <w:r w:rsidRPr="000701A9">
              <w:rPr>
                <w:rFonts w:ascii="Century Gothic" w:hAnsi="Century Gothic" w:cs="Arial"/>
                <w:b w:val="0"/>
              </w:rPr>
              <w:t>water-holding allocation (South Australia).</w:t>
            </w:r>
          </w:p>
        </w:tc>
      </w:tr>
      <w:tr w:rsidR="00D81C6D" w:rsidRPr="00FB3DFF" w:rsidTr="000701A9">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Water shepherding</w:t>
            </w:r>
          </w:p>
        </w:tc>
        <w:tc>
          <w:tcPr>
            <w:cnfStyle w:val="000100000000"/>
            <w:tcW w:w="8079" w:type="dxa"/>
          </w:tcPr>
          <w:p w:rsidR="00D81C6D" w:rsidRPr="000701A9" w:rsidRDefault="00D81C6D" w:rsidP="006127F2">
            <w:pPr>
              <w:pStyle w:val="TableText"/>
              <w:rPr>
                <w:rFonts w:ascii="Century Gothic" w:hAnsi="Century Gothic" w:cs="Arial"/>
                <w:b w:val="0"/>
              </w:rPr>
            </w:pPr>
            <w:r w:rsidRPr="000701A9">
              <w:rPr>
                <w:rFonts w:ascii="Century Gothic" w:hAnsi="Century Gothic" w:cs="Arial"/>
                <w:b w:val="0"/>
              </w:rPr>
              <w:t xml:space="preserve">Water shepherding provides for the legal protection, effective use and accurate accounting of Commonwealth environmental water </w:t>
            </w:r>
            <w:r w:rsidR="00F42F91" w:rsidRPr="000701A9">
              <w:rPr>
                <w:rFonts w:ascii="Century Gothic" w:hAnsi="Century Gothic" w:cs="Arial"/>
                <w:b w:val="0"/>
              </w:rPr>
              <w:t xml:space="preserve">in unregulated streams </w:t>
            </w:r>
            <w:r w:rsidRPr="000701A9">
              <w:rPr>
                <w:rFonts w:ascii="Century Gothic" w:hAnsi="Century Gothic" w:cs="Arial"/>
                <w:b w:val="0"/>
              </w:rPr>
              <w:t xml:space="preserve">to ensure that the substantial Commonwealth investment under </w:t>
            </w:r>
            <w:r w:rsidRPr="000701A9">
              <w:rPr>
                <w:rFonts w:ascii="Century Gothic" w:hAnsi="Century Gothic" w:cs="Arial"/>
                <w:b w:val="0"/>
                <w:i/>
              </w:rPr>
              <w:t>Water for the Future</w:t>
            </w:r>
            <w:r w:rsidRPr="000701A9">
              <w:rPr>
                <w:rFonts w:ascii="Century Gothic" w:hAnsi="Century Gothic" w:cs="Arial"/>
                <w:b w:val="0"/>
              </w:rPr>
              <w:t xml:space="preserve"> is protected and the objectives of the</w:t>
            </w:r>
            <w:r w:rsidR="006127F2">
              <w:rPr>
                <w:rFonts w:ascii="Century Gothic" w:hAnsi="Century Gothic" w:cs="Arial"/>
                <w:b w:val="0"/>
              </w:rPr>
              <w:t xml:space="preserve"> Act</w:t>
            </w:r>
            <w:r w:rsidRPr="000701A9">
              <w:rPr>
                <w:rFonts w:ascii="Century Gothic" w:hAnsi="Century Gothic" w:cs="Arial"/>
                <w:b w:val="0"/>
              </w:rPr>
              <w:t xml:space="preserve"> are met.</w:t>
            </w:r>
          </w:p>
        </w:tc>
      </w:tr>
      <w:tr w:rsidR="00D81C6D" w:rsidRPr="00FB3DFF" w:rsidTr="000701A9">
        <w:trPr>
          <w:cnfStyle w:val="000000100000"/>
        </w:trPr>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Water trading</w:t>
            </w:r>
          </w:p>
        </w:tc>
        <w:tc>
          <w:tcPr>
            <w:cnfStyle w:val="000100000000"/>
            <w:tcW w:w="8079" w:type="dxa"/>
          </w:tcPr>
          <w:p w:rsidR="00D81C6D" w:rsidRPr="000701A9" w:rsidRDefault="00D81C6D" w:rsidP="00FB3DFF">
            <w:pPr>
              <w:pStyle w:val="TableText"/>
              <w:rPr>
                <w:rFonts w:ascii="Century Gothic" w:hAnsi="Century Gothic" w:cs="Arial"/>
                <w:b w:val="0"/>
              </w:rPr>
            </w:pPr>
            <w:r w:rsidRPr="000701A9">
              <w:rPr>
                <w:rFonts w:ascii="Century Gothic" w:hAnsi="Century Gothic" w:cs="Arial"/>
                <w:b w:val="0"/>
              </w:rPr>
              <w:t xml:space="preserve">Transfer of water or a </w:t>
            </w:r>
            <w:r w:rsidRPr="000701A9">
              <w:rPr>
                <w:rFonts w:ascii="Century Gothic" w:hAnsi="Century Gothic" w:cs="Arial"/>
                <w:b w:val="0"/>
                <w:i/>
              </w:rPr>
              <w:t>water right</w:t>
            </w:r>
            <w:r w:rsidRPr="000701A9">
              <w:rPr>
                <w:rFonts w:ascii="Century Gothic" w:hAnsi="Century Gothic" w:cs="Arial"/>
                <w:b w:val="0"/>
              </w:rPr>
              <w:t xml:space="preserve"> from one person to another. Water trading includes purchasing, disposing of, and otherwise dealing in water and </w:t>
            </w:r>
            <w:r w:rsidRPr="000701A9">
              <w:rPr>
                <w:rFonts w:ascii="Century Gothic" w:hAnsi="Century Gothic" w:cs="Arial"/>
                <w:b w:val="0"/>
                <w:i/>
              </w:rPr>
              <w:t>water rights</w:t>
            </w:r>
            <w:r w:rsidRPr="000701A9">
              <w:rPr>
                <w:rFonts w:ascii="Century Gothic" w:hAnsi="Century Gothic" w:cs="Arial"/>
                <w:b w:val="0"/>
              </w:rPr>
              <w:t>.</w:t>
            </w:r>
          </w:p>
        </w:tc>
      </w:tr>
      <w:tr w:rsidR="00D81C6D" w:rsidRPr="00FB3DFF" w:rsidTr="000701A9">
        <w:tc>
          <w:tcPr>
            <w:cnfStyle w:val="001000000000"/>
            <w:tcW w:w="1668" w:type="dxa"/>
          </w:tcPr>
          <w:p w:rsidR="00D81C6D" w:rsidRPr="00FB3DFF" w:rsidRDefault="00D81C6D" w:rsidP="00FB3DFF">
            <w:pPr>
              <w:pStyle w:val="TableHeading"/>
              <w:rPr>
                <w:rFonts w:ascii="Century Gothic" w:hAnsi="Century Gothic" w:cs="Arial"/>
              </w:rPr>
            </w:pPr>
            <w:r w:rsidRPr="00FB3DFF">
              <w:rPr>
                <w:rFonts w:ascii="Century Gothic" w:hAnsi="Century Gothic" w:cs="Arial"/>
              </w:rPr>
              <w:t>Water year</w:t>
            </w:r>
          </w:p>
        </w:tc>
        <w:tc>
          <w:tcPr>
            <w:cnfStyle w:val="000100000000"/>
            <w:tcW w:w="8079" w:type="dxa"/>
          </w:tcPr>
          <w:p w:rsidR="00D81C6D" w:rsidRPr="000701A9" w:rsidRDefault="00D81C6D" w:rsidP="006127F2">
            <w:pPr>
              <w:pStyle w:val="TableText"/>
              <w:rPr>
                <w:rFonts w:ascii="Century Gothic" w:hAnsi="Century Gothic" w:cs="Arial"/>
                <w:b w:val="0"/>
              </w:rPr>
            </w:pPr>
            <w:r w:rsidRPr="000701A9">
              <w:rPr>
                <w:rFonts w:ascii="Century Gothic" w:hAnsi="Century Gothic" w:cs="Arial"/>
                <w:b w:val="0"/>
              </w:rPr>
              <w:t xml:space="preserve">The 12-month period during which a volume of water is allocated to a </w:t>
            </w:r>
            <w:r w:rsidRPr="000701A9">
              <w:rPr>
                <w:rFonts w:ascii="Century Gothic" w:hAnsi="Century Gothic" w:cs="Arial"/>
                <w:b w:val="0"/>
                <w:i/>
              </w:rPr>
              <w:t>water right</w:t>
            </w:r>
            <w:r w:rsidRPr="000701A9">
              <w:rPr>
                <w:rFonts w:ascii="Century Gothic" w:hAnsi="Century Gothic" w:cs="Arial"/>
                <w:b w:val="0"/>
              </w:rPr>
              <w:t>. The water year is typically 1 July – 30 June, with some exceptions in the northern Basin.</w:t>
            </w:r>
          </w:p>
        </w:tc>
      </w:tr>
    </w:tbl>
    <w:p w:rsidR="00C0494C" w:rsidRPr="00FB3DFF" w:rsidRDefault="00C0494C" w:rsidP="00FB3DFF">
      <w:pPr>
        <w:pStyle w:val="BPappendixHeading1Left075cmFirstline0cmBo"/>
        <w:numPr>
          <w:ilvl w:val="0"/>
          <w:numId w:val="0"/>
        </w:numPr>
        <w:ind w:left="425" w:right="707"/>
        <w:rPr>
          <w:rFonts w:ascii="Century Gothic" w:hAnsi="Century Gothic"/>
        </w:rPr>
      </w:pPr>
      <w:bookmarkStart w:id="135" w:name="_Toc371409464"/>
      <w:bookmarkStart w:id="136" w:name="_Toc366500059"/>
      <w:r w:rsidRPr="00FB3DFF">
        <w:rPr>
          <w:rFonts w:ascii="Century Gothic" w:hAnsi="Century Gothic"/>
        </w:rPr>
        <w:t>Appendix A</w:t>
      </w:r>
      <w:r w:rsidRPr="00FB3DFF">
        <w:rPr>
          <w:rFonts w:ascii="Century Gothic" w:hAnsi="Century Gothic"/>
        </w:rPr>
        <w:br/>
        <w:t>Overview of the Commonwealth Environmental Water Office</w:t>
      </w:r>
      <w:bookmarkEnd w:id="135"/>
    </w:p>
    <w:bookmarkEnd w:id="136"/>
    <w:p w:rsidR="00C038E7" w:rsidRPr="00FB3DFF" w:rsidRDefault="00C038E7" w:rsidP="00FB3DFF">
      <w:pPr>
        <w:rPr>
          <w:rFonts w:ascii="Century Gothic" w:hAnsi="Century Gothic" w:cs="Arial"/>
          <w:sz w:val="22"/>
          <w:szCs w:val="22"/>
        </w:rPr>
      </w:pPr>
      <w:r w:rsidRPr="00FB3DFF">
        <w:rPr>
          <w:rFonts w:ascii="Century Gothic" w:hAnsi="Century Gothic" w:cs="Arial"/>
          <w:sz w:val="22"/>
          <w:szCs w:val="22"/>
        </w:rPr>
        <w:t xml:space="preserve">The Office operates as a distinct entity within the department and provides support to the </w:t>
      </w:r>
      <w:r w:rsidR="00EE19BE">
        <w:rPr>
          <w:rFonts w:ascii="Century Gothic" w:hAnsi="Century Gothic" w:cs="Arial"/>
          <w:sz w:val="22"/>
          <w:szCs w:val="22"/>
        </w:rPr>
        <w:t>CEWH</w:t>
      </w:r>
      <w:r w:rsidRPr="00FB3DFF">
        <w:rPr>
          <w:rFonts w:ascii="Century Gothic" w:hAnsi="Century Gothic" w:cs="Arial"/>
          <w:sz w:val="22"/>
          <w:szCs w:val="22"/>
        </w:rPr>
        <w:t xml:space="preserve"> in meeting the statutory obligations under the</w:t>
      </w:r>
      <w:r w:rsidR="006127F2">
        <w:rPr>
          <w:rFonts w:ascii="Century Gothic" w:hAnsi="Century Gothic" w:cs="Arial"/>
          <w:sz w:val="22"/>
          <w:szCs w:val="22"/>
        </w:rPr>
        <w:t xml:space="preserve"> Act</w:t>
      </w:r>
      <w:r w:rsidRPr="00FB3DFF">
        <w:rPr>
          <w:rFonts w:ascii="Century Gothic" w:hAnsi="Century Gothic" w:cs="Arial"/>
          <w:sz w:val="22"/>
          <w:szCs w:val="22"/>
        </w:rPr>
        <w:t>.</w:t>
      </w:r>
    </w:p>
    <w:p w:rsidR="000A6D3A" w:rsidRPr="00FB3DFF" w:rsidRDefault="000A6D3A" w:rsidP="00FB3DFF">
      <w:pPr>
        <w:rPr>
          <w:rFonts w:ascii="Century Gothic" w:hAnsi="Century Gothic" w:cs="Arial"/>
          <w:sz w:val="22"/>
          <w:szCs w:val="22"/>
        </w:rPr>
      </w:pPr>
      <w:r w:rsidRPr="00FB3DFF">
        <w:rPr>
          <w:rFonts w:ascii="Century Gothic" w:hAnsi="Century Gothic" w:cs="Arial"/>
          <w:noProof/>
          <w:sz w:val="22"/>
          <w:szCs w:val="22"/>
        </w:rPr>
        <w:drawing>
          <wp:inline distT="0" distB="0" distL="0" distR="0">
            <wp:extent cx="5925820" cy="1719970"/>
            <wp:effectExtent l="38100" t="0" r="7493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0A6D3A" w:rsidRPr="00FB3DFF" w:rsidRDefault="000A6D3A" w:rsidP="00FB3DFF">
      <w:pPr>
        <w:rPr>
          <w:rFonts w:ascii="Century Gothic" w:hAnsi="Century Gothic" w:cs="Arial"/>
          <w:b/>
          <w:sz w:val="22"/>
          <w:szCs w:val="22"/>
        </w:rPr>
      </w:pPr>
      <w:bookmarkStart w:id="137" w:name="_Toc366500060"/>
      <w:r w:rsidRPr="00FB3DFF">
        <w:rPr>
          <w:rFonts w:ascii="Century Gothic" w:hAnsi="Century Gothic" w:cs="Arial"/>
          <w:b/>
          <w:sz w:val="22"/>
          <w:szCs w:val="22"/>
        </w:rPr>
        <w:t>Figure 1.</w:t>
      </w:r>
      <w:r w:rsidRPr="00FB3DFF">
        <w:rPr>
          <w:rFonts w:ascii="Century Gothic" w:hAnsi="Century Gothic" w:cs="Arial"/>
          <w:b/>
          <w:sz w:val="22"/>
          <w:szCs w:val="22"/>
        </w:rPr>
        <w:tab/>
        <w:t>Commonwealth Environmental Water structure</w:t>
      </w:r>
    </w:p>
    <w:p w:rsidR="00C038E7" w:rsidRPr="00FB3DFF" w:rsidRDefault="00C038E7" w:rsidP="00FB3DFF">
      <w:pPr>
        <w:pStyle w:val="Heading3"/>
        <w:rPr>
          <w:rFonts w:ascii="Century Gothic" w:hAnsi="Century Gothic"/>
        </w:rPr>
      </w:pPr>
      <w:bookmarkStart w:id="138" w:name="_Toc366500061"/>
      <w:bookmarkStart w:id="139" w:name="_Toc371409465"/>
      <w:bookmarkEnd w:id="137"/>
      <w:r w:rsidRPr="00FB3DFF">
        <w:rPr>
          <w:rFonts w:ascii="Century Gothic" w:hAnsi="Century Gothic"/>
        </w:rPr>
        <w:t>Environmental Water Delivery Branch</w:t>
      </w:r>
      <w:bookmarkEnd w:id="138"/>
      <w:bookmarkEnd w:id="139"/>
    </w:p>
    <w:p w:rsidR="00C038E7" w:rsidRPr="00FB3DFF" w:rsidRDefault="00C038E7" w:rsidP="00FB3DFF">
      <w:pPr>
        <w:rPr>
          <w:rFonts w:ascii="Century Gothic" w:hAnsi="Century Gothic" w:cs="Arial"/>
          <w:sz w:val="22"/>
          <w:szCs w:val="22"/>
        </w:rPr>
      </w:pPr>
      <w:r w:rsidRPr="00FB3DFF">
        <w:rPr>
          <w:rFonts w:ascii="Century Gothic" w:hAnsi="Century Gothic" w:cs="Arial"/>
          <w:sz w:val="22"/>
          <w:szCs w:val="22"/>
        </w:rPr>
        <w:t xml:space="preserve">The Environmental Water Delivery Branch is responsible for the </w:t>
      </w:r>
      <w:r w:rsidR="009C2A40" w:rsidRPr="00FB3DFF">
        <w:rPr>
          <w:rFonts w:ascii="Century Gothic" w:hAnsi="Century Gothic" w:cs="Arial"/>
          <w:sz w:val="22"/>
          <w:szCs w:val="22"/>
        </w:rPr>
        <w:t>use</w:t>
      </w:r>
      <w:r w:rsidRPr="00FB3DFF">
        <w:rPr>
          <w:rFonts w:ascii="Century Gothic" w:hAnsi="Century Gothic" w:cs="Arial"/>
          <w:sz w:val="22"/>
          <w:szCs w:val="22"/>
        </w:rPr>
        <w:t>, monitoring and evaluation of Commonwealth environmental water use. The branch consists of three sections:</w:t>
      </w:r>
    </w:p>
    <w:p w:rsidR="00C038E7" w:rsidRPr="00FB3DFF" w:rsidRDefault="00C038E7" w:rsidP="00FB3DFF">
      <w:pPr>
        <w:pStyle w:val="ListBullet"/>
        <w:ind w:left="1089"/>
        <w:rPr>
          <w:rFonts w:ascii="Century Gothic" w:hAnsi="Century Gothic" w:cs="Arial"/>
        </w:rPr>
      </w:pPr>
      <w:r w:rsidRPr="00FB3DFF">
        <w:rPr>
          <w:rFonts w:ascii="Century Gothic" w:hAnsi="Century Gothic" w:cs="Arial"/>
        </w:rPr>
        <w:t>Environmental Water Planning</w:t>
      </w:r>
    </w:p>
    <w:p w:rsidR="00C038E7" w:rsidRPr="00FB3DFF" w:rsidRDefault="00C038E7" w:rsidP="00FB3DFF">
      <w:pPr>
        <w:pStyle w:val="ListBullet"/>
        <w:ind w:left="1089"/>
        <w:rPr>
          <w:rFonts w:ascii="Century Gothic" w:hAnsi="Century Gothic" w:cs="Arial"/>
        </w:rPr>
      </w:pPr>
      <w:r w:rsidRPr="00FB3DFF">
        <w:rPr>
          <w:rFonts w:ascii="Century Gothic" w:hAnsi="Century Gothic" w:cs="Arial"/>
        </w:rPr>
        <w:t>Environmental Water Use</w:t>
      </w:r>
    </w:p>
    <w:p w:rsidR="00C038E7" w:rsidRPr="00FB3DFF" w:rsidRDefault="00C038E7" w:rsidP="00FB3DFF">
      <w:pPr>
        <w:pStyle w:val="ListBullet"/>
        <w:ind w:left="1089"/>
        <w:rPr>
          <w:rFonts w:ascii="Century Gothic" w:hAnsi="Century Gothic" w:cs="Arial"/>
        </w:rPr>
      </w:pPr>
      <w:r w:rsidRPr="00FB3DFF">
        <w:rPr>
          <w:rFonts w:ascii="Century Gothic" w:hAnsi="Century Gothic" w:cs="Arial"/>
        </w:rPr>
        <w:t>Monitoring and Evaluation</w:t>
      </w:r>
    </w:p>
    <w:p w:rsidR="00C038E7" w:rsidRPr="00FB3DFF" w:rsidRDefault="00C038E7" w:rsidP="00FB3DFF">
      <w:pPr>
        <w:pStyle w:val="ListBullet"/>
        <w:numPr>
          <w:ilvl w:val="0"/>
          <w:numId w:val="0"/>
        </w:numPr>
        <w:ind w:left="720"/>
        <w:rPr>
          <w:rFonts w:ascii="Century Gothic" w:hAnsi="Century Gothic" w:cs="Arial"/>
        </w:rPr>
      </w:pPr>
      <w:r w:rsidRPr="00FB3DFF">
        <w:rPr>
          <w:rFonts w:ascii="Century Gothic" w:hAnsi="Century Gothic" w:cs="Arial"/>
        </w:rPr>
        <w:t xml:space="preserve">The Environmental Water Planning section is responsible for planning the </w:t>
      </w:r>
      <w:r w:rsidR="009C2A40" w:rsidRPr="00FB3DFF">
        <w:rPr>
          <w:rFonts w:ascii="Century Gothic" w:hAnsi="Century Gothic" w:cs="Arial"/>
        </w:rPr>
        <w:t xml:space="preserve">use </w:t>
      </w:r>
      <w:r w:rsidRPr="00FB3DFF">
        <w:rPr>
          <w:rFonts w:ascii="Century Gothic" w:hAnsi="Century Gothic" w:cs="Arial"/>
        </w:rPr>
        <w:t xml:space="preserve">of </w:t>
      </w:r>
      <w:r w:rsidR="009C2A40" w:rsidRPr="00FB3DFF">
        <w:rPr>
          <w:rFonts w:ascii="Century Gothic" w:hAnsi="Century Gothic" w:cs="Arial"/>
        </w:rPr>
        <w:t xml:space="preserve">Commonwealth </w:t>
      </w:r>
      <w:r w:rsidRPr="00FB3DFF">
        <w:rPr>
          <w:rFonts w:ascii="Century Gothic" w:hAnsi="Century Gothic" w:cs="Arial"/>
        </w:rPr>
        <w:t>environmental water in the Basin.</w:t>
      </w:r>
      <w:r w:rsidR="009C2A40" w:rsidRPr="00FB3DFF">
        <w:rPr>
          <w:rFonts w:ascii="Century Gothic" w:hAnsi="Century Gothic" w:cs="Arial"/>
        </w:rPr>
        <w:t xml:space="preserve"> The section will focus on implementing long-term </w:t>
      </w:r>
      <w:r w:rsidR="00877A9A" w:rsidRPr="00FB3DFF">
        <w:rPr>
          <w:rFonts w:ascii="Century Gothic" w:hAnsi="Century Gothic" w:cs="Arial"/>
        </w:rPr>
        <w:t xml:space="preserve">planning and </w:t>
      </w:r>
      <w:r w:rsidR="009C2A40" w:rsidRPr="00FB3DFF">
        <w:rPr>
          <w:rFonts w:ascii="Century Gothic" w:hAnsi="Century Gothic" w:cs="Arial"/>
        </w:rPr>
        <w:t xml:space="preserve">arrangements to support </w:t>
      </w:r>
      <w:r w:rsidR="00877A9A" w:rsidRPr="00FB3DFF">
        <w:rPr>
          <w:rFonts w:ascii="Century Gothic" w:hAnsi="Century Gothic" w:cs="Arial"/>
        </w:rPr>
        <w:t>decisions</w:t>
      </w:r>
      <w:r w:rsidR="009C2A40" w:rsidRPr="00FB3DFF">
        <w:rPr>
          <w:rFonts w:ascii="Century Gothic" w:hAnsi="Century Gothic" w:cs="Arial"/>
        </w:rPr>
        <w:t xml:space="preserve"> of the </w:t>
      </w:r>
      <w:r w:rsidR="00EE19BE">
        <w:rPr>
          <w:rFonts w:ascii="Century Gothic" w:hAnsi="Century Gothic" w:cs="Arial"/>
        </w:rPr>
        <w:t>CEWH.</w:t>
      </w:r>
    </w:p>
    <w:p w:rsidR="00C038E7" w:rsidRPr="00FB3DFF" w:rsidRDefault="00C038E7" w:rsidP="00FB3DFF">
      <w:pPr>
        <w:pStyle w:val="ListBullet"/>
        <w:numPr>
          <w:ilvl w:val="0"/>
          <w:numId w:val="0"/>
        </w:numPr>
        <w:ind w:left="720"/>
        <w:rPr>
          <w:rFonts w:ascii="Century Gothic" w:hAnsi="Century Gothic" w:cs="Arial"/>
        </w:rPr>
      </w:pPr>
      <w:r w:rsidRPr="00FB3DFF">
        <w:rPr>
          <w:rFonts w:ascii="Century Gothic" w:hAnsi="Century Gothic" w:cs="Arial"/>
        </w:rPr>
        <w:t xml:space="preserve">The Environmental Water Use section is responsible for </w:t>
      </w:r>
      <w:r w:rsidR="009C2A40" w:rsidRPr="00FB3DFF">
        <w:rPr>
          <w:rFonts w:ascii="Century Gothic" w:hAnsi="Century Gothic" w:cs="Arial"/>
        </w:rPr>
        <w:t>making water available for use throughout the</w:t>
      </w:r>
      <w:r w:rsidRPr="00FB3DFF">
        <w:rPr>
          <w:rFonts w:ascii="Century Gothic" w:hAnsi="Century Gothic" w:cs="Arial"/>
        </w:rPr>
        <w:t xml:space="preserve"> Basin. </w:t>
      </w:r>
      <w:r w:rsidR="00877A9A" w:rsidRPr="00FB3DFF">
        <w:rPr>
          <w:rFonts w:ascii="Century Gothic" w:hAnsi="Century Gothic" w:cs="Arial"/>
        </w:rPr>
        <w:t xml:space="preserve">The priority for this section is the efficient and effective use of Commonwealth environmental water in 2013-14. </w:t>
      </w:r>
      <w:r w:rsidRPr="00FB3DFF">
        <w:rPr>
          <w:rFonts w:ascii="Century Gothic" w:hAnsi="Century Gothic" w:cs="Arial"/>
        </w:rPr>
        <w:t xml:space="preserve">The section also </w:t>
      </w:r>
      <w:r w:rsidR="009C2A40" w:rsidRPr="00FB3DFF">
        <w:rPr>
          <w:rFonts w:ascii="Century Gothic" w:hAnsi="Century Gothic" w:cs="Arial"/>
        </w:rPr>
        <w:t xml:space="preserve">includes the </w:t>
      </w:r>
      <w:r w:rsidRPr="00FB3DFF">
        <w:rPr>
          <w:rFonts w:ascii="Century Gothic" w:hAnsi="Century Gothic" w:cs="Arial"/>
        </w:rPr>
        <w:t>O</w:t>
      </w:r>
      <w:r w:rsidR="00EE19BE">
        <w:rPr>
          <w:rFonts w:ascii="Century Gothic" w:hAnsi="Century Gothic" w:cs="Arial"/>
        </w:rPr>
        <w:t>ffice</w:t>
      </w:r>
      <w:r w:rsidR="009C2A40" w:rsidRPr="00FB3DFF">
        <w:rPr>
          <w:rFonts w:ascii="Century Gothic" w:hAnsi="Century Gothic" w:cs="Arial"/>
        </w:rPr>
        <w:t>’s</w:t>
      </w:r>
      <w:r w:rsidRPr="00FB3DFF">
        <w:rPr>
          <w:rFonts w:ascii="Century Gothic" w:hAnsi="Century Gothic" w:cs="Arial"/>
        </w:rPr>
        <w:t xml:space="preserve"> local engagement officers.</w:t>
      </w:r>
    </w:p>
    <w:p w:rsidR="00C038E7" w:rsidRPr="00FB3DFF" w:rsidRDefault="00C038E7" w:rsidP="00FB3DFF">
      <w:pPr>
        <w:pStyle w:val="ListBullet"/>
        <w:numPr>
          <w:ilvl w:val="0"/>
          <w:numId w:val="0"/>
        </w:numPr>
        <w:ind w:left="720"/>
        <w:rPr>
          <w:rFonts w:ascii="Century Gothic" w:hAnsi="Century Gothic" w:cs="Arial"/>
        </w:rPr>
      </w:pPr>
      <w:r w:rsidRPr="00FB3DFF">
        <w:rPr>
          <w:rFonts w:ascii="Century Gothic" w:hAnsi="Century Gothic" w:cs="Arial"/>
        </w:rPr>
        <w:t>The Monitoring and Evaluation section is responsible for the evaluation of the uses of Commonwealth environmental water, reporting and information management.</w:t>
      </w:r>
    </w:p>
    <w:p w:rsidR="00DF1E44" w:rsidRPr="00FB3DFF" w:rsidRDefault="00DF1E44" w:rsidP="00FB3DFF">
      <w:pPr>
        <w:spacing w:after="0"/>
        <w:ind w:left="0"/>
        <w:rPr>
          <w:rFonts w:ascii="Century Gothic" w:eastAsia="Calibri" w:hAnsi="Century Gothic" w:cs="Arial"/>
          <w:color w:val="auto"/>
          <w:sz w:val="22"/>
          <w:szCs w:val="22"/>
          <w:lang w:eastAsia="en-US"/>
        </w:rPr>
      </w:pPr>
      <w:r w:rsidRPr="00FB3DFF">
        <w:rPr>
          <w:rFonts w:ascii="Century Gothic" w:hAnsi="Century Gothic" w:cs="Arial"/>
        </w:rPr>
        <w:br w:type="page"/>
      </w:r>
    </w:p>
    <w:p w:rsidR="00C038E7" w:rsidRPr="00FB3DFF" w:rsidRDefault="00C038E7" w:rsidP="00FB3DFF">
      <w:pPr>
        <w:pStyle w:val="Heading3"/>
        <w:rPr>
          <w:rFonts w:ascii="Century Gothic" w:hAnsi="Century Gothic"/>
        </w:rPr>
      </w:pPr>
      <w:bookmarkStart w:id="140" w:name="_Toc366500062"/>
      <w:bookmarkStart w:id="141" w:name="_Toc371409466"/>
      <w:r w:rsidRPr="00FB3DFF">
        <w:rPr>
          <w:rFonts w:ascii="Century Gothic" w:hAnsi="Century Gothic"/>
        </w:rPr>
        <w:t>Policy, Community Engagement and Portfolio Management Branch</w:t>
      </w:r>
      <w:bookmarkEnd w:id="140"/>
      <w:bookmarkEnd w:id="141"/>
    </w:p>
    <w:p w:rsidR="00C038E7" w:rsidRPr="00FB3DFF" w:rsidRDefault="00C038E7" w:rsidP="00FB3DFF">
      <w:pPr>
        <w:rPr>
          <w:rFonts w:ascii="Century Gothic" w:eastAsia="Calibri" w:hAnsi="Century Gothic"/>
          <w:color w:val="auto"/>
          <w:sz w:val="22"/>
          <w:szCs w:val="22"/>
          <w:lang w:eastAsia="en-US"/>
        </w:rPr>
      </w:pPr>
      <w:r w:rsidRPr="00FB3DFF">
        <w:rPr>
          <w:rFonts w:ascii="Century Gothic" w:eastAsia="Calibri" w:hAnsi="Century Gothic"/>
          <w:color w:val="auto"/>
          <w:sz w:val="22"/>
          <w:szCs w:val="22"/>
          <w:lang w:eastAsia="en-US"/>
        </w:rPr>
        <w:t>The Policy, Community Engagement and Portfolio Management Branch is responsible for managing the portfolio of Commonwealth environmental water assets and providing policy advice in support of the C</w:t>
      </w:r>
      <w:r w:rsidR="00EE19BE">
        <w:rPr>
          <w:rFonts w:ascii="Century Gothic" w:eastAsia="Calibri" w:hAnsi="Century Gothic"/>
          <w:color w:val="auto"/>
          <w:sz w:val="22"/>
          <w:szCs w:val="22"/>
          <w:lang w:eastAsia="en-US"/>
        </w:rPr>
        <w:t>EWH</w:t>
      </w:r>
      <w:r w:rsidRPr="00FB3DFF">
        <w:rPr>
          <w:rFonts w:ascii="Century Gothic" w:eastAsia="Calibri" w:hAnsi="Century Gothic"/>
          <w:color w:val="auto"/>
          <w:sz w:val="22"/>
          <w:szCs w:val="22"/>
          <w:lang w:eastAsia="en-US"/>
        </w:rPr>
        <w:t>. The branch consists of three sections:</w:t>
      </w:r>
    </w:p>
    <w:p w:rsidR="00C038E7" w:rsidRPr="00FB3DFF" w:rsidRDefault="00C038E7" w:rsidP="00FB3DFF">
      <w:pPr>
        <w:pStyle w:val="ListBullet"/>
        <w:ind w:left="1089"/>
        <w:rPr>
          <w:rFonts w:ascii="Century Gothic" w:hAnsi="Century Gothic"/>
        </w:rPr>
      </w:pPr>
      <w:r w:rsidRPr="00FB3DFF">
        <w:rPr>
          <w:rFonts w:ascii="Century Gothic" w:hAnsi="Century Gothic"/>
        </w:rPr>
        <w:t>Environmental Water Policy</w:t>
      </w:r>
    </w:p>
    <w:p w:rsidR="00C038E7" w:rsidRPr="00FB3DFF" w:rsidRDefault="00C038E7" w:rsidP="00FB3DFF">
      <w:pPr>
        <w:pStyle w:val="ListBullet"/>
        <w:ind w:left="1089"/>
        <w:rPr>
          <w:rFonts w:ascii="Century Gothic" w:hAnsi="Century Gothic"/>
        </w:rPr>
      </w:pPr>
      <w:r w:rsidRPr="00FB3DFF">
        <w:rPr>
          <w:rFonts w:ascii="Century Gothic" w:hAnsi="Century Gothic"/>
        </w:rPr>
        <w:t xml:space="preserve">Portfolio Management </w:t>
      </w:r>
    </w:p>
    <w:p w:rsidR="00C038E7" w:rsidRPr="00FB3DFF" w:rsidRDefault="00C038E7" w:rsidP="00FB3DFF">
      <w:pPr>
        <w:pStyle w:val="ListBullet"/>
        <w:ind w:left="1089"/>
        <w:rPr>
          <w:rFonts w:ascii="Century Gothic" w:hAnsi="Century Gothic"/>
        </w:rPr>
      </w:pPr>
      <w:r w:rsidRPr="00FB3DFF">
        <w:rPr>
          <w:rFonts w:ascii="Century Gothic" w:hAnsi="Century Gothic"/>
        </w:rPr>
        <w:t>Community Engagement and Communications</w:t>
      </w:r>
    </w:p>
    <w:p w:rsidR="00AC500D" w:rsidRPr="00FB3DFF" w:rsidRDefault="00AC500D" w:rsidP="00FB3DFF">
      <w:pPr>
        <w:pStyle w:val="ListBullet"/>
        <w:numPr>
          <w:ilvl w:val="0"/>
          <w:numId w:val="0"/>
        </w:numPr>
        <w:ind w:left="720"/>
        <w:rPr>
          <w:rFonts w:ascii="Century Gothic" w:hAnsi="Century Gothic"/>
        </w:rPr>
      </w:pPr>
      <w:r w:rsidRPr="00FB3DFF">
        <w:rPr>
          <w:rFonts w:ascii="Century Gothic" w:hAnsi="Century Gothic"/>
        </w:rPr>
        <w:t xml:space="preserve">The Environmental Water Policy section provides policy advice on approaches for more efficient and effective management of environmental water, including the development of planning </w:t>
      </w:r>
      <w:r w:rsidR="00541214" w:rsidRPr="00FB3DFF">
        <w:rPr>
          <w:rFonts w:ascii="Century Gothic" w:hAnsi="Century Gothic"/>
        </w:rPr>
        <w:t>and decision making frameworks,</w:t>
      </w:r>
      <w:r w:rsidRPr="00FB3DFF">
        <w:rPr>
          <w:rFonts w:ascii="Century Gothic" w:hAnsi="Century Gothic"/>
        </w:rPr>
        <w:t xml:space="preserve"> risk management, and alignment with Basin Plan requirements.</w:t>
      </w:r>
    </w:p>
    <w:p w:rsidR="00C038E7" w:rsidRPr="00FB3DFF" w:rsidRDefault="00C038E7" w:rsidP="00FB3DFF">
      <w:pPr>
        <w:pStyle w:val="ListBullet"/>
        <w:numPr>
          <w:ilvl w:val="0"/>
          <w:numId w:val="0"/>
        </w:numPr>
        <w:ind w:left="720"/>
        <w:rPr>
          <w:rFonts w:ascii="Century Gothic" w:hAnsi="Century Gothic"/>
        </w:rPr>
      </w:pPr>
      <w:r w:rsidRPr="00FB3DFF">
        <w:rPr>
          <w:rFonts w:ascii="Century Gothic" w:hAnsi="Century Gothic"/>
        </w:rPr>
        <w:t>The Portfolio Management section advises on management of the water portfolio, including its composition, acquisitions, trading and carryover strategies. The section is also responsible for the administration of the water holdings register and the Environmental Water Holdings Special Account. This includes budgeting for, and reporting on, the holdings and associated costs. The section also administers water transfers to make water available for delivery to implement trading actions.</w:t>
      </w:r>
    </w:p>
    <w:p w:rsidR="00C038E7" w:rsidRPr="00FB3DFF" w:rsidRDefault="00C038E7" w:rsidP="00FB3DFF">
      <w:pPr>
        <w:pStyle w:val="ListBullet"/>
        <w:numPr>
          <w:ilvl w:val="0"/>
          <w:numId w:val="0"/>
        </w:numPr>
        <w:ind w:left="720"/>
        <w:rPr>
          <w:rFonts w:ascii="Century Gothic" w:hAnsi="Century Gothic"/>
        </w:rPr>
      </w:pPr>
      <w:r w:rsidRPr="00FB3DFF">
        <w:rPr>
          <w:rFonts w:ascii="Century Gothic" w:hAnsi="Century Gothic"/>
        </w:rPr>
        <w:t>The Community Engagement and Communications section is responsible for managing stakeholder engagement activities, and for the preparation of public reporting, including the annual report, outcomes report and website information.</w:t>
      </w:r>
    </w:p>
    <w:p w:rsidR="00C038E7" w:rsidRPr="00FB3DFF" w:rsidRDefault="00C038E7" w:rsidP="00FB3DFF">
      <w:pPr>
        <w:spacing w:after="0"/>
        <w:rPr>
          <w:rFonts w:ascii="Century Gothic" w:hAnsi="Century Gothic" w:cs="Arial"/>
          <w:b/>
          <w:color w:val="808080" w:themeColor="background1" w:themeShade="80"/>
          <w:sz w:val="40"/>
        </w:rPr>
      </w:pPr>
      <w:r w:rsidRPr="00FB3DFF">
        <w:rPr>
          <w:rFonts w:ascii="Century Gothic" w:hAnsi="Century Gothic"/>
        </w:rPr>
        <w:br w:type="page"/>
      </w:r>
    </w:p>
    <w:p w:rsidR="00AC7681" w:rsidRPr="00FB3DFF" w:rsidRDefault="00C0494C" w:rsidP="00FB3DFF">
      <w:pPr>
        <w:pStyle w:val="BPappendixHeading1Left075cmFirstline0cmBo"/>
        <w:numPr>
          <w:ilvl w:val="0"/>
          <w:numId w:val="0"/>
        </w:numPr>
        <w:ind w:left="425" w:right="707"/>
        <w:rPr>
          <w:rFonts w:ascii="Century Gothic" w:hAnsi="Century Gothic"/>
        </w:rPr>
      </w:pPr>
      <w:bookmarkStart w:id="142" w:name="_Toc333227736"/>
      <w:bookmarkStart w:id="143" w:name="_Toc371409467"/>
      <w:r w:rsidRPr="00FB3DFF">
        <w:rPr>
          <w:rFonts w:ascii="Century Gothic" w:hAnsi="Century Gothic"/>
        </w:rPr>
        <w:t>Appendix B</w:t>
      </w:r>
      <w:r w:rsidR="00AC7681" w:rsidRPr="00FB3DFF">
        <w:rPr>
          <w:rFonts w:ascii="Century Gothic" w:hAnsi="Century Gothic"/>
        </w:rPr>
        <w:br/>
      </w:r>
      <w:r w:rsidR="00546927" w:rsidRPr="00FB3DFF">
        <w:rPr>
          <w:rFonts w:ascii="Century Gothic" w:hAnsi="Century Gothic"/>
        </w:rPr>
        <w:t xml:space="preserve">Environmental Water </w:t>
      </w:r>
      <w:r w:rsidR="00AC7681" w:rsidRPr="00FB3DFF">
        <w:rPr>
          <w:rFonts w:ascii="Century Gothic" w:hAnsi="Century Gothic"/>
        </w:rPr>
        <w:t>Partners</w:t>
      </w:r>
      <w:bookmarkEnd w:id="142"/>
      <w:bookmarkEnd w:id="143"/>
    </w:p>
    <w:p w:rsidR="00B77F98" w:rsidRPr="00FB3DFF" w:rsidRDefault="00B77F98" w:rsidP="00FB3DFF">
      <w:pPr>
        <w:tabs>
          <w:tab w:val="num" w:pos="709"/>
        </w:tabs>
        <w:ind w:left="709" w:firstLine="11"/>
        <w:rPr>
          <w:rFonts w:ascii="Century Gothic" w:hAnsi="Century Gothic" w:cs="Arial"/>
        </w:rPr>
      </w:pPr>
      <w:r w:rsidRPr="00FB3DFF">
        <w:rPr>
          <w:rFonts w:ascii="Century Gothic" w:hAnsi="Century Gothic" w:cs="Arial"/>
        </w:rPr>
        <w:t>“</w:t>
      </w:r>
      <w:r w:rsidR="00546927" w:rsidRPr="00FB3DFF">
        <w:rPr>
          <w:rFonts w:ascii="Century Gothic" w:hAnsi="Century Gothic" w:cs="Arial"/>
        </w:rPr>
        <w:t>Environmental Water</w:t>
      </w:r>
      <w:r w:rsidR="00546927" w:rsidRPr="00FB3DFF">
        <w:rPr>
          <w:rFonts w:ascii="Century Gothic" w:hAnsi="Century Gothic" w:cs="Arial"/>
          <w:sz w:val="20"/>
        </w:rPr>
        <w:t xml:space="preserve"> </w:t>
      </w:r>
      <w:r w:rsidRPr="00FB3DFF">
        <w:rPr>
          <w:rFonts w:ascii="Century Gothic" w:hAnsi="Century Gothic" w:cs="Arial"/>
        </w:rPr>
        <w:t>Partners” means: any</w:t>
      </w:r>
      <w:r w:rsidR="00BD4042" w:rsidRPr="00FB3DFF">
        <w:rPr>
          <w:rFonts w:ascii="Century Gothic" w:hAnsi="Century Gothic" w:cs="Arial"/>
        </w:rPr>
        <w:t xml:space="preserve"> person or entity with which there is a</w:t>
      </w:r>
      <w:r w:rsidRPr="00FB3DFF">
        <w:rPr>
          <w:rFonts w:ascii="Century Gothic" w:hAnsi="Century Gothic" w:cs="Arial"/>
        </w:rPr>
        <w:t xml:space="preserve"> relationship</w:t>
      </w:r>
      <w:r w:rsidR="00BD4042" w:rsidRPr="00FB3DFF">
        <w:rPr>
          <w:rFonts w:ascii="Century Gothic" w:hAnsi="Century Gothic" w:cs="Arial"/>
        </w:rPr>
        <w:t xml:space="preserve"> that </w:t>
      </w:r>
      <w:r w:rsidRPr="00FB3DFF">
        <w:rPr>
          <w:rFonts w:ascii="Century Gothic" w:hAnsi="Century Gothic" w:cs="Arial"/>
        </w:rPr>
        <w:t>supports the management of Commonwealth environmental water</w:t>
      </w:r>
      <w:r w:rsidR="00546927" w:rsidRPr="00FB3DFF">
        <w:rPr>
          <w:rFonts w:ascii="Century Gothic" w:hAnsi="Century Gothic" w:cs="Arial"/>
        </w:rPr>
        <w:t>, including entities engaged indirectly through other partners</w:t>
      </w:r>
      <w:r w:rsidRPr="00FB3DFF">
        <w:rPr>
          <w:rFonts w:ascii="Century Gothic" w:hAnsi="Century Gothic" w:cs="Arial"/>
        </w:rPr>
        <w:t xml:space="preserve">. </w:t>
      </w:r>
    </w:p>
    <w:p w:rsidR="00AC7681" w:rsidRPr="00FB3DFF" w:rsidRDefault="00AC7681" w:rsidP="00FB3DFF">
      <w:pPr>
        <w:pStyle w:val="Heading4"/>
        <w:spacing w:after="240"/>
        <w:ind w:left="709"/>
        <w:rPr>
          <w:rFonts w:ascii="Century Gothic" w:hAnsi="Century Gothic"/>
          <w:sz w:val="24"/>
          <w:szCs w:val="24"/>
          <w:u w:val="single"/>
        </w:rPr>
      </w:pPr>
      <w:r w:rsidRPr="00FB3DFF">
        <w:rPr>
          <w:rFonts w:ascii="Century Gothic" w:hAnsi="Century Gothic"/>
          <w:sz w:val="24"/>
          <w:szCs w:val="24"/>
          <w:u w:val="single"/>
        </w:rPr>
        <w:t>South Australia</w:t>
      </w:r>
    </w:p>
    <w:p w:rsidR="00AC500D" w:rsidRPr="00FB3DFF" w:rsidRDefault="00AC500D"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SA Water</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Department of Environment, Water and Natural Resources</w:t>
      </w:r>
    </w:p>
    <w:p w:rsidR="00A30314" w:rsidRPr="00FB3DFF" w:rsidRDefault="00A30314" w:rsidP="00FB3DFF">
      <w:pPr>
        <w:rPr>
          <w:rStyle w:val="Strong"/>
          <w:rFonts w:ascii="Century Gothic" w:hAnsi="Century Gothic" w:cs="Arial"/>
          <w:i/>
        </w:rPr>
      </w:pPr>
      <w:r w:rsidRPr="00FB3DFF">
        <w:rPr>
          <w:rStyle w:val="Strong"/>
          <w:rFonts w:ascii="Century Gothic" w:hAnsi="Century Gothic" w:cs="Arial"/>
          <w:i/>
        </w:rPr>
        <w:t>Regional and local land managers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South Australian Murray-Darling Basin Natural Resource Management Board</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Overland Corner Branch of the Natural Heritage Trust</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Overland Corner Wetland Rehabilitation Group</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Wetlands Habitat Trust and Paiwalla Pty Ltd</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Nature Foundation SA</w:t>
      </w:r>
    </w:p>
    <w:p w:rsidR="00A30314" w:rsidRPr="00FB3DFF" w:rsidRDefault="00A30314" w:rsidP="00FB3DFF">
      <w:pPr>
        <w:pStyle w:val="Heading4"/>
        <w:spacing w:after="240"/>
        <w:ind w:left="709"/>
        <w:rPr>
          <w:rFonts w:ascii="Century Gothic" w:hAnsi="Century Gothic"/>
          <w:sz w:val="24"/>
          <w:szCs w:val="24"/>
          <w:u w:val="single"/>
        </w:rPr>
      </w:pPr>
      <w:r w:rsidRPr="00FB3DFF">
        <w:rPr>
          <w:rFonts w:ascii="Century Gothic" w:hAnsi="Century Gothic"/>
          <w:bCs w:val="0"/>
          <w:sz w:val="24"/>
          <w:szCs w:val="24"/>
          <w:u w:val="single"/>
        </w:rPr>
        <w:t>Victoria</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Department of Environment</w:t>
      </w:r>
      <w:r w:rsidR="00AC500D" w:rsidRPr="00FB3DFF">
        <w:rPr>
          <w:rFonts w:ascii="Century Gothic" w:hAnsi="Century Gothic" w:cs="Arial"/>
        </w:rPr>
        <w:t xml:space="preserve"> and Primary Industries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Parks Victoria</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Victorian Environmental Water Holder</w:t>
      </w:r>
    </w:p>
    <w:p w:rsidR="00A30314" w:rsidRPr="00FB3DFF" w:rsidRDefault="00A30314" w:rsidP="00FB3DFF">
      <w:pPr>
        <w:rPr>
          <w:rStyle w:val="Strong"/>
          <w:rFonts w:ascii="Century Gothic" w:hAnsi="Century Gothic" w:cs="Arial"/>
          <w:i/>
        </w:rPr>
      </w:pPr>
      <w:r w:rsidRPr="00FB3DFF">
        <w:rPr>
          <w:rStyle w:val="Strong"/>
          <w:rFonts w:ascii="Century Gothic" w:hAnsi="Century Gothic" w:cs="Arial"/>
          <w:i/>
        </w:rPr>
        <w:t>Regional and local land managers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Mallee Catchment Management Authority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Overland Corner Branch of the Natural Heritage Trust</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North East Catchment Management Authority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Goulburn-Broken Catchment Management Authority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Sunraysia Bird Monitors</w:t>
      </w:r>
    </w:p>
    <w:p w:rsidR="00A30314" w:rsidRPr="00FB3DFF" w:rsidRDefault="00A30314" w:rsidP="00FB3DFF">
      <w:pPr>
        <w:rPr>
          <w:rStyle w:val="Strong"/>
          <w:rFonts w:ascii="Century Gothic" w:hAnsi="Century Gothic" w:cs="Arial"/>
          <w:i/>
        </w:rPr>
      </w:pPr>
      <w:r w:rsidRPr="00FB3DFF">
        <w:rPr>
          <w:rStyle w:val="Strong"/>
          <w:rFonts w:ascii="Century Gothic" w:hAnsi="Century Gothic" w:cs="Arial"/>
          <w:i/>
        </w:rPr>
        <w:t>Water management authority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Goulburn-Murray Water</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Coliban Water</w:t>
      </w:r>
    </w:p>
    <w:p w:rsidR="00A30314" w:rsidRPr="00FB3DFF" w:rsidRDefault="00A8093F" w:rsidP="00FB3DFF">
      <w:pPr>
        <w:pStyle w:val="ListBullet"/>
        <w:numPr>
          <w:ilvl w:val="0"/>
          <w:numId w:val="0"/>
        </w:numPr>
        <w:ind w:left="710"/>
        <w:rPr>
          <w:rFonts w:ascii="Century Gothic" w:hAnsi="Century Gothic"/>
          <w:b/>
          <w:sz w:val="24"/>
          <w:szCs w:val="24"/>
          <w:u w:val="single"/>
        </w:rPr>
      </w:pPr>
      <w:r w:rsidRPr="00FB3DFF">
        <w:rPr>
          <w:rFonts w:ascii="Century Gothic" w:hAnsi="Century Gothic"/>
        </w:rPr>
        <w:br w:type="page"/>
      </w:r>
      <w:r w:rsidR="00A30314" w:rsidRPr="00FB3DFF">
        <w:rPr>
          <w:rFonts w:ascii="Century Gothic" w:hAnsi="Century Gothic"/>
          <w:b/>
          <w:sz w:val="24"/>
          <w:szCs w:val="24"/>
          <w:u w:val="single"/>
        </w:rPr>
        <w:t>New South Wales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Office of Environment and Heritage (including NSW Parks and Wildlife Service) – Department of Premier and Cabinet</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NSW Office of Water (Department of Primary Industries)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NSW Fisheries (Department of Primary Industries)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New South Wales Department of Trade and Investment, Regional Infrastructure and Services (NSW Trade &amp; Investment)</w:t>
      </w:r>
    </w:p>
    <w:p w:rsidR="00A30314" w:rsidRPr="00FB3DFF" w:rsidRDefault="00A30314" w:rsidP="00FB3DFF">
      <w:pPr>
        <w:rPr>
          <w:rStyle w:val="Strong"/>
          <w:rFonts w:ascii="Century Gothic" w:hAnsi="Century Gothic" w:cs="Arial"/>
          <w:i/>
        </w:rPr>
      </w:pPr>
      <w:r w:rsidRPr="00FB3DFF">
        <w:rPr>
          <w:rStyle w:val="Strong"/>
          <w:rFonts w:ascii="Century Gothic" w:hAnsi="Century Gothic" w:cs="Arial"/>
          <w:i/>
        </w:rPr>
        <w:t>Regional and local land managers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Murrumbidgee Catchment Management Authority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Murray Catchment Management Authority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Central West Catchment Management Authority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Lachlan CMA</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Namoi CMA</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Border Rivers-Gwydir CMA</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Western CMA</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Murray-Darling Wetlands Ltd</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Forests NSW</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Private landholders</w:t>
      </w:r>
    </w:p>
    <w:p w:rsidR="00A30314" w:rsidRPr="00FB3DFF" w:rsidRDefault="00A30314" w:rsidP="00FB3DFF">
      <w:pPr>
        <w:rPr>
          <w:rStyle w:val="Strong"/>
          <w:rFonts w:ascii="Century Gothic" w:hAnsi="Century Gothic" w:cs="Arial"/>
          <w:i/>
        </w:rPr>
      </w:pPr>
      <w:r w:rsidRPr="00FB3DFF">
        <w:rPr>
          <w:rStyle w:val="Strong"/>
          <w:rFonts w:ascii="Century Gothic" w:hAnsi="Century Gothic" w:cs="Arial"/>
          <w:i/>
        </w:rPr>
        <w:t>Local Environmental Water Advisory Groups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Lachlan Riverine Working Group</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Macquarie Environmental Flows Reference Group</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Gwydir Environmental Contingency Allowance Operational Advisory Committee</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Border Rivers Environmental Water Network</w:t>
      </w:r>
    </w:p>
    <w:p w:rsidR="00A30314" w:rsidRPr="00FB3DFF" w:rsidRDefault="00A30314" w:rsidP="00FB3DFF">
      <w:pPr>
        <w:rPr>
          <w:rStyle w:val="Strong"/>
          <w:rFonts w:ascii="Century Gothic" w:hAnsi="Century Gothic" w:cs="Arial"/>
          <w:i/>
        </w:rPr>
      </w:pPr>
      <w:r w:rsidRPr="00FB3DFF">
        <w:rPr>
          <w:rStyle w:val="Strong"/>
          <w:rFonts w:ascii="Century Gothic" w:hAnsi="Century Gothic" w:cs="Arial"/>
          <w:i/>
        </w:rPr>
        <w:t>Water management authority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NSW State Water Corporation</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Murray Irrigation Limited</w:t>
      </w:r>
    </w:p>
    <w:p w:rsidR="00DF1E4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Murrumbidgee Irrigation Limited</w:t>
      </w:r>
    </w:p>
    <w:p w:rsidR="00DF1E44" w:rsidRPr="00FB3DFF" w:rsidRDefault="00DF1E44" w:rsidP="00FB3DFF">
      <w:pPr>
        <w:spacing w:after="0"/>
        <w:ind w:left="0"/>
        <w:rPr>
          <w:rFonts w:ascii="Century Gothic" w:hAnsi="Century Gothic" w:cs="Arial"/>
        </w:rPr>
      </w:pPr>
      <w:r w:rsidRPr="00FB3DFF">
        <w:rPr>
          <w:rFonts w:ascii="Century Gothic" w:hAnsi="Century Gothic" w:cs="Arial"/>
        </w:rPr>
        <w:br w:type="page"/>
      </w:r>
    </w:p>
    <w:p w:rsidR="00A30314" w:rsidRPr="00FB3DFF" w:rsidRDefault="00A30314" w:rsidP="00FB3DFF">
      <w:pPr>
        <w:pStyle w:val="Heading4"/>
        <w:spacing w:after="240"/>
        <w:ind w:left="709"/>
        <w:rPr>
          <w:rFonts w:ascii="Century Gothic" w:hAnsi="Century Gothic"/>
          <w:sz w:val="24"/>
          <w:szCs w:val="24"/>
          <w:u w:val="single"/>
        </w:rPr>
      </w:pPr>
      <w:r w:rsidRPr="00FB3DFF">
        <w:rPr>
          <w:rFonts w:ascii="Century Gothic" w:hAnsi="Century Gothic"/>
          <w:bCs w:val="0"/>
          <w:sz w:val="24"/>
          <w:szCs w:val="24"/>
          <w:u w:val="single"/>
        </w:rPr>
        <w:t>Queensland</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Department of Natural Resources and Mines (also a water management authority)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Department of Environment and Heritage Protection</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Department Agriculture, Fisheries and Forestry</w:t>
      </w:r>
    </w:p>
    <w:p w:rsidR="00A30314" w:rsidRPr="00FB3DFF" w:rsidRDefault="00A30314" w:rsidP="00FB3DFF">
      <w:pPr>
        <w:rPr>
          <w:rStyle w:val="Strong"/>
          <w:rFonts w:ascii="Century Gothic" w:hAnsi="Century Gothic" w:cs="Arial"/>
          <w:i/>
        </w:rPr>
      </w:pPr>
      <w:r w:rsidRPr="00FB3DFF">
        <w:rPr>
          <w:rStyle w:val="Strong"/>
          <w:rFonts w:ascii="Century Gothic" w:hAnsi="Century Gothic" w:cs="Arial"/>
          <w:i/>
        </w:rPr>
        <w:t>Water management authority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Sunwater</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Border Rivers Commission</w:t>
      </w:r>
    </w:p>
    <w:p w:rsidR="00A30314" w:rsidRPr="00FB3DFF" w:rsidRDefault="00A30314" w:rsidP="00FB3DFF">
      <w:pPr>
        <w:rPr>
          <w:rStyle w:val="Strong"/>
          <w:rFonts w:ascii="Century Gothic" w:hAnsi="Century Gothic" w:cs="Arial"/>
          <w:i/>
        </w:rPr>
      </w:pPr>
      <w:r w:rsidRPr="00FB3DFF">
        <w:rPr>
          <w:rStyle w:val="Strong"/>
          <w:rFonts w:ascii="Century Gothic" w:hAnsi="Century Gothic" w:cs="Arial"/>
          <w:i/>
        </w:rPr>
        <w:t>Regional and local land managers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Queensland Murray-Darling Committee IncSouth West NRM Ltd</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The Condamine Alliance</w:t>
      </w:r>
    </w:p>
    <w:p w:rsidR="00A30314" w:rsidRPr="00FB3DFF" w:rsidRDefault="00A30314" w:rsidP="00FB3DFF">
      <w:pPr>
        <w:ind w:left="709"/>
        <w:rPr>
          <w:rStyle w:val="Strong"/>
          <w:rFonts w:ascii="Century Gothic" w:hAnsi="Century Gothic" w:cs="Arial"/>
          <w:b w:val="0"/>
          <w:bCs w:val="0"/>
          <w:i/>
        </w:rPr>
      </w:pPr>
      <w:r w:rsidRPr="00FB3DFF">
        <w:rPr>
          <w:rStyle w:val="Strong"/>
          <w:rFonts w:ascii="Century Gothic" w:hAnsi="Century Gothic" w:cs="Arial"/>
          <w:i/>
        </w:rPr>
        <w:t>Local Environmental Water Advisory Groups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Border Rivers Environmental Water Network</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Lower Balonne Local Water Network (nascent)</w:t>
      </w:r>
    </w:p>
    <w:p w:rsidR="00A30314" w:rsidRPr="00FB3DFF" w:rsidRDefault="00A30314" w:rsidP="00FB3DFF">
      <w:pPr>
        <w:pStyle w:val="Heading4"/>
        <w:spacing w:after="240"/>
        <w:ind w:left="709"/>
        <w:rPr>
          <w:rFonts w:ascii="Century Gothic" w:hAnsi="Century Gothic"/>
          <w:bCs w:val="0"/>
          <w:sz w:val="24"/>
          <w:szCs w:val="24"/>
          <w:u w:val="single"/>
        </w:rPr>
      </w:pPr>
      <w:r w:rsidRPr="00FB3DFF">
        <w:rPr>
          <w:rFonts w:ascii="Century Gothic" w:hAnsi="Century Gothic"/>
          <w:bCs w:val="0"/>
          <w:sz w:val="24"/>
          <w:szCs w:val="24"/>
          <w:u w:val="single"/>
        </w:rPr>
        <w:t>Research Institutions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Murray-Darling Freshwater Research Centre</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Charles Sturt University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University of New South Wales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CSIRO</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South Australian Research and Development Institute</w:t>
      </w:r>
    </w:p>
    <w:p w:rsidR="00A30314" w:rsidRPr="00FB3DFF" w:rsidRDefault="00A30314" w:rsidP="00FB3DFF">
      <w:pPr>
        <w:pStyle w:val="Heading4"/>
        <w:spacing w:after="240"/>
        <w:ind w:left="709"/>
        <w:rPr>
          <w:rFonts w:ascii="Century Gothic" w:hAnsi="Century Gothic"/>
          <w:sz w:val="24"/>
          <w:szCs w:val="24"/>
          <w:u w:val="single"/>
        </w:rPr>
      </w:pPr>
      <w:r w:rsidRPr="00FB3DFF">
        <w:rPr>
          <w:rFonts w:ascii="Century Gothic" w:hAnsi="Century Gothic"/>
          <w:sz w:val="24"/>
          <w:szCs w:val="24"/>
          <w:u w:val="single"/>
        </w:rPr>
        <w:t>Australian Government / Basin-wide Bodies</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Murray-Darling Basin Authority</w:t>
      </w:r>
    </w:p>
    <w:p w:rsidR="00A30314" w:rsidRPr="00FB3DFF" w:rsidRDefault="00A30314" w:rsidP="00BF48FC">
      <w:pPr>
        <w:pStyle w:val="ListParagraph"/>
        <w:numPr>
          <w:ilvl w:val="0"/>
          <w:numId w:val="7"/>
        </w:numPr>
        <w:spacing w:after="160"/>
        <w:ind w:left="1134" w:hanging="425"/>
        <w:contextualSpacing w:val="0"/>
        <w:rPr>
          <w:rFonts w:ascii="Century Gothic" w:hAnsi="Century Gothic" w:cs="Arial"/>
        </w:rPr>
      </w:pPr>
      <w:r w:rsidRPr="00FB3DFF">
        <w:rPr>
          <w:rFonts w:ascii="Century Gothic" w:hAnsi="Century Gothic" w:cs="Arial"/>
        </w:rPr>
        <w:t>The Living Murray Initiative</w:t>
      </w:r>
    </w:p>
    <w:p w:rsidR="00D81C6D" w:rsidRPr="00FB3DFF" w:rsidRDefault="00D81C6D" w:rsidP="00FB3DFF">
      <w:pPr>
        <w:pStyle w:val="BPBodyTextArialJustified"/>
        <w:jc w:val="left"/>
        <w:rPr>
          <w:rFonts w:ascii="Century Gothic" w:hAnsi="Century Gothic"/>
        </w:rPr>
      </w:pPr>
    </w:p>
    <w:sectPr w:rsidR="00D81C6D" w:rsidRPr="00FB3DFF" w:rsidSect="00F82E07">
      <w:headerReference w:type="default" r:id="rId36"/>
      <w:pgSz w:w="11906" w:h="16838" w:code="9"/>
      <w:pgMar w:top="1440" w:right="1440" w:bottom="1440" w:left="1134" w:header="578" w:footer="578" w:gutter="0"/>
      <w:cols w:space="720"/>
      <w:titlePg/>
      <w:docGrid w:linePitch="31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FFC" w:rsidRDefault="00F26FFC">
      <w:pPr>
        <w:spacing w:after="0"/>
      </w:pPr>
      <w:r>
        <w:separator/>
      </w:r>
    </w:p>
  </w:endnote>
  <w:endnote w:type="continuationSeparator" w:id="0">
    <w:p w:rsidR="00F26FFC" w:rsidRDefault="00F26FF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FFC" w:rsidRDefault="008B5986">
    <w:pPr>
      <w:pStyle w:val="Footer"/>
      <w:jc w:val="center"/>
    </w:pPr>
    <w:r>
      <w:rPr>
        <w:rStyle w:val="PageNumber"/>
      </w:rPr>
      <w:fldChar w:fldCharType="begin"/>
    </w:r>
    <w:r w:rsidR="00F26FFC">
      <w:rPr>
        <w:rStyle w:val="PageNumber"/>
      </w:rPr>
      <w:instrText xml:space="preserve"> PAGE </w:instrText>
    </w:r>
    <w:r>
      <w:rPr>
        <w:rStyle w:val="PageNumber"/>
      </w:rPr>
      <w:fldChar w:fldCharType="separate"/>
    </w:r>
    <w:r w:rsidR="00F26FFC">
      <w:rPr>
        <w:rStyle w:val="PageNumber"/>
        <w:noProof/>
      </w:rPr>
      <w:t>34</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FFC" w:rsidRDefault="008B5986">
    <w:pPr>
      <w:pStyle w:val="Footer"/>
      <w:jc w:val="center"/>
    </w:pPr>
    <w:r>
      <w:rPr>
        <w:rStyle w:val="PageNumber"/>
      </w:rPr>
      <w:fldChar w:fldCharType="begin"/>
    </w:r>
    <w:r w:rsidR="00F26FFC">
      <w:rPr>
        <w:rStyle w:val="PageNumber"/>
      </w:rPr>
      <w:instrText xml:space="preserve"> PAGE </w:instrText>
    </w:r>
    <w:r>
      <w:rPr>
        <w:rStyle w:val="PageNumber"/>
      </w:rPr>
      <w:fldChar w:fldCharType="separate"/>
    </w:r>
    <w:r w:rsidR="00400D7C">
      <w:rPr>
        <w:rStyle w:val="PageNumber"/>
        <w:noProof/>
      </w:rPr>
      <w:t>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FFC" w:rsidRDefault="00F26FFC">
      <w:pPr>
        <w:spacing w:after="0"/>
      </w:pPr>
      <w:r>
        <w:separator/>
      </w:r>
    </w:p>
  </w:footnote>
  <w:footnote w:type="continuationSeparator" w:id="0">
    <w:p w:rsidR="00F26FFC" w:rsidRDefault="00F26FF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FFC" w:rsidRDefault="00F26FFC">
    <w:pPr>
      <w:pStyle w:val="Header"/>
      <w:jc w:val="center"/>
    </w:pPr>
    <w:r>
      <w:t>Commonwealth environmental water business plan 2011–12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FFC" w:rsidRPr="00341467" w:rsidRDefault="00F26FFC" w:rsidP="003414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107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06971CA"/>
    <w:multiLevelType w:val="hybridMultilevel"/>
    <w:tmpl w:val="5A9C9FE6"/>
    <w:lvl w:ilvl="0" w:tplc="DD94F8A4">
      <w:start w:val="1"/>
      <w:numFmt w:val="bullet"/>
      <w:pStyle w:val="BoxBullet"/>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21A5390"/>
    <w:multiLevelType w:val="hybridMultilevel"/>
    <w:tmpl w:val="FAC86BC6"/>
    <w:lvl w:ilvl="0" w:tplc="0C090001">
      <w:start w:val="1"/>
      <w:numFmt w:val="bullet"/>
      <w:lvlText w:val=""/>
      <w:lvlJc w:val="left"/>
      <w:pPr>
        <w:ind w:left="1080" w:hanging="360"/>
      </w:pPr>
      <w:rPr>
        <w:rFonts w:ascii="Symbol" w:hAnsi="Symbol" w:hint="default"/>
      </w:rPr>
    </w:lvl>
    <w:lvl w:ilvl="1" w:tplc="0C090003">
      <w:start w:val="1"/>
      <w:numFmt w:val="decimal"/>
      <w:lvlText w:val="%2."/>
      <w:lvlJc w:val="left"/>
      <w:pPr>
        <w:tabs>
          <w:tab w:val="num" w:pos="1800"/>
        </w:tabs>
        <w:ind w:left="1800" w:hanging="360"/>
      </w:pPr>
    </w:lvl>
    <w:lvl w:ilvl="2" w:tplc="0C090005">
      <w:start w:val="1"/>
      <w:numFmt w:val="decimal"/>
      <w:lvlText w:val="%3."/>
      <w:lvlJc w:val="left"/>
      <w:pPr>
        <w:tabs>
          <w:tab w:val="num" w:pos="2520"/>
        </w:tabs>
        <w:ind w:left="2520" w:hanging="360"/>
      </w:pPr>
    </w:lvl>
    <w:lvl w:ilvl="3" w:tplc="0C090001">
      <w:start w:val="1"/>
      <w:numFmt w:val="decimal"/>
      <w:lvlText w:val="%4."/>
      <w:lvlJc w:val="left"/>
      <w:pPr>
        <w:tabs>
          <w:tab w:val="num" w:pos="3240"/>
        </w:tabs>
        <w:ind w:left="3240" w:hanging="360"/>
      </w:pPr>
    </w:lvl>
    <w:lvl w:ilvl="4" w:tplc="0C090003">
      <w:start w:val="1"/>
      <w:numFmt w:val="decimal"/>
      <w:lvlText w:val="%5."/>
      <w:lvlJc w:val="left"/>
      <w:pPr>
        <w:tabs>
          <w:tab w:val="num" w:pos="3960"/>
        </w:tabs>
        <w:ind w:left="3960" w:hanging="360"/>
      </w:pPr>
    </w:lvl>
    <w:lvl w:ilvl="5" w:tplc="0C090005">
      <w:start w:val="1"/>
      <w:numFmt w:val="decimal"/>
      <w:lvlText w:val="%6."/>
      <w:lvlJc w:val="left"/>
      <w:pPr>
        <w:tabs>
          <w:tab w:val="num" w:pos="4680"/>
        </w:tabs>
        <w:ind w:left="4680" w:hanging="360"/>
      </w:pPr>
    </w:lvl>
    <w:lvl w:ilvl="6" w:tplc="0C090001">
      <w:start w:val="1"/>
      <w:numFmt w:val="decimal"/>
      <w:lvlText w:val="%7."/>
      <w:lvlJc w:val="left"/>
      <w:pPr>
        <w:tabs>
          <w:tab w:val="num" w:pos="5400"/>
        </w:tabs>
        <w:ind w:left="5400" w:hanging="360"/>
      </w:pPr>
    </w:lvl>
    <w:lvl w:ilvl="7" w:tplc="0C090003">
      <w:start w:val="1"/>
      <w:numFmt w:val="decimal"/>
      <w:lvlText w:val="%8."/>
      <w:lvlJc w:val="left"/>
      <w:pPr>
        <w:tabs>
          <w:tab w:val="num" w:pos="6120"/>
        </w:tabs>
        <w:ind w:left="6120" w:hanging="360"/>
      </w:pPr>
    </w:lvl>
    <w:lvl w:ilvl="8" w:tplc="0C090005">
      <w:start w:val="1"/>
      <w:numFmt w:val="decimal"/>
      <w:lvlText w:val="%9."/>
      <w:lvlJc w:val="left"/>
      <w:pPr>
        <w:tabs>
          <w:tab w:val="num" w:pos="6840"/>
        </w:tabs>
        <w:ind w:left="6840" w:hanging="360"/>
      </w:pPr>
    </w:lvl>
  </w:abstractNum>
  <w:abstractNum w:abstractNumId="3">
    <w:nsid w:val="06105138"/>
    <w:multiLevelType w:val="hybridMultilevel"/>
    <w:tmpl w:val="0E8C4BC4"/>
    <w:lvl w:ilvl="0" w:tplc="EC840366">
      <w:start w:val="1"/>
      <w:numFmt w:val="bullet"/>
      <w:pStyle w:val="Dash0"/>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1260063"/>
    <w:multiLevelType w:val="multilevel"/>
    <w:tmpl w:val="72549BFE"/>
    <w:lvl w:ilvl="0">
      <w:start w:val="1"/>
      <w:numFmt w:val="decimal"/>
      <w:pStyle w:val="Heading1"/>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63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5">
    <w:nsid w:val="16A61A3B"/>
    <w:multiLevelType w:val="hybridMultilevel"/>
    <w:tmpl w:val="7D4E9BA2"/>
    <w:lvl w:ilvl="0" w:tplc="0C090001">
      <w:start w:val="1"/>
      <w:numFmt w:val="bullet"/>
      <w:lvlText w:val=""/>
      <w:lvlJc w:val="left"/>
      <w:pPr>
        <w:ind w:left="-369" w:hanging="360"/>
      </w:pPr>
      <w:rPr>
        <w:rFonts w:ascii="Symbol" w:hAnsi="Symbol" w:hint="default"/>
      </w:rPr>
    </w:lvl>
    <w:lvl w:ilvl="1" w:tplc="0C090003" w:tentative="1">
      <w:start w:val="1"/>
      <w:numFmt w:val="bullet"/>
      <w:lvlText w:val="o"/>
      <w:lvlJc w:val="left"/>
      <w:pPr>
        <w:ind w:left="351" w:hanging="360"/>
      </w:pPr>
      <w:rPr>
        <w:rFonts w:ascii="Courier New" w:hAnsi="Courier New" w:cs="Courier New" w:hint="default"/>
      </w:rPr>
    </w:lvl>
    <w:lvl w:ilvl="2" w:tplc="0C090005" w:tentative="1">
      <w:start w:val="1"/>
      <w:numFmt w:val="bullet"/>
      <w:lvlText w:val=""/>
      <w:lvlJc w:val="left"/>
      <w:pPr>
        <w:ind w:left="1071" w:hanging="360"/>
      </w:pPr>
      <w:rPr>
        <w:rFonts w:ascii="Wingdings" w:hAnsi="Wingdings" w:hint="default"/>
      </w:rPr>
    </w:lvl>
    <w:lvl w:ilvl="3" w:tplc="0C090001" w:tentative="1">
      <w:start w:val="1"/>
      <w:numFmt w:val="bullet"/>
      <w:lvlText w:val=""/>
      <w:lvlJc w:val="left"/>
      <w:pPr>
        <w:ind w:left="1791" w:hanging="360"/>
      </w:pPr>
      <w:rPr>
        <w:rFonts w:ascii="Symbol" w:hAnsi="Symbol" w:hint="default"/>
      </w:rPr>
    </w:lvl>
    <w:lvl w:ilvl="4" w:tplc="0C090003" w:tentative="1">
      <w:start w:val="1"/>
      <w:numFmt w:val="bullet"/>
      <w:lvlText w:val="o"/>
      <w:lvlJc w:val="left"/>
      <w:pPr>
        <w:ind w:left="2511" w:hanging="360"/>
      </w:pPr>
      <w:rPr>
        <w:rFonts w:ascii="Courier New" w:hAnsi="Courier New" w:cs="Courier New" w:hint="default"/>
      </w:rPr>
    </w:lvl>
    <w:lvl w:ilvl="5" w:tplc="0C090005" w:tentative="1">
      <w:start w:val="1"/>
      <w:numFmt w:val="bullet"/>
      <w:lvlText w:val=""/>
      <w:lvlJc w:val="left"/>
      <w:pPr>
        <w:ind w:left="3231" w:hanging="360"/>
      </w:pPr>
      <w:rPr>
        <w:rFonts w:ascii="Wingdings" w:hAnsi="Wingdings" w:hint="default"/>
      </w:rPr>
    </w:lvl>
    <w:lvl w:ilvl="6" w:tplc="0C090001" w:tentative="1">
      <w:start w:val="1"/>
      <w:numFmt w:val="bullet"/>
      <w:lvlText w:val=""/>
      <w:lvlJc w:val="left"/>
      <w:pPr>
        <w:ind w:left="3951" w:hanging="360"/>
      </w:pPr>
      <w:rPr>
        <w:rFonts w:ascii="Symbol" w:hAnsi="Symbol" w:hint="default"/>
      </w:rPr>
    </w:lvl>
    <w:lvl w:ilvl="7" w:tplc="0C090003" w:tentative="1">
      <w:start w:val="1"/>
      <w:numFmt w:val="bullet"/>
      <w:lvlText w:val="o"/>
      <w:lvlJc w:val="left"/>
      <w:pPr>
        <w:ind w:left="4671" w:hanging="360"/>
      </w:pPr>
      <w:rPr>
        <w:rFonts w:ascii="Courier New" w:hAnsi="Courier New" w:cs="Courier New" w:hint="default"/>
      </w:rPr>
    </w:lvl>
    <w:lvl w:ilvl="8" w:tplc="0C090005" w:tentative="1">
      <w:start w:val="1"/>
      <w:numFmt w:val="bullet"/>
      <w:lvlText w:val=""/>
      <w:lvlJc w:val="left"/>
      <w:pPr>
        <w:ind w:left="5391" w:hanging="360"/>
      </w:pPr>
      <w:rPr>
        <w:rFonts w:ascii="Wingdings" w:hAnsi="Wingdings" w:hint="default"/>
      </w:rPr>
    </w:lvl>
  </w:abstractNum>
  <w:abstractNum w:abstractNumId="6">
    <w:nsid w:val="189E08D3"/>
    <w:multiLevelType w:val="hybridMultilevel"/>
    <w:tmpl w:val="2B8C1B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C2201A0"/>
    <w:multiLevelType w:val="hybridMultilevel"/>
    <w:tmpl w:val="77B01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1F745BC2"/>
    <w:multiLevelType w:val="multilevel"/>
    <w:tmpl w:val="E5E89F92"/>
    <w:numStyleLink w:val="BulletList"/>
  </w:abstractNum>
  <w:abstractNum w:abstractNumId="9">
    <w:nsid w:val="31BE7870"/>
    <w:multiLevelType w:val="multilevel"/>
    <w:tmpl w:val="8174DE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548198B"/>
    <w:multiLevelType w:val="multilevel"/>
    <w:tmpl w:val="37B4875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462F4A0B"/>
    <w:multiLevelType w:val="hybridMultilevel"/>
    <w:tmpl w:val="8230ED46"/>
    <w:lvl w:ilvl="0" w:tplc="0B1EECB2">
      <w:start w:val="1"/>
      <w:numFmt w:val="bullet"/>
      <w:pStyle w:val="TableBullet"/>
      <w:lvlText w:val="•"/>
      <w:lvlJc w:val="left"/>
      <w:pPr>
        <w:tabs>
          <w:tab w:val="num" w:pos="360"/>
        </w:tabs>
        <w:ind w:left="360" w:hanging="360"/>
      </w:pPr>
      <w:rPr>
        <w:rFonts w:ascii="Verdana" w:hAnsi="Verdana" w:hint="default"/>
        <w:sz w:val="18"/>
      </w:rPr>
    </w:lvl>
    <w:lvl w:ilvl="1" w:tplc="090A167A" w:tentative="1">
      <w:start w:val="1"/>
      <w:numFmt w:val="bullet"/>
      <w:lvlText w:val="o"/>
      <w:lvlJc w:val="left"/>
      <w:pPr>
        <w:tabs>
          <w:tab w:val="num" w:pos="1440"/>
        </w:tabs>
        <w:ind w:left="1440" w:hanging="360"/>
      </w:pPr>
      <w:rPr>
        <w:rFonts w:ascii="Courier New" w:hAnsi="Courier New" w:cs="Courier New" w:hint="default"/>
      </w:rPr>
    </w:lvl>
    <w:lvl w:ilvl="2" w:tplc="BCA81B2E" w:tentative="1">
      <w:start w:val="1"/>
      <w:numFmt w:val="bullet"/>
      <w:lvlText w:val=""/>
      <w:lvlJc w:val="left"/>
      <w:pPr>
        <w:tabs>
          <w:tab w:val="num" w:pos="2160"/>
        </w:tabs>
        <w:ind w:left="2160" w:hanging="360"/>
      </w:pPr>
      <w:rPr>
        <w:rFonts w:ascii="Wingdings" w:hAnsi="Wingdings" w:hint="default"/>
      </w:rPr>
    </w:lvl>
    <w:lvl w:ilvl="3" w:tplc="30AEDFEC" w:tentative="1">
      <w:start w:val="1"/>
      <w:numFmt w:val="bullet"/>
      <w:lvlText w:val=""/>
      <w:lvlJc w:val="left"/>
      <w:pPr>
        <w:tabs>
          <w:tab w:val="num" w:pos="2880"/>
        </w:tabs>
        <w:ind w:left="2880" w:hanging="360"/>
      </w:pPr>
      <w:rPr>
        <w:rFonts w:ascii="Symbol" w:hAnsi="Symbol" w:hint="default"/>
      </w:rPr>
    </w:lvl>
    <w:lvl w:ilvl="4" w:tplc="25F8E638" w:tentative="1">
      <w:start w:val="1"/>
      <w:numFmt w:val="bullet"/>
      <w:lvlText w:val="o"/>
      <w:lvlJc w:val="left"/>
      <w:pPr>
        <w:tabs>
          <w:tab w:val="num" w:pos="3600"/>
        </w:tabs>
        <w:ind w:left="3600" w:hanging="360"/>
      </w:pPr>
      <w:rPr>
        <w:rFonts w:ascii="Courier New" w:hAnsi="Courier New" w:cs="Courier New" w:hint="default"/>
      </w:rPr>
    </w:lvl>
    <w:lvl w:ilvl="5" w:tplc="9FB67AC8" w:tentative="1">
      <w:start w:val="1"/>
      <w:numFmt w:val="bullet"/>
      <w:lvlText w:val=""/>
      <w:lvlJc w:val="left"/>
      <w:pPr>
        <w:tabs>
          <w:tab w:val="num" w:pos="4320"/>
        </w:tabs>
        <w:ind w:left="4320" w:hanging="360"/>
      </w:pPr>
      <w:rPr>
        <w:rFonts w:ascii="Wingdings" w:hAnsi="Wingdings" w:hint="default"/>
      </w:rPr>
    </w:lvl>
    <w:lvl w:ilvl="6" w:tplc="E8A0DB08" w:tentative="1">
      <w:start w:val="1"/>
      <w:numFmt w:val="bullet"/>
      <w:lvlText w:val=""/>
      <w:lvlJc w:val="left"/>
      <w:pPr>
        <w:tabs>
          <w:tab w:val="num" w:pos="5040"/>
        </w:tabs>
        <w:ind w:left="5040" w:hanging="360"/>
      </w:pPr>
      <w:rPr>
        <w:rFonts w:ascii="Symbol" w:hAnsi="Symbol" w:hint="default"/>
      </w:rPr>
    </w:lvl>
    <w:lvl w:ilvl="7" w:tplc="3D9E6386" w:tentative="1">
      <w:start w:val="1"/>
      <w:numFmt w:val="bullet"/>
      <w:lvlText w:val="o"/>
      <w:lvlJc w:val="left"/>
      <w:pPr>
        <w:tabs>
          <w:tab w:val="num" w:pos="5760"/>
        </w:tabs>
        <w:ind w:left="5760" w:hanging="360"/>
      </w:pPr>
      <w:rPr>
        <w:rFonts w:ascii="Courier New" w:hAnsi="Courier New" w:cs="Courier New" w:hint="default"/>
      </w:rPr>
    </w:lvl>
    <w:lvl w:ilvl="8" w:tplc="A48640F4" w:tentative="1">
      <w:start w:val="1"/>
      <w:numFmt w:val="bullet"/>
      <w:lvlText w:val=""/>
      <w:lvlJc w:val="left"/>
      <w:pPr>
        <w:tabs>
          <w:tab w:val="num" w:pos="6480"/>
        </w:tabs>
        <w:ind w:left="6480" w:hanging="360"/>
      </w:pPr>
      <w:rPr>
        <w:rFonts w:ascii="Wingdings" w:hAnsi="Wingdings" w:hint="default"/>
      </w:rPr>
    </w:lvl>
  </w:abstractNum>
  <w:abstractNum w:abstractNumId="12">
    <w:nsid w:val="5B7C5ABA"/>
    <w:multiLevelType w:val="multilevel"/>
    <w:tmpl w:val="AA10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6264B4"/>
    <w:multiLevelType w:val="hybridMultilevel"/>
    <w:tmpl w:val="04C2F852"/>
    <w:lvl w:ilvl="0" w:tplc="1A2EC354">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29A0304E" w:tentative="1">
      <w:start w:val="1"/>
      <w:numFmt w:val="bullet"/>
      <w:lvlText w:val="o"/>
      <w:lvlJc w:val="left"/>
      <w:pPr>
        <w:tabs>
          <w:tab w:val="num" w:pos="1440"/>
        </w:tabs>
        <w:ind w:left="1440" w:hanging="360"/>
      </w:pPr>
      <w:rPr>
        <w:rFonts w:ascii="Courier New" w:hAnsi="Courier New" w:cs="Courier New" w:hint="default"/>
      </w:rPr>
    </w:lvl>
    <w:lvl w:ilvl="2" w:tplc="73AACF80" w:tentative="1">
      <w:start w:val="1"/>
      <w:numFmt w:val="bullet"/>
      <w:lvlText w:val=""/>
      <w:lvlJc w:val="left"/>
      <w:pPr>
        <w:tabs>
          <w:tab w:val="num" w:pos="2160"/>
        </w:tabs>
        <w:ind w:left="2160" w:hanging="360"/>
      </w:pPr>
      <w:rPr>
        <w:rFonts w:ascii="Wingdings" w:hAnsi="Wingdings" w:hint="default"/>
      </w:rPr>
    </w:lvl>
    <w:lvl w:ilvl="3" w:tplc="2154F94E" w:tentative="1">
      <w:start w:val="1"/>
      <w:numFmt w:val="bullet"/>
      <w:lvlText w:val=""/>
      <w:lvlJc w:val="left"/>
      <w:pPr>
        <w:tabs>
          <w:tab w:val="num" w:pos="2880"/>
        </w:tabs>
        <w:ind w:left="2880" w:hanging="360"/>
      </w:pPr>
      <w:rPr>
        <w:rFonts w:ascii="Symbol" w:hAnsi="Symbol" w:hint="default"/>
      </w:rPr>
    </w:lvl>
    <w:lvl w:ilvl="4" w:tplc="E8DE0C14" w:tentative="1">
      <w:start w:val="1"/>
      <w:numFmt w:val="bullet"/>
      <w:lvlText w:val="o"/>
      <w:lvlJc w:val="left"/>
      <w:pPr>
        <w:tabs>
          <w:tab w:val="num" w:pos="3600"/>
        </w:tabs>
        <w:ind w:left="3600" w:hanging="360"/>
      </w:pPr>
      <w:rPr>
        <w:rFonts w:ascii="Courier New" w:hAnsi="Courier New" w:cs="Courier New" w:hint="default"/>
      </w:rPr>
    </w:lvl>
    <w:lvl w:ilvl="5" w:tplc="D612102A" w:tentative="1">
      <w:start w:val="1"/>
      <w:numFmt w:val="bullet"/>
      <w:lvlText w:val=""/>
      <w:lvlJc w:val="left"/>
      <w:pPr>
        <w:tabs>
          <w:tab w:val="num" w:pos="4320"/>
        </w:tabs>
        <w:ind w:left="4320" w:hanging="360"/>
      </w:pPr>
      <w:rPr>
        <w:rFonts w:ascii="Wingdings" w:hAnsi="Wingdings" w:hint="default"/>
      </w:rPr>
    </w:lvl>
    <w:lvl w:ilvl="6" w:tplc="918299E8" w:tentative="1">
      <w:start w:val="1"/>
      <w:numFmt w:val="bullet"/>
      <w:lvlText w:val=""/>
      <w:lvlJc w:val="left"/>
      <w:pPr>
        <w:tabs>
          <w:tab w:val="num" w:pos="5040"/>
        </w:tabs>
        <w:ind w:left="5040" w:hanging="360"/>
      </w:pPr>
      <w:rPr>
        <w:rFonts w:ascii="Symbol" w:hAnsi="Symbol" w:hint="default"/>
      </w:rPr>
    </w:lvl>
    <w:lvl w:ilvl="7" w:tplc="BF548D20" w:tentative="1">
      <w:start w:val="1"/>
      <w:numFmt w:val="bullet"/>
      <w:lvlText w:val="o"/>
      <w:lvlJc w:val="left"/>
      <w:pPr>
        <w:tabs>
          <w:tab w:val="num" w:pos="5760"/>
        </w:tabs>
        <w:ind w:left="5760" w:hanging="360"/>
      </w:pPr>
      <w:rPr>
        <w:rFonts w:ascii="Courier New" w:hAnsi="Courier New" w:cs="Courier New" w:hint="default"/>
      </w:rPr>
    </w:lvl>
    <w:lvl w:ilvl="8" w:tplc="A074F2A8" w:tentative="1">
      <w:start w:val="1"/>
      <w:numFmt w:val="bullet"/>
      <w:lvlText w:val=""/>
      <w:lvlJc w:val="left"/>
      <w:pPr>
        <w:tabs>
          <w:tab w:val="num" w:pos="6480"/>
        </w:tabs>
        <w:ind w:left="6480" w:hanging="360"/>
      </w:pPr>
      <w:rPr>
        <w:rFonts w:ascii="Wingdings" w:hAnsi="Wingdings" w:hint="default"/>
      </w:rPr>
    </w:lvl>
  </w:abstractNum>
  <w:abstractNum w:abstractNumId="14">
    <w:nsid w:val="5D501F23"/>
    <w:multiLevelType w:val="hybridMultilevel"/>
    <w:tmpl w:val="7A86D9EE"/>
    <w:lvl w:ilvl="0" w:tplc="39003750">
      <w:start w:val="1"/>
      <w:numFmt w:val="bullet"/>
      <w:lvlText w:val=""/>
      <w:lvlJc w:val="left"/>
      <w:pPr>
        <w:ind w:left="1440" w:hanging="360"/>
      </w:pPr>
      <w:rPr>
        <w:rFonts w:ascii="Symbol" w:hAnsi="Symbol" w:hint="default"/>
      </w:rPr>
    </w:lvl>
    <w:lvl w:ilvl="1" w:tplc="81365D60" w:tentative="1">
      <w:start w:val="1"/>
      <w:numFmt w:val="bullet"/>
      <w:lvlText w:val="o"/>
      <w:lvlJc w:val="left"/>
      <w:pPr>
        <w:ind w:left="2160" w:hanging="360"/>
      </w:pPr>
      <w:rPr>
        <w:rFonts w:ascii="Courier New" w:hAnsi="Courier New" w:cs="Courier New" w:hint="default"/>
      </w:rPr>
    </w:lvl>
    <w:lvl w:ilvl="2" w:tplc="9CE68E1A" w:tentative="1">
      <w:start w:val="1"/>
      <w:numFmt w:val="bullet"/>
      <w:lvlText w:val=""/>
      <w:lvlJc w:val="left"/>
      <w:pPr>
        <w:ind w:left="2880" w:hanging="360"/>
      </w:pPr>
      <w:rPr>
        <w:rFonts w:ascii="Wingdings" w:hAnsi="Wingdings" w:hint="default"/>
      </w:rPr>
    </w:lvl>
    <w:lvl w:ilvl="3" w:tplc="1938BCCC" w:tentative="1">
      <w:start w:val="1"/>
      <w:numFmt w:val="bullet"/>
      <w:lvlText w:val=""/>
      <w:lvlJc w:val="left"/>
      <w:pPr>
        <w:ind w:left="3600" w:hanging="360"/>
      </w:pPr>
      <w:rPr>
        <w:rFonts w:ascii="Symbol" w:hAnsi="Symbol" w:hint="default"/>
      </w:rPr>
    </w:lvl>
    <w:lvl w:ilvl="4" w:tplc="85B846B4" w:tentative="1">
      <w:start w:val="1"/>
      <w:numFmt w:val="bullet"/>
      <w:lvlText w:val="o"/>
      <w:lvlJc w:val="left"/>
      <w:pPr>
        <w:ind w:left="4320" w:hanging="360"/>
      </w:pPr>
      <w:rPr>
        <w:rFonts w:ascii="Courier New" w:hAnsi="Courier New" w:cs="Courier New" w:hint="default"/>
      </w:rPr>
    </w:lvl>
    <w:lvl w:ilvl="5" w:tplc="C3763176" w:tentative="1">
      <w:start w:val="1"/>
      <w:numFmt w:val="bullet"/>
      <w:lvlText w:val=""/>
      <w:lvlJc w:val="left"/>
      <w:pPr>
        <w:ind w:left="5040" w:hanging="360"/>
      </w:pPr>
      <w:rPr>
        <w:rFonts w:ascii="Wingdings" w:hAnsi="Wingdings" w:hint="default"/>
      </w:rPr>
    </w:lvl>
    <w:lvl w:ilvl="6" w:tplc="C5B8DA6E" w:tentative="1">
      <w:start w:val="1"/>
      <w:numFmt w:val="bullet"/>
      <w:lvlText w:val=""/>
      <w:lvlJc w:val="left"/>
      <w:pPr>
        <w:ind w:left="5760" w:hanging="360"/>
      </w:pPr>
      <w:rPr>
        <w:rFonts w:ascii="Symbol" w:hAnsi="Symbol" w:hint="default"/>
      </w:rPr>
    </w:lvl>
    <w:lvl w:ilvl="7" w:tplc="6CB61D78" w:tentative="1">
      <w:start w:val="1"/>
      <w:numFmt w:val="bullet"/>
      <w:lvlText w:val="o"/>
      <w:lvlJc w:val="left"/>
      <w:pPr>
        <w:ind w:left="6480" w:hanging="360"/>
      </w:pPr>
      <w:rPr>
        <w:rFonts w:ascii="Courier New" w:hAnsi="Courier New" w:cs="Courier New" w:hint="default"/>
      </w:rPr>
    </w:lvl>
    <w:lvl w:ilvl="8" w:tplc="0D4A479E" w:tentative="1">
      <w:start w:val="1"/>
      <w:numFmt w:val="bullet"/>
      <w:lvlText w:val=""/>
      <w:lvlJc w:val="left"/>
      <w:pPr>
        <w:ind w:left="7200" w:hanging="360"/>
      </w:pPr>
      <w:rPr>
        <w:rFonts w:ascii="Wingdings" w:hAnsi="Wingdings" w:hint="default"/>
      </w:rPr>
    </w:lvl>
  </w:abstractNum>
  <w:abstractNum w:abstractNumId="15">
    <w:nsid w:val="65456429"/>
    <w:multiLevelType w:val="multilevel"/>
    <w:tmpl w:val="E898CC72"/>
    <w:numStyleLink w:val="KeyPoints"/>
  </w:abstractNum>
  <w:abstractNum w:abstractNumId="16">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7">
    <w:nsid w:val="78E81FDC"/>
    <w:multiLevelType w:val="hybridMultilevel"/>
    <w:tmpl w:val="EFECCB20"/>
    <w:lvl w:ilvl="0" w:tplc="0C090001">
      <w:start w:val="1"/>
      <w:numFmt w:val="bullet"/>
      <w:pStyle w:val="Bullet0"/>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hint="default"/>
        <w:sz w:val="16"/>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17"/>
  </w:num>
  <w:num w:numId="4">
    <w:abstractNumId w:val="3"/>
  </w:num>
  <w:num w:numId="5">
    <w:abstractNumId w:val="1"/>
  </w:num>
  <w:num w:numId="6">
    <w:abstractNumId w:val="4"/>
  </w:num>
  <w:num w:numId="7">
    <w:abstractNumId w:val="14"/>
  </w:num>
  <w:num w:numId="8">
    <w:abstractNumId w:val="16"/>
  </w:num>
  <w:num w:numId="9">
    <w:abstractNumId w:val="0"/>
  </w:num>
  <w:num w:numId="10">
    <w:abstractNumId w:val="15"/>
  </w:num>
  <w:num w:numId="11">
    <w:abstractNumId w:val="8"/>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7"/>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8"/>
  </w:num>
  <w:num w:numId="20">
    <w:abstractNumId w:val="8"/>
  </w:num>
  <w:num w:numId="21">
    <w:abstractNumId w:val="17"/>
  </w:num>
  <w:num w:numId="22">
    <w:abstractNumId w:val="12"/>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6"/>
  </w:num>
  <w:num w:numId="35">
    <w:abstractNumId w:val="10"/>
  </w:num>
  <w:num w:numId="36">
    <w:abstractNumId w:val="17"/>
  </w:num>
  <w:num w:numId="37">
    <w:abstractNumId w:val="8"/>
  </w:num>
  <w:num w:numId="3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8"/>
  </w:num>
  <w:num w:numId="42">
    <w:abstractNumId w:val="17"/>
  </w:num>
  <w:num w:numId="43">
    <w:abstractNumId w:val="17"/>
  </w:num>
  <w:num w:numId="44">
    <w:abstractNumId w:val="17"/>
  </w:num>
  <w:num w:numId="45">
    <w:abstractNumId w:val="17"/>
  </w:num>
  <w:num w:numId="46">
    <w:abstractNumId w:val="17"/>
  </w:num>
  <w:num w:numId="47">
    <w:abstractNumId w:val="17"/>
  </w:num>
  <w:num w:numId="48">
    <w:abstractNumId w:val="17"/>
  </w:num>
  <w:num w:numId="49">
    <w:abstractNumId w:val="17"/>
  </w:num>
  <w:num w:numId="50">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stylePaneFormatFilter w:val="3F21"/>
  <w:defaultTabStop w:val="992"/>
  <w:drawingGridHorizontalSpacing w:val="115"/>
  <w:displayHorizontalDrawingGridEvery w:val="0"/>
  <w:displayVerticalDrawingGridEvery w:val="0"/>
  <w:noPunctuationKerning/>
  <w:characterSpacingControl w:val="doNotCompress"/>
  <w:hdrShapeDefaults>
    <o:shapedefaults v:ext="edit" spidmax="37889">
      <o:colormenu v:ext="edit" fillcolor="#b9aee0" strokecolor="#48358c"/>
    </o:shapedefaults>
  </w:hdrShapeDefaults>
  <w:footnotePr>
    <w:footnote w:id="-1"/>
    <w:footnote w:id="0"/>
  </w:footnotePr>
  <w:endnotePr>
    <w:endnote w:id="-1"/>
    <w:endnote w:id="0"/>
  </w:endnotePr>
  <w:compat/>
  <w:rsids>
    <w:rsidRoot w:val="00D81C6D"/>
    <w:rsid w:val="00000564"/>
    <w:rsid w:val="000012BA"/>
    <w:rsid w:val="0000263E"/>
    <w:rsid w:val="00002910"/>
    <w:rsid w:val="00002F17"/>
    <w:rsid w:val="000037A5"/>
    <w:rsid w:val="000037E1"/>
    <w:rsid w:val="00004146"/>
    <w:rsid w:val="00007094"/>
    <w:rsid w:val="00007DEF"/>
    <w:rsid w:val="000101F4"/>
    <w:rsid w:val="0001040D"/>
    <w:rsid w:val="00011F16"/>
    <w:rsid w:val="000150EA"/>
    <w:rsid w:val="000220A2"/>
    <w:rsid w:val="000226F9"/>
    <w:rsid w:val="000243AA"/>
    <w:rsid w:val="000249DE"/>
    <w:rsid w:val="00025B61"/>
    <w:rsid w:val="00030F7D"/>
    <w:rsid w:val="000318AF"/>
    <w:rsid w:val="00032E85"/>
    <w:rsid w:val="000333CB"/>
    <w:rsid w:val="00034351"/>
    <w:rsid w:val="00035A33"/>
    <w:rsid w:val="0003766E"/>
    <w:rsid w:val="0004116E"/>
    <w:rsid w:val="000415D8"/>
    <w:rsid w:val="00041E86"/>
    <w:rsid w:val="00043AD6"/>
    <w:rsid w:val="00043CA4"/>
    <w:rsid w:val="0004455C"/>
    <w:rsid w:val="000445DE"/>
    <w:rsid w:val="00045022"/>
    <w:rsid w:val="0004747F"/>
    <w:rsid w:val="00047AB7"/>
    <w:rsid w:val="0005167B"/>
    <w:rsid w:val="0005195A"/>
    <w:rsid w:val="000519AC"/>
    <w:rsid w:val="000521F0"/>
    <w:rsid w:val="00052B8E"/>
    <w:rsid w:val="00053217"/>
    <w:rsid w:val="00053720"/>
    <w:rsid w:val="00053BF5"/>
    <w:rsid w:val="00055A12"/>
    <w:rsid w:val="00056E69"/>
    <w:rsid w:val="00060200"/>
    <w:rsid w:val="000609E0"/>
    <w:rsid w:val="0006314A"/>
    <w:rsid w:val="00063489"/>
    <w:rsid w:val="00063BB3"/>
    <w:rsid w:val="000648D5"/>
    <w:rsid w:val="0006662E"/>
    <w:rsid w:val="000701A9"/>
    <w:rsid w:val="00071B96"/>
    <w:rsid w:val="000726B0"/>
    <w:rsid w:val="00073CE7"/>
    <w:rsid w:val="000740DA"/>
    <w:rsid w:val="00081F16"/>
    <w:rsid w:val="0008294E"/>
    <w:rsid w:val="00082CAD"/>
    <w:rsid w:val="00082E1F"/>
    <w:rsid w:val="00083B2D"/>
    <w:rsid w:val="0008567A"/>
    <w:rsid w:val="00086250"/>
    <w:rsid w:val="0009123A"/>
    <w:rsid w:val="000927A1"/>
    <w:rsid w:val="000959B3"/>
    <w:rsid w:val="00096F7D"/>
    <w:rsid w:val="000A1AC7"/>
    <w:rsid w:val="000A415F"/>
    <w:rsid w:val="000A4183"/>
    <w:rsid w:val="000A43DA"/>
    <w:rsid w:val="000A6D3A"/>
    <w:rsid w:val="000A7E85"/>
    <w:rsid w:val="000B09CB"/>
    <w:rsid w:val="000B17AE"/>
    <w:rsid w:val="000B48D9"/>
    <w:rsid w:val="000B5DBC"/>
    <w:rsid w:val="000B76A5"/>
    <w:rsid w:val="000C0481"/>
    <w:rsid w:val="000C1716"/>
    <w:rsid w:val="000C1D9E"/>
    <w:rsid w:val="000C28DE"/>
    <w:rsid w:val="000C3781"/>
    <w:rsid w:val="000C3916"/>
    <w:rsid w:val="000C44AA"/>
    <w:rsid w:val="000C62FF"/>
    <w:rsid w:val="000C7F0E"/>
    <w:rsid w:val="000D1A69"/>
    <w:rsid w:val="000D37EF"/>
    <w:rsid w:val="000D4204"/>
    <w:rsid w:val="000D4AF1"/>
    <w:rsid w:val="000D4DBA"/>
    <w:rsid w:val="000D5021"/>
    <w:rsid w:val="000D50C4"/>
    <w:rsid w:val="000D6B92"/>
    <w:rsid w:val="000E43FE"/>
    <w:rsid w:val="000E4CF2"/>
    <w:rsid w:val="000E548F"/>
    <w:rsid w:val="000E6ADE"/>
    <w:rsid w:val="000E7636"/>
    <w:rsid w:val="000E7C18"/>
    <w:rsid w:val="000E7D88"/>
    <w:rsid w:val="000F0FFD"/>
    <w:rsid w:val="000F1095"/>
    <w:rsid w:val="000F17E6"/>
    <w:rsid w:val="000F2813"/>
    <w:rsid w:val="000F2A8D"/>
    <w:rsid w:val="000F5C4D"/>
    <w:rsid w:val="000F73AE"/>
    <w:rsid w:val="000F7B67"/>
    <w:rsid w:val="00100693"/>
    <w:rsid w:val="0010090C"/>
    <w:rsid w:val="00100AD0"/>
    <w:rsid w:val="00101859"/>
    <w:rsid w:val="001064C2"/>
    <w:rsid w:val="001109A5"/>
    <w:rsid w:val="00113284"/>
    <w:rsid w:val="001147CB"/>
    <w:rsid w:val="001147DD"/>
    <w:rsid w:val="00115CF5"/>
    <w:rsid w:val="0011614A"/>
    <w:rsid w:val="0011795F"/>
    <w:rsid w:val="00117FB3"/>
    <w:rsid w:val="0012008B"/>
    <w:rsid w:val="001207C8"/>
    <w:rsid w:val="001209E7"/>
    <w:rsid w:val="00121C26"/>
    <w:rsid w:val="001237AE"/>
    <w:rsid w:val="00124ADA"/>
    <w:rsid w:val="00125A0C"/>
    <w:rsid w:val="00126795"/>
    <w:rsid w:val="001322A3"/>
    <w:rsid w:val="00132CFF"/>
    <w:rsid w:val="00134A50"/>
    <w:rsid w:val="001350C8"/>
    <w:rsid w:val="00135D68"/>
    <w:rsid w:val="001409FE"/>
    <w:rsid w:val="00142BE9"/>
    <w:rsid w:val="00144D7E"/>
    <w:rsid w:val="001454E5"/>
    <w:rsid w:val="0015157B"/>
    <w:rsid w:val="001529F6"/>
    <w:rsid w:val="00157362"/>
    <w:rsid w:val="0016038C"/>
    <w:rsid w:val="00160883"/>
    <w:rsid w:val="0016136E"/>
    <w:rsid w:val="001640A7"/>
    <w:rsid w:val="001654F1"/>
    <w:rsid w:val="00165C15"/>
    <w:rsid w:val="00165F27"/>
    <w:rsid w:val="0016626F"/>
    <w:rsid w:val="00166E62"/>
    <w:rsid w:val="001670CD"/>
    <w:rsid w:val="00167B66"/>
    <w:rsid w:val="00167DA2"/>
    <w:rsid w:val="00170ABF"/>
    <w:rsid w:val="00171936"/>
    <w:rsid w:val="00174FE0"/>
    <w:rsid w:val="00175E22"/>
    <w:rsid w:val="00176735"/>
    <w:rsid w:val="00180196"/>
    <w:rsid w:val="00181830"/>
    <w:rsid w:val="00182516"/>
    <w:rsid w:val="00183721"/>
    <w:rsid w:val="001848A5"/>
    <w:rsid w:val="001856E4"/>
    <w:rsid w:val="00185756"/>
    <w:rsid w:val="001862F4"/>
    <w:rsid w:val="00186CA0"/>
    <w:rsid w:val="00186E45"/>
    <w:rsid w:val="0018776C"/>
    <w:rsid w:val="00187E0D"/>
    <w:rsid w:val="001920FD"/>
    <w:rsid w:val="001940BB"/>
    <w:rsid w:val="00194ADE"/>
    <w:rsid w:val="00194C7A"/>
    <w:rsid w:val="00196A26"/>
    <w:rsid w:val="001A1327"/>
    <w:rsid w:val="001A1766"/>
    <w:rsid w:val="001A2213"/>
    <w:rsid w:val="001A35EC"/>
    <w:rsid w:val="001A71D7"/>
    <w:rsid w:val="001B0EF0"/>
    <w:rsid w:val="001B246D"/>
    <w:rsid w:val="001B3153"/>
    <w:rsid w:val="001B34B5"/>
    <w:rsid w:val="001B5517"/>
    <w:rsid w:val="001B7620"/>
    <w:rsid w:val="001C0447"/>
    <w:rsid w:val="001C04D1"/>
    <w:rsid w:val="001C12C5"/>
    <w:rsid w:val="001C4B33"/>
    <w:rsid w:val="001C5951"/>
    <w:rsid w:val="001C677B"/>
    <w:rsid w:val="001D0BEB"/>
    <w:rsid w:val="001D236B"/>
    <w:rsid w:val="001D2910"/>
    <w:rsid w:val="001D2E2F"/>
    <w:rsid w:val="001D310F"/>
    <w:rsid w:val="001D4500"/>
    <w:rsid w:val="001D48DE"/>
    <w:rsid w:val="001D4AA0"/>
    <w:rsid w:val="001D4CA7"/>
    <w:rsid w:val="001D4D07"/>
    <w:rsid w:val="001D607C"/>
    <w:rsid w:val="001E0505"/>
    <w:rsid w:val="001E0A89"/>
    <w:rsid w:val="001E1F9E"/>
    <w:rsid w:val="001E2D0A"/>
    <w:rsid w:val="001E35A3"/>
    <w:rsid w:val="001E3DD0"/>
    <w:rsid w:val="001E6644"/>
    <w:rsid w:val="001E6EBE"/>
    <w:rsid w:val="001E6F84"/>
    <w:rsid w:val="001F166F"/>
    <w:rsid w:val="001F1C3C"/>
    <w:rsid w:val="001F253A"/>
    <w:rsid w:val="001F2B20"/>
    <w:rsid w:val="001F3277"/>
    <w:rsid w:val="001F4643"/>
    <w:rsid w:val="001F4BC2"/>
    <w:rsid w:val="001F4DED"/>
    <w:rsid w:val="001F68DB"/>
    <w:rsid w:val="001F6FB7"/>
    <w:rsid w:val="0020122E"/>
    <w:rsid w:val="00201995"/>
    <w:rsid w:val="00202EDF"/>
    <w:rsid w:val="00204761"/>
    <w:rsid w:val="002049F3"/>
    <w:rsid w:val="002078E7"/>
    <w:rsid w:val="00207F9B"/>
    <w:rsid w:val="002107B4"/>
    <w:rsid w:val="00211754"/>
    <w:rsid w:val="00214F90"/>
    <w:rsid w:val="002159FB"/>
    <w:rsid w:val="00216607"/>
    <w:rsid w:val="00216675"/>
    <w:rsid w:val="00216D2B"/>
    <w:rsid w:val="0022022D"/>
    <w:rsid w:val="00220E03"/>
    <w:rsid w:val="0022280B"/>
    <w:rsid w:val="00222D98"/>
    <w:rsid w:val="00226A3F"/>
    <w:rsid w:val="00230F59"/>
    <w:rsid w:val="00232568"/>
    <w:rsid w:val="002333DE"/>
    <w:rsid w:val="0023345F"/>
    <w:rsid w:val="00233730"/>
    <w:rsid w:val="0023538A"/>
    <w:rsid w:val="00236AD3"/>
    <w:rsid w:val="00236E1B"/>
    <w:rsid w:val="002400E9"/>
    <w:rsid w:val="00241348"/>
    <w:rsid w:val="0024136F"/>
    <w:rsid w:val="00243BFB"/>
    <w:rsid w:val="00244E8E"/>
    <w:rsid w:val="00244FA7"/>
    <w:rsid w:val="00246174"/>
    <w:rsid w:val="00250FB3"/>
    <w:rsid w:val="00252400"/>
    <w:rsid w:val="0025324F"/>
    <w:rsid w:val="0025335D"/>
    <w:rsid w:val="00253E60"/>
    <w:rsid w:val="00255F95"/>
    <w:rsid w:val="0025690C"/>
    <w:rsid w:val="00256E71"/>
    <w:rsid w:val="0025793A"/>
    <w:rsid w:val="00260359"/>
    <w:rsid w:val="0026092F"/>
    <w:rsid w:val="002622C8"/>
    <w:rsid w:val="00262623"/>
    <w:rsid w:val="0026388E"/>
    <w:rsid w:val="00263CF5"/>
    <w:rsid w:val="002664DA"/>
    <w:rsid w:val="00266613"/>
    <w:rsid w:val="00266930"/>
    <w:rsid w:val="00273FC6"/>
    <w:rsid w:val="0028067F"/>
    <w:rsid w:val="00280881"/>
    <w:rsid w:val="00280989"/>
    <w:rsid w:val="00280E72"/>
    <w:rsid w:val="0028175D"/>
    <w:rsid w:val="002842D2"/>
    <w:rsid w:val="00285233"/>
    <w:rsid w:val="00285A8C"/>
    <w:rsid w:val="00286D06"/>
    <w:rsid w:val="00290818"/>
    <w:rsid w:val="00292B51"/>
    <w:rsid w:val="00293EE3"/>
    <w:rsid w:val="002952D8"/>
    <w:rsid w:val="00297A43"/>
    <w:rsid w:val="002A2DD8"/>
    <w:rsid w:val="002B1708"/>
    <w:rsid w:val="002B1F67"/>
    <w:rsid w:val="002B5BBF"/>
    <w:rsid w:val="002B666A"/>
    <w:rsid w:val="002B7465"/>
    <w:rsid w:val="002C3D7C"/>
    <w:rsid w:val="002C40FA"/>
    <w:rsid w:val="002C51F6"/>
    <w:rsid w:val="002C5971"/>
    <w:rsid w:val="002C5E6C"/>
    <w:rsid w:val="002C667B"/>
    <w:rsid w:val="002D1679"/>
    <w:rsid w:val="002D1CBE"/>
    <w:rsid w:val="002D5B35"/>
    <w:rsid w:val="002D7588"/>
    <w:rsid w:val="002D7D81"/>
    <w:rsid w:val="002E0D99"/>
    <w:rsid w:val="002E711D"/>
    <w:rsid w:val="002E7D47"/>
    <w:rsid w:val="002F09AA"/>
    <w:rsid w:val="002F14D6"/>
    <w:rsid w:val="002F1FAE"/>
    <w:rsid w:val="002F2A51"/>
    <w:rsid w:val="002F3131"/>
    <w:rsid w:val="0030015C"/>
    <w:rsid w:val="00300306"/>
    <w:rsid w:val="00300A36"/>
    <w:rsid w:val="00303205"/>
    <w:rsid w:val="0030424C"/>
    <w:rsid w:val="00304518"/>
    <w:rsid w:val="0030482F"/>
    <w:rsid w:val="00304896"/>
    <w:rsid w:val="003049E7"/>
    <w:rsid w:val="00305BBC"/>
    <w:rsid w:val="00305D09"/>
    <w:rsid w:val="00305F11"/>
    <w:rsid w:val="00307EAD"/>
    <w:rsid w:val="003124E6"/>
    <w:rsid w:val="00312E7C"/>
    <w:rsid w:val="003172CE"/>
    <w:rsid w:val="0031773A"/>
    <w:rsid w:val="0032001C"/>
    <w:rsid w:val="00321B5C"/>
    <w:rsid w:val="00322BF2"/>
    <w:rsid w:val="00323540"/>
    <w:rsid w:val="00323EDB"/>
    <w:rsid w:val="00325FB1"/>
    <w:rsid w:val="00326926"/>
    <w:rsid w:val="0032734F"/>
    <w:rsid w:val="00327DC3"/>
    <w:rsid w:val="003321CA"/>
    <w:rsid w:val="0033481C"/>
    <w:rsid w:val="003354CC"/>
    <w:rsid w:val="00335B1F"/>
    <w:rsid w:val="00337A98"/>
    <w:rsid w:val="0034045E"/>
    <w:rsid w:val="00341467"/>
    <w:rsid w:val="00344D8E"/>
    <w:rsid w:val="00346C74"/>
    <w:rsid w:val="00350D56"/>
    <w:rsid w:val="00353291"/>
    <w:rsid w:val="00357938"/>
    <w:rsid w:val="0036221F"/>
    <w:rsid w:val="0036278B"/>
    <w:rsid w:val="00363343"/>
    <w:rsid w:val="00364409"/>
    <w:rsid w:val="00364734"/>
    <w:rsid w:val="00367F29"/>
    <w:rsid w:val="00371355"/>
    <w:rsid w:val="00371C6E"/>
    <w:rsid w:val="00371E49"/>
    <w:rsid w:val="003727E2"/>
    <w:rsid w:val="003728A1"/>
    <w:rsid w:val="00373909"/>
    <w:rsid w:val="003760AE"/>
    <w:rsid w:val="003807D4"/>
    <w:rsid w:val="0038230A"/>
    <w:rsid w:val="00383C50"/>
    <w:rsid w:val="00384E8E"/>
    <w:rsid w:val="00386C62"/>
    <w:rsid w:val="0038776E"/>
    <w:rsid w:val="00387B60"/>
    <w:rsid w:val="00391F8A"/>
    <w:rsid w:val="0039235E"/>
    <w:rsid w:val="00393297"/>
    <w:rsid w:val="0039335F"/>
    <w:rsid w:val="00393F22"/>
    <w:rsid w:val="00395DF6"/>
    <w:rsid w:val="003966EC"/>
    <w:rsid w:val="00397612"/>
    <w:rsid w:val="003A23A8"/>
    <w:rsid w:val="003A5135"/>
    <w:rsid w:val="003A624C"/>
    <w:rsid w:val="003A7A4D"/>
    <w:rsid w:val="003B54E6"/>
    <w:rsid w:val="003B66FF"/>
    <w:rsid w:val="003B7F27"/>
    <w:rsid w:val="003C0715"/>
    <w:rsid w:val="003C0D80"/>
    <w:rsid w:val="003C1688"/>
    <w:rsid w:val="003C2493"/>
    <w:rsid w:val="003C56F2"/>
    <w:rsid w:val="003D15DD"/>
    <w:rsid w:val="003D2E04"/>
    <w:rsid w:val="003D5DDC"/>
    <w:rsid w:val="003D65D4"/>
    <w:rsid w:val="003E0925"/>
    <w:rsid w:val="003E1827"/>
    <w:rsid w:val="003E21C4"/>
    <w:rsid w:val="003E2B33"/>
    <w:rsid w:val="003E3325"/>
    <w:rsid w:val="003E3397"/>
    <w:rsid w:val="003E66C7"/>
    <w:rsid w:val="003E7155"/>
    <w:rsid w:val="003E7706"/>
    <w:rsid w:val="003F0324"/>
    <w:rsid w:val="003F1D86"/>
    <w:rsid w:val="003F5B54"/>
    <w:rsid w:val="003F6ABD"/>
    <w:rsid w:val="003F7411"/>
    <w:rsid w:val="004008AD"/>
    <w:rsid w:val="00400A57"/>
    <w:rsid w:val="00400D7C"/>
    <w:rsid w:val="0040208B"/>
    <w:rsid w:val="004025DE"/>
    <w:rsid w:val="00403FCB"/>
    <w:rsid w:val="004041B6"/>
    <w:rsid w:val="00404737"/>
    <w:rsid w:val="0040476B"/>
    <w:rsid w:val="00404D8D"/>
    <w:rsid w:val="0040767D"/>
    <w:rsid w:val="004109C0"/>
    <w:rsid w:val="00410B9B"/>
    <w:rsid w:val="0041120E"/>
    <w:rsid w:val="00413DB7"/>
    <w:rsid w:val="00414CE7"/>
    <w:rsid w:val="00416874"/>
    <w:rsid w:val="00416A4E"/>
    <w:rsid w:val="00417469"/>
    <w:rsid w:val="00417771"/>
    <w:rsid w:val="00420569"/>
    <w:rsid w:val="0042176E"/>
    <w:rsid w:val="00424198"/>
    <w:rsid w:val="00426109"/>
    <w:rsid w:val="00430A5B"/>
    <w:rsid w:val="00430CD8"/>
    <w:rsid w:val="00431203"/>
    <w:rsid w:val="00432CAB"/>
    <w:rsid w:val="00436AE6"/>
    <w:rsid w:val="00437C3F"/>
    <w:rsid w:val="004416EF"/>
    <w:rsid w:val="004431E1"/>
    <w:rsid w:val="0044719F"/>
    <w:rsid w:val="004473D5"/>
    <w:rsid w:val="0045025D"/>
    <w:rsid w:val="00452C5C"/>
    <w:rsid w:val="0045498E"/>
    <w:rsid w:val="004549CF"/>
    <w:rsid w:val="00455B0B"/>
    <w:rsid w:val="00455C59"/>
    <w:rsid w:val="00456134"/>
    <w:rsid w:val="00456E17"/>
    <w:rsid w:val="0045789D"/>
    <w:rsid w:val="00461685"/>
    <w:rsid w:val="00462A83"/>
    <w:rsid w:val="00463052"/>
    <w:rsid w:val="00464483"/>
    <w:rsid w:val="00465E3A"/>
    <w:rsid w:val="00470226"/>
    <w:rsid w:val="00470495"/>
    <w:rsid w:val="0047056C"/>
    <w:rsid w:val="0047467C"/>
    <w:rsid w:val="00475471"/>
    <w:rsid w:val="004800B8"/>
    <w:rsid w:val="00480FEC"/>
    <w:rsid w:val="004815D2"/>
    <w:rsid w:val="00482F6E"/>
    <w:rsid w:val="0048403C"/>
    <w:rsid w:val="00486535"/>
    <w:rsid w:val="004869EC"/>
    <w:rsid w:val="004916B0"/>
    <w:rsid w:val="00491CBC"/>
    <w:rsid w:val="004931EF"/>
    <w:rsid w:val="004948D4"/>
    <w:rsid w:val="00494F31"/>
    <w:rsid w:val="00495B13"/>
    <w:rsid w:val="00496628"/>
    <w:rsid w:val="00497542"/>
    <w:rsid w:val="004A0637"/>
    <w:rsid w:val="004A09A4"/>
    <w:rsid w:val="004A1DF0"/>
    <w:rsid w:val="004A4102"/>
    <w:rsid w:val="004A45E1"/>
    <w:rsid w:val="004A5B58"/>
    <w:rsid w:val="004B008B"/>
    <w:rsid w:val="004B32FC"/>
    <w:rsid w:val="004B48AA"/>
    <w:rsid w:val="004B4EAC"/>
    <w:rsid w:val="004B63BF"/>
    <w:rsid w:val="004B6885"/>
    <w:rsid w:val="004C09A9"/>
    <w:rsid w:val="004C0B48"/>
    <w:rsid w:val="004C5B31"/>
    <w:rsid w:val="004D0171"/>
    <w:rsid w:val="004D21B7"/>
    <w:rsid w:val="004D305F"/>
    <w:rsid w:val="004D35A7"/>
    <w:rsid w:val="004D5CED"/>
    <w:rsid w:val="004D64F5"/>
    <w:rsid w:val="004E1E74"/>
    <w:rsid w:val="004E5306"/>
    <w:rsid w:val="004E6C5B"/>
    <w:rsid w:val="004E7674"/>
    <w:rsid w:val="004E7897"/>
    <w:rsid w:val="004E793F"/>
    <w:rsid w:val="004F0283"/>
    <w:rsid w:val="004F25CC"/>
    <w:rsid w:val="004F2ABF"/>
    <w:rsid w:val="004F34EF"/>
    <w:rsid w:val="004F70AE"/>
    <w:rsid w:val="00500B3C"/>
    <w:rsid w:val="00500CA2"/>
    <w:rsid w:val="00503A54"/>
    <w:rsid w:val="00504FE8"/>
    <w:rsid w:val="00505611"/>
    <w:rsid w:val="00506532"/>
    <w:rsid w:val="00507CFF"/>
    <w:rsid w:val="005102A5"/>
    <w:rsid w:val="00511345"/>
    <w:rsid w:val="005126AF"/>
    <w:rsid w:val="00515FF8"/>
    <w:rsid w:val="00516308"/>
    <w:rsid w:val="0052366D"/>
    <w:rsid w:val="00524392"/>
    <w:rsid w:val="00524D22"/>
    <w:rsid w:val="005341A6"/>
    <w:rsid w:val="005344E5"/>
    <w:rsid w:val="00536C05"/>
    <w:rsid w:val="0053769A"/>
    <w:rsid w:val="0054014E"/>
    <w:rsid w:val="005405B2"/>
    <w:rsid w:val="00540F3C"/>
    <w:rsid w:val="00541214"/>
    <w:rsid w:val="00543506"/>
    <w:rsid w:val="0054442F"/>
    <w:rsid w:val="005458D7"/>
    <w:rsid w:val="005462A1"/>
    <w:rsid w:val="00546927"/>
    <w:rsid w:val="00547130"/>
    <w:rsid w:val="00547D4B"/>
    <w:rsid w:val="005502DF"/>
    <w:rsid w:val="00550689"/>
    <w:rsid w:val="00551405"/>
    <w:rsid w:val="00551571"/>
    <w:rsid w:val="00551E24"/>
    <w:rsid w:val="005525EB"/>
    <w:rsid w:val="00554B12"/>
    <w:rsid w:val="005552A4"/>
    <w:rsid w:val="0055699E"/>
    <w:rsid w:val="0055764C"/>
    <w:rsid w:val="00557DBD"/>
    <w:rsid w:val="00560F99"/>
    <w:rsid w:val="0056103A"/>
    <w:rsid w:val="00562A3C"/>
    <w:rsid w:val="00563476"/>
    <w:rsid w:val="005700E0"/>
    <w:rsid w:val="005700F3"/>
    <w:rsid w:val="00570BAE"/>
    <w:rsid w:val="005721A6"/>
    <w:rsid w:val="005726D3"/>
    <w:rsid w:val="00573A9E"/>
    <w:rsid w:val="00576E9B"/>
    <w:rsid w:val="00577044"/>
    <w:rsid w:val="005802DC"/>
    <w:rsid w:val="00580863"/>
    <w:rsid w:val="005826DC"/>
    <w:rsid w:val="00582DB9"/>
    <w:rsid w:val="00585A6D"/>
    <w:rsid w:val="00585B2D"/>
    <w:rsid w:val="00585D6E"/>
    <w:rsid w:val="0058671C"/>
    <w:rsid w:val="005872FF"/>
    <w:rsid w:val="0059038F"/>
    <w:rsid w:val="00590791"/>
    <w:rsid w:val="0059444B"/>
    <w:rsid w:val="00594456"/>
    <w:rsid w:val="005951B3"/>
    <w:rsid w:val="005958F3"/>
    <w:rsid w:val="00595F3A"/>
    <w:rsid w:val="0059616F"/>
    <w:rsid w:val="005963BA"/>
    <w:rsid w:val="005A0092"/>
    <w:rsid w:val="005A06BC"/>
    <w:rsid w:val="005A3726"/>
    <w:rsid w:val="005A38C6"/>
    <w:rsid w:val="005A496C"/>
    <w:rsid w:val="005A611D"/>
    <w:rsid w:val="005A696E"/>
    <w:rsid w:val="005A6B2D"/>
    <w:rsid w:val="005A7439"/>
    <w:rsid w:val="005B16D8"/>
    <w:rsid w:val="005B1B22"/>
    <w:rsid w:val="005B5FDF"/>
    <w:rsid w:val="005B600D"/>
    <w:rsid w:val="005B7819"/>
    <w:rsid w:val="005C22AB"/>
    <w:rsid w:val="005C2DB4"/>
    <w:rsid w:val="005C6525"/>
    <w:rsid w:val="005D1014"/>
    <w:rsid w:val="005D1908"/>
    <w:rsid w:val="005D3294"/>
    <w:rsid w:val="005D38B6"/>
    <w:rsid w:val="005D50E2"/>
    <w:rsid w:val="005E0729"/>
    <w:rsid w:val="005E2658"/>
    <w:rsid w:val="005E4DE3"/>
    <w:rsid w:val="005E79AC"/>
    <w:rsid w:val="005F07F9"/>
    <w:rsid w:val="005F22CD"/>
    <w:rsid w:val="005F2AF5"/>
    <w:rsid w:val="005F2DF3"/>
    <w:rsid w:val="005F3F4F"/>
    <w:rsid w:val="005F403E"/>
    <w:rsid w:val="005F4951"/>
    <w:rsid w:val="006022F3"/>
    <w:rsid w:val="00604CDA"/>
    <w:rsid w:val="006050F5"/>
    <w:rsid w:val="006075A4"/>
    <w:rsid w:val="00610FCC"/>
    <w:rsid w:val="006127F2"/>
    <w:rsid w:val="006128D6"/>
    <w:rsid w:val="00614F2A"/>
    <w:rsid w:val="006152AA"/>
    <w:rsid w:val="00616443"/>
    <w:rsid w:val="00616BB8"/>
    <w:rsid w:val="00617C87"/>
    <w:rsid w:val="00617D28"/>
    <w:rsid w:val="00623EC5"/>
    <w:rsid w:val="006266BC"/>
    <w:rsid w:val="00626831"/>
    <w:rsid w:val="006314F0"/>
    <w:rsid w:val="00631E38"/>
    <w:rsid w:val="006329BF"/>
    <w:rsid w:val="00633008"/>
    <w:rsid w:val="00633B42"/>
    <w:rsid w:val="006344F8"/>
    <w:rsid w:val="00634E80"/>
    <w:rsid w:val="00635463"/>
    <w:rsid w:val="00635699"/>
    <w:rsid w:val="006378BC"/>
    <w:rsid w:val="00640C16"/>
    <w:rsid w:val="0064272F"/>
    <w:rsid w:val="006469E7"/>
    <w:rsid w:val="006478BE"/>
    <w:rsid w:val="00650AF4"/>
    <w:rsid w:val="0065163C"/>
    <w:rsid w:val="0065199C"/>
    <w:rsid w:val="006531C1"/>
    <w:rsid w:val="00654873"/>
    <w:rsid w:val="006570A3"/>
    <w:rsid w:val="006607FC"/>
    <w:rsid w:val="00660A41"/>
    <w:rsid w:val="0066164F"/>
    <w:rsid w:val="00663592"/>
    <w:rsid w:val="00664644"/>
    <w:rsid w:val="006659AE"/>
    <w:rsid w:val="00671A89"/>
    <w:rsid w:val="0067250F"/>
    <w:rsid w:val="00673914"/>
    <w:rsid w:val="006739C2"/>
    <w:rsid w:val="006739F4"/>
    <w:rsid w:val="00675629"/>
    <w:rsid w:val="00680569"/>
    <w:rsid w:val="00680C16"/>
    <w:rsid w:val="0068122F"/>
    <w:rsid w:val="00683A58"/>
    <w:rsid w:val="00685C1D"/>
    <w:rsid w:val="00686769"/>
    <w:rsid w:val="00687FE8"/>
    <w:rsid w:val="006900D6"/>
    <w:rsid w:val="00692930"/>
    <w:rsid w:val="00693268"/>
    <w:rsid w:val="00693ABF"/>
    <w:rsid w:val="006958EA"/>
    <w:rsid w:val="00696C08"/>
    <w:rsid w:val="006A003C"/>
    <w:rsid w:val="006A05A7"/>
    <w:rsid w:val="006A0E2B"/>
    <w:rsid w:val="006A6780"/>
    <w:rsid w:val="006A6FF8"/>
    <w:rsid w:val="006A79EA"/>
    <w:rsid w:val="006B0469"/>
    <w:rsid w:val="006B33AC"/>
    <w:rsid w:val="006B4264"/>
    <w:rsid w:val="006B45F5"/>
    <w:rsid w:val="006B4ED7"/>
    <w:rsid w:val="006C1FB9"/>
    <w:rsid w:val="006C2049"/>
    <w:rsid w:val="006C42A7"/>
    <w:rsid w:val="006C4369"/>
    <w:rsid w:val="006C5135"/>
    <w:rsid w:val="006C5169"/>
    <w:rsid w:val="006C5515"/>
    <w:rsid w:val="006C57B3"/>
    <w:rsid w:val="006C67D3"/>
    <w:rsid w:val="006C69A6"/>
    <w:rsid w:val="006C7922"/>
    <w:rsid w:val="006D08EE"/>
    <w:rsid w:val="006D55E3"/>
    <w:rsid w:val="006D6321"/>
    <w:rsid w:val="006D67EC"/>
    <w:rsid w:val="006E0FFF"/>
    <w:rsid w:val="006E1E47"/>
    <w:rsid w:val="006E3B09"/>
    <w:rsid w:val="006E557A"/>
    <w:rsid w:val="006F090B"/>
    <w:rsid w:val="006F25A8"/>
    <w:rsid w:val="006F32A3"/>
    <w:rsid w:val="006F7318"/>
    <w:rsid w:val="00700A95"/>
    <w:rsid w:val="0070122F"/>
    <w:rsid w:val="00702BA4"/>
    <w:rsid w:val="00703672"/>
    <w:rsid w:val="00704426"/>
    <w:rsid w:val="00705154"/>
    <w:rsid w:val="007053A1"/>
    <w:rsid w:val="00705F5C"/>
    <w:rsid w:val="00710360"/>
    <w:rsid w:val="007104C2"/>
    <w:rsid w:val="00711B91"/>
    <w:rsid w:val="00712D1D"/>
    <w:rsid w:val="00713728"/>
    <w:rsid w:val="00716F09"/>
    <w:rsid w:val="00717CB6"/>
    <w:rsid w:val="00723745"/>
    <w:rsid w:val="007237CD"/>
    <w:rsid w:val="00724037"/>
    <w:rsid w:val="007244E7"/>
    <w:rsid w:val="00727948"/>
    <w:rsid w:val="00730887"/>
    <w:rsid w:val="007310C5"/>
    <w:rsid w:val="00731EFE"/>
    <w:rsid w:val="00731F08"/>
    <w:rsid w:val="00732518"/>
    <w:rsid w:val="00734074"/>
    <w:rsid w:val="007341A9"/>
    <w:rsid w:val="00734958"/>
    <w:rsid w:val="00736F6B"/>
    <w:rsid w:val="007375F6"/>
    <w:rsid w:val="007407C0"/>
    <w:rsid w:val="007409B1"/>
    <w:rsid w:val="00743761"/>
    <w:rsid w:val="007442EB"/>
    <w:rsid w:val="00744438"/>
    <w:rsid w:val="0074506A"/>
    <w:rsid w:val="00745440"/>
    <w:rsid w:val="00746374"/>
    <w:rsid w:val="007471A7"/>
    <w:rsid w:val="007479F6"/>
    <w:rsid w:val="007508CC"/>
    <w:rsid w:val="00752C13"/>
    <w:rsid w:val="00754062"/>
    <w:rsid w:val="00755842"/>
    <w:rsid w:val="00755BE1"/>
    <w:rsid w:val="00756995"/>
    <w:rsid w:val="00756CE2"/>
    <w:rsid w:val="00757E1F"/>
    <w:rsid w:val="0076016F"/>
    <w:rsid w:val="00761C80"/>
    <w:rsid w:val="00762C7E"/>
    <w:rsid w:val="00765A1B"/>
    <w:rsid w:val="007707EB"/>
    <w:rsid w:val="007719D3"/>
    <w:rsid w:val="0077570C"/>
    <w:rsid w:val="00775DF2"/>
    <w:rsid w:val="00775FA5"/>
    <w:rsid w:val="007779F1"/>
    <w:rsid w:val="00777A76"/>
    <w:rsid w:val="00782880"/>
    <w:rsid w:val="00783430"/>
    <w:rsid w:val="00786786"/>
    <w:rsid w:val="00786E61"/>
    <w:rsid w:val="00787734"/>
    <w:rsid w:val="00794429"/>
    <w:rsid w:val="00795A12"/>
    <w:rsid w:val="007974D6"/>
    <w:rsid w:val="007A202B"/>
    <w:rsid w:val="007A27E4"/>
    <w:rsid w:val="007A5029"/>
    <w:rsid w:val="007A5373"/>
    <w:rsid w:val="007A65A0"/>
    <w:rsid w:val="007A665D"/>
    <w:rsid w:val="007A6EE3"/>
    <w:rsid w:val="007A7FF2"/>
    <w:rsid w:val="007B078C"/>
    <w:rsid w:val="007B0E42"/>
    <w:rsid w:val="007B1769"/>
    <w:rsid w:val="007B2822"/>
    <w:rsid w:val="007B2FFC"/>
    <w:rsid w:val="007B48D1"/>
    <w:rsid w:val="007B5BD4"/>
    <w:rsid w:val="007B760A"/>
    <w:rsid w:val="007C1776"/>
    <w:rsid w:val="007C3939"/>
    <w:rsid w:val="007C39CA"/>
    <w:rsid w:val="007C56FD"/>
    <w:rsid w:val="007C597E"/>
    <w:rsid w:val="007C69E1"/>
    <w:rsid w:val="007D0109"/>
    <w:rsid w:val="007D115C"/>
    <w:rsid w:val="007D12EF"/>
    <w:rsid w:val="007D2838"/>
    <w:rsid w:val="007D36C2"/>
    <w:rsid w:val="007D4A50"/>
    <w:rsid w:val="007D4B80"/>
    <w:rsid w:val="007D4CDF"/>
    <w:rsid w:val="007E0434"/>
    <w:rsid w:val="007E08E3"/>
    <w:rsid w:val="007E2614"/>
    <w:rsid w:val="007E5102"/>
    <w:rsid w:val="007E5F71"/>
    <w:rsid w:val="007E61E9"/>
    <w:rsid w:val="007E6EA4"/>
    <w:rsid w:val="007E6FEE"/>
    <w:rsid w:val="007E73C1"/>
    <w:rsid w:val="007E7B73"/>
    <w:rsid w:val="007F1551"/>
    <w:rsid w:val="007F2E73"/>
    <w:rsid w:val="007F4DCB"/>
    <w:rsid w:val="007F4F9F"/>
    <w:rsid w:val="008014B0"/>
    <w:rsid w:val="0080539E"/>
    <w:rsid w:val="00806EE0"/>
    <w:rsid w:val="008073CE"/>
    <w:rsid w:val="008116F7"/>
    <w:rsid w:val="00811F87"/>
    <w:rsid w:val="00813FBD"/>
    <w:rsid w:val="00814837"/>
    <w:rsid w:val="008159AB"/>
    <w:rsid w:val="00816A9B"/>
    <w:rsid w:val="00816C82"/>
    <w:rsid w:val="008174B1"/>
    <w:rsid w:val="00817B62"/>
    <w:rsid w:val="00820546"/>
    <w:rsid w:val="00820DC6"/>
    <w:rsid w:val="00821342"/>
    <w:rsid w:val="00821926"/>
    <w:rsid w:val="00821D90"/>
    <w:rsid w:val="008236E8"/>
    <w:rsid w:val="0082443B"/>
    <w:rsid w:val="00826FF6"/>
    <w:rsid w:val="008270AF"/>
    <w:rsid w:val="00830D9E"/>
    <w:rsid w:val="00831F25"/>
    <w:rsid w:val="008346E7"/>
    <w:rsid w:val="008349A0"/>
    <w:rsid w:val="008360EB"/>
    <w:rsid w:val="008366EC"/>
    <w:rsid w:val="008420ED"/>
    <w:rsid w:val="008446CE"/>
    <w:rsid w:val="00845908"/>
    <w:rsid w:val="00847D30"/>
    <w:rsid w:val="0085032F"/>
    <w:rsid w:val="008509AB"/>
    <w:rsid w:val="008518A7"/>
    <w:rsid w:val="00853068"/>
    <w:rsid w:val="00853801"/>
    <w:rsid w:val="00855E09"/>
    <w:rsid w:val="008575F5"/>
    <w:rsid w:val="0086055B"/>
    <w:rsid w:val="00862564"/>
    <w:rsid w:val="00864E11"/>
    <w:rsid w:val="0086648E"/>
    <w:rsid w:val="00870488"/>
    <w:rsid w:val="00870D66"/>
    <w:rsid w:val="00870DE9"/>
    <w:rsid w:val="00875925"/>
    <w:rsid w:val="008762CD"/>
    <w:rsid w:val="0087711E"/>
    <w:rsid w:val="00877A9A"/>
    <w:rsid w:val="00880FA2"/>
    <w:rsid w:val="008813FA"/>
    <w:rsid w:val="00881F16"/>
    <w:rsid w:val="0088283F"/>
    <w:rsid w:val="00884CCA"/>
    <w:rsid w:val="008865D7"/>
    <w:rsid w:val="008925C0"/>
    <w:rsid w:val="00896B21"/>
    <w:rsid w:val="008971F5"/>
    <w:rsid w:val="008A1D8E"/>
    <w:rsid w:val="008A2643"/>
    <w:rsid w:val="008A35BF"/>
    <w:rsid w:val="008A4877"/>
    <w:rsid w:val="008A609D"/>
    <w:rsid w:val="008B0449"/>
    <w:rsid w:val="008B0A2F"/>
    <w:rsid w:val="008B11AA"/>
    <w:rsid w:val="008B173A"/>
    <w:rsid w:val="008B2DD8"/>
    <w:rsid w:val="008B4EFC"/>
    <w:rsid w:val="008B5986"/>
    <w:rsid w:val="008B69D1"/>
    <w:rsid w:val="008B7F40"/>
    <w:rsid w:val="008C1844"/>
    <w:rsid w:val="008C57D3"/>
    <w:rsid w:val="008D16B7"/>
    <w:rsid w:val="008D3A34"/>
    <w:rsid w:val="008D5259"/>
    <w:rsid w:val="008D7FBD"/>
    <w:rsid w:val="008E0A2A"/>
    <w:rsid w:val="008E0DC9"/>
    <w:rsid w:val="008E2DDA"/>
    <w:rsid w:val="008E2F37"/>
    <w:rsid w:val="008E7AD7"/>
    <w:rsid w:val="008F23F3"/>
    <w:rsid w:val="008F2A96"/>
    <w:rsid w:val="008F2C9A"/>
    <w:rsid w:val="008F32B1"/>
    <w:rsid w:val="008F3385"/>
    <w:rsid w:val="008F4516"/>
    <w:rsid w:val="008F4CE8"/>
    <w:rsid w:val="008F60ED"/>
    <w:rsid w:val="008F6AEB"/>
    <w:rsid w:val="008F795B"/>
    <w:rsid w:val="008F7F85"/>
    <w:rsid w:val="00900BF2"/>
    <w:rsid w:val="00901DE2"/>
    <w:rsid w:val="009029C1"/>
    <w:rsid w:val="00903C4F"/>
    <w:rsid w:val="0090430A"/>
    <w:rsid w:val="00904F05"/>
    <w:rsid w:val="00906169"/>
    <w:rsid w:val="00910387"/>
    <w:rsid w:val="00916075"/>
    <w:rsid w:val="00916716"/>
    <w:rsid w:val="00916AAA"/>
    <w:rsid w:val="00916F58"/>
    <w:rsid w:val="00921B8F"/>
    <w:rsid w:val="0092204F"/>
    <w:rsid w:val="009227E6"/>
    <w:rsid w:val="00923AFB"/>
    <w:rsid w:val="00926BF4"/>
    <w:rsid w:val="00927C20"/>
    <w:rsid w:val="00930330"/>
    <w:rsid w:val="009316F9"/>
    <w:rsid w:val="00931C3A"/>
    <w:rsid w:val="00935462"/>
    <w:rsid w:val="00935DC4"/>
    <w:rsid w:val="00936293"/>
    <w:rsid w:val="00936297"/>
    <w:rsid w:val="009372F4"/>
    <w:rsid w:val="009373A3"/>
    <w:rsid w:val="009421FF"/>
    <w:rsid w:val="00944024"/>
    <w:rsid w:val="00946B17"/>
    <w:rsid w:val="00947112"/>
    <w:rsid w:val="00951C46"/>
    <w:rsid w:val="00952F26"/>
    <w:rsid w:val="0095369B"/>
    <w:rsid w:val="00953FEC"/>
    <w:rsid w:val="00955BBA"/>
    <w:rsid w:val="0095640E"/>
    <w:rsid w:val="0095724E"/>
    <w:rsid w:val="00957CB6"/>
    <w:rsid w:val="00962897"/>
    <w:rsid w:val="00964C49"/>
    <w:rsid w:val="00964E32"/>
    <w:rsid w:val="00964E8D"/>
    <w:rsid w:val="009654CE"/>
    <w:rsid w:val="0096777D"/>
    <w:rsid w:val="00967D2B"/>
    <w:rsid w:val="00971C61"/>
    <w:rsid w:val="00973390"/>
    <w:rsid w:val="00973897"/>
    <w:rsid w:val="00973EB1"/>
    <w:rsid w:val="00974CEB"/>
    <w:rsid w:val="00975673"/>
    <w:rsid w:val="00976112"/>
    <w:rsid w:val="00976286"/>
    <w:rsid w:val="00977D98"/>
    <w:rsid w:val="009813D1"/>
    <w:rsid w:val="009824DA"/>
    <w:rsid w:val="00982A83"/>
    <w:rsid w:val="00982E85"/>
    <w:rsid w:val="00984D33"/>
    <w:rsid w:val="00990350"/>
    <w:rsid w:val="00990632"/>
    <w:rsid w:val="00990D8F"/>
    <w:rsid w:val="00991153"/>
    <w:rsid w:val="009920E6"/>
    <w:rsid w:val="00993823"/>
    <w:rsid w:val="00995510"/>
    <w:rsid w:val="0099697A"/>
    <w:rsid w:val="00996B64"/>
    <w:rsid w:val="009971F4"/>
    <w:rsid w:val="009A241C"/>
    <w:rsid w:val="009A2A57"/>
    <w:rsid w:val="009A4C73"/>
    <w:rsid w:val="009A6F44"/>
    <w:rsid w:val="009A7952"/>
    <w:rsid w:val="009B0147"/>
    <w:rsid w:val="009B1704"/>
    <w:rsid w:val="009B2581"/>
    <w:rsid w:val="009B2973"/>
    <w:rsid w:val="009B2D8A"/>
    <w:rsid w:val="009B3088"/>
    <w:rsid w:val="009B44E3"/>
    <w:rsid w:val="009B48AC"/>
    <w:rsid w:val="009B575B"/>
    <w:rsid w:val="009B6C27"/>
    <w:rsid w:val="009B72D8"/>
    <w:rsid w:val="009B734D"/>
    <w:rsid w:val="009B76ED"/>
    <w:rsid w:val="009C2A40"/>
    <w:rsid w:val="009C3288"/>
    <w:rsid w:val="009C3424"/>
    <w:rsid w:val="009C396A"/>
    <w:rsid w:val="009C4261"/>
    <w:rsid w:val="009C4CEA"/>
    <w:rsid w:val="009C5B0E"/>
    <w:rsid w:val="009D02C9"/>
    <w:rsid w:val="009D311B"/>
    <w:rsid w:val="009D4077"/>
    <w:rsid w:val="009D5C7E"/>
    <w:rsid w:val="009D6A5C"/>
    <w:rsid w:val="009D77BC"/>
    <w:rsid w:val="009D7A96"/>
    <w:rsid w:val="009D7C64"/>
    <w:rsid w:val="009E00BE"/>
    <w:rsid w:val="009E195F"/>
    <w:rsid w:val="009E3FEF"/>
    <w:rsid w:val="009E47BD"/>
    <w:rsid w:val="009E533D"/>
    <w:rsid w:val="009E59B0"/>
    <w:rsid w:val="009E7553"/>
    <w:rsid w:val="009E7729"/>
    <w:rsid w:val="009E79F1"/>
    <w:rsid w:val="009F14BB"/>
    <w:rsid w:val="009F3189"/>
    <w:rsid w:val="009F3FDA"/>
    <w:rsid w:val="009F4919"/>
    <w:rsid w:val="009F7578"/>
    <w:rsid w:val="00A01CFD"/>
    <w:rsid w:val="00A04C52"/>
    <w:rsid w:val="00A067D7"/>
    <w:rsid w:val="00A111AC"/>
    <w:rsid w:val="00A11269"/>
    <w:rsid w:val="00A11788"/>
    <w:rsid w:val="00A12AF2"/>
    <w:rsid w:val="00A145AF"/>
    <w:rsid w:val="00A15A40"/>
    <w:rsid w:val="00A16EB9"/>
    <w:rsid w:val="00A16EF5"/>
    <w:rsid w:val="00A178C5"/>
    <w:rsid w:val="00A178E2"/>
    <w:rsid w:val="00A17DB3"/>
    <w:rsid w:val="00A2002C"/>
    <w:rsid w:val="00A222D6"/>
    <w:rsid w:val="00A26D39"/>
    <w:rsid w:val="00A27109"/>
    <w:rsid w:val="00A27E36"/>
    <w:rsid w:val="00A30314"/>
    <w:rsid w:val="00A313F4"/>
    <w:rsid w:val="00A31424"/>
    <w:rsid w:val="00A314B0"/>
    <w:rsid w:val="00A329E2"/>
    <w:rsid w:val="00A34DA0"/>
    <w:rsid w:val="00A35765"/>
    <w:rsid w:val="00A36DE0"/>
    <w:rsid w:val="00A3795E"/>
    <w:rsid w:val="00A37A9B"/>
    <w:rsid w:val="00A41D48"/>
    <w:rsid w:val="00A430E7"/>
    <w:rsid w:val="00A4487F"/>
    <w:rsid w:val="00A44F09"/>
    <w:rsid w:val="00A46CB0"/>
    <w:rsid w:val="00A47325"/>
    <w:rsid w:val="00A4741B"/>
    <w:rsid w:val="00A55A7D"/>
    <w:rsid w:val="00A56E8E"/>
    <w:rsid w:val="00A57575"/>
    <w:rsid w:val="00A5775B"/>
    <w:rsid w:val="00A57CAC"/>
    <w:rsid w:val="00A61CD5"/>
    <w:rsid w:val="00A6397D"/>
    <w:rsid w:val="00A655E4"/>
    <w:rsid w:val="00A71BF3"/>
    <w:rsid w:val="00A7249E"/>
    <w:rsid w:val="00A734DC"/>
    <w:rsid w:val="00A73677"/>
    <w:rsid w:val="00A73BF2"/>
    <w:rsid w:val="00A74F88"/>
    <w:rsid w:val="00A77486"/>
    <w:rsid w:val="00A804DB"/>
    <w:rsid w:val="00A8093F"/>
    <w:rsid w:val="00A828DF"/>
    <w:rsid w:val="00A83A27"/>
    <w:rsid w:val="00A83CC9"/>
    <w:rsid w:val="00A85A2B"/>
    <w:rsid w:val="00A879FC"/>
    <w:rsid w:val="00A900BD"/>
    <w:rsid w:val="00A9050F"/>
    <w:rsid w:val="00A906AD"/>
    <w:rsid w:val="00A90908"/>
    <w:rsid w:val="00A920AE"/>
    <w:rsid w:val="00A92EBB"/>
    <w:rsid w:val="00AA08D8"/>
    <w:rsid w:val="00AA16C9"/>
    <w:rsid w:val="00AA1BED"/>
    <w:rsid w:val="00AA373D"/>
    <w:rsid w:val="00AA44A0"/>
    <w:rsid w:val="00AA5DDA"/>
    <w:rsid w:val="00AB0897"/>
    <w:rsid w:val="00AB0E6B"/>
    <w:rsid w:val="00AB4552"/>
    <w:rsid w:val="00AB78D1"/>
    <w:rsid w:val="00AC07A1"/>
    <w:rsid w:val="00AC0A3F"/>
    <w:rsid w:val="00AC0B13"/>
    <w:rsid w:val="00AC1315"/>
    <w:rsid w:val="00AC2EAF"/>
    <w:rsid w:val="00AC2FD8"/>
    <w:rsid w:val="00AC31DC"/>
    <w:rsid w:val="00AC395A"/>
    <w:rsid w:val="00AC3B07"/>
    <w:rsid w:val="00AC3F5E"/>
    <w:rsid w:val="00AC500D"/>
    <w:rsid w:val="00AC6637"/>
    <w:rsid w:val="00AC7681"/>
    <w:rsid w:val="00AD0255"/>
    <w:rsid w:val="00AD08A0"/>
    <w:rsid w:val="00AD221C"/>
    <w:rsid w:val="00AD3C0B"/>
    <w:rsid w:val="00AD4132"/>
    <w:rsid w:val="00AD4781"/>
    <w:rsid w:val="00AD4811"/>
    <w:rsid w:val="00AD5905"/>
    <w:rsid w:val="00AD624B"/>
    <w:rsid w:val="00AE06CF"/>
    <w:rsid w:val="00AE3BBC"/>
    <w:rsid w:val="00AE54E4"/>
    <w:rsid w:val="00AE706C"/>
    <w:rsid w:val="00AF0710"/>
    <w:rsid w:val="00AF1B74"/>
    <w:rsid w:val="00AF4A85"/>
    <w:rsid w:val="00AF5E2E"/>
    <w:rsid w:val="00B00AD4"/>
    <w:rsid w:val="00B00EAC"/>
    <w:rsid w:val="00B03FA5"/>
    <w:rsid w:val="00B05CD0"/>
    <w:rsid w:val="00B06255"/>
    <w:rsid w:val="00B103B1"/>
    <w:rsid w:val="00B11435"/>
    <w:rsid w:val="00B11BAB"/>
    <w:rsid w:val="00B12076"/>
    <w:rsid w:val="00B1287C"/>
    <w:rsid w:val="00B20360"/>
    <w:rsid w:val="00B2476A"/>
    <w:rsid w:val="00B24BE7"/>
    <w:rsid w:val="00B263CD"/>
    <w:rsid w:val="00B339B7"/>
    <w:rsid w:val="00B3494F"/>
    <w:rsid w:val="00B34C76"/>
    <w:rsid w:val="00B42FA8"/>
    <w:rsid w:val="00B439C9"/>
    <w:rsid w:val="00B44270"/>
    <w:rsid w:val="00B44A8B"/>
    <w:rsid w:val="00B44CA5"/>
    <w:rsid w:val="00B46052"/>
    <w:rsid w:val="00B46CB7"/>
    <w:rsid w:val="00B47883"/>
    <w:rsid w:val="00B51338"/>
    <w:rsid w:val="00B5336F"/>
    <w:rsid w:val="00B65142"/>
    <w:rsid w:val="00B6573E"/>
    <w:rsid w:val="00B66F9F"/>
    <w:rsid w:val="00B67177"/>
    <w:rsid w:val="00B67406"/>
    <w:rsid w:val="00B677B7"/>
    <w:rsid w:val="00B736B4"/>
    <w:rsid w:val="00B75088"/>
    <w:rsid w:val="00B75495"/>
    <w:rsid w:val="00B771A3"/>
    <w:rsid w:val="00B77F98"/>
    <w:rsid w:val="00B81FBC"/>
    <w:rsid w:val="00B84D23"/>
    <w:rsid w:val="00B855C9"/>
    <w:rsid w:val="00B87A2A"/>
    <w:rsid w:val="00BA0B5F"/>
    <w:rsid w:val="00BA7243"/>
    <w:rsid w:val="00BA796E"/>
    <w:rsid w:val="00BB117C"/>
    <w:rsid w:val="00BB3E76"/>
    <w:rsid w:val="00BB5316"/>
    <w:rsid w:val="00BB5468"/>
    <w:rsid w:val="00BB5EA7"/>
    <w:rsid w:val="00BB6A1C"/>
    <w:rsid w:val="00BB7811"/>
    <w:rsid w:val="00BC1378"/>
    <w:rsid w:val="00BC212C"/>
    <w:rsid w:val="00BC223E"/>
    <w:rsid w:val="00BC4B57"/>
    <w:rsid w:val="00BC5D2A"/>
    <w:rsid w:val="00BD090A"/>
    <w:rsid w:val="00BD0E6E"/>
    <w:rsid w:val="00BD4042"/>
    <w:rsid w:val="00BD47B5"/>
    <w:rsid w:val="00BD4929"/>
    <w:rsid w:val="00BE0276"/>
    <w:rsid w:val="00BE130F"/>
    <w:rsid w:val="00BE1B5E"/>
    <w:rsid w:val="00BE6FB2"/>
    <w:rsid w:val="00BF0D23"/>
    <w:rsid w:val="00BF1A91"/>
    <w:rsid w:val="00BF208A"/>
    <w:rsid w:val="00BF2437"/>
    <w:rsid w:val="00BF48FC"/>
    <w:rsid w:val="00BF5C2B"/>
    <w:rsid w:val="00BF5D62"/>
    <w:rsid w:val="00BF6768"/>
    <w:rsid w:val="00C000E2"/>
    <w:rsid w:val="00C0072A"/>
    <w:rsid w:val="00C00B2F"/>
    <w:rsid w:val="00C014FD"/>
    <w:rsid w:val="00C01A91"/>
    <w:rsid w:val="00C01F25"/>
    <w:rsid w:val="00C038E7"/>
    <w:rsid w:val="00C04204"/>
    <w:rsid w:val="00C046F4"/>
    <w:rsid w:val="00C0494C"/>
    <w:rsid w:val="00C05747"/>
    <w:rsid w:val="00C0713B"/>
    <w:rsid w:val="00C10D4E"/>
    <w:rsid w:val="00C13D98"/>
    <w:rsid w:val="00C15A6D"/>
    <w:rsid w:val="00C204B4"/>
    <w:rsid w:val="00C21450"/>
    <w:rsid w:val="00C2159B"/>
    <w:rsid w:val="00C21CD8"/>
    <w:rsid w:val="00C227E7"/>
    <w:rsid w:val="00C255D1"/>
    <w:rsid w:val="00C26796"/>
    <w:rsid w:val="00C27392"/>
    <w:rsid w:val="00C30482"/>
    <w:rsid w:val="00C31ADD"/>
    <w:rsid w:val="00C34D5F"/>
    <w:rsid w:val="00C35C73"/>
    <w:rsid w:val="00C40029"/>
    <w:rsid w:val="00C40D2D"/>
    <w:rsid w:val="00C42021"/>
    <w:rsid w:val="00C44976"/>
    <w:rsid w:val="00C458B7"/>
    <w:rsid w:val="00C46535"/>
    <w:rsid w:val="00C525E8"/>
    <w:rsid w:val="00C5410D"/>
    <w:rsid w:val="00C55254"/>
    <w:rsid w:val="00C566E5"/>
    <w:rsid w:val="00C56CA3"/>
    <w:rsid w:val="00C56F64"/>
    <w:rsid w:val="00C57743"/>
    <w:rsid w:val="00C57C2B"/>
    <w:rsid w:val="00C613E5"/>
    <w:rsid w:val="00C63AE9"/>
    <w:rsid w:val="00C64062"/>
    <w:rsid w:val="00C6643F"/>
    <w:rsid w:val="00C66B09"/>
    <w:rsid w:val="00C66BA6"/>
    <w:rsid w:val="00C66BB0"/>
    <w:rsid w:val="00C7003C"/>
    <w:rsid w:val="00C7063E"/>
    <w:rsid w:val="00C7068F"/>
    <w:rsid w:val="00C721BE"/>
    <w:rsid w:val="00C749F8"/>
    <w:rsid w:val="00C74B0D"/>
    <w:rsid w:val="00C74E89"/>
    <w:rsid w:val="00C75752"/>
    <w:rsid w:val="00C76EBC"/>
    <w:rsid w:val="00C77208"/>
    <w:rsid w:val="00C776C8"/>
    <w:rsid w:val="00C807C2"/>
    <w:rsid w:val="00C83729"/>
    <w:rsid w:val="00C83DB3"/>
    <w:rsid w:val="00C84397"/>
    <w:rsid w:val="00C845DC"/>
    <w:rsid w:val="00C854FF"/>
    <w:rsid w:val="00C87833"/>
    <w:rsid w:val="00C87E85"/>
    <w:rsid w:val="00CA06FA"/>
    <w:rsid w:val="00CA2C4B"/>
    <w:rsid w:val="00CA2DD2"/>
    <w:rsid w:val="00CA4E76"/>
    <w:rsid w:val="00CA4FD4"/>
    <w:rsid w:val="00CA500F"/>
    <w:rsid w:val="00CA663B"/>
    <w:rsid w:val="00CA7162"/>
    <w:rsid w:val="00CB08DA"/>
    <w:rsid w:val="00CB340A"/>
    <w:rsid w:val="00CB346A"/>
    <w:rsid w:val="00CB3857"/>
    <w:rsid w:val="00CB3B8A"/>
    <w:rsid w:val="00CB43B1"/>
    <w:rsid w:val="00CB512E"/>
    <w:rsid w:val="00CB54E2"/>
    <w:rsid w:val="00CB63EB"/>
    <w:rsid w:val="00CC0EBC"/>
    <w:rsid w:val="00CC4BB6"/>
    <w:rsid w:val="00CC5A71"/>
    <w:rsid w:val="00CC6789"/>
    <w:rsid w:val="00CD02D6"/>
    <w:rsid w:val="00CD04FA"/>
    <w:rsid w:val="00CD2590"/>
    <w:rsid w:val="00CD2DF3"/>
    <w:rsid w:val="00CD3A40"/>
    <w:rsid w:val="00CD5F46"/>
    <w:rsid w:val="00CD727B"/>
    <w:rsid w:val="00CE2116"/>
    <w:rsid w:val="00CE2531"/>
    <w:rsid w:val="00CE3570"/>
    <w:rsid w:val="00CE3838"/>
    <w:rsid w:val="00CE42D7"/>
    <w:rsid w:val="00CE4C3C"/>
    <w:rsid w:val="00CE652E"/>
    <w:rsid w:val="00CF0EB1"/>
    <w:rsid w:val="00CF0F7C"/>
    <w:rsid w:val="00CF0FD3"/>
    <w:rsid w:val="00CF165C"/>
    <w:rsid w:val="00CF5EF8"/>
    <w:rsid w:val="00CF6722"/>
    <w:rsid w:val="00CF7109"/>
    <w:rsid w:val="00D00C34"/>
    <w:rsid w:val="00D018F3"/>
    <w:rsid w:val="00D0249B"/>
    <w:rsid w:val="00D04AD1"/>
    <w:rsid w:val="00D04B24"/>
    <w:rsid w:val="00D04B6D"/>
    <w:rsid w:val="00D04FDB"/>
    <w:rsid w:val="00D066B5"/>
    <w:rsid w:val="00D06ADE"/>
    <w:rsid w:val="00D075CB"/>
    <w:rsid w:val="00D076AD"/>
    <w:rsid w:val="00D11E74"/>
    <w:rsid w:val="00D15FB4"/>
    <w:rsid w:val="00D1619C"/>
    <w:rsid w:val="00D17AED"/>
    <w:rsid w:val="00D25EB8"/>
    <w:rsid w:val="00D26038"/>
    <w:rsid w:val="00D262B2"/>
    <w:rsid w:val="00D27335"/>
    <w:rsid w:val="00D27F6D"/>
    <w:rsid w:val="00D3291F"/>
    <w:rsid w:val="00D329B2"/>
    <w:rsid w:val="00D34166"/>
    <w:rsid w:val="00D34747"/>
    <w:rsid w:val="00D34B7E"/>
    <w:rsid w:val="00D35736"/>
    <w:rsid w:val="00D36BC4"/>
    <w:rsid w:val="00D3712A"/>
    <w:rsid w:val="00D40B14"/>
    <w:rsid w:val="00D41906"/>
    <w:rsid w:val="00D4272A"/>
    <w:rsid w:val="00D438E2"/>
    <w:rsid w:val="00D4530F"/>
    <w:rsid w:val="00D45542"/>
    <w:rsid w:val="00D46BD7"/>
    <w:rsid w:val="00D5188C"/>
    <w:rsid w:val="00D523C0"/>
    <w:rsid w:val="00D54535"/>
    <w:rsid w:val="00D550E0"/>
    <w:rsid w:val="00D55218"/>
    <w:rsid w:val="00D557A9"/>
    <w:rsid w:val="00D56F48"/>
    <w:rsid w:val="00D56F56"/>
    <w:rsid w:val="00D60187"/>
    <w:rsid w:val="00D72064"/>
    <w:rsid w:val="00D72170"/>
    <w:rsid w:val="00D7300A"/>
    <w:rsid w:val="00D73690"/>
    <w:rsid w:val="00D75197"/>
    <w:rsid w:val="00D80471"/>
    <w:rsid w:val="00D81C6D"/>
    <w:rsid w:val="00D856D3"/>
    <w:rsid w:val="00D86795"/>
    <w:rsid w:val="00D86F6E"/>
    <w:rsid w:val="00D87C0F"/>
    <w:rsid w:val="00D956B7"/>
    <w:rsid w:val="00D97A7A"/>
    <w:rsid w:val="00DA2A28"/>
    <w:rsid w:val="00DA520B"/>
    <w:rsid w:val="00DA68F3"/>
    <w:rsid w:val="00DB589C"/>
    <w:rsid w:val="00DC165A"/>
    <w:rsid w:val="00DC175F"/>
    <w:rsid w:val="00DC1BBD"/>
    <w:rsid w:val="00DC67BD"/>
    <w:rsid w:val="00DC789B"/>
    <w:rsid w:val="00DD011F"/>
    <w:rsid w:val="00DD0693"/>
    <w:rsid w:val="00DD1B74"/>
    <w:rsid w:val="00DD2E83"/>
    <w:rsid w:val="00DD470C"/>
    <w:rsid w:val="00DD4719"/>
    <w:rsid w:val="00DD6775"/>
    <w:rsid w:val="00DE3699"/>
    <w:rsid w:val="00DE46E2"/>
    <w:rsid w:val="00DE5080"/>
    <w:rsid w:val="00DE79DD"/>
    <w:rsid w:val="00DF1E44"/>
    <w:rsid w:val="00DF32F5"/>
    <w:rsid w:val="00DF36D4"/>
    <w:rsid w:val="00DF5421"/>
    <w:rsid w:val="00DF5900"/>
    <w:rsid w:val="00DF5CEC"/>
    <w:rsid w:val="00E009BC"/>
    <w:rsid w:val="00E01B30"/>
    <w:rsid w:val="00E042AC"/>
    <w:rsid w:val="00E05766"/>
    <w:rsid w:val="00E05FCF"/>
    <w:rsid w:val="00E06BE4"/>
    <w:rsid w:val="00E06E3F"/>
    <w:rsid w:val="00E07132"/>
    <w:rsid w:val="00E07A85"/>
    <w:rsid w:val="00E1075C"/>
    <w:rsid w:val="00E115D3"/>
    <w:rsid w:val="00E140DE"/>
    <w:rsid w:val="00E141A6"/>
    <w:rsid w:val="00E16E56"/>
    <w:rsid w:val="00E2077E"/>
    <w:rsid w:val="00E22208"/>
    <w:rsid w:val="00E23C9A"/>
    <w:rsid w:val="00E26D8D"/>
    <w:rsid w:val="00E275DB"/>
    <w:rsid w:val="00E305F3"/>
    <w:rsid w:val="00E31C76"/>
    <w:rsid w:val="00E31FAA"/>
    <w:rsid w:val="00E32A21"/>
    <w:rsid w:val="00E334EB"/>
    <w:rsid w:val="00E34692"/>
    <w:rsid w:val="00E34FC4"/>
    <w:rsid w:val="00E4024C"/>
    <w:rsid w:val="00E4156D"/>
    <w:rsid w:val="00E41ED2"/>
    <w:rsid w:val="00E42173"/>
    <w:rsid w:val="00E47AE3"/>
    <w:rsid w:val="00E50447"/>
    <w:rsid w:val="00E50F58"/>
    <w:rsid w:val="00E51038"/>
    <w:rsid w:val="00E5192C"/>
    <w:rsid w:val="00E52817"/>
    <w:rsid w:val="00E553FB"/>
    <w:rsid w:val="00E5646E"/>
    <w:rsid w:val="00E575F6"/>
    <w:rsid w:val="00E621D6"/>
    <w:rsid w:val="00E62327"/>
    <w:rsid w:val="00E63AF6"/>
    <w:rsid w:val="00E67EB0"/>
    <w:rsid w:val="00E7000B"/>
    <w:rsid w:val="00E70374"/>
    <w:rsid w:val="00E70ADC"/>
    <w:rsid w:val="00E71D7D"/>
    <w:rsid w:val="00E71FAE"/>
    <w:rsid w:val="00E72440"/>
    <w:rsid w:val="00E724C5"/>
    <w:rsid w:val="00E7478E"/>
    <w:rsid w:val="00E80D3D"/>
    <w:rsid w:val="00E82621"/>
    <w:rsid w:val="00E85C17"/>
    <w:rsid w:val="00E9152F"/>
    <w:rsid w:val="00E939B4"/>
    <w:rsid w:val="00E94AB8"/>
    <w:rsid w:val="00E94F2A"/>
    <w:rsid w:val="00E97959"/>
    <w:rsid w:val="00EA05DC"/>
    <w:rsid w:val="00EA0BE6"/>
    <w:rsid w:val="00EA1E33"/>
    <w:rsid w:val="00EA5630"/>
    <w:rsid w:val="00EA66D5"/>
    <w:rsid w:val="00EA68DA"/>
    <w:rsid w:val="00EA7FDA"/>
    <w:rsid w:val="00EB44B9"/>
    <w:rsid w:val="00EB51CA"/>
    <w:rsid w:val="00EB6ABE"/>
    <w:rsid w:val="00EB7A47"/>
    <w:rsid w:val="00EC20C9"/>
    <w:rsid w:val="00EC3EA7"/>
    <w:rsid w:val="00EC4E85"/>
    <w:rsid w:val="00EC6BAA"/>
    <w:rsid w:val="00ED5671"/>
    <w:rsid w:val="00ED5CDE"/>
    <w:rsid w:val="00EE0660"/>
    <w:rsid w:val="00EE1260"/>
    <w:rsid w:val="00EE19BE"/>
    <w:rsid w:val="00EE1CBF"/>
    <w:rsid w:val="00EE1E5A"/>
    <w:rsid w:val="00EE22F6"/>
    <w:rsid w:val="00EE2C5D"/>
    <w:rsid w:val="00EE2D1F"/>
    <w:rsid w:val="00EE35CA"/>
    <w:rsid w:val="00EE5BC9"/>
    <w:rsid w:val="00EE71E4"/>
    <w:rsid w:val="00EF0F24"/>
    <w:rsid w:val="00EF16A2"/>
    <w:rsid w:val="00EF3BDC"/>
    <w:rsid w:val="00EF3DEA"/>
    <w:rsid w:val="00EF4879"/>
    <w:rsid w:val="00EF5773"/>
    <w:rsid w:val="00EF5F76"/>
    <w:rsid w:val="00EF7858"/>
    <w:rsid w:val="00EF7AB6"/>
    <w:rsid w:val="00F0347F"/>
    <w:rsid w:val="00F05890"/>
    <w:rsid w:val="00F105B8"/>
    <w:rsid w:val="00F12104"/>
    <w:rsid w:val="00F12FB5"/>
    <w:rsid w:val="00F16A40"/>
    <w:rsid w:val="00F173C5"/>
    <w:rsid w:val="00F225B8"/>
    <w:rsid w:val="00F22B84"/>
    <w:rsid w:val="00F24069"/>
    <w:rsid w:val="00F24EFB"/>
    <w:rsid w:val="00F253F9"/>
    <w:rsid w:val="00F2633C"/>
    <w:rsid w:val="00F26FFC"/>
    <w:rsid w:val="00F27E10"/>
    <w:rsid w:val="00F32126"/>
    <w:rsid w:val="00F3483B"/>
    <w:rsid w:val="00F36AA5"/>
    <w:rsid w:val="00F400F5"/>
    <w:rsid w:val="00F40678"/>
    <w:rsid w:val="00F42F91"/>
    <w:rsid w:val="00F432F1"/>
    <w:rsid w:val="00F434CF"/>
    <w:rsid w:val="00F50D0B"/>
    <w:rsid w:val="00F51A39"/>
    <w:rsid w:val="00F52C99"/>
    <w:rsid w:val="00F5342C"/>
    <w:rsid w:val="00F53459"/>
    <w:rsid w:val="00F53A72"/>
    <w:rsid w:val="00F5414A"/>
    <w:rsid w:val="00F5456A"/>
    <w:rsid w:val="00F56315"/>
    <w:rsid w:val="00F56397"/>
    <w:rsid w:val="00F614DD"/>
    <w:rsid w:val="00F61ADA"/>
    <w:rsid w:val="00F65AF3"/>
    <w:rsid w:val="00F66F5D"/>
    <w:rsid w:val="00F720E8"/>
    <w:rsid w:val="00F7308A"/>
    <w:rsid w:val="00F7531F"/>
    <w:rsid w:val="00F7696C"/>
    <w:rsid w:val="00F8145C"/>
    <w:rsid w:val="00F828F6"/>
    <w:rsid w:val="00F82E07"/>
    <w:rsid w:val="00F90F93"/>
    <w:rsid w:val="00F91788"/>
    <w:rsid w:val="00F92A03"/>
    <w:rsid w:val="00F930D7"/>
    <w:rsid w:val="00F93349"/>
    <w:rsid w:val="00F93C92"/>
    <w:rsid w:val="00F94E47"/>
    <w:rsid w:val="00F9726B"/>
    <w:rsid w:val="00F97270"/>
    <w:rsid w:val="00FA0788"/>
    <w:rsid w:val="00FA106E"/>
    <w:rsid w:val="00FA1176"/>
    <w:rsid w:val="00FA2C4F"/>
    <w:rsid w:val="00FA2E28"/>
    <w:rsid w:val="00FA3F53"/>
    <w:rsid w:val="00FA4190"/>
    <w:rsid w:val="00FA4A23"/>
    <w:rsid w:val="00FA53D9"/>
    <w:rsid w:val="00FA5926"/>
    <w:rsid w:val="00FA60B3"/>
    <w:rsid w:val="00FA65C6"/>
    <w:rsid w:val="00FA6CD1"/>
    <w:rsid w:val="00FA7BB1"/>
    <w:rsid w:val="00FB14A4"/>
    <w:rsid w:val="00FB3DFF"/>
    <w:rsid w:val="00FB4733"/>
    <w:rsid w:val="00FB48BA"/>
    <w:rsid w:val="00FB547C"/>
    <w:rsid w:val="00FB7276"/>
    <w:rsid w:val="00FB7A76"/>
    <w:rsid w:val="00FC062E"/>
    <w:rsid w:val="00FC07FE"/>
    <w:rsid w:val="00FC1519"/>
    <w:rsid w:val="00FC1B80"/>
    <w:rsid w:val="00FC1E1D"/>
    <w:rsid w:val="00FC1F09"/>
    <w:rsid w:val="00FC42A1"/>
    <w:rsid w:val="00FC49AF"/>
    <w:rsid w:val="00FC6F7E"/>
    <w:rsid w:val="00FD0062"/>
    <w:rsid w:val="00FD0AE4"/>
    <w:rsid w:val="00FD428D"/>
    <w:rsid w:val="00FD5934"/>
    <w:rsid w:val="00FE04BA"/>
    <w:rsid w:val="00FE0B91"/>
    <w:rsid w:val="00FE21FB"/>
    <w:rsid w:val="00FE2254"/>
    <w:rsid w:val="00FE3DF7"/>
    <w:rsid w:val="00FE4D9C"/>
    <w:rsid w:val="00FE4F53"/>
    <w:rsid w:val="00FE6862"/>
    <w:rsid w:val="00FE76B1"/>
    <w:rsid w:val="00FE7A0F"/>
    <w:rsid w:val="00FF00B7"/>
    <w:rsid w:val="00FF041C"/>
    <w:rsid w:val="00FF0A99"/>
    <w:rsid w:val="00FF0FBE"/>
    <w:rsid w:val="00FF5B0E"/>
    <w:rsid w:val="00FF6F23"/>
    <w:rsid w:val="00FF749A"/>
    <w:rsid w:val="00FF7DA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colormenu v:ext="edit" fillcolor="#b9aee0" strokecolor="#48358c"/>
    </o:shapedefaults>
    <o:shapelayout v:ext="edit">
      <o:idmap v:ext="edit" data="1"/>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C7E"/>
    <w:pPr>
      <w:spacing w:after="240"/>
      <w:ind w:left="720"/>
    </w:pPr>
    <w:rPr>
      <w:color w:val="000000"/>
      <w:sz w:val="23"/>
    </w:rPr>
  </w:style>
  <w:style w:type="paragraph" w:styleId="Heading1">
    <w:name w:val="heading 1"/>
    <w:basedOn w:val="Normal"/>
    <w:next w:val="Normal"/>
    <w:qFormat/>
    <w:rsid w:val="006900D6"/>
    <w:pPr>
      <w:keepNext/>
      <w:numPr>
        <w:numId w:val="6"/>
      </w:numPr>
      <w:pBdr>
        <w:bottom w:val="single" w:sz="12" w:space="9" w:color="000000"/>
      </w:pBdr>
      <w:spacing w:after="480"/>
      <w:outlineLvl w:val="0"/>
    </w:pPr>
    <w:rPr>
      <w:rFonts w:ascii="Arial" w:hAnsi="Arial" w:cs="Arial"/>
      <w:b/>
      <w:bCs/>
      <w:spacing w:val="40"/>
      <w:kern w:val="28"/>
      <w:sz w:val="36"/>
      <w:szCs w:val="32"/>
    </w:rPr>
  </w:style>
  <w:style w:type="paragraph" w:styleId="Heading2">
    <w:name w:val="heading 2"/>
    <w:basedOn w:val="Normal"/>
    <w:next w:val="Normal"/>
    <w:link w:val="Heading2Char"/>
    <w:qFormat/>
    <w:rsid w:val="009D5C7E"/>
    <w:pPr>
      <w:keepNext/>
      <w:spacing w:before="240"/>
      <w:ind w:hanging="720"/>
      <w:outlineLvl w:val="1"/>
    </w:pPr>
    <w:rPr>
      <w:rFonts w:ascii="Arial" w:hAnsi="Arial" w:cs="Arial"/>
      <w:b/>
      <w:bCs/>
      <w:iCs/>
      <w:sz w:val="26"/>
      <w:szCs w:val="28"/>
    </w:rPr>
  </w:style>
  <w:style w:type="paragraph" w:styleId="Heading3">
    <w:name w:val="heading 3"/>
    <w:basedOn w:val="Normal"/>
    <w:next w:val="Normal"/>
    <w:link w:val="Heading3Char"/>
    <w:qFormat/>
    <w:rsid w:val="009D5C7E"/>
    <w:pPr>
      <w:keepNext/>
      <w:spacing w:before="240"/>
      <w:ind w:left="1440" w:hanging="720"/>
      <w:outlineLvl w:val="2"/>
    </w:pPr>
    <w:rPr>
      <w:rFonts w:ascii="Arial" w:hAnsi="Arial" w:cs="Arial"/>
      <w:b/>
      <w:bCs/>
      <w:sz w:val="22"/>
      <w:szCs w:val="26"/>
    </w:rPr>
  </w:style>
  <w:style w:type="paragraph" w:styleId="Heading4">
    <w:name w:val="heading 4"/>
    <w:aliases w:val="BP Heading 4"/>
    <w:basedOn w:val="Normal"/>
    <w:next w:val="Normal"/>
    <w:qFormat/>
    <w:rsid w:val="00032E85"/>
    <w:pPr>
      <w:keepNext/>
      <w:tabs>
        <w:tab w:val="left" w:pos="1474"/>
      </w:tabs>
      <w:spacing w:before="120" w:after="120"/>
      <w:outlineLvl w:val="3"/>
    </w:pPr>
    <w:rPr>
      <w:rFonts w:ascii="Arial" w:hAnsi="Arial" w:cs="Arial"/>
      <w:b/>
      <w:bCs/>
      <w:sz w:val="20"/>
      <w:szCs w:val="28"/>
    </w:rPr>
  </w:style>
  <w:style w:type="paragraph" w:styleId="Heading5">
    <w:name w:val="heading 5"/>
    <w:basedOn w:val="Normal"/>
    <w:next w:val="Normal"/>
    <w:qFormat/>
    <w:rsid w:val="009D5C7E"/>
    <w:pPr>
      <w:keepNext/>
      <w:spacing w:before="60" w:after="60"/>
      <w:outlineLvl w:val="4"/>
    </w:pPr>
    <w:rPr>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Title"/>
    <w:basedOn w:val="Normal"/>
    <w:rsid w:val="009D5C7E"/>
    <w:pPr>
      <w:spacing w:before="240" w:after="60"/>
      <w:jc w:val="right"/>
    </w:pPr>
    <w:rPr>
      <w:rFonts w:ascii="Arial Bold" w:hAnsi="Arial Bold"/>
      <w:b/>
      <w:bCs/>
      <w:sz w:val="48"/>
    </w:rPr>
  </w:style>
  <w:style w:type="paragraph" w:customStyle="1" w:styleId="ReportSubtitle">
    <w:name w:val="Report Subtitle"/>
    <w:basedOn w:val="Normal"/>
    <w:rsid w:val="009D5C7E"/>
    <w:pPr>
      <w:jc w:val="right"/>
    </w:pPr>
    <w:rPr>
      <w:rFonts w:ascii="Arial Bold" w:hAnsi="Arial Bold"/>
      <w:b/>
      <w:bCs/>
      <w:sz w:val="40"/>
    </w:rPr>
  </w:style>
  <w:style w:type="paragraph" w:customStyle="1" w:styleId="ReportDate">
    <w:name w:val="ReportDate"/>
    <w:basedOn w:val="Normal"/>
    <w:rsid w:val="009D5C7E"/>
    <w:pPr>
      <w:jc w:val="right"/>
    </w:pPr>
    <w:rPr>
      <w:rFonts w:ascii="Arial" w:hAnsi="Arial"/>
      <w:sz w:val="40"/>
    </w:rPr>
  </w:style>
  <w:style w:type="paragraph" w:customStyle="1" w:styleId="Heading1a">
    <w:name w:val="Heading 1a"/>
    <w:basedOn w:val="Heading1"/>
    <w:next w:val="Normal"/>
    <w:rsid w:val="009D5C7E"/>
    <w:pPr>
      <w:outlineLvl w:val="9"/>
    </w:pPr>
  </w:style>
  <w:style w:type="paragraph" w:customStyle="1" w:styleId="Heading2a">
    <w:name w:val="Heading 2a"/>
    <w:basedOn w:val="Heading2"/>
    <w:next w:val="Normal"/>
    <w:rsid w:val="009D5C7E"/>
    <w:pPr>
      <w:outlineLvl w:val="9"/>
    </w:pPr>
  </w:style>
  <w:style w:type="paragraph" w:customStyle="1" w:styleId="Heading3a">
    <w:name w:val="Heading 3a"/>
    <w:basedOn w:val="Heading3"/>
    <w:next w:val="Normal"/>
    <w:rsid w:val="009D5C7E"/>
    <w:pPr>
      <w:outlineLvl w:val="9"/>
    </w:pPr>
  </w:style>
  <w:style w:type="paragraph" w:styleId="Header">
    <w:name w:val="header"/>
    <w:basedOn w:val="Normal"/>
    <w:semiHidden/>
    <w:rsid w:val="009D5C7E"/>
    <w:pPr>
      <w:tabs>
        <w:tab w:val="right" w:pos="9000"/>
      </w:tabs>
      <w:spacing w:after="0"/>
      <w:ind w:left="0"/>
    </w:pPr>
    <w:rPr>
      <w:sz w:val="18"/>
    </w:rPr>
  </w:style>
  <w:style w:type="paragraph" w:styleId="Footer">
    <w:name w:val="footer"/>
    <w:basedOn w:val="Normal"/>
    <w:link w:val="FooterChar"/>
    <w:uiPriority w:val="99"/>
    <w:rsid w:val="009D5C7E"/>
    <w:pPr>
      <w:pBdr>
        <w:top w:val="single" w:sz="2" w:space="3" w:color="000000"/>
      </w:pBdr>
      <w:tabs>
        <w:tab w:val="right" w:pos="9000"/>
      </w:tabs>
      <w:spacing w:after="0"/>
      <w:ind w:left="0"/>
    </w:pPr>
    <w:rPr>
      <w:i/>
      <w:sz w:val="20"/>
    </w:rPr>
  </w:style>
  <w:style w:type="character" w:styleId="PageNumber">
    <w:name w:val="page number"/>
    <w:semiHidden/>
    <w:rsid w:val="009D5C7E"/>
    <w:rPr>
      <w:b/>
    </w:rPr>
  </w:style>
  <w:style w:type="paragraph" w:customStyle="1" w:styleId="TableText">
    <w:name w:val="TableText"/>
    <w:basedOn w:val="Normal"/>
    <w:rsid w:val="009D5C7E"/>
    <w:pPr>
      <w:keepNext/>
      <w:spacing w:before="20" w:after="20"/>
      <w:ind w:left="0"/>
    </w:pPr>
    <w:rPr>
      <w:rFonts w:ascii="Arial Narrow" w:hAnsi="Arial Narrow"/>
      <w:sz w:val="20"/>
      <w:szCs w:val="21"/>
    </w:rPr>
  </w:style>
  <w:style w:type="paragraph" w:customStyle="1" w:styleId="TableFigNotes18">
    <w:name w:val="TableFigNotes+18"/>
    <w:basedOn w:val="TableText"/>
    <w:rsid w:val="009D5C7E"/>
    <w:pPr>
      <w:keepNext w:val="0"/>
      <w:keepLines/>
      <w:spacing w:before="0" w:after="360"/>
      <w:ind w:left="720"/>
    </w:pPr>
    <w:rPr>
      <w:sz w:val="18"/>
      <w:szCs w:val="18"/>
    </w:rPr>
  </w:style>
  <w:style w:type="paragraph" w:customStyle="1" w:styleId="TableFigNotes0">
    <w:name w:val="TableFigNotes+0"/>
    <w:basedOn w:val="TableFigNotes18"/>
    <w:rsid w:val="009D5C7E"/>
    <w:pPr>
      <w:keepNext/>
      <w:spacing w:after="0"/>
    </w:pPr>
  </w:style>
  <w:style w:type="paragraph" w:customStyle="1" w:styleId="TableName">
    <w:name w:val="TableName"/>
    <w:basedOn w:val="TableText"/>
    <w:rsid w:val="009D5C7E"/>
    <w:pPr>
      <w:tabs>
        <w:tab w:val="left" w:pos="1800"/>
      </w:tabs>
      <w:spacing w:before="120" w:after="120"/>
      <w:ind w:left="1800" w:hanging="1080"/>
    </w:pPr>
    <w:rPr>
      <w:b/>
      <w:bCs/>
      <w:sz w:val="22"/>
    </w:rPr>
  </w:style>
  <w:style w:type="paragraph" w:customStyle="1" w:styleId="TableHeading">
    <w:name w:val="TableHeading"/>
    <w:basedOn w:val="TableText"/>
    <w:rsid w:val="009D5C7E"/>
    <w:rPr>
      <w:b/>
      <w:bCs/>
    </w:rPr>
  </w:style>
  <w:style w:type="paragraph" w:customStyle="1" w:styleId="TableBullet">
    <w:name w:val="TableBullet"/>
    <w:basedOn w:val="TableText"/>
    <w:rsid w:val="009D5C7E"/>
    <w:pPr>
      <w:numPr>
        <w:numId w:val="1"/>
      </w:numPr>
      <w:tabs>
        <w:tab w:val="left" w:pos="216"/>
      </w:tabs>
    </w:pPr>
  </w:style>
  <w:style w:type="paragraph" w:customStyle="1" w:styleId="TableDash">
    <w:name w:val="TableDash"/>
    <w:basedOn w:val="TableText"/>
    <w:rsid w:val="009D5C7E"/>
    <w:pPr>
      <w:numPr>
        <w:numId w:val="2"/>
      </w:numPr>
      <w:tabs>
        <w:tab w:val="clear" w:pos="216"/>
        <w:tab w:val="num" w:pos="432"/>
      </w:tabs>
    </w:pPr>
  </w:style>
  <w:style w:type="paragraph" w:customStyle="1" w:styleId="ColorfulGrid-Accent11">
    <w:name w:val="Colorful Grid - Accent 11"/>
    <w:basedOn w:val="Normal"/>
    <w:qFormat/>
    <w:rsid w:val="009D5C7E"/>
    <w:pPr>
      <w:ind w:left="1440" w:right="720"/>
    </w:pPr>
    <w:rPr>
      <w:sz w:val="20"/>
    </w:rPr>
  </w:style>
  <w:style w:type="paragraph" w:customStyle="1" w:styleId="References">
    <w:name w:val="References"/>
    <w:basedOn w:val="Normal"/>
    <w:rsid w:val="009D5C7E"/>
    <w:pPr>
      <w:keepLines/>
      <w:ind w:left="1440" w:hanging="720"/>
    </w:pPr>
  </w:style>
  <w:style w:type="paragraph" w:customStyle="1" w:styleId="PartTitle">
    <w:name w:val="PartTitle"/>
    <w:basedOn w:val="Normal"/>
    <w:rsid w:val="009D5C7E"/>
    <w:pPr>
      <w:spacing w:before="240" w:after="60"/>
      <w:jc w:val="center"/>
    </w:pPr>
    <w:rPr>
      <w:rFonts w:ascii="Arial" w:hAnsi="Arial" w:cs="Arial"/>
      <w:b/>
      <w:bCs/>
      <w:sz w:val="40"/>
    </w:rPr>
  </w:style>
  <w:style w:type="paragraph" w:styleId="FootnoteText">
    <w:name w:val="footnote text"/>
    <w:basedOn w:val="Normal"/>
    <w:semiHidden/>
    <w:rsid w:val="009D5C7E"/>
    <w:pPr>
      <w:spacing w:after="0"/>
      <w:ind w:left="850" w:hanging="130"/>
    </w:pPr>
    <w:rPr>
      <w:sz w:val="20"/>
    </w:rPr>
  </w:style>
  <w:style w:type="character" w:styleId="FootnoteReference">
    <w:name w:val="footnote reference"/>
    <w:semiHidden/>
    <w:rsid w:val="009D5C7E"/>
    <w:rPr>
      <w:vertAlign w:val="superscript"/>
    </w:rPr>
  </w:style>
  <w:style w:type="paragraph" w:customStyle="1" w:styleId="FigurePara">
    <w:name w:val="FigurePara"/>
    <w:basedOn w:val="Normal"/>
    <w:rsid w:val="009D5C7E"/>
    <w:pPr>
      <w:keepNext/>
      <w:spacing w:after="0"/>
    </w:pPr>
  </w:style>
  <w:style w:type="paragraph" w:customStyle="1" w:styleId="FigureName">
    <w:name w:val="FigureName"/>
    <w:basedOn w:val="Normal"/>
    <w:rsid w:val="009D5C7E"/>
    <w:pPr>
      <w:keepLines/>
      <w:tabs>
        <w:tab w:val="left" w:pos="1800"/>
      </w:tabs>
      <w:spacing w:before="120" w:after="360"/>
      <w:ind w:left="1800" w:hanging="1080"/>
    </w:pPr>
    <w:rPr>
      <w:rFonts w:ascii="Arial Narrow" w:hAnsi="Arial Narrow"/>
      <w:b/>
      <w:bCs/>
      <w:sz w:val="22"/>
    </w:rPr>
  </w:style>
  <w:style w:type="paragraph" w:styleId="TOC1">
    <w:name w:val="toc 1"/>
    <w:basedOn w:val="Normal"/>
    <w:next w:val="Normal"/>
    <w:autoRedefine/>
    <w:uiPriority w:val="39"/>
    <w:rsid w:val="009B2581"/>
    <w:pPr>
      <w:keepNext/>
      <w:tabs>
        <w:tab w:val="left" w:pos="9072"/>
      </w:tabs>
      <w:spacing w:before="360" w:after="60"/>
      <w:ind w:left="284" w:right="946" w:hanging="284"/>
    </w:pPr>
    <w:rPr>
      <w:rFonts w:ascii="Arial" w:hAnsi="Arial" w:cs="Arial"/>
      <w:b/>
      <w:bCs/>
      <w:noProof/>
      <w:color w:val="48358C"/>
    </w:rPr>
  </w:style>
  <w:style w:type="paragraph" w:styleId="TOC2">
    <w:name w:val="toc 2"/>
    <w:basedOn w:val="Normal"/>
    <w:next w:val="Normal"/>
    <w:autoRedefine/>
    <w:uiPriority w:val="39"/>
    <w:rsid w:val="007053A1"/>
    <w:pPr>
      <w:tabs>
        <w:tab w:val="right" w:leader="dot" w:pos="9016"/>
      </w:tabs>
      <w:spacing w:before="180" w:after="60"/>
      <w:ind w:left="851" w:right="720" w:hanging="567"/>
    </w:pPr>
    <w:rPr>
      <w:rFonts w:ascii="Arial" w:hAnsi="Arial" w:cs="Arial"/>
      <w:noProof/>
    </w:rPr>
  </w:style>
  <w:style w:type="paragraph" w:styleId="TOC3">
    <w:name w:val="toc 3"/>
    <w:basedOn w:val="Normal"/>
    <w:next w:val="Normal"/>
    <w:autoRedefine/>
    <w:uiPriority w:val="39"/>
    <w:rsid w:val="007053A1"/>
    <w:pPr>
      <w:tabs>
        <w:tab w:val="right" w:leader="dot" w:pos="9016"/>
      </w:tabs>
      <w:spacing w:after="20"/>
      <w:ind w:left="1418" w:right="521" w:hanging="567"/>
    </w:pPr>
    <w:rPr>
      <w:rFonts w:ascii="Arial" w:hAnsi="Arial" w:cs="Arial"/>
      <w:noProof/>
    </w:rPr>
  </w:style>
  <w:style w:type="paragraph" w:styleId="TableofFigures">
    <w:name w:val="table of figures"/>
    <w:basedOn w:val="Normal"/>
    <w:next w:val="Normal"/>
    <w:semiHidden/>
    <w:rsid w:val="009D5C7E"/>
    <w:pPr>
      <w:tabs>
        <w:tab w:val="left" w:pos="1800"/>
        <w:tab w:val="right" w:leader="dot" w:pos="9000"/>
      </w:tabs>
      <w:spacing w:after="120"/>
      <w:ind w:left="1800" w:right="720" w:hanging="1080"/>
    </w:pPr>
  </w:style>
  <w:style w:type="paragraph" w:styleId="Title">
    <w:name w:val="Title"/>
    <w:basedOn w:val="Normal"/>
    <w:next w:val="Normal"/>
    <w:link w:val="TitleChar"/>
    <w:uiPriority w:val="10"/>
    <w:qFormat/>
    <w:rsid w:val="009D5C7E"/>
    <w:pPr>
      <w:spacing w:before="240" w:after="60"/>
      <w:jc w:val="center"/>
      <w:outlineLvl w:val="0"/>
    </w:pPr>
    <w:rPr>
      <w:rFonts w:ascii="Cambria" w:hAnsi="Cambria"/>
      <w:b/>
      <w:bCs/>
      <w:kern w:val="28"/>
      <w:sz w:val="32"/>
      <w:szCs w:val="32"/>
    </w:rPr>
  </w:style>
  <w:style w:type="paragraph" w:customStyle="1" w:styleId="Bullet0">
    <w:name w:val="Bullet+0"/>
    <w:basedOn w:val="Normal"/>
    <w:rsid w:val="009D5C7E"/>
    <w:pPr>
      <w:numPr>
        <w:numId w:val="3"/>
      </w:numPr>
      <w:tabs>
        <w:tab w:val="left" w:pos="1080"/>
      </w:tabs>
      <w:spacing w:after="0"/>
    </w:pPr>
  </w:style>
  <w:style w:type="paragraph" w:customStyle="1" w:styleId="Bullet6">
    <w:name w:val="Bullet+6"/>
    <w:basedOn w:val="Bullet0"/>
    <w:rsid w:val="009D5C7E"/>
    <w:pPr>
      <w:spacing w:after="120"/>
    </w:pPr>
  </w:style>
  <w:style w:type="paragraph" w:customStyle="1" w:styleId="Bullet12">
    <w:name w:val="Bullet+12"/>
    <w:basedOn w:val="Bullet6"/>
    <w:rsid w:val="009D5C7E"/>
    <w:pPr>
      <w:spacing w:after="240"/>
    </w:pPr>
  </w:style>
  <w:style w:type="paragraph" w:customStyle="1" w:styleId="Dash0">
    <w:name w:val="Dash+0"/>
    <w:basedOn w:val="Normal"/>
    <w:rsid w:val="009D5C7E"/>
    <w:pPr>
      <w:numPr>
        <w:numId w:val="4"/>
      </w:numPr>
      <w:tabs>
        <w:tab w:val="clear" w:pos="216"/>
        <w:tab w:val="left" w:pos="1440"/>
      </w:tabs>
      <w:spacing w:after="0"/>
      <w:ind w:left="1440" w:hanging="360"/>
    </w:pPr>
  </w:style>
  <w:style w:type="paragraph" w:customStyle="1" w:styleId="Dash6">
    <w:name w:val="Dash+6"/>
    <w:basedOn w:val="Dash0"/>
    <w:rsid w:val="009D5C7E"/>
    <w:pPr>
      <w:spacing w:after="120"/>
    </w:pPr>
  </w:style>
  <w:style w:type="paragraph" w:customStyle="1" w:styleId="Dash12">
    <w:name w:val="Dash+12"/>
    <w:basedOn w:val="Dash6"/>
    <w:rsid w:val="009D5C7E"/>
    <w:pPr>
      <w:spacing w:after="240"/>
    </w:pPr>
  </w:style>
  <w:style w:type="paragraph" w:customStyle="1" w:styleId="Normalbeforebullet">
    <w:name w:val="Normal (before bullet)"/>
    <w:basedOn w:val="Normal"/>
    <w:rsid w:val="009D5C7E"/>
    <w:pPr>
      <w:keepNext/>
      <w:spacing w:after="120"/>
    </w:pPr>
  </w:style>
  <w:style w:type="paragraph" w:customStyle="1" w:styleId="BoxText">
    <w:name w:val="BoxText"/>
    <w:basedOn w:val="Normal"/>
    <w:rsid w:val="009D5C7E"/>
    <w:pPr>
      <w:pBdr>
        <w:top w:val="single" w:sz="4" w:space="4" w:color="000000"/>
        <w:left w:val="single" w:sz="4" w:space="4" w:color="000000"/>
        <w:bottom w:val="single" w:sz="4" w:space="4" w:color="000000"/>
        <w:right w:val="single" w:sz="4" w:space="4" w:color="000000"/>
      </w:pBdr>
      <w:spacing w:after="120"/>
      <w:ind w:left="806" w:right="58"/>
    </w:pPr>
    <w:rPr>
      <w:sz w:val="22"/>
    </w:rPr>
  </w:style>
  <w:style w:type="paragraph" w:customStyle="1" w:styleId="BoxNotes">
    <w:name w:val="BoxNotes"/>
    <w:basedOn w:val="BoxText"/>
    <w:rsid w:val="009D5C7E"/>
    <w:pPr>
      <w:spacing w:before="120" w:after="60"/>
    </w:pPr>
    <w:rPr>
      <w:sz w:val="18"/>
    </w:rPr>
  </w:style>
  <w:style w:type="paragraph" w:customStyle="1" w:styleId="BoxName">
    <w:name w:val="BoxName"/>
    <w:basedOn w:val="BoxText"/>
    <w:rsid w:val="009D5C7E"/>
    <w:pPr>
      <w:keepNext/>
      <w:spacing w:before="180"/>
      <w:ind w:left="1886" w:hanging="1080"/>
    </w:pPr>
    <w:rPr>
      <w:rFonts w:ascii="Arial Narrow" w:hAnsi="Arial Narrow"/>
      <w:b/>
      <w:bCs/>
    </w:rPr>
  </w:style>
  <w:style w:type="paragraph" w:customStyle="1" w:styleId="BoxHeading">
    <w:name w:val="BoxHeading"/>
    <w:basedOn w:val="BoxText"/>
    <w:rsid w:val="009D5C7E"/>
    <w:pPr>
      <w:keepNext/>
      <w:spacing w:before="120" w:after="60"/>
    </w:pPr>
    <w:rPr>
      <w:b/>
      <w:bCs/>
    </w:rPr>
  </w:style>
  <w:style w:type="paragraph" w:customStyle="1" w:styleId="BoxBullet">
    <w:name w:val="BoxBullet"/>
    <w:basedOn w:val="BoxText"/>
    <w:rsid w:val="009D5C7E"/>
    <w:pPr>
      <w:numPr>
        <w:numId w:val="5"/>
      </w:numPr>
      <w:tabs>
        <w:tab w:val="clear" w:pos="360"/>
        <w:tab w:val="left" w:pos="1166"/>
      </w:tabs>
      <w:ind w:left="1166"/>
    </w:pPr>
  </w:style>
  <w:style w:type="paragraph" w:customStyle="1" w:styleId="BoxDash">
    <w:name w:val="BoxDash"/>
    <w:basedOn w:val="BoxText"/>
    <w:rsid w:val="009D5C7E"/>
    <w:pPr>
      <w:tabs>
        <w:tab w:val="left" w:pos="806"/>
        <w:tab w:val="left" w:pos="1166"/>
      </w:tabs>
      <w:ind w:left="1526" w:hanging="720"/>
    </w:pPr>
  </w:style>
  <w:style w:type="paragraph" w:customStyle="1" w:styleId="FigureNameBF">
    <w:name w:val="FigureNameBF"/>
    <w:basedOn w:val="FigureName"/>
    <w:rsid w:val="009D5C7E"/>
    <w:pPr>
      <w:keepNext/>
      <w:spacing w:after="120"/>
    </w:pPr>
  </w:style>
  <w:style w:type="paragraph" w:styleId="Index1">
    <w:name w:val="index 1"/>
    <w:basedOn w:val="Normal"/>
    <w:next w:val="Normal"/>
    <w:autoRedefine/>
    <w:semiHidden/>
    <w:rsid w:val="009D5C7E"/>
    <w:pPr>
      <w:spacing w:after="0"/>
      <w:ind w:left="936" w:hanging="216"/>
    </w:pPr>
    <w:rPr>
      <w:noProof/>
      <w:sz w:val="22"/>
    </w:rPr>
  </w:style>
  <w:style w:type="paragraph" w:styleId="Index2">
    <w:name w:val="index 2"/>
    <w:basedOn w:val="Normal"/>
    <w:next w:val="Normal"/>
    <w:autoRedefine/>
    <w:semiHidden/>
    <w:rsid w:val="009D5C7E"/>
    <w:pPr>
      <w:spacing w:after="0"/>
      <w:ind w:left="1152" w:hanging="216"/>
    </w:pPr>
    <w:rPr>
      <w:noProof/>
      <w:sz w:val="22"/>
    </w:rPr>
  </w:style>
  <w:style w:type="paragraph" w:styleId="TOC4">
    <w:name w:val="toc 4"/>
    <w:basedOn w:val="Normal"/>
    <w:next w:val="Normal"/>
    <w:autoRedefine/>
    <w:semiHidden/>
    <w:rsid w:val="009D5C7E"/>
    <w:pPr>
      <w:tabs>
        <w:tab w:val="right" w:leader="dot" w:pos="9016"/>
      </w:tabs>
      <w:spacing w:after="0"/>
      <w:ind w:left="2880" w:right="720"/>
    </w:pPr>
    <w:rPr>
      <w:noProof/>
      <w:szCs w:val="24"/>
    </w:rPr>
  </w:style>
  <w:style w:type="paragraph" w:customStyle="1" w:styleId="NumberList">
    <w:name w:val="NumberList"/>
    <w:basedOn w:val="Normal"/>
    <w:rsid w:val="009D5C7E"/>
    <w:pPr>
      <w:tabs>
        <w:tab w:val="left" w:pos="1080"/>
      </w:tabs>
      <w:ind w:left="1080" w:hanging="360"/>
    </w:pPr>
  </w:style>
  <w:style w:type="paragraph" w:customStyle="1" w:styleId="TableSource18">
    <w:name w:val="TableSource+18"/>
    <w:basedOn w:val="TableFigNotes18"/>
    <w:rsid w:val="009D5C7E"/>
    <w:pPr>
      <w:ind w:hanging="720"/>
    </w:pPr>
  </w:style>
  <w:style w:type="paragraph" w:customStyle="1" w:styleId="TableSource0">
    <w:name w:val="TableSource+0"/>
    <w:basedOn w:val="TableSource18"/>
    <w:rsid w:val="009D5C7E"/>
    <w:pPr>
      <w:spacing w:after="0"/>
      <w:ind w:left="1440"/>
    </w:pPr>
  </w:style>
  <w:style w:type="character" w:customStyle="1" w:styleId="TitleChar">
    <w:name w:val="Title Char"/>
    <w:link w:val="Title"/>
    <w:uiPriority w:val="10"/>
    <w:rsid w:val="009D5C7E"/>
    <w:rPr>
      <w:rFonts w:ascii="Cambria" w:eastAsia="Times New Roman" w:hAnsi="Cambria" w:cs="Times New Roman"/>
      <w:b/>
      <w:bCs/>
      <w:color w:val="000000"/>
      <w:kern w:val="28"/>
      <w:sz w:val="32"/>
      <w:szCs w:val="32"/>
    </w:rPr>
  </w:style>
  <w:style w:type="paragraph" w:styleId="BalloonText">
    <w:name w:val="Balloon Text"/>
    <w:basedOn w:val="Normal"/>
    <w:semiHidden/>
    <w:rsid w:val="009D5C7E"/>
    <w:rPr>
      <w:rFonts w:ascii="Tahoma" w:hAnsi="Tahoma" w:cs="Tahoma"/>
      <w:sz w:val="16"/>
      <w:szCs w:val="16"/>
    </w:rPr>
  </w:style>
  <w:style w:type="paragraph" w:styleId="Subtitle">
    <w:name w:val="Subtitle"/>
    <w:basedOn w:val="Normal"/>
    <w:next w:val="Normal"/>
    <w:link w:val="SubtitleChar"/>
    <w:uiPriority w:val="11"/>
    <w:qFormat/>
    <w:rsid w:val="009D5C7E"/>
    <w:pPr>
      <w:spacing w:after="60"/>
      <w:jc w:val="center"/>
      <w:outlineLvl w:val="1"/>
    </w:pPr>
    <w:rPr>
      <w:rFonts w:ascii="Cambria" w:hAnsi="Cambria"/>
      <w:sz w:val="24"/>
      <w:szCs w:val="24"/>
    </w:rPr>
  </w:style>
  <w:style w:type="paragraph" w:customStyle="1" w:styleId="TableFigNotes6">
    <w:name w:val="TableFigNotes+6"/>
    <w:basedOn w:val="TableFigNotes0"/>
    <w:rsid w:val="009D5C7E"/>
    <w:pPr>
      <w:spacing w:after="120"/>
    </w:pPr>
  </w:style>
  <w:style w:type="character" w:customStyle="1" w:styleId="DesignerNotes">
    <w:name w:val="DesignerNotes"/>
    <w:rsid w:val="009D5C7E"/>
    <w:rPr>
      <w:rFonts w:ascii="Arial" w:hAnsi="Arial"/>
      <w:color w:val="3366FF"/>
      <w:sz w:val="20"/>
    </w:rPr>
  </w:style>
  <w:style w:type="character" w:customStyle="1" w:styleId="SubtitleChar">
    <w:name w:val="Subtitle Char"/>
    <w:link w:val="Subtitle"/>
    <w:uiPriority w:val="11"/>
    <w:rsid w:val="009D5C7E"/>
    <w:rPr>
      <w:rFonts w:ascii="Cambria" w:eastAsia="Times New Roman" w:hAnsi="Cambria" w:cs="Times New Roman"/>
      <w:color w:val="000000"/>
      <w:sz w:val="24"/>
      <w:szCs w:val="24"/>
    </w:rPr>
  </w:style>
  <w:style w:type="character" w:styleId="CommentReference">
    <w:name w:val="annotation reference"/>
    <w:semiHidden/>
    <w:unhideWhenUsed/>
    <w:rsid w:val="009D5C7E"/>
    <w:rPr>
      <w:sz w:val="16"/>
      <w:szCs w:val="16"/>
    </w:rPr>
  </w:style>
  <w:style w:type="paragraph" w:styleId="CommentText">
    <w:name w:val="annotation text"/>
    <w:basedOn w:val="Normal"/>
    <w:link w:val="CommentTextChar"/>
    <w:semiHidden/>
    <w:unhideWhenUsed/>
    <w:rsid w:val="009D5C7E"/>
    <w:rPr>
      <w:sz w:val="20"/>
    </w:rPr>
  </w:style>
  <w:style w:type="character" w:customStyle="1" w:styleId="CommentTextChar">
    <w:name w:val="Comment Text Char"/>
    <w:link w:val="CommentText"/>
    <w:semiHidden/>
    <w:rsid w:val="009D5C7E"/>
    <w:rPr>
      <w:color w:val="000000"/>
    </w:rPr>
  </w:style>
  <w:style w:type="paragraph" w:styleId="CommentSubject">
    <w:name w:val="annotation subject"/>
    <w:basedOn w:val="CommentText"/>
    <w:next w:val="CommentText"/>
    <w:link w:val="CommentSubjectChar"/>
    <w:uiPriority w:val="99"/>
    <w:semiHidden/>
    <w:unhideWhenUsed/>
    <w:rsid w:val="009D5C7E"/>
    <w:rPr>
      <w:b/>
      <w:bCs/>
    </w:rPr>
  </w:style>
  <w:style w:type="character" w:customStyle="1" w:styleId="CommentSubjectChar">
    <w:name w:val="Comment Subject Char"/>
    <w:link w:val="CommentSubject"/>
    <w:uiPriority w:val="99"/>
    <w:semiHidden/>
    <w:rsid w:val="009D5C7E"/>
    <w:rPr>
      <w:b/>
      <w:bCs/>
      <w:color w:val="000000"/>
    </w:rPr>
  </w:style>
  <w:style w:type="table" w:styleId="TableGrid">
    <w:name w:val="Table Grid"/>
    <w:basedOn w:val="TableNormal"/>
    <w:rsid w:val="009D5C7E"/>
    <w:pPr>
      <w:spacing w:after="240"/>
      <w:ind w:left="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D5C7E"/>
    <w:rPr>
      <w:color w:val="0000FF"/>
      <w:u w:val="single"/>
    </w:rPr>
  </w:style>
  <w:style w:type="paragraph" w:customStyle="1" w:styleId="ColorfulList-Accent11">
    <w:name w:val="Colorful List - Accent 11"/>
    <w:basedOn w:val="Normal"/>
    <w:uiPriority w:val="34"/>
    <w:qFormat/>
    <w:rsid w:val="007F2E73"/>
    <w:pPr>
      <w:spacing w:after="0"/>
    </w:pPr>
    <w:rPr>
      <w:rFonts w:ascii="Calibri" w:hAnsi="Calibri"/>
      <w:color w:val="auto"/>
      <w:sz w:val="22"/>
      <w:szCs w:val="22"/>
      <w:lang w:eastAsia="en-US"/>
    </w:rPr>
  </w:style>
  <w:style w:type="paragraph" w:styleId="NormalWeb">
    <w:name w:val="Normal (Web)"/>
    <w:basedOn w:val="Normal"/>
    <w:uiPriority w:val="99"/>
    <w:unhideWhenUsed/>
    <w:rsid w:val="00494F31"/>
    <w:pPr>
      <w:spacing w:before="100" w:beforeAutospacing="1" w:after="100" w:afterAutospacing="1"/>
      <w:ind w:left="0"/>
    </w:pPr>
    <w:rPr>
      <w:color w:val="auto"/>
      <w:sz w:val="24"/>
      <w:szCs w:val="24"/>
    </w:rPr>
  </w:style>
  <w:style w:type="paragraph" w:customStyle="1" w:styleId="ColorfulShading-Accent11">
    <w:name w:val="Colorful Shading - Accent 11"/>
    <w:hidden/>
    <w:uiPriority w:val="99"/>
    <w:semiHidden/>
    <w:rsid w:val="00A90908"/>
    <w:rPr>
      <w:color w:val="000000"/>
      <w:sz w:val="23"/>
    </w:rPr>
  </w:style>
  <w:style w:type="character" w:styleId="FollowedHyperlink">
    <w:name w:val="FollowedHyperlink"/>
    <w:uiPriority w:val="99"/>
    <w:semiHidden/>
    <w:unhideWhenUsed/>
    <w:rsid w:val="00497542"/>
    <w:rPr>
      <w:color w:val="800080"/>
      <w:u w:val="single"/>
    </w:rPr>
  </w:style>
  <w:style w:type="paragraph" w:styleId="ListParagraph">
    <w:name w:val="List Paragraph"/>
    <w:basedOn w:val="Normal"/>
    <w:uiPriority w:val="34"/>
    <w:qFormat/>
    <w:rsid w:val="001D4CA7"/>
    <w:pPr>
      <w:contextualSpacing/>
    </w:pPr>
  </w:style>
  <w:style w:type="character" w:styleId="SubtleEmphasis">
    <w:name w:val="Subtle Emphasis"/>
    <w:basedOn w:val="DefaultParagraphFont"/>
    <w:uiPriority w:val="19"/>
    <w:qFormat/>
    <w:rsid w:val="00FB14A4"/>
    <w:rPr>
      <w:i/>
      <w:iCs/>
      <w:color w:val="808080"/>
    </w:rPr>
  </w:style>
  <w:style w:type="character" w:styleId="Strong">
    <w:name w:val="Strong"/>
    <w:basedOn w:val="DefaultParagraphFont"/>
    <w:uiPriority w:val="22"/>
    <w:qFormat/>
    <w:rsid w:val="004948D4"/>
    <w:rPr>
      <w:b/>
      <w:bCs/>
    </w:rPr>
  </w:style>
  <w:style w:type="paragraph" w:styleId="DocumentMap">
    <w:name w:val="Document Map"/>
    <w:basedOn w:val="Normal"/>
    <w:link w:val="DocumentMapChar"/>
    <w:uiPriority w:val="99"/>
    <w:semiHidden/>
    <w:unhideWhenUsed/>
    <w:rsid w:val="0063300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33008"/>
    <w:rPr>
      <w:rFonts w:ascii="Tahoma" w:hAnsi="Tahoma" w:cs="Tahoma"/>
      <w:color w:val="000000"/>
      <w:sz w:val="16"/>
      <w:szCs w:val="16"/>
    </w:rPr>
  </w:style>
  <w:style w:type="character" w:customStyle="1" w:styleId="Heading2Char">
    <w:name w:val="Heading 2 Char"/>
    <w:basedOn w:val="DefaultParagraphFont"/>
    <w:link w:val="Heading2"/>
    <w:rsid w:val="00E06E3F"/>
    <w:rPr>
      <w:rFonts w:ascii="Arial" w:hAnsi="Arial" w:cs="Arial"/>
      <w:b/>
      <w:bCs/>
      <w:iCs/>
      <w:color w:val="000000"/>
      <w:sz w:val="26"/>
      <w:szCs w:val="28"/>
    </w:rPr>
  </w:style>
  <w:style w:type="character" w:customStyle="1" w:styleId="Heading3Char">
    <w:name w:val="Heading 3 Char"/>
    <w:basedOn w:val="DefaultParagraphFont"/>
    <w:link w:val="Heading3"/>
    <w:rsid w:val="00E06E3F"/>
    <w:rPr>
      <w:rFonts w:ascii="Arial" w:hAnsi="Arial" w:cs="Arial"/>
      <w:b/>
      <w:bCs/>
      <w:color w:val="000000"/>
      <w:sz w:val="22"/>
      <w:szCs w:val="26"/>
    </w:rPr>
  </w:style>
  <w:style w:type="paragraph" w:styleId="Revision">
    <w:name w:val="Revision"/>
    <w:hidden/>
    <w:uiPriority w:val="99"/>
    <w:semiHidden/>
    <w:rsid w:val="001B246D"/>
    <w:rPr>
      <w:color w:val="000000"/>
      <w:sz w:val="23"/>
    </w:rPr>
  </w:style>
  <w:style w:type="paragraph" w:customStyle="1" w:styleId="Default">
    <w:name w:val="Default"/>
    <w:rsid w:val="00755842"/>
    <w:pPr>
      <w:autoSpaceDE w:val="0"/>
      <w:autoSpaceDN w:val="0"/>
      <w:adjustRightInd w:val="0"/>
    </w:pPr>
    <w:rPr>
      <w:color w:val="000000"/>
      <w:sz w:val="24"/>
      <w:szCs w:val="24"/>
    </w:rPr>
  </w:style>
  <w:style w:type="numbering" w:customStyle="1" w:styleId="KeyPoints">
    <w:name w:val="Key Points"/>
    <w:basedOn w:val="NoList"/>
    <w:uiPriority w:val="99"/>
    <w:rsid w:val="00C15A6D"/>
    <w:pPr>
      <w:numPr>
        <w:numId w:val="8"/>
      </w:numPr>
    </w:pPr>
  </w:style>
  <w:style w:type="numbering" w:customStyle="1" w:styleId="BulletList">
    <w:name w:val="Bullet List"/>
    <w:uiPriority w:val="99"/>
    <w:rsid w:val="00C15A6D"/>
    <w:pPr>
      <w:numPr>
        <w:numId w:val="9"/>
      </w:numPr>
    </w:pPr>
  </w:style>
  <w:style w:type="paragraph" w:styleId="ListBullet">
    <w:name w:val="List Bullet"/>
    <w:basedOn w:val="Normal"/>
    <w:uiPriority w:val="99"/>
    <w:unhideWhenUsed/>
    <w:qFormat/>
    <w:rsid w:val="00C15A6D"/>
    <w:pPr>
      <w:numPr>
        <w:numId w:val="11"/>
      </w:numPr>
      <w:spacing w:after="200" w:line="276" w:lineRule="auto"/>
    </w:pPr>
    <w:rPr>
      <w:rFonts w:ascii="Arial" w:eastAsia="Calibri" w:hAnsi="Arial"/>
      <w:color w:val="auto"/>
      <w:sz w:val="22"/>
      <w:szCs w:val="22"/>
      <w:lang w:eastAsia="en-US"/>
    </w:rPr>
  </w:style>
  <w:style w:type="paragraph" w:styleId="ListBullet2">
    <w:name w:val="List Bullet 2"/>
    <w:basedOn w:val="Normal"/>
    <w:uiPriority w:val="99"/>
    <w:unhideWhenUsed/>
    <w:rsid w:val="00C15A6D"/>
    <w:pPr>
      <w:numPr>
        <w:ilvl w:val="1"/>
        <w:numId w:val="11"/>
      </w:numPr>
      <w:spacing w:after="200" w:line="276" w:lineRule="auto"/>
    </w:pPr>
    <w:rPr>
      <w:rFonts w:ascii="Arial" w:eastAsia="Calibri" w:hAnsi="Arial"/>
      <w:color w:val="auto"/>
      <w:sz w:val="22"/>
      <w:szCs w:val="22"/>
      <w:lang w:eastAsia="en-US"/>
    </w:rPr>
  </w:style>
  <w:style w:type="paragraph" w:styleId="ListBullet3">
    <w:name w:val="List Bullet 3"/>
    <w:basedOn w:val="Normal"/>
    <w:uiPriority w:val="99"/>
    <w:unhideWhenUsed/>
    <w:rsid w:val="00C15A6D"/>
    <w:pPr>
      <w:numPr>
        <w:ilvl w:val="2"/>
        <w:numId w:val="11"/>
      </w:numPr>
      <w:spacing w:after="200" w:line="276" w:lineRule="auto"/>
    </w:pPr>
    <w:rPr>
      <w:rFonts w:ascii="Arial" w:eastAsia="Calibri" w:hAnsi="Arial"/>
      <w:color w:val="auto"/>
      <w:sz w:val="22"/>
      <w:szCs w:val="22"/>
      <w:lang w:eastAsia="en-US"/>
    </w:rPr>
  </w:style>
  <w:style w:type="paragraph" w:styleId="ListBullet4">
    <w:name w:val="List Bullet 4"/>
    <w:basedOn w:val="Normal"/>
    <w:uiPriority w:val="99"/>
    <w:unhideWhenUsed/>
    <w:rsid w:val="00C15A6D"/>
    <w:pPr>
      <w:numPr>
        <w:ilvl w:val="3"/>
        <w:numId w:val="11"/>
      </w:numPr>
      <w:spacing w:after="200" w:line="276" w:lineRule="auto"/>
    </w:pPr>
    <w:rPr>
      <w:rFonts w:ascii="Arial" w:eastAsia="Calibri" w:hAnsi="Arial"/>
      <w:color w:val="auto"/>
      <w:sz w:val="22"/>
      <w:szCs w:val="22"/>
      <w:lang w:eastAsia="en-US"/>
    </w:rPr>
  </w:style>
  <w:style w:type="paragraph" w:styleId="ListBullet5">
    <w:name w:val="List Bullet 5"/>
    <w:basedOn w:val="Normal"/>
    <w:uiPriority w:val="99"/>
    <w:unhideWhenUsed/>
    <w:rsid w:val="00C15A6D"/>
    <w:pPr>
      <w:numPr>
        <w:ilvl w:val="4"/>
        <w:numId w:val="11"/>
      </w:numPr>
      <w:spacing w:after="200" w:line="276" w:lineRule="auto"/>
    </w:pPr>
    <w:rPr>
      <w:rFonts w:ascii="Arial" w:eastAsia="Calibri" w:hAnsi="Arial"/>
      <w:color w:val="auto"/>
      <w:sz w:val="22"/>
      <w:szCs w:val="22"/>
      <w:lang w:eastAsia="en-US"/>
    </w:rPr>
  </w:style>
  <w:style w:type="paragraph" w:styleId="ListNumber">
    <w:name w:val="List Number"/>
    <w:basedOn w:val="Normal"/>
    <w:uiPriority w:val="99"/>
    <w:qFormat/>
    <w:rsid w:val="00C15A6D"/>
    <w:pPr>
      <w:numPr>
        <w:numId w:val="10"/>
      </w:numPr>
      <w:spacing w:after="200" w:line="276" w:lineRule="auto"/>
    </w:pPr>
    <w:rPr>
      <w:rFonts w:ascii="Arial" w:eastAsia="Calibri" w:hAnsi="Arial"/>
      <w:color w:val="auto"/>
      <w:sz w:val="22"/>
      <w:szCs w:val="22"/>
      <w:lang w:eastAsia="en-US"/>
    </w:rPr>
  </w:style>
  <w:style w:type="paragraph" w:styleId="ListNumber2">
    <w:name w:val="List Number 2"/>
    <w:basedOn w:val="Normal"/>
    <w:uiPriority w:val="99"/>
    <w:rsid w:val="00C15A6D"/>
    <w:pPr>
      <w:numPr>
        <w:ilvl w:val="1"/>
        <w:numId w:val="10"/>
      </w:numPr>
      <w:spacing w:after="200" w:line="276" w:lineRule="auto"/>
    </w:pPr>
    <w:rPr>
      <w:rFonts w:ascii="Arial" w:eastAsia="Calibri" w:hAnsi="Arial"/>
      <w:color w:val="auto"/>
      <w:sz w:val="22"/>
      <w:szCs w:val="22"/>
      <w:lang w:eastAsia="en-US"/>
    </w:rPr>
  </w:style>
  <w:style w:type="paragraph" w:styleId="ListNumber3">
    <w:name w:val="List Number 3"/>
    <w:basedOn w:val="Normal"/>
    <w:uiPriority w:val="99"/>
    <w:rsid w:val="00C15A6D"/>
    <w:pPr>
      <w:numPr>
        <w:ilvl w:val="2"/>
        <w:numId w:val="10"/>
      </w:numPr>
      <w:spacing w:after="200" w:line="276" w:lineRule="auto"/>
    </w:pPr>
    <w:rPr>
      <w:rFonts w:ascii="Arial" w:eastAsia="Calibri" w:hAnsi="Arial"/>
      <w:color w:val="auto"/>
      <w:sz w:val="22"/>
      <w:szCs w:val="22"/>
      <w:lang w:eastAsia="en-US"/>
    </w:rPr>
  </w:style>
  <w:style w:type="paragraph" w:styleId="ListNumber4">
    <w:name w:val="List Number 4"/>
    <w:basedOn w:val="Normal"/>
    <w:uiPriority w:val="99"/>
    <w:rsid w:val="00C15A6D"/>
    <w:pPr>
      <w:numPr>
        <w:ilvl w:val="3"/>
        <w:numId w:val="10"/>
      </w:numPr>
      <w:spacing w:after="200" w:line="276" w:lineRule="auto"/>
    </w:pPr>
    <w:rPr>
      <w:rFonts w:ascii="Arial" w:eastAsia="Calibri" w:hAnsi="Arial"/>
      <w:color w:val="auto"/>
      <w:sz w:val="22"/>
      <w:szCs w:val="22"/>
      <w:lang w:eastAsia="en-US"/>
    </w:rPr>
  </w:style>
  <w:style w:type="paragraph" w:styleId="ListNumber5">
    <w:name w:val="List Number 5"/>
    <w:basedOn w:val="Normal"/>
    <w:uiPriority w:val="99"/>
    <w:rsid w:val="00C15A6D"/>
    <w:pPr>
      <w:numPr>
        <w:ilvl w:val="4"/>
        <w:numId w:val="10"/>
      </w:numPr>
      <w:spacing w:after="200" w:line="276" w:lineRule="auto"/>
    </w:pPr>
    <w:rPr>
      <w:rFonts w:ascii="Arial" w:eastAsia="Calibri" w:hAnsi="Arial"/>
      <w:color w:val="auto"/>
      <w:sz w:val="22"/>
      <w:szCs w:val="22"/>
      <w:lang w:eastAsia="en-US"/>
    </w:rPr>
  </w:style>
  <w:style w:type="paragraph" w:customStyle="1" w:styleId="Para12">
    <w:name w:val="Para 12"/>
    <w:basedOn w:val="Normal"/>
    <w:link w:val="Para12Char"/>
    <w:rsid w:val="007A65A0"/>
    <w:pPr>
      <w:ind w:left="0"/>
    </w:pPr>
    <w:rPr>
      <w:sz w:val="24"/>
      <w:lang w:eastAsia="en-US"/>
    </w:rPr>
  </w:style>
  <w:style w:type="character" w:customStyle="1" w:styleId="Para12Char">
    <w:name w:val="Para 12 Char"/>
    <w:basedOn w:val="DefaultParagraphFont"/>
    <w:link w:val="Para12"/>
    <w:rsid w:val="007A65A0"/>
    <w:rPr>
      <w:color w:val="000000"/>
      <w:sz w:val="24"/>
      <w:lang w:eastAsia="en-US"/>
    </w:rPr>
  </w:style>
  <w:style w:type="character" w:customStyle="1" w:styleId="FooterChar">
    <w:name w:val="Footer Char"/>
    <w:basedOn w:val="DefaultParagraphFont"/>
    <w:link w:val="Footer"/>
    <w:uiPriority w:val="99"/>
    <w:rsid w:val="0095640E"/>
    <w:rPr>
      <w:i/>
      <w:color w:val="000000"/>
    </w:rPr>
  </w:style>
  <w:style w:type="paragraph" w:customStyle="1" w:styleId="BPBodyTextArialJustified">
    <w:name w:val="BP BodyText Arial Justified"/>
    <w:basedOn w:val="Normal"/>
    <w:rsid w:val="00E34692"/>
    <w:pPr>
      <w:jc w:val="both"/>
    </w:pPr>
    <w:rPr>
      <w:rFonts w:ascii="Arial" w:hAnsi="Arial"/>
    </w:rPr>
  </w:style>
  <w:style w:type="paragraph" w:customStyle="1" w:styleId="BPHeading1CustomColorRGB9573122">
    <w:name w:val="BP Heading 1 + Custom Color(RGB(9573122))"/>
    <w:basedOn w:val="Heading1"/>
    <w:rsid w:val="00DF32F5"/>
    <w:pPr>
      <w:numPr>
        <w:numId w:val="0"/>
      </w:numPr>
      <w:ind w:left="720"/>
    </w:pPr>
    <w:rPr>
      <w:color w:val="48358C"/>
    </w:rPr>
  </w:style>
  <w:style w:type="paragraph" w:customStyle="1" w:styleId="BPHeading1CustomColorRGB9573122BottomNoborde">
    <w:name w:val="BP Heading 1 + Custom Color(RGB(9573122)) + Bottom: (No borde..."/>
    <w:basedOn w:val="BPHeading1CustomColorRGB9573122"/>
    <w:rsid w:val="00194C7A"/>
    <w:pPr>
      <w:pBdr>
        <w:bottom w:val="single" w:sz="12" w:space="8" w:color="48358C"/>
      </w:pBdr>
      <w:tabs>
        <w:tab w:val="left" w:pos="1134"/>
      </w:tabs>
      <w:spacing w:after="240"/>
    </w:pPr>
    <w:rPr>
      <w:rFonts w:cs="Times New Roman"/>
      <w:szCs w:val="20"/>
    </w:rPr>
  </w:style>
  <w:style w:type="paragraph" w:customStyle="1" w:styleId="BPappendixHeading1Left075cmFirstline0cm">
    <w:name w:val="BP appendix Heading 1 + Left:  0.75 cm First line:  0 cm"/>
    <w:basedOn w:val="Heading1"/>
    <w:rsid w:val="005344E5"/>
    <w:pPr>
      <w:pBdr>
        <w:bottom w:val="single" w:sz="12" w:space="8" w:color="000000"/>
      </w:pBdr>
      <w:ind w:left="426" w:firstLine="0"/>
    </w:pPr>
    <w:rPr>
      <w:rFonts w:cs="Times New Roman"/>
      <w:color w:val="48358C"/>
      <w:szCs w:val="20"/>
    </w:rPr>
  </w:style>
  <w:style w:type="paragraph" w:customStyle="1" w:styleId="BPappendixHeading1Left075cmFirstline0cmBo">
    <w:name w:val="BP appendix Heading 1 + Left:  0.75 cm First line:  0 cm + Bo..."/>
    <w:basedOn w:val="BPappendixHeading1Left075cmFirstline0cm"/>
    <w:rsid w:val="00881F16"/>
    <w:pPr>
      <w:pBdr>
        <w:bottom w:val="single" w:sz="12" w:space="7" w:color="48358C"/>
      </w:pBdr>
      <w:tabs>
        <w:tab w:val="left" w:pos="992"/>
      </w:tabs>
    </w:pPr>
  </w:style>
  <w:style w:type="paragraph" w:customStyle="1" w:styleId="BPHeading3Left127cmFirstline0cm">
    <w:name w:val="BP Heading 3 + Left:  1.27 cm First line:  0 cm"/>
    <w:basedOn w:val="Heading3"/>
    <w:rsid w:val="00B736B4"/>
    <w:pPr>
      <w:tabs>
        <w:tab w:val="left" w:pos="1418"/>
      </w:tabs>
      <w:ind w:left="720" w:firstLine="0"/>
    </w:pPr>
    <w:rPr>
      <w:rFonts w:cs="Times New Roman"/>
      <w:szCs w:val="20"/>
    </w:rPr>
  </w:style>
  <w:style w:type="paragraph" w:customStyle="1" w:styleId="BPHeading2Left063cmFirstline063cm">
    <w:name w:val="BP  Heading 2 + Left:  0.63 cm First line:  0.63 cm"/>
    <w:basedOn w:val="Heading2"/>
    <w:rsid w:val="003F5B54"/>
    <w:pPr>
      <w:tabs>
        <w:tab w:val="left" w:pos="1418"/>
      </w:tabs>
      <w:ind w:left="360" w:firstLine="360"/>
    </w:pPr>
    <w:rPr>
      <w:rFonts w:cs="Times New Roman"/>
      <w:iCs w:val="0"/>
      <w:szCs w:val="20"/>
    </w:rPr>
  </w:style>
  <w:style w:type="paragraph" w:customStyle="1" w:styleId="Heading3Left127cmFirstline0cmLeft127">
    <w:name w:val="Heading 3 + Left:  1.27 cm First line:  0 cm + Left:  1.27..."/>
    <w:basedOn w:val="BPHeading3Left127cmFirstline0cm"/>
    <w:rsid w:val="00AA1BED"/>
    <w:pPr>
      <w:ind w:left="1418" w:hanging="698"/>
    </w:pPr>
  </w:style>
  <w:style w:type="character" w:styleId="Emphasis">
    <w:name w:val="Emphasis"/>
    <w:basedOn w:val="DefaultParagraphFont"/>
    <w:uiPriority w:val="20"/>
    <w:qFormat/>
    <w:rsid w:val="007D12EF"/>
    <w:rPr>
      <w:i/>
      <w:iCs/>
    </w:rPr>
  </w:style>
  <w:style w:type="table" w:customStyle="1" w:styleId="LightShading-Accent11">
    <w:name w:val="Light Shading - Accent 11"/>
    <w:basedOn w:val="TableNormal"/>
    <w:uiPriority w:val="60"/>
    <w:rsid w:val="00A804D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0">
    <w:name w:val="Para 0"/>
    <w:basedOn w:val="Normal"/>
    <w:link w:val="Para0Char"/>
    <w:qFormat/>
    <w:rsid w:val="0011795F"/>
    <w:pPr>
      <w:spacing w:after="220" w:line="300" w:lineRule="auto"/>
      <w:ind w:left="0"/>
      <w:jc w:val="both"/>
    </w:pPr>
    <w:rPr>
      <w:rFonts w:ascii="Arial" w:hAnsi="Arial"/>
      <w:sz w:val="20"/>
      <w:lang w:val="en-GB" w:eastAsia="en-US"/>
    </w:rPr>
  </w:style>
  <w:style w:type="character" w:customStyle="1" w:styleId="Para0Char">
    <w:name w:val="Para 0 Char"/>
    <w:basedOn w:val="DefaultParagraphFont"/>
    <w:link w:val="Para0"/>
    <w:locked/>
    <w:rsid w:val="0011795F"/>
    <w:rPr>
      <w:rFonts w:ascii="Arial" w:hAnsi="Arial"/>
      <w:color w:val="000000"/>
      <w:lang w:val="en-GB" w:eastAsia="en-US"/>
    </w:rPr>
  </w:style>
  <w:style w:type="paragraph" w:styleId="TOCHeading">
    <w:name w:val="TOC Heading"/>
    <w:basedOn w:val="Heading1"/>
    <w:next w:val="Normal"/>
    <w:uiPriority w:val="39"/>
    <w:semiHidden/>
    <w:unhideWhenUsed/>
    <w:qFormat/>
    <w:rsid w:val="00CA2C4B"/>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spacing w:val="0"/>
      <w:kern w:val="0"/>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18361273">
      <w:bodyDiv w:val="1"/>
      <w:marLeft w:val="0"/>
      <w:marRight w:val="0"/>
      <w:marTop w:val="0"/>
      <w:marBottom w:val="0"/>
      <w:divBdr>
        <w:top w:val="none" w:sz="0" w:space="0" w:color="auto"/>
        <w:left w:val="none" w:sz="0" w:space="0" w:color="auto"/>
        <w:bottom w:val="none" w:sz="0" w:space="0" w:color="auto"/>
        <w:right w:val="none" w:sz="0" w:space="0" w:color="auto"/>
      </w:divBdr>
    </w:div>
    <w:div w:id="55706138">
      <w:bodyDiv w:val="1"/>
      <w:marLeft w:val="0"/>
      <w:marRight w:val="0"/>
      <w:marTop w:val="0"/>
      <w:marBottom w:val="0"/>
      <w:divBdr>
        <w:top w:val="none" w:sz="0" w:space="0" w:color="auto"/>
        <w:left w:val="none" w:sz="0" w:space="0" w:color="auto"/>
        <w:bottom w:val="none" w:sz="0" w:space="0" w:color="auto"/>
        <w:right w:val="none" w:sz="0" w:space="0" w:color="auto"/>
      </w:divBdr>
    </w:div>
    <w:div w:id="207880598">
      <w:bodyDiv w:val="1"/>
      <w:marLeft w:val="0"/>
      <w:marRight w:val="0"/>
      <w:marTop w:val="0"/>
      <w:marBottom w:val="0"/>
      <w:divBdr>
        <w:top w:val="none" w:sz="0" w:space="0" w:color="auto"/>
        <w:left w:val="none" w:sz="0" w:space="0" w:color="auto"/>
        <w:bottom w:val="none" w:sz="0" w:space="0" w:color="auto"/>
        <w:right w:val="none" w:sz="0" w:space="0" w:color="auto"/>
      </w:divBdr>
    </w:div>
    <w:div w:id="314847203">
      <w:bodyDiv w:val="1"/>
      <w:marLeft w:val="0"/>
      <w:marRight w:val="0"/>
      <w:marTop w:val="0"/>
      <w:marBottom w:val="0"/>
      <w:divBdr>
        <w:top w:val="none" w:sz="0" w:space="0" w:color="auto"/>
        <w:left w:val="none" w:sz="0" w:space="0" w:color="auto"/>
        <w:bottom w:val="none" w:sz="0" w:space="0" w:color="auto"/>
        <w:right w:val="none" w:sz="0" w:space="0" w:color="auto"/>
      </w:divBdr>
      <w:divsChild>
        <w:div w:id="728191769">
          <w:marLeft w:val="0"/>
          <w:marRight w:val="0"/>
          <w:marTop w:val="0"/>
          <w:marBottom w:val="0"/>
          <w:divBdr>
            <w:top w:val="none" w:sz="0" w:space="0" w:color="auto"/>
            <w:left w:val="none" w:sz="0" w:space="0" w:color="auto"/>
            <w:bottom w:val="none" w:sz="0" w:space="0" w:color="auto"/>
            <w:right w:val="none" w:sz="0" w:space="0" w:color="auto"/>
          </w:divBdr>
        </w:div>
      </w:divsChild>
    </w:div>
    <w:div w:id="417949055">
      <w:bodyDiv w:val="1"/>
      <w:marLeft w:val="0"/>
      <w:marRight w:val="0"/>
      <w:marTop w:val="0"/>
      <w:marBottom w:val="0"/>
      <w:divBdr>
        <w:top w:val="none" w:sz="0" w:space="0" w:color="auto"/>
        <w:left w:val="none" w:sz="0" w:space="0" w:color="auto"/>
        <w:bottom w:val="none" w:sz="0" w:space="0" w:color="auto"/>
        <w:right w:val="none" w:sz="0" w:space="0" w:color="auto"/>
      </w:divBdr>
      <w:divsChild>
        <w:div w:id="2054033827">
          <w:marLeft w:val="0"/>
          <w:marRight w:val="0"/>
          <w:marTop w:val="0"/>
          <w:marBottom w:val="0"/>
          <w:divBdr>
            <w:top w:val="none" w:sz="0" w:space="0" w:color="auto"/>
            <w:left w:val="none" w:sz="0" w:space="0" w:color="auto"/>
            <w:bottom w:val="none" w:sz="0" w:space="0" w:color="auto"/>
            <w:right w:val="none" w:sz="0" w:space="0" w:color="auto"/>
          </w:divBdr>
          <w:divsChild>
            <w:div w:id="20078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09511">
      <w:bodyDiv w:val="1"/>
      <w:marLeft w:val="0"/>
      <w:marRight w:val="0"/>
      <w:marTop w:val="0"/>
      <w:marBottom w:val="0"/>
      <w:divBdr>
        <w:top w:val="none" w:sz="0" w:space="0" w:color="auto"/>
        <w:left w:val="none" w:sz="0" w:space="0" w:color="auto"/>
        <w:bottom w:val="none" w:sz="0" w:space="0" w:color="auto"/>
        <w:right w:val="none" w:sz="0" w:space="0" w:color="auto"/>
      </w:divBdr>
    </w:div>
    <w:div w:id="517159482">
      <w:bodyDiv w:val="1"/>
      <w:marLeft w:val="0"/>
      <w:marRight w:val="0"/>
      <w:marTop w:val="0"/>
      <w:marBottom w:val="0"/>
      <w:divBdr>
        <w:top w:val="none" w:sz="0" w:space="0" w:color="auto"/>
        <w:left w:val="none" w:sz="0" w:space="0" w:color="auto"/>
        <w:bottom w:val="none" w:sz="0" w:space="0" w:color="auto"/>
        <w:right w:val="none" w:sz="0" w:space="0" w:color="auto"/>
      </w:divBdr>
    </w:div>
    <w:div w:id="1007369048">
      <w:bodyDiv w:val="1"/>
      <w:marLeft w:val="0"/>
      <w:marRight w:val="0"/>
      <w:marTop w:val="0"/>
      <w:marBottom w:val="0"/>
      <w:divBdr>
        <w:top w:val="none" w:sz="0" w:space="0" w:color="auto"/>
        <w:left w:val="none" w:sz="0" w:space="0" w:color="auto"/>
        <w:bottom w:val="none" w:sz="0" w:space="0" w:color="auto"/>
        <w:right w:val="none" w:sz="0" w:space="0" w:color="auto"/>
      </w:divBdr>
    </w:div>
    <w:div w:id="1357542042">
      <w:bodyDiv w:val="1"/>
      <w:marLeft w:val="0"/>
      <w:marRight w:val="0"/>
      <w:marTop w:val="0"/>
      <w:marBottom w:val="0"/>
      <w:divBdr>
        <w:top w:val="none" w:sz="0" w:space="0" w:color="auto"/>
        <w:left w:val="none" w:sz="0" w:space="0" w:color="auto"/>
        <w:bottom w:val="none" w:sz="0" w:space="0" w:color="auto"/>
        <w:right w:val="none" w:sz="0" w:space="0" w:color="auto"/>
      </w:divBdr>
    </w:div>
    <w:div w:id="1393045732">
      <w:bodyDiv w:val="1"/>
      <w:marLeft w:val="0"/>
      <w:marRight w:val="0"/>
      <w:marTop w:val="0"/>
      <w:marBottom w:val="0"/>
      <w:divBdr>
        <w:top w:val="none" w:sz="0" w:space="0" w:color="auto"/>
        <w:left w:val="none" w:sz="0" w:space="0" w:color="auto"/>
        <w:bottom w:val="none" w:sz="0" w:space="0" w:color="auto"/>
        <w:right w:val="none" w:sz="0" w:space="0" w:color="auto"/>
      </w:divBdr>
      <w:divsChild>
        <w:div w:id="840387715">
          <w:marLeft w:val="0"/>
          <w:marRight w:val="0"/>
          <w:marTop w:val="0"/>
          <w:marBottom w:val="0"/>
          <w:divBdr>
            <w:top w:val="none" w:sz="0" w:space="0" w:color="auto"/>
            <w:left w:val="none" w:sz="0" w:space="0" w:color="auto"/>
            <w:bottom w:val="none" w:sz="0" w:space="0" w:color="auto"/>
            <w:right w:val="none" w:sz="0" w:space="0" w:color="auto"/>
          </w:divBdr>
        </w:div>
      </w:divsChild>
    </w:div>
    <w:div w:id="1436513862">
      <w:bodyDiv w:val="1"/>
      <w:marLeft w:val="0"/>
      <w:marRight w:val="0"/>
      <w:marTop w:val="0"/>
      <w:marBottom w:val="0"/>
      <w:divBdr>
        <w:top w:val="none" w:sz="0" w:space="0" w:color="auto"/>
        <w:left w:val="none" w:sz="0" w:space="0" w:color="auto"/>
        <w:bottom w:val="none" w:sz="0" w:space="0" w:color="auto"/>
        <w:right w:val="none" w:sz="0" w:space="0" w:color="auto"/>
      </w:divBdr>
      <w:divsChild>
        <w:div w:id="1919366337">
          <w:marLeft w:val="0"/>
          <w:marRight w:val="0"/>
          <w:marTop w:val="0"/>
          <w:marBottom w:val="0"/>
          <w:divBdr>
            <w:top w:val="none" w:sz="0" w:space="0" w:color="auto"/>
            <w:left w:val="none" w:sz="0" w:space="0" w:color="auto"/>
            <w:bottom w:val="none" w:sz="0" w:space="0" w:color="auto"/>
            <w:right w:val="none" w:sz="0" w:space="0" w:color="auto"/>
          </w:divBdr>
        </w:div>
      </w:divsChild>
    </w:div>
    <w:div w:id="1629044489">
      <w:bodyDiv w:val="1"/>
      <w:marLeft w:val="0"/>
      <w:marRight w:val="0"/>
      <w:marTop w:val="0"/>
      <w:marBottom w:val="0"/>
      <w:divBdr>
        <w:top w:val="none" w:sz="0" w:space="0" w:color="auto"/>
        <w:left w:val="none" w:sz="0" w:space="0" w:color="auto"/>
        <w:bottom w:val="none" w:sz="0" w:space="0" w:color="auto"/>
        <w:right w:val="none" w:sz="0" w:space="0" w:color="auto"/>
      </w:divBdr>
    </w:div>
    <w:div w:id="1679499819">
      <w:bodyDiv w:val="1"/>
      <w:marLeft w:val="0"/>
      <w:marRight w:val="0"/>
      <w:marTop w:val="0"/>
      <w:marBottom w:val="0"/>
      <w:divBdr>
        <w:top w:val="none" w:sz="0" w:space="0" w:color="auto"/>
        <w:left w:val="none" w:sz="0" w:space="0" w:color="auto"/>
        <w:bottom w:val="none" w:sz="0" w:space="0" w:color="auto"/>
        <w:right w:val="none" w:sz="0" w:space="0" w:color="auto"/>
      </w:divBdr>
    </w:div>
    <w:div w:id="1684630751">
      <w:bodyDiv w:val="1"/>
      <w:marLeft w:val="0"/>
      <w:marRight w:val="0"/>
      <w:marTop w:val="0"/>
      <w:marBottom w:val="0"/>
      <w:divBdr>
        <w:top w:val="none" w:sz="0" w:space="0" w:color="auto"/>
        <w:left w:val="none" w:sz="0" w:space="0" w:color="auto"/>
        <w:bottom w:val="none" w:sz="0" w:space="0" w:color="auto"/>
        <w:right w:val="none" w:sz="0" w:space="0" w:color="auto"/>
      </w:divBdr>
      <w:divsChild>
        <w:div w:id="105655955">
          <w:marLeft w:val="0"/>
          <w:marRight w:val="0"/>
          <w:marTop w:val="0"/>
          <w:marBottom w:val="0"/>
          <w:divBdr>
            <w:top w:val="none" w:sz="0" w:space="0" w:color="auto"/>
            <w:left w:val="none" w:sz="0" w:space="0" w:color="auto"/>
            <w:bottom w:val="none" w:sz="0" w:space="0" w:color="auto"/>
            <w:right w:val="none" w:sz="0" w:space="0" w:color="auto"/>
          </w:divBdr>
        </w:div>
      </w:divsChild>
    </w:div>
    <w:div w:id="1768621629">
      <w:bodyDiv w:val="1"/>
      <w:marLeft w:val="0"/>
      <w:marRight w:val="0"/>
      <w:marTop w:val="0"/>
      <w:marBottom w:val="0"/>
      <w:divBdr>
        <w:top w:val="none" w:sz="0" w:space="0" w:color="auto"/>
        <w:left w:val="none" w:sz="0" w:space="0" w:color="auto"/>
        <w:bottom w:val="none" w:sz="0" w:space="0" w:color="auto"/>
        <w:right w:val="none" w:sz="0" w:space="0" w:color="auto"/>
      </w:divBdr>
    </w:div>
    <w:div w:id="1814365487">
      <w:bodyDiv w:val="1"/>
      <w:marLeft w:val="0"/>
      <w:marRight w:val="0"/>
      <w:marTop w:val="0"/>
      <w:marBottom w:val="0"/>
      <w:divBdr>
        <w:top w:val="none" w:sz="0" w:space="0" w:color="auto"/>
        <w:left w:val="none" w:sz="0" w:space="0" w:color="auto"/>
        <w:bottom w:val="none" w:sz="0" w:space="0" w:color="auto"/>
        <w:right w:val="none" w:sz="0" w:space="0" w:color="auto"/>
      </w:divBdr>
      <w:divsChild>
        <w:div w:id="1285621586">
          <w:marLeft w:val="0"/>
          <w:marRight w:val="0"/>
          <w:marTop w:val="0"/>
          <w:marBottom w:val="0"/>
          <w:divBdr>
            <w:top w:val="none" w:sz="0" w:space="0" w:color="auto"/>
            <w:left w:val="none" w:sz="0" w:space="0" w:color="auto"/>
            <w:bottom w:val="none" w:sz="0" w:space="0" w:color="auto"/>
            <w:right w:val="none" w:sz="0" w:space="0" w:color="auto"/>
          </w:divBdr>
        </w:div>
      </w:divsChild>
    </w:div>
    <w:div w:id="1814369973">
      <w:bodyDiv w:val="1"/>
      <w:marLeft w:val="0"/>
      <w:marRight w:val="0"/>
      <w:marTop w:val="0"/>
      <w:marBottom w:val="0"/>
      <w:divBdr>
        <w:top w:val="none" w:sz="0" w:space="0" w:color="auto"/>
        <w:left w:val="none" w:sz="0" w:space="0" w:color="auto"/>
        <w:bottom w:val="none" w:sz="0" w:space="0" w:color="auto"/>
        <w:right w:val="none" w:sz="0" w:space="0" w:color="auto"/>
      </w:divBdr>
    </w:div>
    <w:div w:id="1875312940">
      <w:bodyDiv w:val="1"/>
      <w:marLeft w:val="0"/>
      <w:marRight w:val="0"/>
      <w:marTop w:val="0"/>
      <w:marBottom w:val="0"/>
      <w:divBdr>
        <w:top w:val="none" w:sz="0" w:space="0" w:color="auto"/>
        <w:left w:val="none" w:sz="0" w:space="0" w:color="auto"/>
        <w:bottom w:val="none" w:sz="0" w:space="0" w:color="auto"/>
        <w:right w:val="none" w:sz="0" w:space="0" w:color="auto"/>
      </w:divBdr>
      <w:divsChild>
        <w:div w:id="707804050">
          <w:marLeft w:val="0"/>
          <w:marRight w:val="0"/>
          <w:marTop w:val="0"/>
          <w:marBottom w:val="0"/>
          <w:divBdr>
            <w:top w:val="none" w:sz="0" w:space="0" w:color="auto"/>
            <w:left w:val="none" w:sz="0" w:space="0" w:color="auto"/>
            <w:bottom w:val="none" w:sz="0" w:space="0" w:color="auto"/>
            <w:right w:val="none" w:sz="0" w:space="0" w:color="auto"/>
          </w:divBdr>
        </w:div>
      </w:divsChild>
    </w:div>
    <w:div w:id="1918129794">
      <w:bodyDiv w:val="1"/>
      <w:marLeft w:val="0"/>
      <w:marRight w:val="0"/>
      <w:marTop w:val="0"/>
      <w:marBottom w:val="0"/>
      <w:divBdr>
        <w:top w:val="none" w:sz="0" w:space="0" w:color="auto"/>
        <w:left w:val="none" w:sz="0" w:space="0" w:color="auto"/>
        <w:bottom w:val="none" w:sz="0" w:space="0" w:color="auto"/>
        <w:right w:val="none" w:sz="0" w:space="0" w:color="auto"/>
      </w:divBdr>
      <w:divsChild>
        <w:div w:id="1743723064">
          <w:marLeft w:val="0"/>
          <w:marRight w:val="0"/>
          <w:marTop w:val="0"/>
          <w:marBottom w:val="0"/>
          <w:divBdr>
            <w:top w:val="none" w:sz="0" w:space="0" w:color="auto"/>
            <w:left w:val="none" w:sz="0" w:space="0" w:color="auto"/>
            <w:bottom w:val="none" w:sz="0" w:space="0" w:color="auto"/>
            <w:right w:val="none" w:sz="0" w:space="0" w:color="auto"/>
          </w:divBdr>
        </w:div>
      </w:divsChild>
    </w:div>
    <w:div w:id="1940259970">
      <w:bodyDiv w:val="1"/>
      <w:marLeft w:val="0"/>
      <w:marRight w:val="0"/>
      <w:marTop w:val="0"/>
      <w:marBottom w:val="0"/>
      <w:divBdr>
        <w:top w:val="none" w:sz="0" w:space="0" w:color="auto"/>
        <w:left w:val="none" w:sz="0" w:space="0" w:color="auto"/>
        <w:bottom w:val="none" w:sz="0" w:space="0" w:color="auto"/>
        <w:right w:val="none" w:sz="0" w:space="0" w:color="auto"/>
      </w:divBdr>
      <w:divsChild>
        <w:div w:id="2103258535">
          <w:marLeft w:val="0"/>
          <w:marRight w:val="0"/>
          <w:marTop w:val="0"/>
          <w:marBottom w:val="0"/>
          <w:divBdr>
            <w:top w:val="none" w:sz="0" w:space="0" w:color="auto"/>
            <w:left w:val="none" w:sz="0" w:space="0" w:color="auto"/>
            <w:bottom w:val="none" w:sz="0" w:space="0" w:color="auto"/>
            <w:right w:val="none" w:sz="0" w:space="0" w:color="auto"/>
          </w:divBdr>
        </w:div>
      </w:divsChild>
    </w:div>
    <w:div w:id="2055231013">
      <w:bodyDiv w:val="1"/>
      <w:marLeft w:val="0"/>
      <w:marRight w:val="0"/>
      <w:marTop w:val="0"/>
      <w:marBottom w:val="0"/>
      <w:divBdr>
        <w:top w:val="none" w:sz="0" w:space="0" w:color="auto"/>
        <w:left w:val="none" w:sz="0" w:space="0" w:color="auto"/>
        <w:bottom w:val="none" w:sz="0" w:space="0" w:color="auto"/>
        <w:right w:val="none" w:sz="0" w:space="0" w:color="auto"/>
      </w:divBdr>
      <w:divsChild>
        <w:div w:id="1259362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nvironment.gov.au/aggregation/commonwealth-environmental-water-office" TargetMode="External"/><Relationship Id="rId18" Type="http://schemas.openxmlformats.org/officeDocument/2006/relationships/hyperlink" Target="http://www.environment.gov.au/topics/water/commonwealth-environmental-water-office/outcomes" TargetMode="External"/><Relationship Id="rId26" Type="http://schemas.openxmlformats.org/officeDocument/2006/relationships/hyperlink" Target="http://www.environment.gov.au/ewater/local-engagement/index.html" TargetMode="External"/><Relationship Id="rId3" Type="http://schemas.openxmlformats.org/officeDocument/2006/relationships/styles" Target="styles.xml"/><Relationship Id="rId21" Type="http://schemas.openxmlformats.org/officeDocument/2006/relationships/hyperlink" Target="http://www.environment.gov.au/resource/commonwealth-environmental-water-carryover-2012-13-2013-14" TargetMode="External"/><Relationship Id="rId34"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mailto:ewater@environment.gov.au" TargetMode="External"/><Relationship Id="rId17" Type="http://schemas.openxmlformats.org/officeDocument/2006/relationships/hyperlink" Target="http://www.environment.gov.au/resource/commonwealth-environmental-water-monitoring-evaluation-reporting-and-improvement-framework" TargetMode="External"/><Relationship Id="rId25" Type="http://schemas.openxmlformats.org/officeDocument/2006/relationships/hyperlink" Target="http://www.environment.gov.au/ewater/advice/stakeholder-reference.html" TargetMode="External"/><Relationship Id="rId33" Type="http://schemas.openxmlformats.org/officeDocument/2006/relationships/diagramQuickStyle" Target="diagrams/quickStyle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nvironment.gov.au/ewater/publications/cewh-framework.html" TargetMode="External"/><Relationship Id="rId20" Type="http://schemas.openxmlformats.org/officeDocument/2006/relationships/hyperlink" Target="http://www.environment.gov.au/resource/long-term-intervention-monitoring-project-logic-and-rationale-docum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blic.affairs@environment.gov.au" TargetMode="External"/><Relationship Id="rId24" Type="http://schemas.openxmlformats.org/officeDocument/2006/relationships/hyperlink" Target="http://www.environment.gov.au/ewater/index.html" TargetMode="External"/><Relationship Id="rId32" Type="http://schemas.openxmlformats.org/officeDocument/2006/relationships/diagramLayout" Target="diagrams/layout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nvironment.gov.au/resource/framework-determining-commonwealth-environmental-water-use" TargetMode="External"/><Relationship Id="rId23" Type="http://schemas.openxmlformats.org/officeDocument/2006/relationships/hyperlink" Target="http://www.mdba.gov.au/what-we-do/environmental-water/environmental-watering-priorities" TargetMode="External"/><Relationship Id="rId28" Type="http://schemas.openxmlformats.org/officeDocument/2006/relationships/header" Target="header1.xm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www.environment.gov.au/ewater/outcomes/index.html" TargetMode="External"/><Relationship Id="rId31"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nvironment.gov.au/topics/water/commonwealth-environmental-water-office/about-commonwealth-environmental-water/how-much" TargetMode="External"/><Relationship Id="rId22" Type="http://schemas.openxmlformats.org/officeDocument/2006/relationships/hyperlink" Target="http://www.environment.gov.au/node/18973" TargetMode="External"/><Relationship Id="rId27" Type="http://schemas.openxmlformats.org/officeDocument/2006/relationships/hyperlink" Target="http://www.environment.gov.au/topics/water/commonwealth-environmental-water-office/about-office/subscribe" TargetMode="External"/><Relationship Id="rId30" Type="http://schemas.openxmlformats.org/officeDocument/2006/relationships/footer" Target="footer2.xml"/><Relationship Id="rId35"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93EC7A-5779-47C9-AE50-372CC8E61174}" type="doc">
      <dgm:prSet loTypeId="urn:microsoft.com/office/officeart/2005/8/layout/orgChart1" loCatId="hierarchy" qsTypeId="urn:microsoft.com/office/officeart/2005/8/quickstyle/simple1" qsCatId="simple" csTypeId="urn:microsoft.com/office/officeart/2005/8/colors/accent4_1" csCatId="accent4" phldr="1"/>
      <dgm:spPr/>
      <dgm:t>
        <a:bodyPr/>
        <a:lstStyle/>
        <a:p>
          <a:endParaRPr lang="en-AU"/>
        </a:p>
      </dgm:t>
    </dgm:pt>
    <dgm:pt modelId="{3654A3E9-06F9-4E3F-9B39-0AF4033815E0}">
      <dgm:prSet phldrT="[Text]"/>
      <dgm:spPr/>
      <dgm:t>
        <a:bodyPr/>
        <a:lstStyle/>
        <a:p>
          <a:pPr algn="ctr"/>
          <a:r>
            <a:rPr lang="en-AU"/>
            <a:t>Commonwealth Environmental Water Holder</a:t>
          </a:r>
        </a:p>
      </dgm:t>
    </dgm:pt>
    <dgm:pt modelId="{A23A9C49-7E7B-49BA-BF72-67240BE40A75}" type="parTrans" cxnId="{89CC3860-4AB5-45FD-8852-F4DB02347C4B}">
      <dgm:prSet/>
      <dgm:spPr/>
      <dgm:t>
        <a:bodyPr/>
        <a:lstStyle/>
        <a:p>
          <a:pPr algn="ctr"/>
          <a:endParaRPr lang="en-AU"/>
        </a:p>
      </dgm:t>
    </dgm:pt>
    <dgm:pt modelId="{A4641886-0C01-4E21-863F-BCDEA502C06B}" type="sibTrans" cxnId="{89CC3860-4AB5-45FD-8852-F4DB02347C4B}">
      <dgm:prSet/>
      <dgm:spPr/>
      <dgm:t>
        <a:bodyPr/>
        <a:lstStyle/>
        <a:p>
          <a:pPr algn="ctr"/>
          <a:endParaRPr lang="en-AU"/>
        </a:p>
      </dgm:t>
    </dgm:pt>
    <dgm:pt modelId="{7637DAA6-79F6-4F85-95C5-1C3234D4CE52}">
      <dgm:prSet phldrT="[Text]"/>
      <dgm:spPr/>
      <dgm:t>
        <a:bodyPr/>
        <a:lstStyle/>
        <a:p>
          <a:pPr algn="ctr"/>
          <a:r>
            <a:rPr lang="en-AU"/>
            <a:t>Environmental Water Delivery Branch</a:t>
          </a:r>
        </a:p>
      </dgm:t>
    </dgm:pt>
    <dgm:pt modelId="{CBBE274E-E5E4-4500-81F1-7B84C659DE18}" type="parTrans" cxnId="{85009CF7-BECC-467C-B706-C70BB81B117F}">
      <dgm:prSet/>
      <dgm:spPr/>
      <dgm:t>
        <a:bodyPr/>
        <a:lstStyle/>
        <a:p>
          <a:pPr algn="ctr"/>
          <a:endParaRPr lang="en-AU"/>
        </a:p>
      </dgm:t>
    </dgm:pt>
    <dgm:pt modelId="{52431245-9C97-48AB-8D1F-4BFE40EC531A}" type="sibTrans" cxnId="{85009CF7-BECC-467C-B706-C70BB81B117F}">
      <dgm:prSet/>
      <dgm:spPr/>
      <dgm:t>
        <a:bodyPr/>
        <a:lstStyle/>
        <a:p>
          <a:pPr algn="ctr"/>
          <a:endParaRPr lang="en-AU"/>
        </a:p>
      </dgm:t>
    </dgm:pt>
    <dgm:pt modelId="{FF47D0B4-E7DE-47A2-9DA2-FFC227D32FD2}">
      <dgm:prSet phldrT="[Text]"/>
      <dgm:spPr/>
      <dgm:t>
        <a:bodyPr/>
        <a:lstStyle/>
        <a:p>
          <a:pPr algn="ctr"/>
          <a:r>
            <a:rPr lang="en-AU"/>
            <a:t>Policy, Community Engagement &amp; Portfolio Management Branch</a:t>
          </a:r>
        </a:p>
      </dgm:t>
    </dgm:pt>
    <dgm:pt modelId="{261B091B-FAA2-4795-AC87-1298767AB855}" type="parTrans" cxnId="{22C789FE-49B9-4BE5-9B13-815C7653BFA3}">
      <dgm:prSet/>
      <dgm:spPr/>
      <dgm:t>
        <a:bodyPr/>
        <a:lstStyle/>
        <a:p>
          <a:pPr algn="ctr"/>
          <a:endParaRPr lang="en-AU"/>
        </a:p>
      </dgm:t>
    </dgm:pt>
    <dgm:pt modelId="{76AA49BE-F4CE-473B-B1A8-F8E265D00502}" type="sibTrans" cxnId="{22C789FE-49B9-4BE5-9B13-815C7653BFA3}">
      <dgm:prSet/>
      <dgm:spPr/>
      <dgm:t>
        <a:bodyPr/>
        <a:lstStyle/>
        <a:p>
          <a:pPr algn="ctr"/>
          <a:endParaRPr lang="en-AU"/>
        </a:p>
      </dgm:t>
    </dgm:pt>
    <dgm:pt modelId="{2CEFB958-67DE-4D59-B9B3-692C5C1F448A}">
      <dgm:prSet/>
      <dgm:spPr/>
      <dgm:t>
        <a:bodyPr/>
        <a:lstStyle/>
        <a:p>
          <a:pPr algn="ctr"/>
          <a:r>
            <a:rPr lang="en-AU"/>
            <a:t>Environmental Water Use</a:t>
          </a:r>
        </a:p>
      </dgm:t>
    </dgm:pt>
    <dgm:pt modelId="{97049E76-5ADA-4F6E-A827-01EEA349C9E2}" type="parTrans" cxnId="{9706479E-1C00-4DCF-9F8A-49311B54B57B}">
      <dgm:prSet/>
      <dgm:spPr/>
      <dgm:t>
        <a:bodyPr/>
        <a:lstStyle/>
        <a:p>
          <a:pPr algn="ctr"/>
          <a:endParaRPr lang="en-AU"/>
        </a:p>
      </dgm:t>
    </dgm:pt>
    <dgm:pt modelId="{B14847FF-07A5-4A08-9737-E64ED727B42D}" type="sibTrans" cxnId="{9706479E-1C00-4DCF-9F8A-49311B54B57B}">
      <dgm:prSet/>
      <dgm:spPr/>
      <dgm:t>
        <a:bodyPr/>
        <a:lstStyle/>
        <a:p>
          <a:pPr algn="ctr"/>
          <a:endParaRPr lang="en-AU"/>
        </a:p>
      </dgm:t>
    </dgm:pt>
    <dgm:pt modelId="{63F60ABC-EACC-466C-B336-B3471A133D54}">
      <dgm:prSet/>
      <dgm:spPr/>
      <dgm:t>
        <a:bodyPr/>
        <a:lstStyle/>
        <a:p>
          <a:pPr algn="ctr"/>
          <a:r>
            <a:rPr lang="en-AU"/>
            <a:t>Environmental Water Planning</a:t>
          </a:r>
        </a:p>
      </dgm:t>
    </dgm:pt>
    <dgm:pt modelId="{5044F7DA-DBCD-4172-B34D-6C3AC7CCB800}" type="parTrans" cxnId="{B15F5DA1-F570-4B39-8FEE-C308C26E0BF5}">
      <dgm:prSet/>
      <dgm:spPr/>
      <dgm:t>
        <a:bodyPr/>
        <a:lstStyle/>
        <a:p>
          <a:pPr algn="ctr"/>
          <a:endParaRPr lang="en-AU"/>
        </a:p>
      </dgm:t>
    </dgm:pt>
    <dgm:pt modelId="{3EDE2727-FE16-40A2-97B2-CC787454DD35}" type="sibTrans" cxnId="{B15F5DA1-F570-4B39-8FEE-C308C26E0BF5}">
      <dgm:prSet/>
      <dgm:spPr/>
      <dgm:t>
        <a:bodyPr/>
        <a:lstStyle/>
        <a:p>
          <a:pPr algn="ctr"/>
          <a:endParaRPr lang="en-AU"/>
        </a:p>
      </dgm:t>
    </dgm:pt>
    <dgm:pt modelId="{619533CE-E250-4B69-9418-174279B06115}">
      <dgm:prSet/>
      <dgm:spPr/>
      <dgm:t>
        <a:bodyPr/>
        <a:lstStyle/>
        <a:p>
          <a:pPr algn="ctr"/>
          <a:r>
            <a:rPr lang="en-AU"/>
            <a:t>Monitoring and Evaluation</a:t>
          </a:r>
        </a:p>
      </dgm:t>
    </dgm:pt>
    <dgm:pt modelId="{B57E050D-EDE2-4013-95DD-838816E413F1}" type="parTrans" cxnId="{13CB457E-E9A9-42F3-945A-062A57787F34}">
      <dgm:prSet/>
      <dgm:spPr/>
      <dgm:t>
        <a:bodyPr/>
        <a:lstStyle/>
        <a:p>
          <a:pPr algn="ctr"/>
          <a:endParaRPr lang="en-AU"/>
        </a:p>
      </dgm:t>
    </dgm:pt>
    <dgm:pt modelId="{79166BB6-F5C1-47B6-9081-6C35B0B605D2}" type="sibTrans" cxnId="{13CB457E-E9A9-42F3-945A-062A57787F34}">
      <dgm:prSet/>
      <dgm:spPr/>
      <dgm:t>
        <a:bodyPr/>
        <a:lstStyle/>
        <a:p>
          <a:pPr algn="ctr"/>
          <a:endParaRPr lang="en-AU"/>
        </a:p>
      </dgm:t>
    </dgm:pt>
    <dgm:pt modelId="{D6D1356D-52A5-4EF5-95D1-24C31A8E65B5}">
      <dgm:prSet/>
      <dgm:spPr/>
      <dgm:t>
        <a:bodyPr/>
        <a:lstStyle/>
        <a:p>
          <a:pPr algn="ctr"/>
          <a:r>
            <a:rPr lang="en-AU"/>
            <a:t>Community Engagement &amp; Communciations</a:t>
          </a:r>
        </a:p>
      </dgm:t>
    </dgm:pt>
    <dgm:pt modelId="{38BC7385-AAD7-41C5-B2F5-7C150811D62A}" type="parTrans" cxnId="{E7680DBD-7C64-4849-A03D-8CC68C055CCB}">
      <dgm:prSet/>
      <dgm:spPr/>
      <dgm:t>
        <a:bodyPr/>
        <a:lstStyle/>
        <a:p>
          <a:pPr algn="ctr"/>
          <a:endParaRPr lang="en-AU"/>
        </a:p>
      </dgm:t>
    </dgm:pt>
    <dgm:pt modelId="{1C3EEE0F-5BB4-4C27-B68F-48B6000042EA}" type="sibTrans" cxnId="{E7680DBD-7C64-4849-A03D-8CC68C055CCB}">
      <dgm:prSet/>
      <dgm:spPr/>
      <dgm:t>
        <a:bodyPr/>
        <a:lstStyle/>
        <a:p>
          <a:pPr algn="ctr"/>
          <a:endParaRPr lang="en-AU"/>
        </a:p>
      </dgm:t>
    </dgm:pt>
    <dgm:pt modelId="{34E29BDC-B356-4833-A461-0D1BA6766A2D}">
      <dgm:prSet/>
      <dgm:spPr/>
      <dgm:t>
        <a:bodyPr/>
        <a:lstStyle/>
        <a:p>
          <a:pPr algn="ctr"/>
          <a:r>
            <a:rPr lang="en-AU"/>
            <a:t>Environmental Water Policy</a:t>
          </a:r>
        </a:p>
      </dgm:t>
    </dgm:pt>
    <dgm:pt modelId="{9324A5B6-5625-421B-8368-E6EF970A75F1}" type="parTrans" cxnId="{3B31F6B5-40CC-422F-9DF0-32DACAE2FC59}">
      <dgm:prSet/>
      <dgm:spPr/>
      <dgm:t>
        <a:bodyPr/>
        <a:lstStyle/>
        <a:p>
          <a:pPr algn="ctr"/>
          <a:endParaRPr lang="en-AU"/>
        </a:p>
      </dgm:t>
    </dgm:pt>
    <dgm:pt modelId="{F878850E-1E9C-46C9-968C-0A29B31932A8}" type="sibTrans" cxnId="{3B31F6B5-40CC-422F-9DF0-32DACAE2FC59}">
      <dgm:prSet/>
      <dgm:spPr/>
      <dgm:t>
        <a:bodyPr/>
        <a:lstStyle/>
        <a:p>
          <a:pPr algn="ctr"/>
          <a:endParaRPr lang="en-AU"/>
        </a:p>
      </dgm:t>
    </dgm:pt>
    <dgm:pt modelId="{3946FC2F-9447-4B95-98D4-D0B4FEA801B3}">
      <dgm:prSet/>
      <dgm:spPr/>
      <dgm:t>
        <a:bodyPr/>
        <a:lstStyle/>
        <a:p>
          <a:pPr algn="ctr"/>
          <a:r>
            <a:rPr lang="en-AU"/>
            <a:t>Portfolio Management </a:t>
          </a:r>
        </a:p>
      </dgm:t>
    </dgm:pt>
    <dgm:pt modelId="{B9986FBF-6D5A-4955-BD55-9B9A359A7954}" type="parTrans" cxnId="{C7A0FF92-4734-4852-8EEE-2CB07DE01F48}">
      <dgm:prSet/>
      <dgm:spPr/>
      <dgm:t>
        <a:bodyPr/>
        <a:lstStyle/>
        <a:p>
          <a:pPr algn="ctr"/>
          <a:endParaRPr lang="en-AU"/>
        </a:p>
      </dgm:t>
    </dgm:pt>
    <dgm:pt modelId="{46B1D94B-6F0B-45AE-A82E-4BB294AD36D3}" type="sibTrans" cxnId="{C7A0FF92-4734-4852-8EEE-2CB07DE01F48}">
      <dgm:prSet/>
      <dgm:spPr/>
      <dgm:t>
        <a:bodyPr/>
        <a:lstStyle/>
        <a:p>
          <a:pPr algn="ctr"/>
          <a:endParaRPr lang="en-AU"/>
        </a:p>
      </dgm:t>
    </dgm:pt>
    <dgm:pt modelId="{30FEC5C7-1550-4EA4-83FA-0C2E61983856}" type="pres">
      <dgm:prSet presAssocID="{C193EC7A-5779-47C9-AE50-372CC8E61174}" presName="hierChild1" presStyleCnt="0">
        <dgm:presLayoutVars>
          <dgm:orgChart val="1"/>
          <dgm:chPref val="1"/>
          <dgm:dir/>
          <dgm:animOne val="branch"/>
          <dgm:animLvl val="lvl"/>
          <dgm:resizeHandles/>
        </dgm:presLayoutVars>
      </dgm:prSet>
      <dgm:spPr/>
      <dgm:t>
        <a:bodyPr/>
        <a:lstStyle/>
        <a:p>
          <a:endParaRPr lang="en-AU"/>
        </a:p>
      </dgm:t>
    </dgm:pt>
    <dgm:pt modelId="{1FC1FB34-726B-4499-BDED-02670566E9BF}" type="pres">
      <dgm:prSet presAssocID="{3654A3E9-06F9-4E3F-9B39-0AF4033815E0}" presName="hierRoot1" presStyleCnt="0">
        <dgm:presLayoutVars>
          <dgm:hierBranch val="init"/>
        </dgm:presLayoutVars>
      </dgm:prSet>
      <dgm:spPr/>
      <dgm:t>
        <a:bodyPr/>
        <a:lstStyle/>
        <a:p>
          <a:endParaRPr lang="en-AU"/>
        </a:p>
      </dgm:t>
    </dgm:pt>
    <dgm:pt modelId="{24D8519A-ACA5-4B46-85AF-029B6937063A}" type="pres">
      <dgm:prSet presAssocID="{3654A3E9-06F9-4E3F-9B39-0AF4033815E0}" presName="rootComposite1" presStyleCnt="0"/>
      <dgm:spPr/>
      <dgm:t>
        <a:bodyPr/>
        <a:lstStyle/>
        <a:p>
          <a:endParaRPr lang="en-AU"/>
        </a:p>
      </dgm:t>
    </dgm:pt>
    <dgm:pt modelId="{A7F7B34A-D86C-4E68-A630-92F5B49D2420}" type="pres">
      <dgm:prSet presAssocID="{3654A3E9-06F9-4E3F-9B39-0AF4033815E0}" presName="rootText1" presStyleLbl="node0" presStyleIdx="0" presStyleCnt="1">
        <dgm:presLayoutVars>
          <dgm:chPref val="3"/>
        </dgm:presLayoutVars>
      </dgm:prSet>
      <dgm:spPr/>
      <dgm:t>
        <a:bodyPr/>
        <a:lstStyle/>
        <a:p>
          <a:endParaRPr lang="en-AU"/>
        </a:p>
      </dgm:t>
    </dgm:pt>
    <dgm:pt modelId="{C223260B-4681-4D2A-A1AC-B6C774B56B76}" type="pres">
      <dgm:prSet presAssocID="{3654A3E9-06F9-4E3F-9B39-0AF4033815E0}" presName="rootConnector1" presStyleLbl="node1" presStyleIdx="0" presStyleCnt="0"/>
      <dgm:spPr/>
      <dgm:t>
        <a:bodyPr/>
        <a:lstStyle/>
        <a:p>
          <a:endParaRPr lang="en-AU"/>
        </a:p>
      </dgm:t>
    </dgm:pt>
    <dgm:pt modelId="{77B87860-318C-45CB-9BD2-1F1CEB555492}" type="pres">
      <dgm:prSet presAssocID="{3654A3E9-06F9-4E3F-9B39-0AF4033815E0}" presName="hierChild2" presStyleCnt="0"/>
      <dgm:spPr/>
      <dgm:t>
        <a:bodyPr/>
        <a:lstStyle/>
        <a:p>
          <a:endParaRPr lang="en-AU"/>
        </a:p>
      </dgm:t>
    </dgm:pt>
    <dgm:pt modelId="{41438FA3-168B-4C91-90C3-60D84DE882C0}" type="pres">
      <dgm:prSet presAssocID="{CBBE274E-E5E4-4500-81F1-7B84C659DE18}" presName="Name37" presStyleLbl="parChTrans1D2" presStyleIdx="0" presStyleCnt="2"/>
      <dgm:spPr/>
      <dgm:t>
        <a:bodyPr/>
        <a:lstStyle/>
        <a:p>
          <a:endParaRPr lang="en-AU"/>
        </a:p>
      </dgm:t>
    </dgm:pt>
    <dgm:pt modelId="{88CC80C0-6626-41BE-971F-D28EC1368301}" type="pres">
      <dgm:prSet presAssocID="{7637DAA6-79F6-4F85-95C5-1C3234D4CE52}" presName="hierRoot2" presStyleCnt="0">
        <dgm:presLayoutVars>
          <dgm:hierBranch/>
        </dgm:presLayoutVars>
      </dgm:prSet>
      <dgm:spPr/>
      <dgm:t>
        <a:bodyPr/>
        <a:lstStyle/>
        <a:p>
          <a:endParaRPr lang="en-AU"/>
        </a:p>
      </dgm:t>
    </dgm:pt>
    <dgm:pt modelId="{E10B7F69-91F7-45F8-8E4C-2A99174C0639}" type="pres">
      <dgm:prSet presAssocID="{7637DAA6-79F6-4F85-95C5-1C3234D4CE52}" presName="rootComposite" presStyleCnt="0"/>
      <dgm:spPr/>
      <dgm:t>
        <a:bodyPr/>
        <a:lstStyle/>
        <a:p>
          <a:endParaRPr lang="en-AU"/>
        </a:p>
      </dgm:t>
    </dgm:pt>
    <dgm:pt modelId="{B32A0DF7-15E9-4E41-9390-F1CA9310ECDD}" type="pres">
      <dgm:prSet presAssocID="{7637DAA6-79F6-4F85-95C5-1C3234D4CE52}" presName="rootText" presStyleLbl="node2" presStyleIdx="0" presStyleCnt="2">
        <dgm:presLayoutVars>
          <dgm:chPref val="3"/>
        </dgm:presLayoutVars>
      </dgm:prSet>
      <dgm:spPr/>
      <dgm:t>
        <a:bodyPr/>
        <a:lstStyle/>
        <a:p>
          <a:endParaRPr lang="en-AU"/>
        </a:p>
      </dgm:t>
    </dgm:pt>
    <dgm:pt modelId="{1FC69973-1A92-4AD7-82D3-62FDA0422576}" type="pres">
      <dgm:prSet presAssocID="{7637DAA6-79F6-4F85-95C5-1C3234D4CE52}" presName="rootConnector" presStyleLbl="node2" presStyleIdx="0" presStyleCnt="2"/>
      <dgm:spPr/>
      <dgm:t>
        <a:bodyPr/>
        <a:lstStyle/>
        <a:p>
          <a:endParaRPr lang="en-AU"/>
        </a:p>
      </dgm:t>
    </dgm:pt>
    <dgm:pt modelId="{5A5E8910-72E1-44C9-8300-AB8BB7587227}" type="pres">
      <dgm:prSet presAssocID="{7637DAA6-79F6-4F85-95C5-1C3234D4CE52}" presName="hierChild4" presStyleCnt="0"/>
      <dgm:spPr/>
      <dgm:t>
        <a:bodyPr/>
        <a:lstStyle/>
        <a:p>
          <a:endParaRPr lang="en-AU"/>
        </a:p>
      </dgm:t>
    </dgm:pt>
    <dgm:pt modelId="{38927FC0-30CF-44B5-BB38-74472C1A7EA7}" type="pres">
      <dgm:prSet presAssocID="{97049E76-5ADA-4F6E-A827-01EEA349C9E2}" presName="Name35" presStyleLbl="parChTrans1D3" presStyleIdx="0" presStyleCnt="6"/>
      <dgm:spPr/>
      <dgm:t>
        <a:bodyPr/>
        <a:lstStyle/>
        <a:p>
          <a:endParaRPr lang="en-AU"/>
        </a:p>
      </dgm:t>
    </dgm:pt>
    <dgm:pt modelId="{10A0A9BC-CF67-4964-973A-56D480DBA338}" type="pres">
      <dgm:prSet presAssocID="{2CEFB958-67DE-4D59-B9B3-692C5C1F448A}" presName="hierRoot2" presStyleCnt="0">
        <dgm:presLayoutVars>
          <dgm:hierBranch val="init"/>
        </dgm:presLayoutVars>
      </dgm:prSet>
      <dgm:spPr/>
      <dgm:t>
        <a:bodyPr/>
        <a:lstStyle/>
        <a:p>
          <a:endParaRPr lang="en-AU"/>
        </a:p>
      </dgm:t>
    </dgm:pt>
    <dgm:pt modelId="{E62F1770-64E7-4842-A6F3-E249E64B3C3C}" type="pres">
      <dgm:prSet presAssocID="{2CEFB958-67DE-4D59-B9B3-692C5C1F448A}" presName="rootComposite" presStyleCnt="0"/>
      <dgm:spPr/>
      <dgm:t>
        <a:bodyPr/>
        <a:lstStyle/>
        <a:p>
          <a:endParaRPr lang="en-AU"/>
        </a:p>
      </dgm:t>
    </dgm:pt>
    <dgm:pt modelId="{1393D655-8AD2-4199-B1E8-CE109D035B46}" type="pres">
      <dgm:prSet presAssocID="{2CEFB958-67DE-4D59-B9B3-692C5C1F448A}" presName="rootText" presStyleLbl="node3" presStyleIdx="0" presStyleCnt="6">
        <dgm:presLayoutVars>
          <dgm:chPref val="3"/>
        </dgm:presLayoutVars>
      </dgm:prSet>
      <dgm:spPr/>
      <dgm:t>
        <a:bodyPr/>
        <a:lstStyle/>
        <a:p>
          <a:endParaRPr lang="en-AU"/>
        </a:p>
      </dgm:t>
    </dgm:pt>
    <dgm:pt modelId="{70A09A83-EA0F-4774-B3E1-2A132A3891FF}" type="pres">
      <dgm:prSet presAssocID="{2CEFB958-67DE-4D59-B9B3-692C5C1F448A}" presName="rootConnector" presStyleLbl="node3" presStyleIdx="0" presStyleCnt="6"/>
      <dgm:spPr/>
      <dgm:t>
        <a:bodyPr/>
        <a:lstStyle/>
        <a:p>
          <a:endParaRPr lang="en-AU"/>
        </a:p>
      </dgm:t>
    </dgm:pt>
    <dgm:pt modelId="{A505D86A-9A04-4740-99DC-1F16C170491D}" type="pres">
      <dgm:prSet presAssocID="{2CEFB958-67DE-4D59-B9B3-692C5C1F448A}" presName="hierChild4" presStyleCnt="0"/>
      <dgm:spPr/>
      <dgm:t>
        <a:bodyPr/>
        <a:lstStyle/>
        <a:p>
          <a:endParaRPr lang="en-AU"/>
        </a:p>
      </dgm:t>
    </dgm:pt>
    <dgm:pt modelId="{EF2C1570-5815-4174-9754-B660D8E3594E}" type="pres">
      <dgm:prSet presAssocID="{2CEFB958-67DE-4D59-B9B3-692C5C1F448A}" presName="hierChild5" presStyleCnt="0"/>
      <dgm:spPr/>
      <dgm:t>
        <a:bodyPr/>
        <a:lstStyle/>
        <a:p>
          <a:endParaRPr lang="en-AU"/>
        </a:p>
      </dgm:t>
    </dgm:pt>
    <dgm:pt modelId="{3E5E9653-07BD-4D72-8BEC-37FB1C283BCA}" type="pres">
      <dgm:prSet presAssocID="{5044F7DA-DBCD-4172-B34D-6C3AC7CCB800}" presName="Name35" presStyleLbl="parChTrans1D3" presStyleIdx="1" presStyleCnt="6"/>
      <dgm:spPr/>
      <dgm:t>
        <a:bodyPr/>
        <a:lstStyle/>
        <a:p>
          <a:endParaRPr lang="en-AU"/>
        </a:p>
      </dgm:t>
    </dgm:pt>
    <dgm:pt modelId="{F3A299C9-D612-4F69-9E33-7AFB7B5D7913}" type="pres">
      <dgm:prSet presAssocID="{63F60ABC-EACC-466C-B336-B3471A133D54}" presName="hierRoot2" presStyleCnt="0">
        <dgm:presLayoutVars>
          <dgm:hierBranch val="init"/>
        </dgm:presLayoutVars>
      </dgm:prSet>
      <dgm:spPr/>
      <dgm:t>
        <a:bodyPr/>
        <a:lstStyle/>
        <a:p>
          <a:endParaRPr lang="en-AU"/>
        </a:p>
      </dgm:t>
    </dgm:pt>
    <dgm:pt modelId="{BA9BD346-BCA9-455E-BBDC-3CCEB9F994C1}" type="pres">
      <dgm:prSet presAssocID="{63F60ABC-EACC-466C-B336-B3471A133D54}" presName="rootComposite" presStyleCnt="0"/>
      <dgm:spPr/>
      <dgm:t>
        <a:bodyPr/>
        <a:lstStyle/>
        <a:p>
          <a:endParaRPr lang="en-AU"/>
        </a:p>
      </dgm:t>
    </dgm:pt>
    <dgm:pt modelId="{948C8784-0263-431E-89B9-08E760EA7062}" type="pres">
      <dgm:prSet presAssocID="{63F60ABC-EACC-466C-B336-B3471A133D54}" presName="rootText" presStyleLbl="node3" presStyleIdx="1" presStyleCnt="6">
        <dgm:presLayoutVars>
          <dgm:chPref val="3"/>
        </dgm:presLayoutVars>
      </dgm:prSet>
      <dgm:spPr/>
      <dgm:t>
        <a:bodyPr/>
        <a:lstStyle/>
        <a:p>
          <a:endParaRPr lang="en-AU"/>
        </a:p>
      </dgm:t>
    </dgm:pt>
    <dgm:pt modelId="{F2441F53-3B1B-4900-A629-7AA7F20A1FB8}" type="pres">
      <dgm:prSet presAssocID="{63F60ABC-EACC-466C-B336-B3471A133D54}" presName="rootConnector" presStyleLbl="node3" presStyleIdx="1" presStyleCnt="6"/>
      <dgm:spPr/>
      <dgm:t>
        <a:bodyPr/>
        <a:lstStyle/>
        <a:p>
          <a:endParaRPr lang="en-AU"/>
        </a:p>
      </dgm:t>
    </dgm:pt>
    <dgm:pt modelId="{644AC6F5-AA00-464E-8E4C-2296D33C2514}" type="pres">
      <dgm:prSet presAssocID="{63F60ABC-EACC-466C-B336-B3471A133D54}" presName="hierChild4" presStyleCnt="0"/>
      <dgm:spPr/>
      <dgm:t>
        <a:bodyPr/>
        <a:lstStyle/>
        <a:p>
          <a:endParaRPr lang="en-AU"/>
        </a:p>
      </dgm:t>
    </dgm:pt>
    <dgm:pt modelId="{577A82AB-3587-4D34-B3AF-035D16C4C9A0}" type="pres">
      <dgm:prSet presAssocID="{63F60ABC-EACC-466C-B336-B3471A133D54}" presName="hierChild5" presStyleCnt="0"/>
      <dgm:spPr/>
      <dgm:t>
        <a:bodyPr/>
        <a:lstStyle/>
        <a:p>
          <a:endParaRPr lang="en-AU"/>
        </a:p>
      </dgm:t>
    </dgm:pt>
    <dgm:pt modelId="{64BFEED6-D91E-4838-AC0E-42BB61C1C774}" type="pres">
      <dgm:prSet presAssocID="{B57E050D-EDE2-4013-95DD-838816E413F1}" presName="Name35" presStyleLbl="parChTrans1D3" presStyleIdx="2" presStyleCnt="6"/>
      <dgm:spPr/>
      <dgm:t>
        <a:bodyPr/>
        <a:lstStyle/>
        <a:p>
          <a:endParaRPr lang="en-AU"/>
        </a:p>
      </dgm:t>
    </dgm:pt>
    <dgm:pt modelId="{D1C1A6A6-1D15-4A76-95D3-9C9B5D6C59CF}" type="pres">
      <dgm:prSet presAssocID="{619533CE-E250-4B69-9418-174279B06115}" presName="hierRoot2" presStyleCnt="0">
        <dgm:presLayoutVars>
          <dgm:hierBranch val="init"/>
        </dgm:presLayoutVars>
      </dgm:prSet>
      <dgm:spPr/>
      <dgm:t>
        <a:bodyPr/>
        <a:lstStyle/>
        <a:p>
          <a:endParaRPr lang="en-AU"/>
        </a:p>
      </dgm:t>
    </dgm:pt>
    <dgm:pt modelId="{1DB542CE-BD57-434A-BCF6-1BF9BB36EAE0}" type="pres">
      <dgm:prSet presAssocID="{619533CE-E250-4B69-9418-174279B06115}" presName="rootComposite" presStyleCnt="0"/>
      <dgm:spPr/>
      <dgm:t>
        <a:bodyPr/>
        <a:lstStyle/>
        <a:p>
          <a:endParaRPr lang="en-AU"/>
        </a:p>
      </dgm:t>
    </dgm:pt>
    <dgm:pt modelId="{694FDEA6-B177-41CC-94C5-475AA9F11637}" type="pres">
      <dgm:prSet presAssocID="{619533CE-E250-4B69-9418-174279B06115}" presName="rootText" presStyleLbl="node3" presStyleIdx="2" presStyleCnt="6">
        <dgm:presLayoutVars>
          <dgm:chPref val="3"/>
        </dgm:presLayoutVars>
      </dgm:prSet>
      <dgm:spPr/>
      <dgm:t>
        <a:bodyPr/>
        <a:lstStyle/>
        <a:p>
          <a:endParaRPr lang="en-AU"/>
        </a:p>
      </dgm:t>
    </dgm:pt>
    <dgm:pt modelId="{20269B9C-C69B-411C-B450-BD584046411D}" type="pres">
      <dgm:prSet presAssocID="{619533CE-E250-4B69-9418-174279B06115}" presName="rootConnector" presStyleLbl="node3" presStyleIdx="2" presStyleCnt="6"/>
      <dgm:spPr/>
      <dgm:t>
        <a:bodyPr/>
        <a:lstStyle/>
        <a:p>
          <a:endParaRPr lang="en-AU"/>
        </a:p>
      </dgm:t>
    </dgm:pt>
    <dgm:pt modelId="{A41559BB-3ED6-44BB-8BDB-246921CEC463}" type="pres">
      <dgm:prSet presAssocID="{619533CE-E250-4B69-9418-174279B06115}" presName="hierChild4" presStyleCnt="0"/>
      <dgm:spPr/>
      <dgm:t>
        <a:bodyPr/>
        <a:lstStyle/>
        <a:p>
          <a:endParaRPr lang="en-AU"/>
        </a:p>
      </dgm:t>
    </dgm:pt>
    <dgm:pt modelId="{974BB518-B13F-4469-9EBA-E74615CA3B76}" type="pres">
      <dgm:prSet presAssocID="{619533CE-E250-4B69-9418-174279B06115}" presName="hierChild5" presStyleCnt="0"/>
      <dgm:spPr/>
      <dgm:t>
        <a:bodyPr/>
        <a:lstStyle/>
        <a:p>
          <a:endParaRPr lang="en-AU"/>
        </a:p>
      </dgm:t>
    </dgm:pt>
    <dgm:pt modelId="{AEB92EA8-7FF7-43D0-B279-663741A84977}" type="pres">
      <dgm:prSet presAssocID="{7637DAA6-79F6-4F85-95C5-1C3234D4CE52}" presName="hierChild5" presStyleCnt="0"/>
      <dgm:spPr/>
      <dgm:t>
        <a:bodyPr/>
        <a:lstStyle/>
        <a:p>
          <a:endParaRPr lang="en-AU"/>
        </a:p>
      </dgm:t>
    </dgm:pt>
    <dgm:pt modelId="{2B6EC6FC-C78B-4C78-A1ED-F3EA255539C6}" type="pres">
      <dgm:prSet presAssocID="{261B091B-FAA2-4795-AC87-1298767AB855}" presName="Name37" presStyleLbl="parChTrans1D2" presStyleIdx="1" presStyleCnt="2"/>
      <dgm:spPr/>
      <dgm:t>
        <a:bodyPr/>
        <a:lstStyle/>
        <a:p>
          <a:endParaRPr lang="en-AU"/>
        </a:p>
      </dgm:t>
    </dgm:pt>
    <dgm:pt modelId="{46B915ED-C4AB-4302-81FD-374206177F84}" type="pres">
      <dgm:prSet presAssocID="{FF47D0B4-E7DE-47A2-9DA2-FFC227D32FD2}" presName="hierRoot2" presStyleCnt="0">
        <dgm:presLayoutVars>
          <dgm:hierBranch/>
        </dgm:presLayoutVars>
      </dgm:prSet>
      <dgm:spPr/>
      <dgm:t>
        <a:bodyPr/>
        <a:lstStyle/>
        <a:p>
          <a:endParaRPr lang="en-AU"/>
        </a:p>
      </dgm:t>
    </dgm:pt>
    <dgm:pt modelId="{0238C581-2611-423F-A704-40F9E3CA8CEF}" type="pres">
      <dgm:prSet presAssocID="{FF47D0B4-E7DE-47A2-9DA2-FFC227D32FD2}" presName="rootComposite" presStyleCnt="0"/>
      <dgm:spPr/>
      <dgm:t>
        <a:bodyPr/>
        <a:lstStyle/>
        <a:p>
          <a:endParaRPr lang="en-AU"/>
        </a:p>
      </dgm:t>
    </dgm:pt>
    <dgm:pt modelId="{8BF69FED-8B4B-416B-9F92-3A76F7758523}" type="pres">
      <dgm:prSet presAssocID="{FF47D0B4-E7DE-47A2-9DA2-FFC227D32FD2}" presName="rootText" presStyleLbl="node2" presStyleIdx="1" presStyleCnt="2">
        <dgm:presLayoutVars>
          <dgm:chPref val="3"/>
        </dgm:presLayoutVars>
      </dgm:prSet>
      <dgm:spPr/>
      <dgm:t>
        <a:bodyPr/>
        <a:lstStyle/>
        <a:p>
          <a:endParaRPr lang="en-AU"/>
        </a:p>
      </dgm:t>
    </dgm:pt>
    <dgm:pt modelId="{55E16A6A-8C4D-4723-A92B-A9A017A81F72}" type="pres">
      <dgm:prSet presAssocID="{FF47D0B4-E7DE-47A2-9DA2-FFC227D32FD2}" presName="rootConnector" presStyleLbl="node2" presStyleIdx="1" presStyleCnt="2"/>
      <dgm:spPr/>
      <dgm:t>
        <a:bodyPr/>
        <a:lstStyle/>
        <a:p>
          <a:endParaRPr lang="en-AU"/>
        </a:p>
      </dgm:t>
    </dgm:pt>
    <dgm:pt modelId="{5731A092-33ED-4B5C-A54D-5A1359317960}" type="pres">
      <dgm:prSet presAssocID="{FF47D0B4-E7DE-47A2-9DA2-FFC227D32FD2}" presName="hierChild4" presStyleCnt="0"/>
      <dgm:spPr/>
      <dgm:t>
        <a:bodyPr/>
        <a:lstStyle/>
        <a:p>
          <a:endParaRPr lang="en-AU"/>
        </a:p>
      </dgm:t>
    </dgm:pt>
    <dgm:pt modelId="{062E9C4E-5E05-414A-9029-712C86C0C7F5}" type="pres">
      <dgm:prSet presAssocID="{38BC7385-AAD7-41C5-B2F5-7C150811D62A}" presName="Name35" presStyleLbl="parChTrans1D3" presStyleIdx="3" presStyleCnt="6"/>
      <dgm:spPr/>
      <dgm:t>
        <a:bodyPr/>
        <a:lstStyle/>
        <a:p>
          <a:endParaRPr lang="en-AU"/>
        </a:p>
      </dgm:t>
    </dgm:pt>
    <dgm:pt modelId="{FF6C168A-9848-4C88-86FD-D65CD8A06942}" type="pres">
      <dgm:prSet presAssocID="{D6D1356D-52A5-4EF5-95D1-24C31A8E65B5}" presName="hierRoot2" presStyleCnt="0">
        <dgm:presLayoutVars>
          <dgm:hierBranch val="init"/>
        </dgm:presLayoutVars>
      </dgm:prSet>
      <dgm:spPr/>
      <dgm:t>
        <a:bodyPr/>
        <a:lstStyle/>
        <a:p>
          <a:endParaRPr lang="en-AU"/>
        </a:p>
      </dgm:t>
    </dgm:pt>
    <dgm:pt modelId="{49784CE2-2072-4FBE-9F2E-9DC175C292F1}" type="pres">
      <dgm:prSet presAssocID="{D6D1356D-52A5-4EF5-95D1-24C31A8E65B5}" presName="rootComposite" presStyleCnt="0"/>
      <dgm:spPr/>
      <dgm:t>
        <a:bodyPr/>
        <a:lstStyle/>
        <a:p>
          <a:endParaRPr lang="en-AU"/>
        </a:p>
      </dgm:t>
    </dgm:pt>
    <dgm:pt modelId="{35FF8EBF-F8F7-45ED-8124-F43079C4FD34}" type="pres">
      <dgm:prSet presAssocID="{D6D1356D-52A5-4EF5-95D1-24C31A8E65B5}" presName="rootText" presStyleLbl="node3" presStyleIdx="3" presStyleCnt="6">
        <dgm:presLayoutVars>
          <dgm:chPref val="3"/>
        </dgm:presLayoutVars>
      </dgm:prSet>
      <dgm:spPr/>
      <dgm:t>
        <a:bodyPr/>
        <a:lstStyle/>
        <a:p>
          <a:endParaRPr lang="en-AU"/>
        </a:p>
      </dgm:t>
    </dgm:pt>
    <dgm:pt modelId="{86299FAA-D493-40C7-90BF-1B560D981DEB}" type="pres">
      <dgm:prSet presAssocID="{D6D1356D-52A5-4EF5-95D1-24C31A8E65B5}" presName="rootConnector" presStyleLbl="node3" presStyleIdx="3" presStyleCnt="6"/>
      <dgm:spPr/>
      <dgm:t>
        <a:bodyPr/>
        <a:lstStyle/>
        <a:p>
          <a:endParaRPr lang="en-AU"/>
        </a:p>
      </dgm:t>
    </dgm:pt>
    <dgm:pt modelId="{62C08C2B-451E-4E9E-B78D-D09AB15425DB}" type="pres">
      <dgm:prSet presAssocID="{D6D1356D-52A5-4EF5-95D1-24C31A8E65B5}" presName="hierChild4" presStyleCnt="0"/>
      <dgm:spPr/>
      <dgm:t>
        <a:bodyPr/>
        <a:lstStyle/>
        <a:p>
          <a:endParaRPr lang="en-AU"/>
        </a:p>
      </dgm:t>
    </dgm:pt>
    <dgm:pt modelId="{4460A9D0-8D78-48A1-B89B-781E35B5CF05}" type="pres">
      <dgm:prSet presAssocID="{D6D1356D-52A5-4EF5-95D1-24C31A8E65B5}" presName="hierChild5" presStyleCnt="0"/>
      <dgm:spPr/>
      <dgm:t>
        <a:bodyPr/>
        <a:lstStyle/>
        <a:p>
          <a:endParaRPr lang="en-AU"/>
        </a:p>
      </dgm:t>
    </dgm:pt>
    <dgm:pt modelId="{76A2DE15-ABC6-4BFD-A5F9-39702C822B6B}" type="pres">
      <dgm:prSet presAssocID="{9324A5B6-5625-421B-8368-E6EF970A75F1}" presName="Name35" presStyleLbl="parChTrans1D3" presStyleIdx="4" presStyleCnt="6"/>
      <dgm:spPr/>
      <dgm:t>
        <a:bodyPr/>
        <a:lstStyle/>
        <a:p>
          <a:endParaRPr lang="en-AU"/>
        </a:p>
      </dgm:t>
    </dgm:pt>
    <dgm:pt modelId="{05EC2F87-91B7-41B6-9B17-B6229FC137C4}" type="pres">
      <dgm:prSet presAssocID="{34E29BDC-B356-4833-A461-0D1BA6766A2D}" presName="hierRoot2" presStyleCnt="0">
        <dgm:presLayoutVars>
          <dgm:hierBranch val="init"/>
        </dgm:presLayoutVars>
      </dgm:prSet>
      <dgm:spPr/>
      <dgm:t>
        <a:bodyPr/>
        <a:lstStyle/>
        <a:p>
          <a:endParaRPr lang="en-AU"/>
        </a:p>
      </dgm:t>
    </dgm:pt>
    <dgm:pt modelId="{EFEE5278-8BA2-4969-B420-7D39F8A088FC}" type="pres">
      <dgm:prSet presAssocID="{34E29BDC-B356-4833-A461-0D1BA6766A2D}" presName="rootComposite" presStyleCnt="0"/>
      <dgm:spPr/>
      <dgm:t>
        <a:bodyPr/>
        <a:lstStyle/>
        <a:p>
          <a:endParaRPr lang="en-AU"/>
        </a:p>
      </dgm:t>
    </dgm:pt>
    <dgm:pt modelId="{D5425358-C4E2-46BE-B637-0CE5C9FA9097}" type="pres">
      <dgm:prSet presAssocID="{34E29BDC-B356-4833-A461-0D1BA6766A2D}" presName="rootText" presStyleLbl="node3" presStyleIdx="4" presStyleCnt="6">
        <dgm:presLayoutVars>
          <dgm:chPref val="3"/>
        </dgm:presLayoutVars>
      </dgm:prSet>
      <dgm:spPr/>
      <dgm:t>
        <a:bodyPr/>
        <a:lstStyle/>
        <a:p>
          <a:endParaRPr lang="en-AU"/>
        </a:p>
      </dgm:t>
    </dgm:pt>
    <dgm:pt modelId="{F3D48F24-86AB-4EE4-BBE5-86B4F94741BE}" type="pres">
      <dgm:prSet presAssocID="{34E29BDC-B356-4833-A461-0D1BA6766A2D}" presName="rootConnector" presStyleLbl="node3" presStyleIdx="4" presStyleCnt="6"/>
      <dgm:spPr/>
      <dgm:t>
        <a:bodyPr/>
        <a:lstStyle/>
        <a:p>
          <a:endParaRPr lang="en-AU"/>
        </a:p>
      </dgm:t>
    </dgm:pt>
    <dgm:pt modelId="{1D9D38BC-E47F-4E83-8DB4-849CCFF836B6}" type="pres">
      <dgm:prSet presAssocID="{34E29BDC-B356-4833-A461-0D1BA6766A2D}" presName="hierChild4" presStyleCnt="0"/>
      <dgm:spPr/>
      <dgm:t>
        <a:bodyPr/>
        <a:lstStyle/>
        <a:p>
          <a:endParaRPr lang="en-AU"/>
        </a:p>
      </dgm:t>
    </dgm:pt>
    <dgm:pt modelId="{93FAC242-EACE-45DA-92B2-87932C7D3860}" type="pres">
      <dgm:prSet presAssocID="{34E29BDC-B356-4833-A461-0D1BA6766A2D}" presName="hierChild5" presStyleCnt="0"/>
      <dgm:spPr/>
      <dgm:t>
        <a:bodyPr/>
        <a:lstStyle/>
        <a:p>
          <a:endParaRPr lang="en-AU"/>
        </a:p>
      </dgm:t>
    </dgm:pt>
    <dgm:pt modelId="{5B10E145-705A-4890-A867-7FE7540155A9}" type="pres">
      <dgm:prSet presAssocID="{B9986FBF-6D5A-4955-BD55-9B9A359A7954}" presName="Name35" presStyleLbl="parChTrans1D3" presStyleIdx="5" presStyleCnt="6"/>
      <dgm:spPr/>
      <dgm:t>
        <a:bodyPr/>
        <a:lstStyle/>
        <a:p>
          <a:endParaRPr lang="en-AU"/>
        </a:p>
      </dgm:t>
    </dgm:pt>
    <dgm:pt modelId="{22D37141-8E3C-431A-856A-31535E9C7B57}" type="pres">
      <dgm:prSet presAssocID="{3946FC2F-9447-4B95-98D4-D0B4FEA801B3}" presName="hierRoot2" presStyleCnt="0">
        <dgm:presLayoutVars>
          <dgm:hierBranch val="init"/>
        </dgm:presLayoutVars>
      </dgm:prSet>
      <dgm:spPr/>
      <dgm:t>
        <a:bodyPr/>
        <a:lstStyle/>
        <a:p>
          <a:endParaRPr lang="en-AU"/>
        </a:p>
      </dgm:t>
    </dgm:pt>
    <dgm:pt modelId="{C01317A8-B0FE-461E-818E-B37F887A55B4}" type="pres">
      <dgm:prSet presAssocID="{3946FC2F-9447-4B95-98D4-D0B4FEA801B3}" presName="rootComposite" presStyleCnt="0"/>
      <dgm:spPr/>
      <dgm:t>
        <a:bodyPr/>
        <a:lstStyle/>
        <a:p>
          <a:endParaRPr lang="en-AU"/>
        </a:p>
      </dgm:t>
    </dgm:pt>
    <dgm:pt modelId="{42BDB315-F7DA-4D88-B90B-7CAD1A835AC6}" type="pres">
      <dgm:prSet presAssocID="{3946FC2F-9447-4B95-98D4-D0B4FEA801B3}" presName="rootText" presStyleLbl="node3" presStyleIdx="5" presStyleCnt="6">
        <dgm:presLayoutVars>
          <dgm:chPref val="3"/>
        </dgm:presLayoutVars>
      </dgm:prSet>
      <dgm:spPr/>
      <dgm:t>
        <a:bodyPr/>
        <a:lstStyle/>
        <a:p>
          <a:endParaRPr lang="en-AU"/>
        </a:p>
      </dgm:t>
    </dgm:pt>
    <dgm:pt modelId="{AD42B741-3C0C-4A2B-BF72-62CECD964227}" type="pres">
      <dgm:prSet presAssocID="{3946FC2F-9447-4B95-98D4-D0B4FEA801B3}" presName="rootConnector" presStyleLbl="node3" presStyleIdx="5" presStyleCnt="6"/>
      <dgm:spPr/>
      <dgm:t>
        <a:bodyPr/>
        <a:lstStyle/>
        <a:p>
          <a:endParaRPr lang="en-AU"/>
        </a:p>
      </dgm:t>
    </dgm:pt>
    <dgm:pt modelId="{9B8021AE-FDDA-4ED6-8949-80E33E6CFDA7}" type="pres">
      <dgm:prSet presAssocID="{3946FC2F-9447-4B95-98D4-D0B4FEA801B3}" presName="hierChild4" presStyleCnt="0"/>
      <dgm:spPr/>
      <dgm:t>
        <a:bodyPr/>
        <a:lstStyle/>
        <a:p>
          <a:endParaRPr lang="en-AU"/>
        </a:p>
      </dgm:t>
    </dgm:pt>
    <dgm:pt modelId="{E10DCA54-9822-45D8-886F-661FAA739832}" type="pres">
      <dgm:prSet presAssocID="{3946FC2F-9447-4B95-98D4-D0B4FEA801B3}" presName="hierChild5" presStyleCnt="0"/>
      <dgm:spPr/>
      <dgm:t>
        <a:bodyPr/>
        <a:lstStyle/>
        <a:p>
          <a:endParaRPr lang="en-AU"/>
        </a:p>
      </dgm:t>
    </dgm:pt>
    <dgm:pt modelId="{82AFDCED-91A6-4860-B700-FB68088BFF6E}" type="pres">
      <dgm:prSet presAssocID="{FF47D0B4-E7DE-47A2-9DA2-FFC227D32FD2}" presName="hierChild5" presStyleCnt="0"/>
      <dgm:spPr/>
      <dgm:t>
        <a:bodyPr/>
        <a:lstStyle/>
        <a:p>
          <a:endParaRPr lang="en-AU"/>
        </a:p>
      </dgm:t>
    </dgm:pt>
    <dgm:pt modelId="{6ABDACAE-1D3A-4D79-B97A-5C8D52459E3E}" type="pres">
      <dgm:prSet presAssocID="{3654A3E9-06F9-4E3F-9B39-0AF4033815E0}" presName="hierChild3" presStyleCnt="0"/>
      <dgm:spPr/>
      <dgm:t>
        <a:bodyPr/>
        <a:lstStyle/>
        <a:p>
          <a:endParaRPr lang="en-AU"/>
        </a:p>
      </dgm:t>
    </dgm:pt>
  </dgm:ptLst>
  <dgm:cxnLst>
    <dgm:cxn modelId="{C7A0FF92-4734-4852-8EEE-2CB07DE01F48}" srcId="{FF47D0B4-E7DE-47A2-9DA2-FFC227D32FD2}" destId="{3946FC2F-9447-4B95-98D4-D0B4FEA801B3}" srcOrd="2" destOrd="0" parTransId="{B9986FBF-6D5A-4955-BD55-9B9A359A7954}" sibTransId="{46B1D94B-6F0B-45AE-A82E-4BB294AD36D3}"/>
    <dgm:cxn modelId="{9844889F-B506-4C60-A74B-7468657CD947}" type="presOf" srcId="{CBBE274E-E5E4-4500-81F1-7B84C659DE18}" destId="{41438FA3-168B-4C91-90C3-60D84DE882C0}" srcOrd="0" destOrd="0" presId="urn:microsoft.com/office/officeart/2005/8/layout/orgChart1"/>
    <dgm:cxn modelId="{6AF4136F-AE36-4559-B1B1-51578C043D0A}" type="presOf" srcId="{FF47D0B4-E7DE-47A2-9DA2-FFC227D32FD2}" destId="{55E16A6A-8C4D-4723-A92B-A9A017A81F72}" srcOrd="1" destOrd="0" presId="urn:microsoft.com/office/officeart/2005/8/layout/orgChart1"/>
    <dgm:cxn modelId="{2E2D7EE6-98A7-4774-AFD8-5EE733D99F97}" type="presOf" srcId="{3946FC2F-9447-4B95-98D4-D0B4FEA801B3}" destId="{42BDB315-F7DA-4D88-B90B-7CAD1A835AC6}" srcOrd="0" destOrd="0" presId="urn:microsoft.com/office/officeart/2005/8/layout/orgChart1"/>
    <dgm:cxn modelId="{EDD4E973-8D8D-43FD-BA21-FF37E165BF71}" type="presOf" srcId="{D6D1356D-52A5-4EF5-95D1-24C31A8E65B5}" destId="{86299FAA-D493-40C7-90BF-1B560D981DEB}" srcOrd="1" destOrd="0" presId="urn:microsoft.com/office/officeart/2005/8/layout/orgChart1"/>
    <dgm:cxn modelId="{74BABF1A-DE1F-42AD-AC6D-00B3AF6848A8}" type="presOf" srcId="{3654A3E9-06F9-4E3F-9B39-0AF4033815E0}" destId="{C223260B-4681-4D2A-A1AC-B6C774B56B76}" srcOrd="1" destOrd="0" presId="urn:microsoft.com/office/officeart/2005/8/layout/orgChart1"/>
    <dgm:cxn modelId="{9D386CC2-2774-42FA-A99B-85CEFCF63C6D}" type="presOf" srcId="{63F60ABC-EACC-466C-B336-B3471A133D54}" destId="{F2441F53-3B1B-4900-A629-7AA7F20A1FB8}" srcOrd="1" destOrd="0" presId="urn:microsoft.com/office/officeart/2005/8/layout/orgChart1"/>
    <dgm:cxn modelId="{9706479E-1C00-4DCF-9F8A-49311B54B57B}" srcId="{7637DAA6-79F6-4F85-95C5-1C3234D4CE52}" destId="{2CEFB958-67DE-4D59-B9B3-692C5C1F448A}" srcOrd="0" destOrd="0" parTransId="{97049E76-5ADA-4F6E-A827-01EEA349C9E2}" sibTransId="{B14847FF-07A5-4A08-9737-E64ED727B42D}"/>
    <dgm:cxn modelId="{6AD0223B-4B68-4F61-8189-28508CEE682F}" type="presOf" srcId="{5044F7DA-DBCD-4172-B34D-6C3AC7CCB800}" destId="{3E5E9653-07BD-4D72-8BEC-37FB1C283BCA}" srcOrd="0" destOrd="0" presId="urn:microsoft.com/office/officeart/2005/8/layout/orgChart1"/>
    <dgm:cxn modelId="{4A97BA9E-A3CB-4439-9D80-C1A94BAFBB30}" type="presOf" srcId="{D6D1356D-52A5-4EF5-95D1-24C31A8E65B5}" destId="{35FF8EBF-F8F7-45ED-8124-F43079C4FD34}" srcOrd="0" destOrd="0" presId="urn:microsoft.com/office/officeart/2005/8/layout/orgChart1"/>
    <dgm:cxn modelId="{65ECA201-6936-4C31-A412-B72E2A86B161}" type="presOf" srcId="{3654A3E9-06F9-4E3F-9B39-0AF4033815E0}" destId="{A7F7B34A-D86C-4E68-A630-92F5B49D2420}" srcOrd="0" destOrd="0" presId="urn:microsoft.com/office/officeart/2005/8/layout/orgChart1"/>
    <dgm:cxn modelId="{5F5EAA4D-F4EA-4573-A18C-0D27E087E12F}" type="presOf" srcId="{34E29BDC-B356-4833-A461-0D1BA6766A2D}" destId="{F3D48F24-86AB-4EE4-BBE5-86B4F94741BE}" srcOrd="1" destOrd="0" presId="urn:microsoft.com/office/officeart/2005/8/layout/orgChart1"/>
    <dgm:cxn modelId="{38698301-2375-4314-A7F2-9E62D8BA21FC}" type="presOf" srcId="{97049E76-5ADA-4F6E-A827-01EEA349C9E2}" destId="{38927FC0-30CF-44B5-BB38-74472C1A7EA7}" srcOrd="0" destOrd="0" presId="urn:microsoft.com/office/officeart/2005/8/layout/orgChart1"/>
    <dgm:cxn modelId="{997C2884-7794-4C25-8FFD-094A292996D2}" type="presOf" srcId="{7637DAA6-79F6-4F85-95C5-1C3234D4CE52}" destId="{1FC69973-1A92-4AD7-82D3-62FDA0422576}" srcOrd="1" destOrd="0" presId="urn:microsoft.com/office/officeart/2005/8/layout/orgChart1"/>
    <dgm:cxn modelId="{BB348D8F-2FA5-4CA2-BB56-88E98F7B4185}" type="presOf" srcId="{3946FC2F-9447-4B95-98D4-D0B4FEA801B3}" destId="{AD42B741-3C0C-4A2B-BF72-62CECD964227}" srcOrd="1" destOrd="0" presId="urn:microsoft.com/office/officeart/2005/8/layout/orgChart1"/>
    <dgm:cxn modelId="{60BE55A4-8F20-497C-B92C-305814FBC9BF}" type="presOf" srcId="{2CEFB958-67DE-4D59-B9B3-692C5C1F448A}" destId="{1393D655-8AD2-4199-B1E8-CE109D035B46}" srcOrd="0" destOrd="0" presId="urn:microsoft.com/office/officeart/2005/8/layout/orgChart1"/>
    <dgm:cxn modelId="{82345DC0-BDBF-4DC3-9DCB-EAC53D60306B}" type="presOf" srcId="{B9986FBF-6D5A-4955-BD55-9B9A359A7954}" destId="{5B10E145-705A-4890-A867-7FE7540155A9}" srcOrd="0" destOrd="0" presId="urn:microsoft.com/office/officeart/2005/8/layout/orgChart1"/>
    <dgm:cxn modelId="{84B9C5EA-772D-4EC0-90D6-310F2E204B91}" type="presOf" srcId="{34E29BDC-B356-4833-A461-0D1BA6766A2D}" destId="{D5425358-C4E2-46BE-B637-0CE5C9FA9097}" srcOrd="0" destOrd="0" presId="urn:microsoft.com/office/officeart/2005/8/layout/orgChart1"/>
    <dgm:cxn modelId="{89CC3860-4AB5-45FD-8852-F4DB02347C4B}" srcId="{C193EC7A-5779-47C9-AE50-372CC8E61174}" destId="{3654A3E9-06F9-4E3F-9B39-0AF4033815E0}" srcOrd="0" destOrd="0" parTransId="{A23A9C49-7E7B-49BA-BF72-67240BE40A75}" sibTransId="{A4641886-0C01-4E21-863F-BCDEA502C06B}"/>
    <dgm:cxn modelId="{85009CF7-BECC-467C-B706-C70BB81B117F}" srcId="{3654A3E9-06F9-4E3F-9B39-0AF4033815E0}" destId="{7637DAA6-79F6-4F85-95C5-1C3234D4CE52}" srcOrd="0" destOrd="0" parTransId="{CBBE274E-E5E4-4500-81F1-7B84C659DE18}" sibTransId="{52431245-9C97-48AB-8D1F-4BFE40EC531A}"/>
    <dgm:cxn modelId="{C66623D1-3F3D-4947-86E6-667ECB9BBFA3}" type="presOf" srcId="{38BC7385-AAD7-41C5-B2F5-7C150811D62A}" destId="{062E9C4E-5E05-414A-9029-712C86C0C7F5}" srcOrd="0" destOrd="0" presId="urn:microsoft.com/office/officeart/2005/8/layout/orgChart1"/>
    <dgm:cxn modelId="{469980F1-2E78-47F6-872F-790331555DCA}" type="presOf" srcId="{619533CE-E250-4B69-9418-174279B06115}" destId="{20269B9C-C69B-411C-B450-BD584046411D}" srcOrd="1" destOrd="0" presId="urn:microsoft.com/office/officeart/2005/8/layout/orgChart1"/>
    <dgm:cxn modelId="{446947BC-4271-478C-8D26-E331C4B52243}" type="presOf" srcId="{2CEFB958-67DE-4D59-B9B3-692C5C1F448A}" destId="{70A09A83-EA0F-4774-B3E1-2A132A3891FF}" srcOrd="1" destOrd="0" presId="urn:microsoft.com/office/officeart/2005/8/layout/orgChart1"/>
    <dgm:cxn modelId="{C71C311A-D39D-486B-9246-BD76473DFAD4}" type="presOf" srcId="{B57E050D-EDE2-4013-95DD-838816E413F1}" destId="{64BFEED6-D91E-4838-AC0E-42BB61C1C774}" srcOrd="0" destOrd="0" presId="urn:microsoft.com/office/officeart/2005/8/layout/orgChart1"/>
    <dgm:cxn modelId="{2E009B38-DC97-41F1-84E5-66668CFB3802}" type="presOf" srcId="{C193EC7A-5779-47C9-AE50-372CC8E61174}" destId="{30FEC5C7-1550-4EA4-83FA-0C2E61983856}" srcOrd="0" destOrd="0" presId="urn:microsoft.com/office/officeart/2005/8/layout/orgChart1"/>
    <dgm:cxn modelId="{312CD3D8-DD93-41AC-94A3-1C367B1C78C7}" type="presOf" srcId="{619533CE-E250-4B69-9418-174279B06115}" destId="{694FDEA6-B177-41CC-94C5-475AA9F11637}" srcOrd="0" destOrd="0" presId="urn:microsoft.com/office/officeart/2005/8/layout/orgChart1"/>
    <dgm:cxn modelId="{45B06B4E-96DE-4248-834C-DF60006C1242}" type="presOf" srcId="{63F60ABC-EACC-466C-B336-B3471A133D54}" destId="{948C8784-0263-431E-89B9-08E760EA7062}" srcOrd="0" destOrd="0" presId="urn:microsoft.com/office/officeart/2005/8/layout/orgChart1"/>
    <dgm:cxn modelId="{B89687B9-FD16-443F-8AAB-0CA284D4C740}" type="presOf" srcId="{7637DAA6-79F6-4F85-95C5-1C3234D4CE52}" destId="{B32A0DF7-15E9-4E41-9390-F1CA9310ECDD}" srcOrd="0" destOrd="0" presId="urn:microsoft.com/office/officeart/2005/8/layout/orgChart1"/>
    <dgm:cxn modelId="{E297F4A3-1E9B-46BB-86BF-10D29FBBEAEB}" type="presOf" srcId="{9324A5B6-5625-421B-8368-E6EF970A75F1}" destId="{76A2DE15-ABC6-4BFD-A5F9-39702C822B6B}" srcOrd="0" destOrd="0" presId="urn:microsoft.com/office/officeart/2005/8/layout/orgChart1"/>
    <dgm:cxn modelId="{22C789FE-49B9-4BE5-9B13-815C7653BFA3}" srcId="{3654A3E9-06F9-4E3F-9B39-0AF4033815E0}" destId="{FF47D0B4-E7DE-47A2-9DA2-FFC227D32FD2}" srcOrd="1" destOrd="0" parTransId="{261B091B-FAA2-4795-AC87-1298767AB855}" sibTransId="{76AA49BE-F4CE-473B-B1A8-F8E265D00502}"/>
    <dgm:cxn modelId="{B15F5DA1-F570-4B39-8FEE-C308C26E0BF5}" srcId="{7637DAA6-79F6-4F85-95C5-1C3234D4CE52}" destId="{63F60ABC-EACC-466C-B336-B3471A133D54}" srcOrd="1" destOrd="0" parTransId="{5044F7DA-DBCD-4172-B34D-6C3AC7CCB800}" sibTransId="{3EDE2727-FE16-40A2-97B2-CC787454DD35}"/>
    <dgm:cxn modelId="{0B556F5B-8891-4212-B62A-8929A4A5E1C5}" type="presOf" srcId="{FF47D0B4-E7DE-47A2-9DA2-FFC227D32FD2}" destId="{8BF69FED-8B4B-416B-9F92-3A76F7758523}" srcOrd="0" destOrd="0" presId="urn:microsoft.com/office/officeart/2005/8/layout/orgChart1"/>
    <dgm:cxn modelId="{E7680DBD-7C64-4849-A03D-8CC68C055CCB}" srcId="{FF47D0B4-E7DE-47A2-9DA2-FFC227D32FD2}" destId="{D6D1356D-52A5-4EF5-95D1-24C31A8E65B5}" srcOrd="0" destOrd="0" parTransId="{38BC7385-AAD7-41C5-B2F5-7C150811D62A}" sibTransId="{1C3EEE0F-5BB4-4C27-B68F-48B6000042EA}"/>
    <dgm:cxn modelId="{E8135AB0-D248-4D06-99D6-4B435BE4B22C}" type="presOf" srcId="{261B091B-FAA2-4795-AC87-1298767AB855}" destId="{2B6EC6FC-C78B-4C78-A1ED-F3EA255539C6}" srcOrd="0" destOrd="0" presId="urn:microsoft.com/office/officeart/2005/8/layout/orgChart1"/>
    <dgm:cxn modelId="{3B31F6B5-40CC-422F-9DF0-32DACAE2FC59}" srcId="{FF47D0B4-E7DE-47A2-9DA2-FFC227D32FD2}" destId="{34E29BDC-B356-4833-A461-0D1BA6766A2D}" srcOrd="1" destOrd="0" parTransId="{9324A5B6-5625-421B-8368-E6EF970A75F1}" sibTransId="{F878850E-1E9C-46C9-968C-0A29B31932A8}"/>
    <dgm:cxn modelId="{13CB457E-E9A9-42F3-945A-062A57787F34}" srcId="{7637DAA6-79F6-4F85-95C5-1C3234D4CE52}" destId="{619533CE-E250-4B69-9418-174279B06115}" srcOrd="2" destOrd="0" parTransId="{B57E050D-EDE2-4013-95DD-838816E413F1}" sibTransId="{79166BB6-F5C1-47B6-9081-6C35B0B605D2}"/>
    <dgm:cxn modelId="{0D2FFA1C-3720-40E2-A6F6-DC804E9C8936}" type="presParOf" srcId="{30FEC5C7-1550-4EA4-83FA-0C2E61983856}" destId="{1FC1FB34-726B-4499-BDED-02670566E9BF}" srcOrd="0" destOrd="0" presId="urn:microsoft.com/office/officeart/2005/8/layout/orgChart1"/>
    <dgm:cxn modelId="{5FB60475-C73F-4D54-840A-BBF768BFD2FC}" type="presParOf" srcId="{1FC1FB34-726B-4499-BDED-02670566E9BF}" destId="{24D8519A-ACA5-4B46-85AF-029B6937063A}" srcOrd="0" destOrd="0" presId="urn:microsoft.com/office/officeart/2005/8/layout/orgChart1"/>
    <dgm:cxn modelId="{D2E7C54F-2A6E-4971-A539-693C1ECC686E}" type="presParOf" srcId="{24D8519A-ACA5-4B46-85AF-029B6937063A}" destId="{A7F7B34A-D86C-4E68-A630-92F5B49D2420}" srcOrd="0" destOrd="0" presId="urn:microsoft.com/office/officeart/2005/8/layout/orgChart1"/>
    <dgm:cxn modelId="{8FA6A17C-8EB3-486A-8813-1135296F134B}" type="presParOf" srcId="{24D8519A-ACA5-4B46-85AF-029B6937063A}" destId="{C223260B-4681-4D2A-A1AC-B6C774B56B76}" srcOrd="1" destOrd="0" presId="urn:microsoft.com/office/officeart/2005/8/layout/orgChart1"/>
    <dgm:cxn modelId="{95D6A8C4-C0AE-4311-B3B5-BDCBBEE5DE7B}" type="presParOf" srcId="{1FC1FB34-726B-4499-BDED-02670566E9BF}" destId="{77B87860-318C-45CB-9BD2-1F1CEB555492}" srcOrd="1" destOrd="0" presId="urn:microsoft.com/office/officeart/2005/8/layout/orgChart1"/>
    <dgm:cxn modelId="{17E9DED9-6656-4D58-AE4E-826E293CC7F4}" type="presParOf" srcId="{77B87860-318C-45CB-9BD2-1F1CEB555492}" destId="{41438FA3-168B-4C91-90C3-60D84DE882C0}" srcOrd="0" destOrd="0" presId="urn:microsoft.com/office/officeart/2005/8/layout/orgChart1"/>
    <dgm:cxn modelId="{A7A377CF-DA61-4CAC-ADFC-BD04A4F7EFB3}" type="presParOf" srcId="{77B87860-318C-45CB-9BD2-1F1CEB555492}" destId="{88CC80C0-6626-41BE-971F-D28EC1368301}" srcOrd="1" destOrd="0" presId="urn:microsoft.com/office/officeart/2005/8/layout/orgChart1"/>
    <dgm:cxn modelId="{4DC59DF9-EFC1-4246-9ADF-819C6E708EF5}" type="presParOf" srcId="{88CC80C0-6626-41BE-971F-D28EC1368301}" destId="{E10B7F69-91F7-45F8-8E4C-2A99174C0639}" srcOrd="0" destOrd="0" presId="urn:microsoft.com/office/officeart/2005/8/layout/orgChart1"/>
    <dgm:cxn modelId="{E7CF998A-99CD-4E5A-AA2C-26D2E63F8CA6}" type="presParOf" srcId="{E10B7F69-91F7-45F8-8E4C-2A99174C0639}" destId="{B32A0DF7-15E9-4E41-9390-F1CA9310ECDD}" srcOrd="0" destOrd="0" presId="urn:microsoft.com/office/officeart/2005/8/layout/orgChart1"/>
    <dgm:cxn modelId="{B2183741-CF59-4943-AA14-FB3237755CBE}" type="presParOf" srcId="{E10B7F69-91F7-45F8-8E4C-2A99174C0639}" destId="{1FC69973-1A92-4AD7-82D3-62FDA0422576}" srcOrd="1" destOrd="0" presId="urn:microsoft.com/office/officeart/2005/8/layout/orgChart1"/>
    <dgm:cxn modelId="{0C80D8E1-390B-4C29-8ED9-27F6D33929F7}" type="presParOf" srcId="{88CC80C0-6626-41BE-971F-D28EC1368301}" destId="{5A5E8910-72E1-44C9-8300-AB8BB7587227}" srcOrd="1" destOrd="0" presId="urn:microsoft.com/office/officeart/2005/8/layout/orgChart1"/>
    <dgm:cxn modelId="{933D6984-F7A6-4BBD-BC93-5439E93732CD}" type="presParOf" srcId="{5A5E8910-72E1-44C9-8300-AB8BB7587227}" destId="{38927FC0-30CF-44B5-BB38-74472C1A7EA7}" srcOrd="0" destOrd="0" presId="urn:microsoft.com/office/officeart/2005/8/layout/orgChart1"/>
    <dgm:cxn modelId="{92400A49-8A7D-4384-AC6F-927389A5B339}" type="presParOf" srcId="{5A5E8910-72E1-44C9-8300-AB8BB7587227}" destId="{10A0A9BC-CF67-4964-973A-56D480DBA338}" srcOrd="1" destOrd="0" presId="urn:microsoft.com/office/officeart/2005/8/layout/orgChart1"/>
    <dgm:cxn modelId="{777A0106-A37F-4858-ACAD-676A2A563159}" type="presParOf" srcId="{10A0A9BC-CF67-4964-973A-56D480DBA338}" destId="{E62F1770-64E7-4842-A6F3-E249E64B3C3C}" srcOrd="0" destOrd="0" presId="urn:microsoft.com/office/officeart/2005/8/layout/orgChart1"/>
    <dgm:cxn modelId="{760BF109-8B0A-4B68-8303-E91E29B32337}" type="presParOf" srcId="{E62F1770-64E7-4842-A6F3-E249E64B3C3C}" destId="{1393D655-8AD2-4199-B1E8-CE109D035B46}" srcOrd="0" destOrd="0" presId="urn:microsoft.com/office/officeart/2005/8/layout/orgChart1"/>
    <dgm:cxn modelId="{A340F7B0-BF99-462B-BAF2-5C1E2D2645D7}" type="presParOf" srcId="{E62F1770-64E7-4842-A6F3-E249E64B3C3C}" destId="{70A09A83-EA0F-4774-B3E1-2A132A3891FF}" srcOrd="1" destOrd="0" presId="urn:microsoft.com/office/officeart/2005/8/layout/orgChart1"/>
    <dgm:cxn modelId="{364333A3-D31B-4D8E-9FB6-71FB7D7B0FE6}" type="presParOf" srcId="{10A0A9BC-CF67-4964-973A-56D480DBA338}" destId="{A505D86A-9A04-4740-99DC-1F16C170491D}" srcOrd="1" destOrd="0" presId="urn:microsoft.com/office/officeart/2005/8/layout/orgChart1"/>
    <dgm:cxn modelId="{6BA56873-B6EB-4E46-8CE0-3849BDB4DA6E}" type="presParOf" srcId="{10A0A9BC-CF67-4964-973A-56D480DBA338}" destId="{EF2C1570-5815-4174-9754-B660D8E3594E}" srcOrd="2" destOrd="0" presId="urn:microsoft.com/office/officeart/2005/8/layout/orgChart1"/>
    <dgm:cxn modelId="{5B34F59F-A833-4484-A449-A4DE0AE28526}" type="presParOf" srcId="{5A5E8910-72E1-44C9-8300-AB8BB7587227}" destId="{3E5E9653-07BD-4D72-8BEC-37FB1C283BCA}" srcOrd="2" destOrd="0" presId="urn:microsoft.com/office/officeart/2005/8/layout/orgChart1"/>
    <dgm:cxn modelId="{C513E411-9865-4331-AF06-79DC79CC9D81}" type="presParOf" srcId="{5A5E8910-72E1-44C9-8300-AB8BB7587227}" destId="{F3A299C9-D612-4F69-9E33-7AFB7B5D7913}" srcOrd="3" destOrd="0" presId="urn:microsoft.com/office/officeart/2005/8/layout/orgChart1"/>
    <dgm:cxn modelId="{4B85CDB3-7F56-43B1-A5AE-ADCA72BBEA6E}" type="presParOf" srcId="{F3A299C9-D612-4F69-9E33-7AFB7B5D7913}" destId="{BA9BD346-BCA9-455E-BBDC-3CCEB9F994C1}" srcOrd="0" destOrd="0" presId="urn:microsoft.com/office/officeart/2005/8/layout/orgChart1"/>
    <dgm:cxn modelId="{A69957C8-CBEB-4CFC-8CD3-780FBD144F0E}" type="presParOf" srcId="{BA9BD346-BCA9-455E-BBDC-3CCEB9F994C1}" destId="{948C8784-0263-431E-89B9-08E760EA7062}" srcOrd="0" destOrd="0" presId="urn:microsoft.com/office/officeart/2005/8/layout/orgChart1"/>
    <dgm:cxn modelId="{C28A4911-0E9B-4CFF-8A1F-D3905EC5B37D}" type="presParOf" srcId="{BA9BD346-BCA9-455E-BBDC-3CCEB9F994C1}" destId="{F2441F53-3B1B-4900-A629-7AA7F20A1FB8}" srcOrd="1" destOrd="0" presId="urn:microsoft.com/office/officeart/2005/8/layout/orgChart1"/>
    <dgm:cxn modelId="{39A3359D-88F2-4E3A-AD3F-6BFB25E39C4E}" type="presParOf" srcId="{F3A299C9-D612-4F69-9E33-7AFB7B5D7913}" destId="{644AC6F5-AA00-464E-8E4C-2296D33C2514}" srcOrd="1" destOrd="0" presId="urn:microsoft.com/office/officeart/2005/8/layout/orgChart1"/>
    <dgm:cxn modelId="{4C7EB570-2C63-4158-A96B-ED6C00184A01}" type="presParOf" srcId="{F3A299C9-D612-4F69-9E33-7AFB7B5D7913}" destId="{577A82AB-3587-4D34-B3AF-035D16C4C9A0}" srcOrd="2" destOrd="0" presId="urn:microsoft.com/office/officeart/2005/8/layout/orgChart1"/>
    <dgm:cxn modelId="{47765618-A8E4-4230-AA80-6B43373DF81C}" type="presParOf" srcId="{5A5E8910-72E1-44C9-8300-AB8BB7587227}" destId="{64BFEED6-D91E-4838-AC0E-42BB61C1C774}" srcOrd="4" destOrd="0" presId="urn:microsoft.com/office/officeart/2005/8/layout/orgChart1"/>
    <dgm:cxn modelId="{E84A7558-1A9B-46FA-81C5-08AF97F4DD7D}" type="presParOf" srcId="{5A5E8910-72E1-44C9-8300-AB8BB7587227}" destId="{D1C1A6A6-1D15-4A76-95D3-9C9B5D6C59CF}" srcOrd="5" destOrd="0" presId="urn:microsoft.com/office/officeart/2005/8/layout/orgChart1"/>
    <dgm:cxn modelId="{52891EE6-BDC1-4AF0-AA81-FC5D05205CCB}" type="presParOf" srcId="{D1C1A6A6-1D15-4A76-95D3-9C9B5D6C59CF}" destId="{1DB542CE-BD57-434A-BCF6-1BF9BB36EAE0}" srcOrd="0" destOrd="0" presId="urn:microsoft.com/office/officeart/2005/8/layout/orgChart1"/>
    <dgm:cxn modelId="{2DEB86B2-63AB-4881-AFB5-8750093C63A5}" type="presParOf" srcId="{1DB542CE-BD57-434A-BCF6-1BF9BB36EAE0}" destId="{694FDEA6-B177-41CC-94C5-475AA9F11637}" srcOrd="0" destOrd="0" presId="urn:microsoft.com/office/officeart/2005/8/layout/orgChart1"/>
    <dgm:cxn modelId="{19D17CF0-1360-4265-A582-2D185D7CFC90}" type="presParOf" srcId="{1DB542CE-BD57-434A-BCF6-1BF9BB36EAE0}" destId="{20269B9C-C69B-411C-B450-BD584046411D}" srcOrd="1" destOrd="0" presId="urn:microsoft.com/office/officeart/2005/8/layout/orgChart1"/>
    <dgm:cxn modelId="{C415BF42-6F53-46E5-8DBA-C2296228818D}" type="presParOf" srcId="{D1C1A6A6-1D15-4A76-95D3-9C9B5D6C59CF}" destId="{A41559BB-3ED6-44BB-8BDB-246921CEC463}" srcOrd="1" destOrd="0" presId="urn:microsoft.com/office/officeart/2005/8/layout/orgChart1"/>
    <dgm:cxn modelId="{66F01049-498E-43F4-8342-07E803862352}" type="presParOf" srcId="{D1C1A6A6-1D15-4A76-95D3-9C9B5D6C59CF}" destId="{974BB518-B13F-4469-9EBA-E74615CA3B76}" srcOrd="2" destOrd="0" presId="urn:microsoft.com/office/officeart/2005/8/layout/orgChart1"/>
    <dgm:cxn modelId="{20F25F70-B8CA-4B3F-BB6A-C59466990DE1}" type="presParOf" srcId="{88CC80C0-6626-41BE-971F-D28EC1368301}" destId="{AEB92EA8-7FF7-43D0-B279-663741A84977}" srcOrd="2" destOrd="0" presId="urn:microsoft.com/office/officeart/2005/8/layout/orgChart1"/>
    <dgm:cxn modelId="{5FB1EA69-9DEF-4548-9FD7-39596280CCB0}" type="presParOf" srcId="{77B87860-318C-45CB-9BD2-1F1CEB555492}" destId="{2B6EC6FC-C78B-4C78-A1ED-F3EA255539C6}" srcOrd="2" destOrd="0" presId="urn:microsoft.com/office/officeart/2005/8/layout/orgChart1"/>
    <dgm:cxn modelId="{F7B069C4-DDFD-4350-9844-D3DA0A53C664}" type="presParOf" srcId="{77B87860-318C-45CB-9BD2-1F1CEB555492}" destId="{46B915ED-C4AB-4302-81FD-374206177F84}" srcOrd="3" destOrd="0" presId="urn:microsoft.com/office/officeart/2005/8/layout/orgChart1"/>
    <dgm:cxn modelId="{7ACD00F6-2647-48BA-99F3-53215D4F9695}" type="presParOf" srcId="{46B915ED-C4AB-4302-81FD-374206177F84}" destId="{0238C581-2611-423F-A704-40F9E3CA8CEF}" srcOrd="0" destOrd="0" presId="urn:microsoft.com/office/officeart/2005/8/layout/orgChart1"/>
    <dgm:cxn modelId="{A4DB5970-34A7-4982-B754-1A1DEFAD5923}" type="presParOf" srcId="{0238C581-2611-423F-A704-40F9E3CA8CEF}" destId="{8BF69FED-8B4B-416B-9F92-3A76F7758523}" srcOrd="0" destOrd="0" presId="urn:microsoft.com/office/officeart/2005/8/layout/orgChart1"/>
    <dgm:cxn modelId="{8DAD01A0-95A4-480A-961F-CDAC8CA3F758}" type="presParOf" srcId="{0238C581-2611-423F-A704-40F9E3CA8CEF}" destId="{55E16A6A-8C4D-4723-A92B-A9A017A81F72}" srcOrd="1" destOrd="0" presId="urn:microsoft.com/office/officeart/2005/8/layout/orgChart1"/>
    <dgm:cxn modelId="{A2D4BA1A-B512-4F68-A3F3-667D45F3ACDA}" type="presParOf" srcId="{46B915ED-C4AB-4302-81FD-374206177F84}" destId="{5731A092-33ED-4B5C-A54D-5A1359317960}" srcOrd="1" destOrd="0" presId="urn:microsoft.com/office/officeart/2005/8/layout/orgChart1"/>
    <dgm:cxn modelId="{F19C8A22-4DE3-4C14-AB16-BA053BE14643}" type="presParOf" srcId="{5731A092-33ED-4B5C-A54D-5A1359317960}" destId="{062E9C4E-5E05-414A-9029-712C86C0C7F5}" srcOrd="0" destOrd="0" presId="urn:microsoft.com/office/officeart/2005/8/layout/orgChart1"/>
    <dgm:cxn modelId="{AA790567-5E7B-466B-8E9B-4B5988312778}" type="presParOf" srcId="{5731A092-33ED-4B5C-A54D-5A1359317960}" destId="{FF6C168A-9848-4C88-86FD-D65CD8A06942}" srcOrd="1" destOrd="0" presId="urn:microsoft.com/office/officeart/2005/8/layout/orgChart1"/>
    <dgm:cxn modelId="{246F5799-B0A2-49E2-88A3-A4E6E10E1008}" type="presParOf" srcId="{FF6C168A-9848-4C88-86FD-D65CD8A06942}" destId="{49784CE2-2072-4FBE-9F2E-9DC175C292F1}" srcOrd="0" destOrd="0" presId="urn:microsoft.com/office/officeart/2005/8/layout/orgChart1"/>
    <dgm:cxn modelId="{5DB6BC43-0385-49AD-9E6B-343038D923CB}" type="presParOf" srcId="{49784CE2-2072-4FBE-9F2E-9DC175C292F1}" destId="{35FF8EBF-F8F7-45ED-8124-F43079C4FD34}" srcOrd="0" destOrd="0" presId="urn:microsoft.com/office/officeart/2005/8/layout/orgChart1"/>
    <dgm:cxn modelId="{D591003A-0150-414B-8351-D298D86861CC}" type="presParOf" srcId="{49784CE2-2072-4FBE-9F2E-9DC175C292F1}" destId="{86299FAA-D493-40C7-90BF-1B560D981DEB}" srcOrd="1" destOrd="0" presId="urn:microsoft.com/office/officeart/2005/8/layout/orgChart1"/>
    <dgm:cxn modelId="{4637DB82-D7B4-4E33-B7E6-0FD705CE26F3}" type="presParOf" srcId="{FF6C168A-9848-4C88-86FD-D65CD8A06942}" destId="{62C08C2B-451E-4E9E-B78D-D09AB15425DB}" srcOrd="1" destOrd="0" presId="urn:microsoft.com/office/officeart/2005/8/layout/orgChart1"/>
    <dgm:cxn modelId="{4C366BA3-0F80-44C0-8CFA-C62DBA491B33}" type="presParOf" srcId="{FF6C168A-9848-4C88-86FD-D65CD8A06942}" destId="{4460A9D0-8D78-48A1-B89B-781E35B5CF05}" srcOrd="2" destOrd="0" presId="urn:microsoft.com/office/officeart/2005/8/layout/orgChart1"/>
    <dgm:cxn modelId="{E3729A3B-BD72-409B-9AAC-63EE7CED14C5}" type="presParOf" srcId="{5731A092-33ED-4B5C-A54D-5A1359317960}" destId="{76A2DE15-ABC6-4BFD-A5F9-39702C822B6B}" srcOrd="2" destOrd="0" presId="urn:microsoft.com/office/officeart/2005/8/layout/orgChart1"/>
    <dgm:cxn modelId="{D7A7A388-601E-4FCC-B3CE-8E7F1418965C}" type="presParOf" srcId="{5731A092-33ED-4B5C-A54D-5A1359317960}" destId="{05EC2F87-91B7-41B6-9B17-B6229FC137C4}" srcOrd="3" destOrd="0" presId="urn:microsoft.com/office/officeart/2005/8/layout/orgChart1"/>
    <dgm:cxn modelId="{862707AA-8B0B-4919-821D-8D17A8E359BA}" type="presParOf" srcId="{05EC2F87-91B7-41B6-9B17-B6229FC137C4}" destId="{EFEE5278-8BA2-4969-B420-7D39F8A088FC}" srcOrd="0" destOrd="0" presId="urn:microsoft.com/office/officeart/2005/8/layout/orgChart1"/>
    <dgm:cxn modelId="{946A9B84-CDF1-4B03-AF70-CE9FD434F705}" type="presParOf" srcId="{EFEE5278-8BA2-4969-B420-7D39F8A088FC}" destId="{D5425358-C4E2-46BE-B637-0CE5C9FA9097}" srcOrd="0" destOrd="0" presId="urn:microsoft.com/office/officeart/2005/8/layout/orgChart1"/>
    <dgm:cxn modelId="{D0CB121A-F67B-46EF-8BA2-30E67BFF65F7}" type="presParOf" srcId="{EFEE5278-8BA2-4969-B420-7D39F8A088FC}" destId="{F3D48F24-86AB-4EE4-BBE5-86B4F94741BE}" srcOrd="1" destOrd="0" presId="urn:microsoft.com/office/officeart/2005/8/layout/orgChart1"/>
    <dgm:cxn modelId="{D1BD9AF9-8B77-46D6-807C-BE7F3CD91ED7}" type="presParOf" srcId="{05EC2F87-91B7-41B6-9B17-B6229FC137C4}" destId="{1D9D38BC-E47F-4E83-8DB4-849CCFF836B6}" srcOrd="1" destOrd="0" presId="urn:microsoft.com/office/officeart/2005/8/layout/orgChart1"/>
    <dgm:cxn modelId="{C17796A3-DE44-4A1E-954B-F8EE6D144CAF}" type="presParOf" srcId="{05EC2F87-91B7-41B6-9B17-B6229FC137C4}" destId="{93FAC242-EACE-45DA-92B2-87932C7D3860}" srcOrd="2" destOrd="0" presId="urn:microsoft.com/office/officeart/2005/8/layout/orgChart1"/>
    <dgm:cxn modelId="{F906E746-CEFC-4BDE-A685-618357590B20}" type="presParOf" srcId="{5731A092-33ED-4B5C-A54D-5A1359317960}" destId="{5B10E145-705A-4890-A867-7FE7540155A9}" srcOrd="4" destOrd="0" presId="urn:microsoft.com/office/officeart/2005/8/layout/orgChart1"/>
    <dgm:cxn modelId="{85CEA1B1-C5EA-4C6F-9704-13BA86014B9B}" type="presParOf" srcId="{5731A092-33ED-4B5C-A54D-5A1359317960}" destId="{22D37141-8E3C-431A-856A-31535E9C7B57}" srcOrd="5" destOrd="0" presId="urn:microsoft.com/office/officeart/2005/8/layout/orgChart1"/>
    <dgm:cxn modelId="{30BA12F6-E839-43F5-9167-F19B5EABD17D}" type="presParOf" srcId="{22D37141-8E3C-431A-856A-31535E9C7B57}" destId="{C01317A8-B0FE-461E-818E-B37F887A55B4}" srcOrd="0" destOrd="0" presId="urn:microsoft.com/office/officeart/2005/8/layout/orgChart1"/>
    <dgm:cxn modelId="{BF802161-9895-4401-8FC3-80CB8FB3A433}" type="presParOf" srcId="{C01317A8-B0FE-461E-818E-B37F887A55B4}" destId="{42BDB315-F7DA-4D88-B90B-7CAD1A835AC6}" srcOrd="0" destOrd="0" presId="urn:microsoft.com/office/officeart/2005/8/layout/orgChart1"/>
    <dgm:cxn modelId="{029C7FE5-4759-4EAF-BD20-1DE8137D2C6C}" type="presParOf" srcId="{C01317A8-B0FE-461E-818E-B37F887A55B4}" destId="{AD42B741-3C0C-4A2B-BF72-62CECD964227}" srcOrd="1" destOrd="0" presId="urn:microsoft.com/office/officeart/2005/8/layout/orgChart1"/>
    <dgm:cxn modelId="{9DBB8246-3A63-492D-854E-7035C242184B}" type="presParOf" srcId="{22D37141-8E3C-431A-856A-31535E9C7B57}" destId="{9B8021AE-FDDA-4ED6-8949-80E33E6CFDA7}" srcOrd="1" destOrd="0" presId="urn:microsoft.com/office/officeart/2005/8/layout/orgChart1"/>
    <dgm:cxn modelId="{54FB9F54-35BD-4355-BA23-B07159840F1E}" type="presParOf" srcId="{22D37141-8E3C-431A-856A-31535E9C7B57}" destId="{E10DCA54-9822-45D8-886F-661FAA739832}" srcOrd="2" destOrd="0" presId="urn:microsoft.com/office/officeart/2005/8/layout/orgChart1"/>
    <dgm:cxn modelId="{045D8FFE-C17B-48E5-BA93-2F177CF39DAF}" type="presParOf" srcId="{46B915ED-C4AB-4302-81FD-374206177F84}" destId="{82AFDCED-91A6-4860-B700-FB68088BFF6E}" srcOrd="2" destOrd="0" presId="urn:microsoft.com/office/officeart/2005/8/layout/orgChart1"/>
    <dgm:cxn modelId="{7FF4B842-7F16-47B1-B29D-7A475CB28EBA}" type="presParOf" srcId="{1FC1FB34-726B-4499-BDED-02670566E9BF}" destId="{6ABDACAE-1D3A-4D79-B97A-5C8D52459E3E}" srcOrd="2" destOrd="0" presId="urn:microsoft.com/office/officeart/2005/8/layout/orgChart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B10E145-705A-4890-A867-7FE7540155A9}">
      <dsp:nvSpPr>
        <dsp:cNvPr id="0" name=""/>
        <dsp:cNvSpPr/>
      </dsp:nvSpPr>
      <dsp:spPr>
        <a:xfrm>
          <a:off x="4487527" y="1069987"/>
          <a:ext cx="1016411" cy="176402"/>
        </a:xfrm>
        <a:custGeom>
          <a:avLst/>
          <a:gdLst/>
          <a:ahLst/>
          <a:cxnLst/>
          <a:rect l="0" t="0" r="0" b="0"/>
          <a:pathLst>
            <a:path>
              <a:moveTo>
                <a:pt x="0" y="0"/>
              </a:moveTo>
              <a:lnTo>
                <a:pt x="0" y="88201"/>
              </a:lnTo>
              <a:lnTo>
                <a:pt x="1016411" y="88201"/>
              </a:lnTo>
              <a:lnTo>
                <a:pt x="1016411" y="17640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A2DE15-ABC6-4BFD-A5F9-39702C822B6B}">
      <dsp:nvSpPr>
        <dsp:cNvPr id="0" name=""/>
        <dsp:cNvSpPr/>
      </dsp:nvSpPr>
      <dsp:spPr>
        <a:xfrm>
          <a:off x="4441807" y="1069987"/>
          <a:ext cx="91440" cy="176402"/>
        </a:xfrm>
        <a:custGeom>
          <a:avLst/>
          <a:gdLst/>
          <a:ahLst/>
          <a:cxnLst/>
          <a:rect l="0" t="0" r="0" b="0"/>
          <a:pathLst>
            <a:path>
              <a:moveTo>
                <a:pt x="45720" y="0"/>
              </a:moveTo>
              <a:lnTo>
                <a:pt x="45720" y="17640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2E9C4E-5E05-414A-9029-712C86C0C7F5}">
      <dsp:nvSpPr>
        <dsp:cNvPr id="0" name=""/>
        <dsp:cNvSpPr/>
      </dsp:nvSpPr>
      <dsp:spPr>
        <a:xfrm>
          <a:off x="3471115" y="1069987"/>
          <a:ext cx="1016411" cy="176402"/>
        </a:xfrm>
        <a:custGeom>
          <a:avLst/>
          <a:gdLst/>
          <a:ahLst/>
          <a:cxnLst/>
          <a:rect l="0" t="0" r="0" b="0"/>
          <a:pathLst>
            <a:path>
              <a:moveTo>
                <a:pt x="1016411" y="0"/>
              </a:moveTo>
              <a:lnTo>
                <a:pt x="1016411" y="88201"/>
              </a:lnTo>
              <a:lnTo>
                <a:pt x="0" y="88201"/>
              </a:lnTo>
              <a:lnTo>
                <a:pt x="0" y="17640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6EC6FC-C78B-4C78-A1ED-F3EA255539C6}">
      <dsp:nvSpPr>
        <dsp:cNvPr id="0" name=""/>
        <dsp:cNvSpPr/>
      </dsp:nvSpPr>
      <dsp:spPr>
        <a:xfrm>
          <a:off x="2962910" y="473580"/>
          <a:ext cx="1524617" cy="176402"/>
        </a:xfrm>
        <a:custGeom>
          <a:avLst/>
          <a:gdLst/>
          <a:ahLst/>
          <a:cxnLst/>
          <a:rect l="0" t="0" r="0" b="0"/>
          <a:pathLst>
            <a:path>
              <a:moveTo>
                <a:pt x="0" y="0"/>
              </a:moveTo>
              <a:lnTo>
                <a:pt x="0" y="88201"/>
              </a:lnTo>
              <a:lnTo>
                <a:pt x="1524617" y="88201"/>
              </a:lnTo>
              <a:lnTo>
                <a:pt x="1524617" y="176402"/>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BFEED6-D91E-4838-AC0E-42BB61C1C774}">
      <dsp:nvSpPr>
        <dsp:cNvPr id="0" name=""/>
        <dsp:cNvSpPr/>
      </dsp:nvSpPr>
      <dsp:spPr>
        <a:xfrm>
          <a:off x="1438292" y="1069987"/>
          <a:ext cx="1016411" cy="176402"/>
        </a:xfrm>
        <a:custGeom>
          <a:avLst/>
          <a:gdLst/>
          <a:ahLst/>
          <a:cxnLst/>
          <a:rect l="0" t="0" r="0" b="0"/>
          <a:pathLst>
            <a:path>
              <a:moveTo>
                <a:pt x="0" y="0"/>
              </a:moveTo>
              <a:lnTo>
                <a:pt x="0" y="88201"/>
              </a:lnTo>
              <a:lnTo>
                <a:pt x="1016411" y="88201"/>
              </a:lnTo>
              <a:lnTo>
                <a:pt x="1016411" y="17640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5E9653-07BD-4D72-8BEC-37FB1C283BCA}">
      <dsp:nvSpPr>
        <dsp:cNvPr id="0" name=""/>
        <dsp:cNvSpPr/>
      </dsp:nvSpPr>
      <dsp:spPr>
        <a:xfrm>
          <a:off x="1392572" y="1069987"/>
          <a:ext cx="91440" cy="176402"/>
        </a:xfrm>
        <a:custGeom>
          <a:avLst/>
          <a:gdLst/>
          <a:ahLst/>
          <a:cxnLst/>
          <a:rect l="0" t="0" r="0" b="0"/>
          <a:pathLst>
            <a:path>
              <a:moveTo>
                <a:pt x="45720" y="0"/>
              </a:moveTo>
              <a:lnTo>
                <a:pt x="45720" y="17640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927FC0-30CF-44B5-BB38-74472C1A7EA7}">
      <dsp:nvSpPr>
        <dsp:cNvPr id="0" name=""/>
        <dsp:cNvSpPr/>
      </dsp:nvSpPr>
      <dsp:spPr>
        <a:xfrm>
          <a:off x="421881" y="1069987"/>
          <a:ext cx="1016411" cy="176402"/>
        </a:xfrm>
        <a:custGeom>
          <a:avLst/>
          <a:gdLst/>
          <a:ahLst/>
          <a:cxnLst/>
          <a:rect l="0" t="0" r="0" b="0"/>
          <a:pathLst>
            <a:path>
              <a:moveTo>
                <a:pt x="1016411" y="0"/>
              </a:moveTo>
              <a:lnTo>
                <a:pt x="1016411" y="88201"/>
              </a:lnTo>
              <a:lnTo>
                <a:pt x="0" y="88201"/>
              </a:lnTo>
              <a:lnTo>
                <a:pt x="0" y="176402"/>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438FA3-168B-4C91-90C3-60D84DE882C0}">
      <dsp:nvSpPr>
        <dsp:cNvPr id="0" name=""/>
        <dsp:cNvSpPr/>
      </dsp:nvSpPr>
      <dsp:spPr>
        <a:xfrm>
          <a:off x="1438292" y="473580"/>
          <a:ext cx="1524617" cy="176402"/>
        </a:xfrm>
        <a:custGeom>
          <a:avLst/>
          <a:gdLst/>
          <a:ahLst/>
          <a:cxnLst/>
          <a:rect l="0" t="0" r="0" b="0"/>
          <a:pathLst>
            <a:path>
              <a:moveTo>
                <a:pt x="1524617" y="0"/>
              </a:moveTo>
              <a:lnTo>
                <a:pt x="1524617" y="88201"/>
              </a:lnTo>
              <a:lnTo>
                <a:pt x="0" y="88201"/>
              </a:lnTo>
              <a:lnTo>
                <a:pt x="0" y="176402"/>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F7B34A-D86C-4E68-A630-92F5B49D2420}">
      <dsp:nvSpPr>
        <dsp:cNvPr id="0" name=""/>
        <dsp:cNvSpPr/>
      </dsp:nvSpPr>
      <dsp:spPr>
        <a:xfrm>
          <a:off x="2542905" y="53575"/>
          <a:ext cx="840009" cy="420004"/>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a:t>Commonwealth Environmental Water Holder</a:t>
          </a:r>
        </a:p>
      </dsp:txBody>
      <dsp:txXfrm>
        <a:off x="2542905" y="53575"/>
        <a:ext cx="840009" cy="420004"/>
      </dsp:txXfrm>
    </dsp:sp>
    <dsp:sp modelId="{B32A0DF7-15E9-4E41-9390-F1CA9310ECDD}">
      <dsp:nvSpPr>
        <dsp:cNvPr id="0" name=""/>
        <dsp:cNvSpPr/>
      </dsp:nvSpPr>
      <dsp:spPr>
        <a:xfrm>
          <a:off x="1018287" y="649982"/>
          <a:ext cx="840009" cy="420004"/>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a:t>Environmental Water Delivery Branch</a:t>
          </a:r>
        </a:p>
      </dsp:txBody>
      <dsp:txXfrm>
        <a:off x="1018287" y="649982"/>
        <a:ext cx="840009" cy="420004"/>
      </dsp:txXfrm>
    </dsp:sp>
    <dsp:sp modelId="{1393D655-8AD2-4199-B1E8-CE109D035B46}">
      <dsp:nvSpPr>
        <dsp:cNvPr id="0" name=""/>
        <dsp:cNvSpPr/>
      </dsp:nvSpPr>
      <dsp:spPr>
        <a:xfrm>
          <a:off x="1876" y="1246389"/>
          <a:ext cx="840009" cy="420004"/>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a:t>Environmental Water Use</a:t>
          </a:r>
        </a:p>
      </dsp:txBody>
      <dsp:txXfrm>
        <a:off x="1876" y="1246389"/>
        <a:ext cx="840009" cy="420004"/>
      </dsp:txXfrm>
    </dsp:sp>
    <dsp:sp modelId="{948C8784-0263-431E-89B9-08E760EA7062}">
      <dsp:nvSpPr>
        <dsp:cNvPr id="0" name=""/>
        <dsp:cNvSpPr/>
      </dsp:nvSpPr>
      <dsp:spPr>
        <a:xfrm>
          <a:off x="1018287" y="1246389"/>
          <a:ext cx="840009" cy="420004"/>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a:t>Environmental Water Planning</a:t>
          </a:r>
        </a:p>
      </dsp:txBody>
      <dsp:txXfrm>
        <a:off x="1018287" y="1246389"/>
        <a:ext cx="840009" cy="420004"/>
      </dsp:txXfrm>
    </dsp:sp>
    <dsp:sp modelId="{694FDEA6-B177-41CC-94C5-475AA9F11637}">
      <dsp:nvSpPr>
        <dsp:cNvPr id="0" name=""/>
        <dsp:cNvSpPr/>
      </dsp:nvSpPr>
      <dsp:spPr>
        <a:xfrm>
          <a:off x="2034699" y="1246389"/>
          <a:ext cx="840009" cy="420004"/>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a:t>Monitoring and Evaluation</a:t>
          </a:r>
        </a:p>
      </dsp:txBody>
      <dsp:txXfrm>
        <a:off x="2034699" y="1246389"/>
        <a:ext cx="840009" cy="420004"/>
      </dsp:txXfrm>
    </dsp:sp>
    <dsp:sp modelId="{8BF69FED-8B4B-416B-9F92-3A76F7758523}">
      <dsp:nvSpPr>
        <dsp:cNvPr id="0" name=""/>
        <dsp:cNvSpPr/>
      </dsp:nvSpPr>
      <dsp:spPr>
        <a:xfrm>
          <a:off x="4067522" y="649982"/>
          <a:ext cx="840009" cy="420004"/>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a:t>Policy, Community Engagement &amp; Portfolio Management Branch</a:t>
          </a:r>
        </a:p>
      </dsp:txBody>
      <dsp:txXfrm>
        <a:off x="4067522" y="649982"/>
        <a:ext cx="840009" cy="420004"/>
      </dsp:txXfrm>
    </dsp:sp>
    <dsp:sp modelId="{35FF8EBF-F8F7-45ED-8124-F43079C4FD34}">
      <dsp:nvSpPr>
        <dsp:cNvPr id="0" name=""/>
        <dsp:cNvSpPr/>
      </dsp:nvSpPr>
      <dsp:spPr>
        <a:xfrm>
          <a:off x="3051111" y="1246389"/>
          <a:ext cx="840009" cy="420004"/>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a:t>Community Engagement &amp; Communciations</a:t>
          </a:r>
        </a:p>
      </dsp:txBody>
      <dsp:txXfrm>
        <a:off x="3051111" y="1246389"/>
        <a:ext cx="840009" cy="420004"/>
      </dsp:txXfrm>
    </dsp:sp>
    <dsp:sp modelId="{D5425358-C4E2-46BE-B637-0CE5C9FA9097}">
      <dsp:nvSpPr>
        <dsp:cNvPr id="0" name=""/>
        <dsp:cNvSpPr/>
      </dsp:nvSpPr>
      <dsp:spPr>
        <a:xfrm>
          <a:off x="4067522" y="1246389"/>
          <a:ext cx="840009" cy="420004"/>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a:t>Environmental Water Policy</a:t>
          </a:r>
        </a:p>
      </dsp:txBody>
      <dsp:txXfrm>
        <a:off x="4067522" y="1246389"/>
        <a:ext cx="840009" cy="420004"/>
      </dsp:txXfrm>
    </dsp:sp>
    <dsp:sp modelId="{42BDB315-F7DA-4D88-B90B-7CAD1A835AC6}">
      <dsp:nvSpPr>
        <dsp:cNvPr id="0" name=""/>
        <dsp:cNvSpPr/>
      </dsp:nvSpPr>
      <dsp:spPr>
        <a:xfrm>
          <a:off x="5083934" y="1246389"/>
          <a:ext cx="840009" cy="420004"/>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AU" sz="700" kern="1200"/>
            <a:t>Portfolio Management </a:t>
          </a:r>
        </a:p>
      </dsp:txBody>
      <dsp:txXfrm>
        <a:off x="5083934" y="1246389"/>
        <a:ext cx="840009" cy="4200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72DDEC-06C7-4D58-B44E-3717C586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6410</Words>
  <Characters>42313</Characters>
  <Application>Microsoft Office Word</Application>
  <DocSecurity>0</DocSecurity>
  <Lines>352</Lines>
  <Paragraphs>97</Paragraphs>
  <ScaleCrop>false</ScaleCrop>
  <LinksUpToDate>false</LinksUpToDate>
  <CharactersWithSpaces>48626</CharactersWithSpaces>
  <SharedDoc>false</SharedDoc>
  <HLinks>
    <vt:vector size="42" baseType="variant">
      <vt:variant>
        <vt:i4>786463</vt:i4>
      </vt:variant>
      <vt:variant>
        <vt:i4>186</vt:i4>
      </vt:variant>
      <vt:variant>
        <vt:i4>0</vt:i4>
      </vt:variant>
      <vt:variant>
        <vt:i4>5</vt:i4>
      </vt:variant>
      <vt:variant>
        <vt:lpwstr>http://www.environment.gov.au/ewater/contacts/subscribe.html</vt:lpwstr>
      </vt:variant>
      <vt:variant>
        <vt:lpwstr/>
      </vt:variant>
      <vt:variant>
        <vt:i4>1507356</vt:i4>
      </vt:variant>
      <vt:variant>
        <vt:i4>183</vt:i4>
      </vt:variant>
      <vt:variant>
        <vt:i4>0</vt:i4>
      </vt:variant>
      <vt:variant>
        <vt:i4>5</vt:i4>
      </vt:variant>
      <vt:variant>
        <vt:lpwstr>http://www.environment.gov.au/ewater/partners/index.html</vt:lpwstr>
      </vt:variant>
      <vt:variant>
        <vt:lpwstr/>
      </vt:variant>
      <vt:variant>
        <vt:i4>1769536</vt:i4>
      </vt:variant>
      <vt:variant>
        <vt:i4>180</vt:i4>
      </vt:variant>
      <vt:variant>
        <vt:i4>0</vt:i4>
      </vt:variant>
      <vt:variant>
        <vt:i4>5</vt:i4>
      </vt:variant>
      <vt:variant>
        <vt:lpwstr>http://www.environment.gov.au/ewater/</vt:lpwstr>
      </vt:variant>
      <vt:variant>
        <vt:lpwstr/>
      </vt:variant>
      <vt:variant>
        <vt:i4>6750310</vt:i4>
      </vt:variant>
      <vt:variant>
        <vt:i4>177</vt:i4>
      </vt:variant>
      <vt:variant>
        <vt:i4>0</vt:i4>
      </vt:variant>
      <vt:variant>
        <vt:i4>5</vt:i4>
      </vt:variant>
      <vt:variant>
        <vt:lpwstr>http://www.environment.gov.au/ewater/publications/ewater-monitoring-evaluation.html</vt:lpwstr>
      </vt:variant>
      <vt:variant>
        <vt:lpwstr/>
      </vt:variant>
      <vt:variant>
        <vt:i4>4653060</vt:i4>
      </vt:variant>
      <vt:variant>
        <vt:i4>174</vt:i4>
      </vt:variant>
      <vt:variant>
        <vt:i4>0</vt:i4>
      </vt:variant>
      <vt:variant>
        <vt:i4>5</vt:i4>
      </vt:variant>
      <vt:variant>
        <vt:lpwstr>http://www.environment.gov.au/ewater/publications/cewh-framework.html</vt:lpwstr>
      </vt:variant>
      <vt:variant>
        <vt:lpwstr/>
      </vt:variant>
      <vt:variant>
        <vt:i4>1769536</vt:i4>
      </vt:variant>
      <vt:variant>
        <vt:i4>171</vt:i4>
      </vt:variant>
      <vt:variant>
        <vt:i4>0</vt:i4>
      </vt:variant>
      <vt:variant>
        <vt:i4>5</vt:i4>
      </vt:variant>
      <vt:variant>
        <vt:lpwstr>http://www.environment.gov.au/ewater/</vt:lpwstr>
      </vt:variant>
      <vt:variant>
        <vt:lpwstr/>
      </vt:variant>
      <vt:variant>
        <vt:i4>7536707</vt:i4>
      </vt:variant>
      <vt:variant>
        <vt:i4>0</vt:i4>
      </vt:variant>
      <vt:variant>
        <vt:i4>0</vt:i4>
      </vt:variant>
      <vt:variant>
        <vt:i4>5</vt:i4>
      </vt:variant>
      <vt:variant>
        <vt:lpwstr>mailto:public.affairs@environment.gov.au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2013-2014 Business Plan</dc:title>
  <dc:creator/>
  <cp:lastModifiedBy/>
  <cp:revision>1</cp:revision>
  <dcterms:created xsi:type="dcterms:W3CDTF">2013-11-11T04:42:00Z</dcterms:created>
  <dcterms:modified xsi:type="dcterms:W3CDTF">2013-11-11T04:42:00Z</dcterms:modified>
</cp:coreProperties>
</file>