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927A93" w14:textId="44E473CB" w:rsidR="00586664" w:rsidRDefault="00751C46" w:rsidP="00751C46">
      <w:pPr>
        <w:spacing w:after="0" w:line="240" w:lineRule="auto"/>
        <w:rPr>
          <w:b/>
          <w:color w:val="215868" w:themeColor="accent5" w:themeShade="80"/>
          <w:sz w:val="36"/>
          <w:szCs w:val="36"/>
        </w:rPr>
      </w:pPr>
      <w:bookmarkStart w:id="0" w:name="_Toc362347837"/>
      <w:bookmarkStart w:id="1" w:name="_Toc433371631"/>
      <w:r>
        <w:rPr>
          <w:b/>
          <w:noProof/>
          <w:color w:val="215868" w:themeColor="accent5" w:themeShade="80"/>
          <w:sz w:val="36"/>
          <w:szCs w:val="36"/>
          <w:lang w:eastAsia="en-AU"/>
        </w:rPr>
        <w:drawing>
          <wp:inline distT="0" distB="0" distL="0" distR="0" wp14:anchorId="10E4C8CA" wp14:editId="6CEB6217">
            <wp:extent cx="7423150" cy="10493665"/>
            <wp:effectExtent l="0" t="0" r="6350" b="3175"/>
            <wp:docPr id="22641" name="Picture 2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426454" cy="10498336"/>
                    </a:xfrm>
                    <a:prstGeom prst="rect">
                      <a:avLst/>
                    </a:prstGeom>
                    <a:noFill/>
                  </pic:spPr>
                </pic:pic>
              </a:graphicData>
            </a:graphic>
          </wp:inline>
        </w:drawing>
      </w:r>
    </w:p>
    <w:p w14:paraId="3D5201D0" w14:textId="77777777" w:rsidR="00DE5C8C" w:rsidRPr="00953E68" w:rsidRDefault="00DE5C8C" w:rsidP="0005230B">
      <w:pPr>
        <w:spacing w:after="0" w:line="240" w:lineRule="auto"/>
        <w:rPr>
          <w:b/>
          <w:color w:val="215868" w:themeColor="accent5" w:themeShade="80"/>
          <w:sz w:val="36"/>
          <w:szCs w:val="36"/>
        </w:rPr>
        <w:sectPr w:rsidR="00DE5C8C" w:rsidRPr="00953E68" w:rsidSect="00751C46">
          <w:headerReference w:type="default" r:id="rId12"/>
          <w:footerReference w:type="default" r:id="rId13"/>
          <w:pgSz w:w="11906" w:h="16838" w:code="9"/>
          <w:pgMar w:top="142" w:right="0" w:bottom="113" w:left="0" w:header="0" w:footer="709" w:gutter="0"/>
          <w:cols w:space="708"/>
          <w:titlePg/>
          <w:docGrid w:linePitch="360"/>
        </w:sectPr>
      </w:pPr>
    </w:p>
    <w:tbl>
      <w:tblPr>
        <w:tblStyle w:val="TableGrid"/>
        <w:tblW w:w="520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01"/>
        <w:gridCol w:w="6951"/>
        <w:gridCol w:w="209"/>
      </w:tblGrid>
      <w:tr w:rsidR="0000180C" w:rsidRPr="001665D6" w14:paraId="3B4F8475" w14:textId="77777777" w:rsidTr="0066723F">
        <w:trPr>
          <w:gridAfter w:val="1"/>
          <w:wAfter w:w="118" w:type="pct"/>
          <w:trHeight w:hRule="exact" w:val="683"/>
        </w:trPr>
        <w:tc>
          <w:tcPr>
            <w:tcW w:w="4882" w:type="pct"/>
            <w:gridSpan w:val="2"/>
          </w:tcPr>
          <w:p w14:paraId="3B4F8474" w14:textId="52E90AE3" w:rsidR="0000180C" w:rsidRPr="0000180C" w:rsidRDefault="0000180C" w:rsidP="00F81562">
            <w:pPr>
              <w:pStyle w:val="ProjectName"/>
              <w:rPr>
                <w:rFonts w:asciiTheme="minorHAnsi" w:hAnsiTheme="minorHAnsi"/>
              </w:rPr>
            </w:pPr>
            <w:r w:rsidRPr="00953E68">
              <w:rPr>
                <w:rFonts w:asciiTheme="minorHAnsi" w:hAnsiTheme="minorHAnsi"/>
                <w:color w:val="31849B" w:themeColor="accent5" w:themeShade="BF"/>
              </w:rPr>
              <w:lastRenderedPageBreak/>
              <w:t xml:space="preserve">Commonwealth Environmental Water Office </w:t>
            </w:r>
            <w:r w:rsidR="00F81562">
              <w:rPr>
                <w:rFonts w:asciiTheme="minorHAnsi" w:hAnsiTheme="minorHAnsi"/>
                <w:color w:val="31849B" w:themeColor="accent5" w:themeShade="BF"/>
              </w:rPr>
              <w:t>Monitoring, Evaluation and Research</w:t>
            </w:r>
            <w:r w:rsidR="008336CC" w:rsidRPr="00953E68">
              <w:rPr>
                <w:rFonts w:asciiTheme="minorHAnsi" w:hAnsiTheme="minorHAnsi"/>
                <w:color w:val="31849B" w:themeColor="accent5" w:themeShade="BF"/>
              </w:rPr>
              <w:t xml:space="preserve"> Project:</w:t>
            </w:r>
            <w:r w:rsidRPr="00953E68">
              <w:rPr>
                <w:rFonts w:asciiTheme="minorHAnsi" w:hAnsiTheme="minorHAnsi"/>
                <w:color w:val="31849B" w:themeColor="accent5" w:themeShade="BF"/>
              </w:rPr>
              <w:t xml:space="preserve"> Edward</w:t>
            </w:r>
            <w:r w:rsidR="008E27F6">
              <w:rPr>
                <w:rFonts w:asciiTheme="minorHAnsi" w:hAnsiTheme="minorHAnsi"/>
                <w:color w:val="31849B" w:themeColor="accent5" w:themeShade="BF"/>
              </w:rPr>
              <w:t>/Kolety</w:t>
            </w:r>
            <w:r w:rsidRPr="00953E68">
              <w:rPr>
                <w:rFonts w:asciiTheme="minorHAnsi" w:hAnsiTheme="minorHAnsi"/>
                <w:color w:val="31849B" w:themeColor="accent5" w:themeShade="BF"/>
              </w:rPr>
              <w:t xml:space="preserve">-Wakool </w:t>
            </w:r>
            <w:r w:rsidR="008336CC" w:rsidRPr="00953E68">
              <w:rPr>
                <w:rFonts w:asciiTheme="minorHAnsi" w:hAnsiTheme="minorHAnsi"/>
                <w:color w:val="31849B" w:themeColor="accent5" w:themeShade="BF"/>
              </w:rPr>
              <w:t xml:space="preserve">River System </w:t>
            </w:r>
            <w:r w:rsidRPr="00953E68">
              <w:rPr>
                <w:rFonts w:asciiTheme="minorHAnsi" w:hAnsiTheme="minorHAnsi"/>
                <w:color w:val="31849B" w:themeColor="accent5" w:themeShade="BF"/>
              </w:rPr>
              <w:t>Selected Area</w:t>
            </w:r>
            <w:r w:rsidR="008336CC" w:rsidRPr="00953E68">
              <w:rPr>
                <w:rFonts w:asciiTheme="minorHAnsi" w:hAnsiTheme="minorHAnsi"/>
                <w:color w:val="31849B" w:themeColor="accent5" w:themeShade="BF"/>
              </w:rPr>
              <w:t xml:space="preserve"> </w:t>
            </w:r>
            <w:r w:rsidR="00F77AA7">
              <w:rPr>
                <w:rFonts w:asciiTheme="minorHAnsi" w:hAnsiTheme="minorHAnsi"/>
                <w:color w:val="31849B" w:themeColor="accent5" w:themeShade="BF"/>
              </w:rPr>
              <w:t>Technical</w:t>
            </w:r>
            <w:r w:rsidR="008336CC" w:rsidRPr="00953E68">
              <w:rPr>
                <w:rFonts w:asciiTheme="minorHAnsi" w:hAnsiTheme="minorHAnsi"/>
                <w:color w:val="31849B" w:themeColor="accent5" w:themeShade="BF"/>
              </w:rPr>
              <w:t xml:space="preserve"> R</w:t>
            </w:r>
            <w:r w:rsidRPr="00953E68">
              <w:rPr>
                <w:rFonts w:asciiTheme="minorHAnsi" w:hAnsiTheme="minorHAnsi"/>
                <w:color w:val="31849B" w:themeColor="accent5" w:themeShade="BF"/>
              </w:rPr>
              <w:t xml:space="preserve">eport </w:t>
            </w:r>
            <w:r w:rsidR="00F81562">
              <w:rPr>
                <w:rFonts w:asciiTheme="minorHAnsi" w:hAnsiTheme="minorHAnsi"/>
                <w:color w:val="31849B" w:themeColor="accent5" w:themeShade="BF"/>
              </w:rPr>
              <w:t>2019-20</w:t>
            </w:r>
          </w:p>
        </w:tc>
      </w:tr>
      <w:tr w:rsidR="0000180C" w:rsidRPr="001665D6" w14:paraId="3B4F847B" w14:textId="77777777" w:rsidTr="0066723F">
        <w:trPr>
          <w:gridAfter w:val="1"/>
          <w:wAfter w:w="118" w:type="pct"/>
          <w:trHeight w:val="284"/>
        </w:trPr>
        <w:tc>
          <w:tcPr>
            <w:tcW w:w="960" w:type="pct"/>
          </w:tcPr>
          <w:p w14:paraId="3B4F8479"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Document title:</w:t>
            </w:r>
          </w:p>
        </w:tc>
        <w:tc>
          <w:tcPr>
            <w:tcW w:w="3922" w:type="pct"/>
          </w:tcPr>
          <w:p w14:paraId="3B4F847A" w14:textId="684DC34C" w:rsidR="0000180C" w:rsidRPr="008336CC" w:rsidRDefault="0000180C" w:rsidP="00F81562">
            <w:pPr>
              <w:pStyle w:val="DocumentTitle"/>
              <w:spacing w:before="0" w:after="120"/>
              <w:rPr>
                <w:rFonts w:asciiTheme="minorHAnsi" w:hAnsiTheme="minorHAnsi"/>
                <w:sz w:val="22"/>
                <w:szCs w:val="22"/>
              </w:rPr>
            </w:pPr>
            <w:r w:rsidRPr="008336CC">
              <w:rPr>
                <w:rFonts w:asciiTheme="minorHAnsi" w:hAnsiTheme="minorHAnsi"/>
                <w:sz w:val="22"/>
                <w:szCs w:val="22"/>
              </w:rPr>
              <w:t xml:space="preserve">Commonwealth Environmental Water Office </w:t>
            </w:r>
            <w:r w:rsidR="00F81562">
              <w:rPr>
                <w:rFonts w:asciiTheme="minorHAnsi" w:hAnsiTheme="minorHAnsi"/>
                <w:sz w:val="22"/>
                <w:szCs w:val="22"/>
              </w:rPr>
              <w:t>Monitoring, Evaluation and</w:t>
            </w:r>
            <w:r w:rsidR="00751C46">
              <w:rPr>
                <w:rFonts w:asciiTheme="minorHAnsi" w:hAnsiTheme="minorHAnsi"/>
                <w:sz w:val="22"/>
                <w:szCs w:val="22"/>
              </w:rPr>
              <w:t xml:space="preserve"> Research P</w:t>
            </w:r>
            <w:r w:rsidR="00F81562">
              <w:rPr>
                <w:rFonts w:asciiTheme="minorHAnsi" w:hAnsiTheme="minorHAnsi"/>
                <w:sz w:val="22"/>
                <w:szCs w:val="22"/>
              </w:rPr>
              <w:t>roject</w:t>
            </w:r>
            <w:r w:rsidR="008336CC" w:rsidRPr="008336CC">
              <w:rPr>
                <w:rFonts w:asciiTheme="minorHAnsi" w:hAnsiTheme="minorHAnsi"/>
                <w:sz w:val="22"/>
                <w:szCs w:val="22"/>
              </w:rPr>
              <w:t>:</w:t>
            </w:r>
            <w:r w:rsidRPr="008336CC">
              <w:rPr>
                <w:rFonts w:asciiTheme="minorHAnsi" w:hAnsiTheme="minorHAnsi"/>
                <w:sz w:val="22"/>
                <w:szCs w:val="22"/>
              </w:rPr>
              <w:t xml:space="preserve"> </w:t>
            </w:r>
            <w:r w:rsidR="008336CC" w:rsidRPr="008336CC">
              <w:rPr>
                <w:rFonts w:asciiTheme="minorHAnsi" w:hAnsiTheme="minorHAnsi"/>
                <w:sz w:val="22"/>
                <w:szCs w:val="22"/>
              </w:rPr>
              <w:t>Edward</w:t>
            </w:r>
            <w:r w:rsidR="008E27F6">
              <w:rPr>
                <w:rFonts w:asciiTheme="minorHAnsi" w:hAnsiTheme="minorHAnsi"/>
                <w:sz w:val="22"/>
                <w:szCs w:val="22"/>
              </w:rPr>
              <w:t>/Kolety</w:t>
            </w:r>
            <w:r w:rsidR="008336CC" w:rsidRPr="008336CC">
              <w:rPr>
                <w:rFonts w:asciiTheme="minorHAnsi" w:hAnsiTheme="minorHAnsi"/>
                <w:sz w:val="22"/>
                <w:szCs w:val="22"/>
              </w:rPr>
              <w:t>-Wakool</w:t>
            </w:r>
            <w:r w:rsidRPr="008336CC">
              <w:rPr>
                <w:rFonts w:asciiTheme="minorHAnsi" w:hAnsiTheme="minorHAnsi"/>
                <w:sz w:val="22"/>
                <w:szCs w:val="22"/>
              </w:rPr>
              <w:t xml:space="preserve"> </w:t>
            </w:r>
            <w:r w:rsidR="008336CC">
              <w:rPr>
                <w:rFonts w:asciiTheme="minorHAnsi" w:hAnsiTheme="minorHAnsi"/>
                <w:sz w:val="22"/>
                <w:szCs w:val="22"/>
              </w:rPr>
              <w:t xml:space="preserve">River System </w:t>
            </w:r>
            <w:r w:rsidRPr="008336CC">
              <w:rPr>
                <w:rFonts w:asciiTheme="minorHAnsi" w:hAnsiTheme="minorHAnsi"/>
                <w:sz w:val="22"/>
                <w:szCs w:val="22"/>
              </w:rPr>
              <w:t>Selected Area</w:t>
            </w:r>
            <w:r w:rsidRPr="008336CC" w:rsidDel="00417D1D">
              <w:rPr>
                <w:rFonts w:asciiTheme="minorHAnsi" w:hAnsiTheme="minorHAnsi"/>
                <w:sz w:val="22"/>
                <w:szCs w:val="22"/>
              </w:rPr>
              <w:t xml:space="preserve"> </w:t>
            </w:r>
            <w:r w:rsidR="00E661F9">
              <w:rPr>
                <w:rFonts w:asciiTheme="minorHAnsi" w:hAnsiTheme="minorHAnsi"/>
                <w:sz w:val="22"/>
                <w:szCs w:val="22"/>
              </w:rPr>
              <w:t>Technical</w:t>
            </w:r>
            <w:r w:rsidR="00F77AA7">
              <w:rPr>
                <w:rFonts w:asciiTheme="minorHAnsi" w:hAnsiTheme="minorHAnsi"/>
                <w:sz w:val="22"/>
                <w:szCs w:val="22"/>
              </w:rPr>
              <w:t xml:space="preserve"> Report 20</w:t>
            </w:r>
            <w:r w:rsidR="00F81562">
              <w:rPr>
                <w:rFonts w:asciiTheme="minorHAnsi" w:hAnsiTheme="minorHAnsi"/>
                <w:sz w:val="22"/>
                <w:szCs w:val="22"/>
              </w:rPr>
              <w:t>19-20</w:t>
            </w:r>
          </w:p>
        </w:tc>
      </w:tr>
      <w:tr w:rsidR="0000180C" w:rsidRPr="001665D6" w14:paraId="3B4F8481" w14:textId="77777777" w:rsidTr="0066723F">
        <w:trPr>
          <w:gridAfter w:val="1"/>
          <w:wAfter w:w="118" w:type="pct"/>
          <w:trHeight w:val="284"/>
        </w:trPr>
        <w:tc>
          <w:tcPr>
            <w:tcW w:w="960" w:type="pct"/>
          </w:tcPr>
          <w:p w14:paraId="3B4F847F" w14:textId="77777777" w:rsidR="0000180C" w:rsidRPr="006C0327" w:rsidRDefault="0000180C" w:rsidP="0000180C">
            <w:pPr>
              <w:pStyle w:val="Tabletext"/>
              <w:spacing w:before="0"/>
              <w:rPr>
                <w:rFonts w:asciiTheme="minorHAnsi" w:hAnsiTheme="minorHAnsi"/>
                <w:sz w:val="22"/>
                <w:szCs w:val="22"/>
              </w:rPr>
            </w:pPr>
            <w:r w:rsidRPr="006C0327">
              <w:rPr>
                <w:rFonts w:asciiTheme="minorHAnsi" w:hAnsiTheme="minorHAnsi"/>
                <w:sz w:val="22"/>
                <w:szCs w:val="22"/>
              </w:rPr>
              <w:t>Date:</w:t>
            </w:r>
          </w:p>
        </w:tc>
        <w:tc>
          <w:tcPr>
            <w:tcW w:w="3922" w:type="pct"/>
          </w:tcPr>
          <w:p w14:paraId="3B4F8480" w14:textId="342C84B8" w:rsidR="0000180C" w:rsidRPr="006C0327" w:rsidRDefault="00F81562" w:rsidP="00F81562">
            <w:pPr>
              <w:pStyle w:val="Tabletext"/>
              <w:spacing w:before="0"/>
              <w:rPr>
                <w:rFonts w:asciiTheme="minorHAnsi" w:hAnsiTheme="minorHAnsi"/>
                <w:sz w:val="22"/>
                <w:szCs w:val="22"/>
              </w:rPr>
            </w:pPr>
            <w:r>
              <w:rPr>
                <w:rFonts w:asciiTheme="minorHAnsi" w:hAnsiTheme="minorHAnsi"/>
                <w:sz w:val="22"/>
                <w:szCs w:val="22"/>
              </w:rPr>
              <w:t>30</w:t>
            </w:r>
            <w:r w:rsidR="001D5E08" w:rsidRPr="00401A3E">
              <w:rPr>
                <w:rFonts w:asciiTheme="minorHAnsi" w:hAnsiTheme="minorHAnsi"/>
                <w:sz w:val="22"/>
                <w:szCs w:val="22"/>
              </w:rPr>
              <w:t>/</w:t>
            </w:r>
            <w:r w:rsidR="00791706">
              <w:rPr>
                <w:rFonts w:asciiTheme="minorHAnsi" w:hAnsiTheme="minorHAnsi"/>
                <w:sz w:val="22"/>
                <w:szCs w:val="22"/>
              </w:rPr>
              <w:t>10</w:t>
            </w:r>
            <w:r w:rsidR="001D5E08" w:rsidRPr="00401A3E">
              <w:rPr>
                <w:rFonts w:asciiTheme="minorHAnsi" w:hAnsiTheme="minorHAnsi"/>
                <w:sz w:val="22"/>
                <w:szCs w:val="22"/>
              </w:rPr>
              <w:t>/20</w:t>
            </w:r>
            <w:r>
              <w:rPr>
                <w:rFonts w:asciiTheme="minorHAnsi" w:hAnsiTheme="minorHAnsi"/>
                <w:sz w:val="22"/>
                <w:szCs w:val="22"/>
              </w:rPr>
              <w:t>20</w:t>
            </w:r>
          </w:p>
        </w:tc>
      </w:tr>
      <w:tr w:rsidR="0000180C" w:rsidRPr="001665D6" w14:paraId="3B4F8484" w14:textId="77777777" w:rsidTr="0066723F">
        <w:trPr>
          <w:gridAfter w:val="1"/>
          <w:wAfter w:w="118" w:type="pct"/>
          <w:trHeight w:val="284"/>
        </w:trPr>
        <w:tc>
          <w:tcPr>
            <w:tcW w:w="960" w:type="pct"/>
          </w:tcPr>
          <w:p w14:paraId="3B4F8482"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Client name:</w:t>
            </w:r>
          </w:p>
        </w:tc>
        <w:tc>
          <w:tcPr>
            <w:tcW w:w="3922" w:type="pct"/>
          </w:tcPr>
          <w:p w14:paraId="3B4F8483" w14:textId="71D5911E" w:rsidR="0000180C" w:rsidRPr="008336CC" w:rsidRDefault="0000180C" w:rsidP="00586664">
            <w:pPr>
              <w:pStyle w:val="ClientName"/>
              <w:rPr>
                <w:rFonts w:asciiTheme="minorHAnsi" w:hAnsiTheme="minorHAnsi"/>
                <w:sz w:val="22"/>
                <w:szCs w:val="22"/>
              </w:rPr>
            </w:pPr>
            <w:r w:rsidRPr="00586664">
              <w:rPr>
                <w:rFonts w:asciiTheme="minorHAnsi" w:hAnsiTheme="minorHAnsi"/>
                <w:sz w:val="22"/>
                <w:szCs w:val="22"/>
              </w:rPr>
              <w:t xml:space="preserve">Commonwealth Department of </w:t>
            </w:r>
            <w:r w:rsidR="00586664" w:rsidRPr="00586664">
              <w:rPr>
                <w:rFonts w:asciiTheme="minorHAnsi" w:hAnsiTheme="minorHAnsi"/>
                <w:sz w:val="22"/>
                <w:szCs w:val="22"/>
              </w:rPr>
              <w:t>Agriculture</w:t>
            </w:r>
            <w:r w:rsidR="00586664">
              <w:rPr>
                <w:rFonts w:asciiTheme="minorHAnsi" w:hAnsiTheme="minorHAnsi"/>
                <w:sz w:val="22"/>
                <w:szCs w:val="22"/>
              </w:rPr>
              <w:t>, Water and the Environment</w:t>
            </w:r>
          </w:p>
        </w:tc>
      </w:tr>
      <w:tr w:rsidR="0000180C" w:rsidRPr="001665D6" w14:paraId="3B4F8487" w14:textId="77777777" w:rsidTr="0066723F">
        <w:trPr>
          <w:gridAfter w:val="1"/>
          <w:wAfter w:w="118" w:type="pct"/>
          <w:trHeight w:val="284"/>
        </w:trPr>
        <w:tc>
          <w:tcPr>
            <w:tcW w:w="960" w:type="pct"/>
          </w:tcPr>
          <w:p w14:paraId="3B4F8485"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manager:</w:t>
            </w:r>
          </w:p>
        </w:tc>
        <w:tc>
          <w:tcPr>
            <w:tcW w:w="3922" w:type="pct"/>
          </w:tcPr>
          <w:p w14:paraId="3B4F8486" w14:textId="77777777" w:rsidR="0000180C" w:rsidRPr="008336CC" w:rsidRDefault="008336CC" w:rsidP="0000180C">
            <w:pPr>
              <w:pStyle w:val="Tabletext"/>
              <w:spacing w:before="0"/>
              <w:rPr>
                <w:rFonts w:asciiTheme="minorHAnsi" w:hAnsiTheme="minorHAnsi"/>
                <w:sz w:val="22"/>
                <w:szCs w:val="22"/>
              </w:rPr>
            </w:pPr>
            <w:r w:rsidRPr="008336CC">
              <w:rPr>
                <w:rFonts w:asciiTheme="minorHAnsi" w:hAnsiTheme="minorHAnsi"/>
                <w:sz w:val="22"/>
                <w:szCs w:val="22"/>
              </w:rPr>
              <w:t>Robyn Watts</w:t>
            </w:r>
          </w:p>
        </w:tc>
      </w:tr>
      <w:tr w:rsidR="0000180C" w:rsidRPr="001665D6" w14:paraId="3B4F848A" w14:textId="77777777" w:rsidTr="0066723F">
        <w:trPr>
          <w:trHeight w:val="284"/>
        </w:trPr>
        <w:tc>
          <w:tcPr>
            <w:tcW w:w="960" w:type="pct"/>
          </w:tcPr>
          <w:p w14:paraId="3B4F8488"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Authors:</w:t>
            </w:r>
          </w:p>
        </w:tc>
        <w:tc>
          <w:tcPr>
            <w:tcW w:w="4040" w:type="pct"/>
            <w:gridSpan w:val="2"/>
          </w:tcPr>
          <w:p w14:paraId="3B4F8489" w14:textId="2A93AB22" w:rsidR="0000180C" w:rsidRPr="008336CC" w:rsidRDefault="006E4461" w:rsidP="00791706">
            <w:pPr>
              <w:pStyle w:val="Tabletext"/>
              <w:spacing w:before="0"/>
              <w:rPr>
                <w:rFonts w:asciiTheme="minorHAnsi" w:hAnsiTheme="minorHAnsi"/>
                <w:sz w:val="22"/>
                <w:szCs w:val="22"/>
              </w:rPr>
            </w:pPr>
            <w:r w:rsidRPr="006E4461">
              <w:rPr>
                <w:rFonts w:asciiTheme="minorHAnsi" w:hAnsiTheme="minorHAnsi"/>
                <w:sz w:val="22"/>
                <w:szCs w:val="22"/>
              </w:rPr>
              <w:t>Watts R.J., Bond N.R,</w:t>
            </w:r>
            <w:r w:rsidR="002545A3">
              <w:rPr>
                <w:rFonts w:asciiTheme="minorHAnsi" w:hAnsiTheme="minorHAnsi"/>
                <w:sz w:val="22"/>
                <w:szCs w:val="22"/>
              </w:rPr>
              <w:t xml:space="preserve"> </w:t>
            </w:r>
            <w:r w:rsidR="002545A3">
              <w:t>Duncan M</w:t>
            </w:r>
            <w:r w:rsidR="002545A3">
              <w:t>.,</w:t>
            </w:r>
            <w:r w:rsidRPr="006E4461">
              <w:rPr>
                <w:rFonts w:asciiTheme="minorHAnsi" w:hAnsiTheme="minorHAnsi"/>
                <w:sz w:val="22"/>
                <w:szCs w:val="22"/>
              </w:rPr>
              <w:t xml:space="preserve"> Healy S., Liu X., McCasker N.G., Siebers A., Sutton N., Thiem J.D., Trethewie J.A., Vietz G., Wright D.W.</w:t>
            </w:r>
          </w:p>
        </w:tc>
      </w:tr>
      <w:tr w:rsidR="0000180C" w:rsidRPr="001665D6" w14:paraId="3B4F8495" w14:textId="77777777" w:rsidTr="0066723F">
        <w:trPr>
          <w:gridAfter w:val="1"/>
          <w:wAfter w:w="118" w:type="pct"/>
          <w:trHeight w:val="2278"/>
        </w:trPr>
        <w:tc>
          <w:tcPr>
            <w:tcW w:w="4882" w:type="pct"/>
            <w:gridSpan w:val="2"/>
          </w:tcPr>
          <w:p w14:paraId="3B4F848E" w14:textId="77777777" w:rsidR="0000180C" w:rsidRPr="008336CC" w:rsidRDefault="0000180C" w:rsidP="0000180C">
            <w:pPr>
              <w:pStyle w:val="Tabletext"/>
              <w:spacing w:before="0" w:after="0"/>
              <w:rPr>
                <w:rFonts w:asciiTheme="minorHAnsi" w:hAnsiTheme="minorHAnsi"/>
                <w:sz w:val="22"/>
                <w:szCs w:val="22"/>
              </w:rPr>
            </w:pPr>
          </w:p>
          <w:p w14:paraId="6C977A18" w14:textId="77777777" w:rsidR="00875E3A" w:rsidRDefault="00875E3A" w:rsidP="0000180C">
            <w:pPr>
              <w:pStyle w:val="Tabletext"/>
              <w:spacing w:before="0" w:after="0"/>
              <w:rPr>
                <w:rFonts w:asciiTheme="minorHAnsi" w:hAnsiTheme="minorHAnsi"/>
                <w:sz w:val="22"/>
                <w:szCs w:val="22"/>
              </w:rPr>
            </w:pPr>
          </w:p>
          <w:p w14:paraId="3B4F848F"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Institute for Land, Water and Society</w:t>
            </w:r>
          </w:p>
          <w:p w14:paraId="3B4F8490"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Charles Sturt University</w:t>
            </w:r>
          </w:p>
          <w:p w14:paraId="3B4F8491"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PO Box 789</w:t>
            </w:r>
          </w:p>
          <w:p w14:paraId="3B4F8492" w14:textId="77777777" w:rsidR="008336C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Albury, NSW 2640</w:t>
            </w:r>
          </w:p>
          <w:p w14:paraId="3B4F8493"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 xml:space="preserve">ABN </w:t>
            </w:r>
            <w:r w:rsidR="008336CC">
              <w:rPr>
                <w:rFonts w:asciiTheme="minorHAnsi" w:hAnsiTheme="minorHAnsi"/>
                <w:sz w:val="22"/>
                <w:szCs w:val="22"/>
              </w:rPr>
              <w:t>83 878 708 551</w:t>
            </w:r>
          </w:p>
          <w:p w14:paraId="3B4F8494" w14:textId="77777777" w:rsidR="0000180C" w:rsidRPr="008336CC" w:rsidRDefault="0000180C" w:rsidP="0000180C">
            <w:pPr>
              <w:pStyle w:val="Tabletext"/>
              <w:spacing w:before="0" w:after="0"/>
              <w:rPr>
                <w:rFonts w:asciiTheme="minorHAnsi" w:eastAsiaTheme="majorEastAsia" w:hAnsiTheme="minorHAnsi" w:cstheme="majorBidi"/>
                <w:b/>
                <w:bCs/>
                <w:color w:val="00338D"/>
                <w:sz w:val="22"/>
                <w:szCs w:val="22"/>
              </w:rPr>
            </w:pPr>
          </w:p>
        </w:tc>
      </w:tr>
    </w:tbl>
    <w:p w14:paraId="63981DAD" w14:textId="77777777" w:rsidR="00A17092" w:rsidRDefault="00A17092">
      <w:pPr>
        <w:spacing w:after="0" w:line="240" w:lineRule="auto"/>
        <w:jc w:val="left"/>
        <w:rPr>
          <w:rFonts w:asciiTheme="minorHAnsi" w:eastAsiaTheme="minorEastAsia" w:hAnsiTheme="minorHAnsi" w:cstheme="minorBidi"/>
          <w:b/>
          <w:sz w:val="20"/>
          <w:lang w:val="en-GB"/>
        </w:rPr>
      </w:pPr>
    </w:p>
    <w:p w14:paraId="5DB75860" w14:textId="77777777" w:rsidR="00A17092" w:rsidRDefault="00A17092">
      <w:pPr>
        <w:spacing w:after="0" w:line="240" w:lineRule="auto"/>
        <w:jc w:val="left"/>
        <w:rPr>
          <w:rFonts w:asciiTheme="minorHAnsi" w:eastAsiaTheme="minorEastAsia" w:hAnsiTheme="minorHAnsi" w:cstheme="minorBidi"/>
          <w:b/>
          <w:sz w:val="20"/>
          <w:lang w:val="en-GB"/>
        </w:rPr>
      </w:pPr>
    </w:p>
    <w:p w14:paraId="1F2F63CB" w14:textId="6615CAEA" w:rsidR="00751C46" w:rsidRPr="001248BA" w:rsidRDefault="00751C46" w:rsidP="002F7F29">
      <w:pPr>
        <w:spacing w:line="240" w:lineRule="auto"/>
        <w:ind w:hanging="6"/>
        <w:rPr>
          <w:rFonts w:ascii="Arial Narrow" w:eastAsia="Times New Roman" w:hAnsi="Arial Narrow"/>
          <w:i/>
          <w:iCs/>
          <w:sz w:val="20"/>
          <w:lang w:eastAsia="en-AU"/>
        </w:rPr>
      </w:pPr>
      <w:r>
        <w:rPr>
          <w:rFonts w:asciiTheme="minorHAnsi" w:eastAsiaTheme="minorEastAsia" w:hAnsiTheme="minorHAnsi" w:cstheme="minorBidi"/>
          <w:b/>
          <w:szCs w:val="22"/>
          <w:lang w:val="en-GB"/>
        </w:rPr>
        <w:t>Cover photo</w:t>
      </w:r>
      <w:r w:rsidR="00813158" w:rsidRPr="00DE1940">
        <w:rPr>
          <w:rFonts w:asciiTheme="minorHAnsi" w:eastAsiaTheme="minorEastAsia" w:hAnsiTheme="minorHAnsi" w:cstheme="minorBidi"/>
          <w:b/>
          <w:szCs w:val="22"/>
          <w:lang w:val="en-GB"/>
        </w:rPr>
        <w:t xml:space="preserve">: </w:t>
      </w:r>
      <w:r w:rsidRPr="001248BA">
        <w:rPr>
          <w:rFonts w:ascii="Arial Narrow" w:eastAsia="Times New Roman" w:hAnsi="Arial Narrow"/>
          <w:i/>
          <w:iCs/>
          <w:sz w:val="20"/>
          <w:lang w:eastAsia="en-AU"/>
        </w:rPr>
        <w:t>Confluence of Yallakool-Wakool durin</w:t>
      </w:r>
      <w:r w:rsidR="002F7F29">
        <w:rPr>
          <w:rFonts w:ascii="Arial Narrow" w:eastAsia="Times New Roman" w:hAnsi="Arial Narrow"/>
          <w:i/>
          <w:iCs/>
          <w:sz w:val="20"/>
          <w:lang w:eastAsia="en-AU"/>
        </w:rPr>
        <w:t>g Commonwealth environmental watering action</w:t>
      </w:r>
      <w:r w:rsidRPr="001248BA">
        <w:rPr>
          <w:rFonts w:ascii="Arial Narrow" w:eastAsia="Times New Roman" w:hAnsi="Arial Narrow"/>
          <w:i/>
          <w:iCs/>
          <w:sz w:val="20"/>
          <w:lang w:eastAsia="en-AU"/>
        </w:rPr>
        <w:t xml:space="preserve"> on 27 August 2019. Photo by Damian McRae, CEWO. </w:t>
      </w:r>
    </w:p>
    <w:p w14:paraId="5251BD6E" w14:textId="1A101301" w:rsidR="00297CF9" w:rsidRPr="00DE1940" w:rsidRDefault="00297CF9" w:rsidP="00875E3A">
      <w:pPr>
        <w:spacing w:after="120" w:line="240" w:lineRule="auto"/>
        <w:jc w:val="left"/>
        <w:rPr>
          <w:rFonts w:asciiTheme="minorHAnsi" w:eastAsiaTheme="minorEastAsia" w:hAnsiTheme="minorHAnsi" w:cstheme="minorBidi"/>
          <w:b/>
          <w:szCs w:val="22"/>
          <w:lang w:val="en-GB"/>
        </w:rPr>
      </w:pPr>
    </w:p>
    <w:p w14:paraId="3B4F84C2" w14:textId="77777777" w:rsidR="004D599F" w:rsidRDefault="004D599F">
      <w:pPr>
        <w:spacing w:after="0" w:line="240" w:lineRule="auto"/>
        <w:jc w:val="left"/>
        <w:rPr>
          <w:b/>
          <w:color w:val="4F6228" w:themeColor="accent3" w:themeShade="80"/>
          <w:sz w:val="36"/>
          <w:szCs w:val="36"/>
        </w:rPr>
      </w:pPr>
      <w:r>
        <w:rPr>
          <w:b/>
          <w:color w:val="4F6228" w:themeColor="accent3" w:themeShade="80"/>
          <w:sz w:val="36"/>
          <w:szCs w:val="36"/>
        </w:rPr>
        <w:br w:type="page"/>
      </w:r>
    </w:p>
    <w:p w14:paraId="3B4F84C3" w14:textId="32DE648C"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rPr>
        <w:t>© Copyright</w:t>
      </w:r>
      <w:r w:rsidR="00F81562">
        <w:rPr>
          <w:rFonts w:asciiTheme="minorHAnsi" w:hAnsiTheme="minorHAnsi" w:cstheme="minorHAnsi"/>
        </w:rPr>
        <w:t xml:space="preserve"> Commonwealth of Australia, 2020</w:t>
      </w:r>
    </w:p>
    <w:p w14:paraId="3B4F84C4" w14:textId="77777777"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noProof/>
          <w:lang w:eastAsia="en-AU" w:bidi="ar-SA"/>
        </w:rPr>
        <w:drawing>
          <wp:inline distT="0" distB="0" distL="0" distR="0" wp14:anchorId="3B4F95B7" wp14:editId="64F52BA3">
            <wp:extent cx="1809750" cy="628650"/>
            <wp:effectExtent l="0" t="0" r="0" b="0"/>
            <wp:docPr id="461" name="Picture 461"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a:noFill/>
                    </a:ln>
                  </pic:spPr>
                </pic:pic>
              </a:graphicData>
            </a:graphic>
          </wp:inline>
        </w:drawing>
      </w:r>
    </w:p>
    <w:p w14:paraId="3B4F84C5" w14:textId="11C295F8" w:rsidR="00BC4426" w:rsidRDefault="004D599F" w:rsidP="00CB047F">
      <w:pPr>
        <w:pStyle w:val="BodyText1"/>
        <w:spacing w:after="0" w:line="240" w:lineRule="auto"/>
        <w:jc w:val="left"/>
        <w:rPr>
          <w:rFonts w:asciiTheme="minorHAnsi" w:hAnsiTheme="minorHAnsi" w:cstheme="minorHAnsi"/>
        </w:rPr>
      </w:pPr>
      <w:r>
        <w:rPr>
          <w:rFonts w:asciiTheme="minorHAnsi" w:hAnsiTheme="minorHAnsi" w:cstheme="minorHAnsi"/>
        </w:rPr>
        <w:t xml:space="preserve">‘Commonwealth Environmental Water Office </w:t>
      </w:r>
      <w:r w:rsidR="00F81562">
        <w:rPr>
          <w:rFonts w:asciiTheme="minorHAnsi" w:hAnsiTheme="minorHAnsi" w:cstheme="minorHAnsi"/>
        </w:rPr>
        <w:t>Monitoring, Evaluation and Research</w:t>
      </w:r>
      <w:r>
        <w:rPr>
          <w:rFonts w:asciiTheme="minorHAnsi" w:hAnsiTheme="minorHAnsi" w:cstheme="minorHAnsi"/>
        </w:rPr>
        <w:t xml:space="preserve"> Project: Edward</w:t>
      </w:r>
      <w:r w:rsidR="008E27F6">
        <w:rPr>
          <w:rFonts w:asciiTheme="minorHAnsi" w:hAnsiTheme="minorHAnsi" w:cstheme="minorHAnsi"/>
        </w:rPr>
        <w:t>/Kolety</w:t>
      </w:r>
      <w:r>
        <w:rPr>
          <w:rFonts w:asciiTheme="minorHAnsi" w:hAnsiTheme="minorHAnsi" w:cstheme="minorHAnsi"/>
        </w:rPr>
        <w:t xml:space="preserve">-Wakool </w:t>
      </w:r>
      <w:r w:rsidR="00BC4426">
        <w:rPr>
          <w:rFonts w:asciiTheme="minorHAnsi" w:hAnsiTheme="minorHAnsi" w:cstheme="minorHAnsi"/>
        </w:rPr>
        <w:t xml:space="preserve">River System </w:t>
      </w:r>
      <w:r>
        <w:rPr>
          <w:rFonts w:asciiTheme="minorHAnsi" w:hAnsiTheme="minorHAnsi" w:cstheme="minorHAnsi"/>
        </w:rPr>
        <w:t>Sele</w:t>
      </w:r>
      <w:r w:rsidR="00BC4426">
        <w:rPr>
          <w:rFonts w:asciiTheme="minorHAnsi" w:hAnsiTheme="minorHAnsi" w:cstheme="minorHAnsi"/>
        </w:rPr>
        <w:t>c</w:t>
      </w:r>
      <w:r w:rsidR="00172EA9">
        <w:rPr>
          <w:rFonts w:asciiTheme="minorHAnsi" w:hAnsiTheme="minorHAnsi" w:cstheme="minorHAnsi"/>
        </w:rPr>
        <w:t xml:space="preserve">ted Area </w:t>
      </w:r>
      <w:r w:rsidR="00F77AA7">
        <w:rPr>
          <w:rFonts w:asciiTheme="minorHAnsi" w:hAnsiTheme="minorHAnsi" w:cstheme="minorHAnsi"/>
        </w:rPr>
        <w:t>Technical</w:t>
      </w:r>
      <w:r w:rsidR="00172EA9">
        <w:rPr>
          <w:rFonts w:asciiTheme="minorHAnsi" w:hAnsiTheme="minorHAnsi" w:cstheme="minorHAnsi"/>
        </w:rPr>
        <w:t xml:space="preserve"> Report, </w:t>
      </w:r>
      <w:r w:rsidR="00F77AA7">
        <w:rPr>
          <w:rFonts w:asciiTheme="minorHAnsi" w:hAnsiTheme="minorHAnsi" w:cstheme="minorHAnsi"/>
        </w:rPr>
        <w:t>201</w:t>
      </w:r>
      <w:r w:rsidR="00F81562">
        <w:rPr>
          <w:rFonts w:asciiTheme="minorHAnsi" w:hAnsiTheme="minorHAnsi" w:cstheme="minorHAnsi"/>
        </w:rPr>
        <w:t>9-20</w:t>
      </w:r>
      <w:r w:rsidR="00554CD6">
        <w:rPr>
          <w:rFonts w:asciiTheme="minorHAnsi" w:hAnsiTheme="minorHAnsi" w:cstheme="minorHAnsi"/>
        </w:rPr>
        <w:t xml:space="preserve"> </w:t>
      </w:r>
      <w:r>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5" w:history="1">
        <w:r>
          <w:rPr>
            <w:rStyle w:val="Hyperlink"/>
            <w:rFonts w:asciiTheme="minorHAnsi" w:hAnsiTheme="minorHAnsi" w:cstheme="minorHAnsi"/>
          </w:rPr>
          <w:t>http://creativecommons.org/licenses/by/3.0/au/</w:t>
        </w:r>
      </w:hyperlink>
      <w:r w:rsidR="00BC4426">
        <w:rPr>
          <w:rFonts w:asciiTheme="minorHAnsi" w:hAnsiTheme="minorHAnsi" w:cstheme="minorHAnsi"/>
        </w:rPr>
        <w:t xml:space="preserve"> </w:t>
      </w:r>
    </w:p>
    <w:p w14:paraId="40CA568F" w14:textId="77777777" w:rsidR="00791706" w:rsidRDefault="00791706" w:rsidP="004D599F">
      <w:pPr>
        <w:pStyle w:val="BodyText1"/>
        <w:spacing w:after="0" w:line="240" w:lineRule="auto"/>
        <w:rPr>
          <w:rFonts w:asciiTheme="minorHAnsi" w:hAnsiTheme="minorHAnsi" w:cstheme="minorHAnsi"/>
          <w:b/>
        </w:rPr>
      </w:pPr>
    </w:p>
    <w:p w14:paraId="3B4F84C6" w14:textId="0AB97020" w:rsidR="00BC4426" w:rsidRDefault="00BC4426" w:rsidP="004D599F">
      <w:pPr>
        <w:pStyle w:val="BodyText1"/>
        <w:spacing w:after="0" w:line="240" w:lineRule="auto"/>
        <w:rPr>
          <w:rFonts w:asciiTheme="minorHAnsi" w:hAnsiTheme="minorHAnsi" w:cstheme="minorHAnsi"/>
        </w:rPr>
      </w:pPr>
      <w:r w:rsidRPr="00BC4426">
        <w:rPr>
          <w:rFonts w:asciiTheme="minorHAnsi" w:hAnsiTheme="minorHAnsi" w:cstheme="minorHAnsi"/>
          <w:b/>
        </w:rPr>
        <w:t>Citation</w:t>
      </w:r>
      <w:r>
        <w:rPr>
          <w:rFonts w:asciiTheme="minorHAnsi" w:hAnsiTheme="minorHAnsi" w:cstheme="minorHAnsi"/>
          <w:b/>
        </w:rPr>
        <w:t>:</w:t>
      </w:r>
      <w:r>
        <w:rPr>
          <w:rFonts w:asciiTheme="minorHAnsi" w:hAnsiTheme="minorHAnsi" w:cstheme="minorHAnsi"/>
        </w:rPr>
        <w:t xml:space="preserve"> This report should be attributed as</w:t>
      </w:r>
    </w:p>
    <w:p w14:paraId="3B4F84C7" w14:textId="7C6817DF" w:rsidR="00BC4426" w:rsidRDefault="00C8533D" w:rsidP="00912683">
      <w:pPr>
        <w:pStyle w:val="BodyText1"/>
        <w:spacing w:after="0" w:line="240" w:lineRule="auto"/>
        <w:ind w:right="-284"/>
        <w:jc w:val="left"/>
        <w:rPr>
          <w:rFonts w:asciiTheme="minorHAnsi" w:hAnsiTheme="minorHAnsi" w:cstheme="minorHAnsi"/>
        </w:rPr>
      </w:pPr>
      <w:r w:rsidRPr="007C210D">
        <w:rPr>
          <w:rFonts w:asciiTheme="minorHAnsi" w:hAnsiTheme="minorHAnsi"/>
          <w:bCs/>
        </w:rPr>
        <w:t xml:space="preserve">Watts R.J., </w:t>
      </w:r>
      <w:r w:rsidR="00791706" w:rsidRPr="007C210D">
        <w:rPr>
          <w:rFonts w:asciiTheme="minorHAnsi" w:hAnsiTheme="minorHAnsi"/>
          <w:bCs/>
        </w:rPr>
        <w:t xml:space="preserve">Bond N.R, Healy S., Liu X., McCasker N.G., </w:t>
      </w:r>
      <w:r w:rsidR="0046477B" w:rsidRPr="007C210D">
        <w:rPr>
          <w:rFonts w:asciiTheme="minorHAnsi" w:hAnsiTheme="minorHAnsi"/>
          <w:bCs/>
        </w:rPr>
        <w:t xml:space="preserve">Siebers A., </w:t>
      </w:r>
      <w:r w:rsidR="00373180" w:rsidRPr="007C210D">
        <w:rPr>
          <w:rFonts w:asciiTheme="minorHAnsi" w:hAnsiTheme="minorHAnsi"/>
          <w:bCs/>
        </w:rPr>
        <w:t xml:space="preserve">Sutton N., </w:t>
      </w:r>
      <w:r w:rsidRPr="007C210D">
        <w:rPr>
          <w:rFonts w:asciiTheme="minorHAnsi" w:hAnsiTheme="minorHAnsi"/>
          <w:bCs/>
        </w:rPr>
        <w:t>Thiem</w:t>
      </w:r>
      <w:r w:rsidR="00F77AA7" w:rsidRPr="007C210D">
        <w:rPr>
          <w:rFonts w:asciiTheme="minorHAnsi" w:hAnsiTheme="minorHAnsi"/>
          <w:bCs/>
        </w:rPr>
        <w:t xml:space="preserve"> J.</w:t>
      </w:r>
      <w:r w:rsidRPr="007C210D">
        <w:rPr>
          <w:rFonts w:asciiTheme="minorHAnsi" w:hAnsiTheme="minorHAnsi"/>
          <w:bCs/>
        </w:rPr>
        <w:t xml:space="preserve">D., </w:t>
      </w:r>
      <w:r w:rsidR="00F77AA7" w:rsidRPr="007C210D">
        <w:rPr>
          <w:rFonts w:asciiTheme="minorHAnsi" w:hAnsiTheme="minorHAnsi"/>
          <w:bCs/>
        </w:rPr>
        <w:t>Trethewie J</w:t>
      </w:r>
      <w:r w:rsidR="00791706" w:rsidRPr="007C210D">
        <w:rPr>
          <w:rFonts w:asciiTheme="minorHAnsi" w:hAnsiTheme="minorHAnsi"/>
          <w:bCs/>
        </w:rPr>
        <w:t>.A.</w:t>
      </w:r>
      <w:r w:rsidR="00792F87" w:rsidRPr="007C210D">
        <w:rPr>
          <w:rFonts w:asciiTheme="minorHAnsi" w:hAnsiTheme="minorHAnsi"/>
          <w:bCs/>
        </w:rPr>
        <w:t xml:space="preserve">, </w:t>
      </w:r>
      <w:r w:rsidR="00373180" w:rsidRPr="007C210D">
        <w:rPr>
          <w:rFonts w:asciiTheme="minorHAnsi" w:hAnsiTheme="minorHAnsi"/>
          <w:bCs/>
        </w:rPr>
        <w:t>Vietz G.,</w:t>
      </w:r>
      <w:r w:rsidR="0046477B" w:rsidRPr="007C210D">
        <w:rPr>
          <w:rFonts w:asciiTheme="minorHAnsi" w:hAnsiTheme="minorHAnsi"/>
          <w:bCs/>
        </w:rPr>
        <w:t xml:space="preserve"> </w:t>
      </w:r>
      <w:r w:rsidR="00792F87" w:rsidRPr="007C210D">
        <w:rPr>
          <w:rFonts w:asciiTheme="minorHAnsi" w:hAnsiTheme="minorHAnsi"/>
          <w:bCs/>
        </w:rPr>
        <w:t>Wright D.W.</w:t>
      </w:r>
      <w:r>
        <w:rPr>
          <w:rFonts w:asciiTheme="minorHAnsi" w:hAnsiTheme="minorHAnsi"/>
          <w:bCs/>
        </w:rPr>
        <w:t xml:space="preserve"> </w:t>
      </w:r>
      <w:r w:rsidR="00F81562">
        <w:rPr>
          <w:rFonts w:asciiTheme="minorHAnsi" w:hAnsiTheme="minorHAnsi"/>
          <w:bCs/>
        </w:rPr>
        <w:t>(2020</w:t>
      </w:r>
      <w:r w:rsidR="00BC4426" w:rsidRPr="00BC4426">
        <w:rPr>
          <w:rFonts w:asciiTheme="minorHAnsi" w:hAnsiTheme="minorHAnsi"/>
          <w:bCs/>
        </w:rPr>
        <w:t>).</w:t>
      </w:r>
      <w:r w:rsidR="00BC4426">
        <w:rPr>
          <w:bCs/>
        </w:rPr>
        <w:t xml:space="preserve"> </w:t>
      </w:r>
      <w:r w:rsidR="004D599F">
        <w:rPr>
          <w:rFonts w:asciiTheme="minorHAnsi" w:hAnsiTheme="minorHAnsi" w:cstheme="minorHAnsi"/>
        </w:rPr>
        <w:t xml:space="preserve">‘Commonwealth Environmental Water Office </w:t>
      </w:r>
      <w:r w:rsidR="00F81562">
        <w:rPr>
          <w:rFonts w:asciiTheme="minorHAnsi" w:hAnsiTheme="minorHAnsi" w:cstheme="minorHAnsi"/>
        </w:rPr>
        <w:t xml:space="preserve">Monitoring, Evaluation and Research </w:t>
      </w:r>
      <w:r w:rsidR="004D599F">
        <w:rPr>
          <w:rFonts w:asciiTheme="minorHAnsi" w:hAnsiTheme="minorHAnsi" w:cstheme="minorHAnsi"/>
        </w:rPr>
        <w:t>Project: Edward</w:t>
      </w:r>
      <w:r w:rsidR="008E27F6">
        <w:rPr>
          <w:rFonts w:asciiTheme="minorHAnsi" w:hAnsiTheme="minorHAnsi" w:cstheme="minorHAnsi"/>
        </w:rPr>
        <w:t>/Kolety</w:t>
      </w:r>
      <w:r w:rsidR="004D599F">
        <w:rPr>
          <w:rFonts w:asciiTheme="minorHAnsi" w:hAnsiTheme="minorHAnsi" w:cstheme="minorHAnsi"/>
        </w:rPr>
        <w:t xml:space="preserve">-Wakool </w:t>
      </w:r>
      <w:r w:rsidR="00BC4426">
        <w:rPr>
          <w:rFonts w:asciiTheme="minorHAnsi" w:hAnsiTheme="minorHAnsi" w:cstheme="minorHAnsi"/>
        </w:rPr>
        <w:t xml:space="preserve">River System </w:t>
      </w:r>
      <w:r w:rsidR="004D599F">
        <w:rPr>
          <w:rFonts w:asciiTheme="minorHAnsi" w:hAnsiTheme="minorHAnsi" w:cstheme="minorHAnsi"/>
        </w:rPr>
        <w:t>Sele</w:t>
      </w:r>
      <w:r w:rsidR="00BC4426">
        <w:rPr>
          <w:rFonts w:asciiTheme="minorHAnsi" w:hAnsiTheme="minorHAnsi" w:cstheme="minorHAnsi"/>
        </w:rPr>
        <w:t xml:space="preserve">cted </w:t>
      </w:r>
      <w:r w:rsidR="00F77AA7">
        <w:rPr>
          <w:rFonts w:asciiTheme="minorHAnsi" w:hAnsiTheme="minorHAnsi" w:cstheme="minorHAnsi"/>
        </w:rPr>
        <w:t>Area Technical Report, 201</w:t>
      </w:r>
      <w:r w:rsidR="00F81562">
        <w:rPr>
          <w:rFonts w:asciiTheme="minorHAnsi" w:hAnsiTheme="minorHAnsi" w:cstheme="minorHAnsi"/>
        </w:rPr>
        <w:t>9-20</w:t>
      </w:r>
      <w:r w:rsidR="004D599F" w:rsidRPr="00BC4426">
        <w:rPr>
          <w:rFonts w:asciiTheme="minorHAnsi" w:hAnsiTheme="minorHAnsi" w:cstheme="minorHAnsi"/>
        </w:rPr>
        <w:t xml:space="preserve">’. </w:t>
      </w:r>
      <w:r w:rsidR="00BC4426">
        <w:rPr>
          <w:rFonts w:asciiTheme="minorHAnsi" w:hAnsiTheme="minorHAnsi"/>
          <w:bCs/>
        </w:rPr>
        <w:t xml:space="preserve">Report prepared for </w:t>
      </w:r>
      <w:r w:rsidR="00BC4426" w:rsidRPr="00BC4426">
        <w:rPr>
          <w:rFonts w:asciiTheme="minorHAnsi" w:hAnsiTheme="minorHAnsi"/>
        </w:rPr>
        <w:t>Commonwealth Environmental Water</w:t>
      </w:r>
      <w:r w:rsidR="00BC4426">
        <w:rPr>
          <w:rFonts w:asciiTheme="minorHAnsi" w:hAnsiTheme="minorHAnsi"/>
        </w:rPr>
        <w:t xml:space="preserve"> Office</w:t>
      </w:r>
      <w:r w:rsidR="00BC4426" w:rsidRPr="00BC4426">
        <w:rPr>
          <w:rFonts w:asciiTheme="minorHAnsi" w:hAnsiTheme="minorHAnsi"/>
        </w:rPr>
        <w:t>.</w:t>
      </w:r>
      <w:r w:rsidR="00BC4426">
        <w:rPr>
          <w:rFonts w:asciiTheme="minorHAnsi" w:hAnsiTheme="minorHAnsi"/>
        </w:rPr>
        <w:t xml:space="preserve"> Commonwealth of Australia.</w:t>
      </w:r>
    </w:p>
    <w:p w14:paraId="3B4F84C8" w14:textId="77777777" w:rsidR="004D599F" w:rsidRDefault="004D599F" w:rsidP="00875E3A">
      <w:pPr>
        <w:pStyle w:val="BodyText1"/>
        <w:spacing w:before="0" w:after="240" w:line="240" w:lineRule="auto"/>
        <w:rPr>
          <w:rFonts w:asciiTheme="minorHAnsi" w:hAnsiTheme="minorHAnsi" w:cstheme="minorHAnsi"/>
        </w:rPr>
      </w:pPr>
      <w:r>
        <w:rPr>
          <w:rFonts w:asciiTheme="minorHAnsi" w:hAnsiTheme="minorHAnsi" w:cstheme="minorHAnsi"/>
        </w:rPr>
        <w:t>The Commonwealth of Australia has made all reasonable efforts to identify content supplied by third parties using the following format ‘© Copyright.</w:t>
      </w:r>
    </w:p>
    <w:p w14:paraId="3B4F84C9" w14:textId="77777777" w:rsidR="004D599F" w:rsidRDefault="004D599F" w:rsidP="004D599F">
      <w:pPr>
        <w:pStyle w:val="BodyText1"/>
        <w:spacing w:after="0" w:line="240" w:lineRule="auto"/>
        <w:rPr>
          <w:rFonts w:asciiTheme="minorHAnsi" w:hAnsiTheme="minorHAnsi" w:cstheme="minorHAnsi"/>
          <w:b/>
        </w:rPr>
      </w:pPr>
      <w:r>
        <w:rPr>
          <w:rFonts w:asciiTheme="minorHAnsi" w:hAnsiTheme="minorHAnsi" w:cstheme="minorHAnsi"/>
          <w:b/>
        </w:rPr>
        <w:t>Disclaimer</w:t>
      </w:r>
      <w:r w:rsidR="00BC4426">
        <w:rPr>
          <w:rFonts w:asciiTheme="minorHAnsi" w:hAnsiTheme="minorHAnsi" w:cstheme="minorHAnsi"/>
          <w:b/>
        </w:rPr>
        <w:t>:</w:t>
      </w:r>
    </w:p>
    <w:p w14:paraId="3B4F84CA" w14:textId="77777777" w:rsidR="00BC4426" w:rsidRDefault="004D599F" w:rsidP="00912683">
      <w:pPr>
        <w:pStyle w:val="BodyText1"/>
        <w:spacing w:before="0" w:after="240" w:line="240" w:lineRule="auto"/>
        <w:ind w:right="-284"/>
        <w:jc w:val="left"/>
        <w:rPr>
          <w:rFonts w:asciiTheme="minorHAnsi" w:hAnsiTheme="minorHAnsi" w:cstheme="minorHAnsi"/>
        </w:rPr>
      </w:pPr>
      <w:r>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tbl>
      <w:tblPr>
        <w:tblStyle w:val="TableGrid"/>
        <w:tblW w:w="0" w:type="auto"/>
        <w:tblLook w:val="04A0" w:firstRow="1" w:lastRow="0" w:firstColumn="1" w:lastColumn="0" w:noHBand="0" w:noVBand="1"/>
      </w:tblPr>
      <w:tblGrid>
        <w:gridCol w:w="4247"/>
        <w:gridCol w:w="4248"/>
      </w:tblGrid>
      <w:tr w:rsidR="002A7F2B" w14:paraId="359E7457" w14:textId="77777777" w:rsidTr="002A7F2B">
        <w:tc>
          <w:tcPr>
            <w:tcW w:w="4247" w:type="dxa"/>
          </w:tcPr>
          <w:p w14:paraId="4CF42131" w14:textId="44C489EC" w:rsidR="002A7F2B" w:rsidRDefault="00555A1C" w:rsidP="002228D5">
            <w:pPr>
              <w:spacing w:before="480" w:after="0" w:line="320" w:lineRule="exact"/>
              <w:ind w:left="313"/>
              <w:rPr>
                <w:lang w:eastAsia="zh-CN" w:bidi="th-TH"/>
              </w:rPr>
            </w:pPr>
            <w:r>
              <w:rPr>
                <w:noProof/>
                <w:lang w:eastAsia="en-AU"/>
              </w:rPr>
              <w:drawing>
                <wp:inline distT="0" distB="0" distL="0" distR="0" wp14:anchorId="5B11798B" wp14:editId="7EE8D1C6">
                  <wp:extent cx="1268095" cy="359410"/>
                  <wp:effectExtent l="0" t="0" r="8255" b="254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268095" cy="359410"/>
                          </a:xfrm>
                          <a:prstGeom prst="rect">
                            <a:avLst/>
                          </a:prstGeom>
                          <a:noFill/>
                        </pic:spPr>
                      </pic:pic>
                    </a:graphicData>
                  </a:graphic>
                </wp:inline>
              </w:drawing>
            </w:r>
          </w:p>
        </w:tc>
        <w:tc>
          <w:tcPr>
            <w:tcW w:w="4248" w:type="dxa"/>
          </w:tcPr>
          <w:p w14:paraId="673DCF75" w14:textId="77777777" w:rsidR="002A7F2B" w:rsidRDefault="002A7F2B" w:rsidP="002A7F2B">
            <w:pPr>
              <w:spacing w:after="0" w:line="240" w:lineRule="auto"/>
              <w:rPr>
                <w:sz w:val="20"/>
              </w:rPr>
            </w:pPr>
            <w:r>
              <w:rPr>
                <w:bCs/>
                <w:sz w:val="20"/>
              </w:rPr>
              <w:t>Institute for Land, Water and Society</w:t>
            </w:r>
          </w:p>
          <w:p w14:paraId="20725D6E" w14:textId="77777777" w:rsidR="002A7F2B" w:rsidRDefault="002A7F2B" w:rsidP="002A7F2B">
            <w:pPr>
              <w:spacing w:after="0" w:line="240" w:lineRule="auto"/>
              <w:rPr>
                <w:sz w:val="20"/>
              </w:rPr>
            </w:pPr>
            <w:r>
              <w:rPr>
                <w:sz w:val="20"/>
              </w:rPr>
              <w:t xml:space="preserve">Charles Sturt University </w:t>
            </w:r>
          </w:p>
          <w:p w14:paraId="4CAA201A" w14:textId="5E771A14" w:rsidR="002A7F2B" w:rsidRDefault="002A7F2B" w:rsidP="002A7F2B">
            <w:pPr>
              <w:spacing w:after="0" w:line="240" w:lineRule="auto"/>
              <w:rPr>
                <w:lang w:eastAsia="zh-CN" w:bidi="th-TH"/>
              </w:rPr>
            </w:pPr>
            <w:r>
              <w:rPr>
                <w:sz w:val="20"/>
              </w:rPr>
              <w:t>PO Box789, Albury, NSW 2640</w:t>
            </w:r>
          </w:p>
        </w:tc>
      </w:tr>
      <w:tr w:rsidR="002A7F2B" w14:paraId="30A52901" w14:textId="77777777" w:rsidTr="002A7F2B">
        <w:tc>
          <w:tcPr>
            <w:tcW w:w="4247" w:type="dxa"/>
          </w:tcPr>
          <w:p w14:paraId="1AE200DA" w14:textId="1A59C888" w:rsidR="002A7F2B" w:rsidRDefault="002A7F2B" w:rsidP="002228D5">
            <w:pPr>
              <w:spacing w:before="480" w:after="0" w:line="320" w:lineRule="exact"/>
              <w:ind w:left="596" w:hanging="283"/>
              <w:rPr>
                <w:lang w:eastAsia="zh-CN" w:bidi="th-TH"/>
              </w:rPr>
            </w:pPr>
            <w:r>
              <w:rPr>
                <w:noProof/>
                <w:lang w:eastAsia="en-AU"/>
              </w:rPr>
              <w:drawing>
                <wp:inline distT="0" distB="0" distL="0" distR="0" wp14:anchorId="016ECA13" wp14:editId="124AE504">
                  <wp:extent cx="1704975" cy="428625"/>
                  <wp:effectExtent l="0" t="0" r="9525" b="9525"/>
                  <wp:docPr id="467" name="Picture 467"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_logo_colour_rgb.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704975" cy="428625"/>
                          </a:xfrm>
                          <a:prstGeom prst="rect">
                            <a:avLst/>
                          </a:prstGeom>
                          <a:noFill/>
                          <a:ln>
                            <a:noFill/>
                          </a:ln>
                        </pic:spPr>
                      </pic:pic>
                    </a:graphicData>
                  </a:graphic>
                </wp:inline>
              </w:drawing>
            </w:r>
          </w:p>
        </w:tc>
        <w:tc>
          <w:tcPr>
            <w:tcW w:w="4248" w:type="dxa"/>
          </w:tcPr>
          <w:p w14:paraId="7D5B5056" w14:textId="77777777" w:rsidR="002A7F2B" w:rsidRDefault="002A7F2B" w:rsidP="002A7F2B">
            <w:pPr>
              <w:spacing w:after="0" w:line="240" w:lineRule="auto"/>
              <w:rPr>
                <w:sz w:val="20"/>
              </w:rPr>
            </w:pPr>
            <w:r>
              <w:rPr>
                <w:sz w:val="20"/>
              </w:rPr>
              <w:t>NSW Department of Primary Industries</w:t>
            </w:r>
          </w:p>
          <w:p w14:paraId="1E02FB25" w14:textId="1DB5FF2B" w:rsidR="002A7F2B" w:rsidRDefault="002A7F2B" w:rsidP="002A7F2B">
            <w:pPr>
              <w:spacing w:after="0" w:line="240" w:lineRule="auto"/>
              <w:rPr>
                <w:sz w:val="20"/>
              </w:rPr>
            </w:pPr>
            <w:r>
              <w:rPr>
                <w:sz w:val="20"/>
              </w:rPr>
              <w:t>Narrandera Fisheries Centre,</w:t>
            </w:r>
          </w:p>
          <w:p w14:paraId="6B477D77" w14:textId="73697BDA" w:rsidR="002A7F2B" w:rsidRDefault="002A7F2B" w:rsidP="002A7F2B">
            <w:pPr>
              <w:spacing w:after="0" w:line="240" w:lineRule="auto"/>
              <w:rPr>
                <w:lang w:eastAsia="zh-CN" w:bidi="th-TH"/>
              </w:rPr>
            </w:pPr>
            <w:r>
              <w:rPr>
                <w:sz w:val="20"/>
              </w:rPr>
              <w:t>PO Box 182, Narrandera NSW 2700</w:t>
            </w:r>
          </w:p>
        </w:tc>
      </w:tr>
      <w:tr w:rsidR="002A7F2B" w14:paraId="4AAFFBAB" w14:textId="77777777" w:rsidTr="002A7F2B">
        <w:tc>
          <w:tcPr>
            <w:tcW w:w="4247" w:type="dxa"/>
          </w:tcPr>
          <w:p w14:paraId="4B22DF0F" w14:textId="47A98AA4" w:rsidR="002A7F2B" w:rsidRDefault="002228D5" w:rsidP="002228D5">
            <w:pPr>
              <w:spacing w:after="0" w:line="240" w:lineRule="auto"/>
              <w:ind w:firstLine="313"/>
              <w:rPr>
                <w:lang w:eastAsia="zh-CN" w:bidi="th-TH"/>
              </w:rPr>
            </w:pPr>
            <w:r>
              <w:rPr>
                <w:noProof/>
                <w:lang w:eastAsia="en-AU"/>
              </w:rPr>
              <w:drawing>
                <wp:inline distT="0" distB="0" distL="0" distR="0" wp14:anchorId="4E3888E6" wp14:editId="69E8B8CB">
                  <wp:extent cx="1365885" cy="506095"/>
                  <wp:effectExtent l="0" t="0" r="5715" b="825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65885" cy="506095"/>
                          </a:xfrm>
                          <a:prstGeom prst="rect">
                            <a:avLst/>
                          </a:prstGeom>
                          <a:noFill/>
                        </pic:spPr>
                      </pic:pic>
                    </a:graphicData>
                  </a:graphic>
                </wp:inline>
              </w:drawing>
            </w:r>
          </w:p>
        </w:tc>
        <w:tc>
          <w:tcPr>
            <w:tcW w:w="4248" w:type="dxa"/>
          </w:tcPr>
          <w:p w14:paraId="344A654E" w14:textId="77777777" w:rsidR="002228D5" w:rsidRDefault="002228D5" w:rsidP="002228D5">
            <w:pPr>
              <w:spacing w:after="0" w:line="240" w:lineRule="auto"/>
              <w:jc w:val="left"/>
              <w:rPr>
                <w:sz w:val="20"/>
              </w:rPr>
            </w:pPr>
            <w:r>
              <w:rPr>
                <w:sz w:val="20"/>
              </w:rPr>
              <w:t>NSW Department of Planning, Industry and Environment</w:t>
            </w:r>
          </w:p>
          <w:p w14:paraId="13D4182C" w14:textId="04ED37A3" w:rsidR="002A7F2B" w:rsidRPr="002228D5" w:rsidRDefault="002228D5" w:rsidP="002A7F2B">
            <w:pPr>
              <w:spacing w:after="0" w:line="240" w:lineRule="auto"/>
              <w:rPr>
                <w:sz w:val="20"/>
              </w:rPr>
            </w:pPr>
            <w:r>
              <w:rPr>
                <w:sz w:val="20"/>
              </w:rPr>
              <w:t>PO Box 363, Buronga NSW 2739</w:t>
            </w:r>
          </w:p>
        </w:tc>
      </w:tr>
      <w:tr w:rsidR="002A7F2B" w14:paraId="5992E7D1" w14:textId="77777777" w:rsidTr="002A7F2B">
        <w:tc>
          <w:tcPr>
            <w:tcW w:w="4247" w:type="dxa"/>
          </w:tcPr>
          <w:p w14:paraId="5C56A4FD" w14:textId="097F6B9B" w:rsidR="002A7F2B" w:rsidRDefault="00F763AE" w:rsidP="002228D5">
            <w:pPr>
              <w:spacing w:before="600" w:after="0" w:line="320" w:lineRule="exact"/>
              <w:ind w:firstLine="313"/>
              <w:rPr>
                <w:lang w:eastAsia="zh-CN" w:bidi="th-TH"/>
              </w:rPr>
            </w:pPr>
            <w:r>
              <w:rPr>
                <w:noProof/>
                <w:lang w:eastAsia="en-AU"/>
              </w:rPr>
              <w:drawing>
                <wp:inline distT="0" distB="0" distL="0" distR="0" wp14:anchorId="09BCBB47" wp14:editId="5E554D32">
                  <wp:extent cx="1457325" cy="469265"/>
                  <wp:effectExtent l="0" t="0" r="9525" b="6985"/>
                  <wp:docPr id="22643" name="Picture 2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57325" cy="469265"/>
                          </a:xfrm>
                          <a:prstGeom prst="rect">
                            <a:avLst/>
                          </a:prstGeom>
                          <a:noFill/>
                        </pic:spPr>
                      </pic:pic>
                    </a:graphicData>
                  </a:graphic>
                </wp:inline>
              </w:drawing>
            </w:r>
          </w:p>
        </w:tc>
        <w:tc>
          <w:tcPr>
            <w:tcW w:w="4248" w:type="dxa"/>
          </w:tcPr>
          <w:p w14:paraId="3EFF6585" w14:textId="77777777" w:rsidR="002228D5" w:rsidRPr="00D17A3B" w:rsidRDefault="002228D5" w:rsidP="002228D5">
            <w:pPr>
              <w:spacing w:after="0" w:line="240" w:lineRule="auto"/>
              <w:rPr>
                <w:sz w:val="20"/>
              </w:rPr>
            </w:pPr>
            <w:r w:rsidRPr="00D17A3B">
              <w:rPr>
                <w:sz w:val="20"/>
              </w:rPr>
              <w:t>School of Life Scien</w:t>
            </w:r>
            <w:r>
              <w:rPr>
                <w:sz w:val="20"/>
              </w:rPr>
              <w:t>ces</w:t>
            </w:r>
          </w:p>
          <w:p w14:paraId="66E671A9" w14:textId="77777777" w:rsidR="002228D5" w:rsidRPr="00D17A3B" w:rsidRDefault="002228D5" w:rsidP="002228D5">
            <w:pPr>
              <w:spacing w:after="0" w:line="240" w:lineRule="auto"/>
              <w:rPr>
                <w:sz w:val="20"/>
              </w:rPr>
            </w:pPr>
            <w:r w:rsidRPr="00D17A3B">
              <w:rPr>
                <w:sz w:val="20"/>
              </w:rPr>
              <w:t>La Trobe University</w:t>
            </w:r>
          </w:p>
          <w:p w14:paraId="03045DE6" w14:textId="31A35223" w:rsidR="002A7F2B" w:rsidRPr="00D17A3B" w:rsidRDefault="002228D5" w:rsidP="002228D5">
            <w:pPr>
              <w:spacing w:after="0" w:line="240" w:lineRule="auto"/>
              <w:rPr>
                <w:sz w:val="20"/>
              </w:rPr>
            </w:pPr>
            <w:r w:rsidRPr="00D17A3B">
              <w:rPr>
                <w:sz w:val="20"/>
              </w:rPr>
              <w:t>PO Box 821,Wodonga 3689</w:t>
            </w:r>
          </w:p>
        </w:tc>
      </w:tr>
      <w:tr w:rsidR="002A7F2B" w14:paraId="5125A714" w14:textId="77777777" w:rsidTr="002A7F2B">
        <w:tc>
          <w:tcPr>
            <w:tcW w:w="4247" w:type="dxa"/>
          </w:tcPr>
          <w:p w14:paraId="73D41DA8" w14:textId="5FBD5DE0" w:rsidR="002A7F2B" w:rsidRDefault="00F763AE" w:rsidP="002228D5">
            <w:pPr>
              <w:spacing w:before="480" w:after="0" w:line="320" w:lineRule="exact"/>
              <w:ind w:firstLine="313"/>
              <w:rPr>
                <w:lang w:eastAsia="zh-CN" w:bidi="th-TH"/>
              </w:rPr>
            </w:pPr>
            <w:r>
              <w:rPr>
                <w:noProof/>
                <w:lang w:eastAsia="en-AU"/>
              </w:rPr>
              <w:drawing>
                <wp:inline distT="0" distB="0" distL="0" distR="0" wp14:anchorId="2B9DED31" wp14:editId="4F0A787E">
                  <wp:extent cx="963295" cy="469265"/>
                  <wp:effectExtent l="0" t="0" r="8255" b="6985"/>
                  <wp:docPr id="22644" name="Picture 2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63295" cy="469265"/>
                          </a:xfrm>
                          <a:prstGeom prst="rect">
                            <a:avLst/>
                          </a:prstGeom>
                          <a:noFill/>
                        </pic:spPr>
                      </pic:pic>
                    </a:graphicData>
                  </a:graphic>
                </wp:inline>
              </w:drawing>
            </w:r>
          </w:p>
        </w:tc>
        <w:tc>
          <w:tcPr>
            <w:tcW w:w="4248" w:type="dxa"/>
          </w:tcPr>
          <w:p w14:paraId="5F249AF1" w14:textId="77777777" w:rsidR="002A7F2B" w:rsidRDefault="002228D5" w:rsidP="00D17A3B">
            <w:pPr>
              <w:spacing w:after="0" w:line="240" w:lineRule="auto"/>
              <w:rPr>
                <w:sz w:val="20"/>
              </w:rPr>
            </w:pPr>
            <w:r>
              <w:rPr>
                <w:sz w:val="20"/>
              </w:rPr>
              <w:t>Streamology</w:t>
            </w:r>
          </w:p>
          <w:p w14:paraId="46196FD0" w14:textId="758FA95B" w:rsidR="002228D5" w:rsidRPr="002228D5" w:rsidRDefault="002228D5" w:rsidP="002228D5">
            <w:pPr>
              <w:spacing w:after="0" w:line="240" w:lineRule="auto"/>
              <w:rPr>
                <w:sz w:val="20"/>
              </w:rPr>
            </w:pPr>
            <w:r w:rsidRPr="002228D5">
              <w:rPr>
                <w:sz w:val="20"/>
              </w:rPr>
              <w:t>Waterway science and management</w:t>
            </w:r>
          </w:p>
          <w:p w14:paraId="2B82B9FB" w14:textId="282C7D94" w:rsidR="002228D5" w:rsidRPr="00D17A3B" w:rsidRDefault="002228D5" w:rsidP="00D17A3B">
            <w:pPr>
              <w:spacing w:after="0" w:line="240" w:lineRule="auto"/>
              <w:rPr>
                <w:sz w:val="20"/>
              </w:rPr>
            </w:pPr>
          </w:p>
        </w:tc>
      </w:tr>
      <w:tr w:rsidR="00912683" w14:paraId="7ABF30F9" w14:textId="77777777" w:rsidTr="002A7F2B">
        <w:tc>
          <w:tcPr>
            <w:tcW w:w="4247" w:type="dxa"/>
          </w:tcPr>
          <w:p w14:paraId="09F02ABC" w14:textId="66C7D49E" w:rsidR="00912683" w:rsidRPr="002228D5" w:rsidRDefault="00F763AE" w:rsidP="002228D5">
            <w:pPr>
              <w:spacing w:before="480" w:after="0" w:line="320" w:lineRule="exact"/>
              <w:ind w:firstLine="313"/>
              <w:rPr>
                <w:noProof/>
                <w:lang w:eastAsia="en-AU"/>
              </w:rPr>
            </w:pPr>
            <w:r>
              <w:rPr>
                <w:noProof/>
                <w:lang w:eastAsia="en-AU"/>
              </w:rPr>
              <w:drawing>
                <wp:inline distT="0" distB="0" distL="0" distR="0" wp14:anchorId="4D6D955C" wp14:editId="1D1EF362">
                  <wp:extent cx="956945" cy="396240"/>
                  <wp:effectExtent l="0" t="0" r="0" b="3810"/>
                  <wp:docPr id="22645" name="Picture 2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956945" cy="396240"/>
                          </a:xfrm>
                          <a:prstGeom prst="rect">
                            <a:avLst/>
                          </a:prstGeom>
                          <a:noFill/>
                        </pic:spPr>
                      </pic:pic>
                    </a:graphicData>
                  </a:graphic>
                </wp:inline>
              </w:drawing>
            </w:r>
          </w:p>
        </w:tc>
        <w:tc>
          <w:tcPr>
            <w:tcW w:w="4248" w:type="dxa"/>
          </w:tcPr>
          <w:p w14:paraId="5DA414CF" w14:textId="7C029030" w:rsidR="00912683" w:rsidRDefault="00912683" w:rsidP="00D17A3B">
            <w:pPr>
              <w:spacing w:after="0" w:line="240" w:lineRule="auto"/>
              <w:rPr>
                <w:sz w:val="20"/>
              </w:rPr>
            </w:pPr>
            <w:r>
              <w:rPr>
                <w:sz w:val="20"/>
              </w:rPr>
              <w:t>Edward-Wakool Angling Association</w:t>
            </w:r>
          </w:p>
        </w:tc>
      </w:tr>
    </w:tbl>
    <w:sdt>
      <w:sdtPr>
        <w:rPr>
          <w:rFonts w:ascii="Calibri" w:eastAsia="Calibri" w:hAnsi="Calibri" w:cs="Times New Roman"/>
          <w:b/>
          <w:noProof/>
          <w:szCs w:val="20"/>
          <w:lang w:eastAsia="en-US" w:bidi="ar-SA"/>
        </w:rPr>
        <w:id w:val="1063846258"/>
        <w:docPartObj>
          <w:docPartGallery w:val="Table of Contents"/>
          <w:docPartUnique/>
        </w:docPartObj>
      </w:sdtPr>
      <w:sdtEndPr/>
      <w:sdtContent>
        <w:p w14:paraId="3B4F84D9" w14:textId="77777777" w:rsidR="004D403B" w:rsidRPr="00953E68" w:rsidRDefault="004D403B" w:rsidP="00AA12F0">
          <w:pPr>
            <w:pStyle w:val="BodyText1"/>
            <w:spacing w:before="0" w:after="0"/>
            <w:rPr>
              <w:b/>
              <w:color w:val="215868" w:themeColor="accent5" w:themeShade="80"/>
              <w:sz w:val="32"/>
              <w:szCs w:val="32"/>
            </w:rPr>
          </w:pPr>
          <w:r w:rsidRPr="00953E68">
            <w:rPr>
              <w:b/>
              <w:color w:val="215868" w:themeColor="accent5" w:themeShade="80"/>
              <w:sz w:val="32"/>
              <w:szCs w:val="32"/>
            </w:rPr>
            <w:t>Contents</w:t>
          </w:r>
        </w:p>
        <w:p w14:paraId="3B35A1F2" w14:textId="77777777" w:rsidR="00EF60C7" w:rsidRDefault="00EF60C7">
          <w:pPr>
            <w:pStyle w:val="TOC1"/>
          </w:pPr>
        </w:p>
        <w:p w14:paraId="3DD6225A" w14:textId="77777777" w:rsidR="005A0A52" w:rsidRDefault="000B5FD7">
          <w:pPr>
            <w:pStyle w:val="TOC1"/>
            <w:rPr>
              <w:rFonts w:asciiTheme="minorHAnsi" w:eastAsiaTheme="minorEastAsia" w:hAnsiTheme="minorHAnsi" w:cstheme="minorBidi"/>
              <w:b w:val="0"/>
              <w:szCs w:val="22"/>
              <w:lang w:eastAsia="en-AU"/>
            </w:rPr>
          </w:pPr>
          <w:r>
            <w:fldChar w:fldCharType="begin"/>
          </w:r>
          <w:r w:rsidR="004D403B">
            <w:instrText xml:space="preserve"> TOC \o "1-3" \h \z \u </w:instrText>
          </w:r>
          <w:r>
            <w:fldChar w:fldCharType="separate"/>
          </w:r>
          <w:hyperlink w:anchor="_Toc69846012" w:history="1">
            <w:r w:rsidR="005A0A52" w:rsidRPr="0026136D">
              <w:rPr>
                <w:rStyle w:val="Hyperlink"/>
              </w:rPr>
              <w:t>Executive summary</w:t>
            </w:r>
            <w:r w:rsidR="005A0A52">
              <w:rPr>
                <w:webHidden/>
              </w:rPr>
              <w:tab/>
            </w:r>
            <w:r w:rsidR="005A0A52">
              <w:rPr>
                <w:webHidden/>
              </w:rPr>
              <w:fldChar w:fldCharType="begin"/>
            </w:r>
            <w:r w:rsidR="005A0A52">
              <w:rPr>
                <w:webHidden/>
              </w:rPr>
              <w:instrText xml:space="preserve"> PAGEREF _Toc69846012 \h </w:instrText>
            </w:r>
            <w:r w:rsidR="005A0A52">
              <w:rPr>
                <w:webHidden/>
              </w:rPr>
            </w:r>
            <w:r w:rsidR="005A0A52">
              <w:rPr>
                <w:webHidden/>
              </w:rPr>
              <w:fldChar w:fldCharType="separate"/>
            </w:r>
            <w:r w:rsidR="000A6D80">
              <w:rPr>
                <w:webHidden/>
              </w:rPr>
              <w:t>5</w:t>
            </w:r>
            <w:r w:rsidR="005A0A52">
              <w:rPr>
                <w:webHidden/>
              </w:rPr>
              <w:fldChar w:fldCharType="end"/>
            </w:r>
          </w:hyperlink>
        </w:p>
        <w:p w14:paraId="5AF0AE0D" w14:textId="77777777" w:rsidR="005A0A52" w:rsidRDefault="009B0839">
          <w:pPr>
            <w:pStyle w:val="TOC1"/>
            <w:rPr>
              <w:rFonts w:asciiTheme="minorHAnsi" w:eastAsiaTheme="minorEastAsia" w:hAnsiTheme="minorHAnsi" w:cstheme="minorBidi"/>
              <w:b w:val="0"/>
              <w:szCs w:val="22"/>
              <w:lang w:eastAsia="en-AU"/>
            </w:rPr>
          </w:pPr>
          <w:hyperlink w:anchor="_Toc69846013" w:history="1">
            <w:r w:rsidR="005A0A52" w:rsidRPr="0026136D">
              <w:rPr>
                <w:rStyle w:val="Hyperlink"/>
              </w:rPr>
              <w:t>1</w:t>
            </w:r>
            <w:r w:rsidR="005A0A52">
              <w:rPr>
                <w:rFonts w:asciiTheme="minorHAnsi" w:eastAsiaTheme="minorEastAsia" w:hAnsiTheme="minorHAnsi" w:cstheme="minorBidi"/>
                <w:b w:val="0"/>
                <w:szCs w:val="22"/>
                <w:lang w:eastAsia="en-AU"/>
              </w:rPr>
              <w:tab/>
            </w:r>
            <w:r w:rsidR="005A0A52" w:rsidRPr="0026136D">
              <w:rPr>
                <w:rStyle w:val="Hyperlink"/>
              </w:rPr>
              <w:t>Introduction</w:t>
            </w:r>
            <w:r w:rsidR="005A0A52">
              <w:rPr>
                <w:webHidden/>
              </w:rPr>
              <w:tab/>
            </w:r>
            <w:r w:rsidR="005A0A52">
              <w:rPr>
                <w:webHidden/>
              </w:rPr>
              <w:fldChar w:fldCharType="begin"/>
            </w:r>
            <w:r w:rsidR="005A0A52">
              <w:rPr>
                <w:webHidden/>
              </w:rPr>
              <w:instrText xml:space="preserve"> PAGEREF _Toc69846013 \h </w:instrText>
            </w:r>
            <w:r w:rsidR="005A0A52">
              <w:rPr>
                <w:webHidden/>
              </w:rPr>
            </w:r>
            <w:r w:rsidR="005A0A52">
              <w:rPr>
                <w:webHidden/>
              </w:rPr>
              <w:fldChar w:fldCharType="separate"/>
            </w:r>
            <w:r w:rsidR="000A6D80">
              <w:rPr>
                <w:webHidden/>
              </w:rPr>
              <w:t>18</w:t>
            </w:r>
            <w:r w:rsidR="005A0A52">
              <w:rPr>
                <w:webHidden/>
              </w:rPr>
              <w:fldChar w:fldCharType="end"/>
            </w:r>
          </w:hyperlink>
        </w:p>
        <w:p w14:paraId="5E5211B2" w14:textId="77777777" w:rsidR="005A0A52" w:rsidRDefault="009B0839">
          <w:pPr>
            <w:pStyle w:val="TOC1"/>
            <w:rPr>
              <w:rFonts w:asciiTheme="minorHAnsi" w:eastAsiaTheme="minorEastAsia" w:hAnsiTheme="minorHAnsi" w:cstheme="minorBidi"/>
              <w:b w:val="0"/>
              <w:szCs w:val="22"/>
              <w:lang w:eastAsia="en-AU"/>
            </w:rPr>
          </w:pPr>
          <w:hyperlink w:anchor="_Toc69846014" w:history="1">
            <w:r w:rsidR="005A0A52" w:rsidRPr="0026136D">
              <w:rPr>
                <w:rStyle w:val="Hyperlink"/>
              </w:rPr>
              <w:t>2</w:t>
            </w:r>
            <w:r w:rsidR="005A0A52">
              <w:rPr>
                <w:rFonts w:asciiTheme="minorHAnsi" w:eastAsiaTheme="minorEastAsia" w:hAnsiTheme="minorHAnsi" w:cstheme="minorBidi"/>
                <w:b w:val="0"/>
                <w:szCs w:val="22"/>
                <w:lang w:eastAsia="en-AU"/>
              </w:rPr>
              <w:tab/>
            </w:r>
            <w:r w:rsidR="005A0A52" w:rsidRPr="0026136D">
              <w:rPr>
                <w:rStyle w:val="Hyperlink"/>
              </w:rPr>
              <w:t>Environmental water use objectives and watering actions in 2019-20</w:t>
            </w:r>
            <w:r w:rsidR="005A0A52">
              <w:rPr>
                <w:webHidden/>
              </w:rPr>
              <w:tab/>
            </w:r>
            <w:r w:rsidR="005A0A52">
              <w:rPr>
                <w:webHidden/>
              </w:rPr>
              <w:fldChar w:fldCharType="begin"/>
            </w:r>
            <w:r w:rsidR="005A0A52">
              <w:rPr>
                <w:webHidden/>
              </w:rPr>
              <w:instrText xml:space="preserve"> PAGEREF _Toc69846014 \h </w:instrText>
            </w:r>
            <w:r w:rsidR="005A0A52">
              <w:rPr>
                <w:webHidden/>
              </w:rPr>
            </w:r>
            <w:r w:rsidR="005A0A52">
              <w:rPr>
                <w:webHidden/>
              </w:rPr>
              <w:fldChar w:fldCharType="separate"/>
            </w:r>
            <w:r w:rsidR="000A6D80">
              <w:rPr>
                <w:webHidden/>
              </w:rPr>
              <w:t>21</w:t>
            </w:r>
            <w:r w:rsidR="005A0A52">
              <w:rPr>
                <w:webHidden/>
              </w:rPr>
              <w:fldChar w:fldCharType="end"/>
            </w:r>
          </w:hyperlink>
        </w:p>
        <w:p w14:paraId="0D7DC5DD" w14:textId="77777777" w:rsidR="005A0A52" w:rsidRDefault="009B0839">
          <w:pPr>
            <w:pStyle w:val="TOC1"/>
            <w:rPr>
              <w:rFonts w:asciiTheme="minorHAnsi" w:eastAsiaTheme="minorEastAsia" w:hAnsiTheme="minorHAnsi" w:cstheme="minorBidi"/>
              <w:b w:val="0"/>
              <w:szCs w:val="22"/>
              <w:lang w:eastAsia="en-AU"/>
            </w:rPr>
          </w:pPr>
          <w:hyperlink w:anchor="_Toc69846015" w:history="1">
            <w:r w:rsidR="005A0A52" w:rsidRPr="0026136D">
              <w:rPr>
                <w:rStyle w:val="Hyperlink"/>
              </w:rPr>
              <w:t>3</w:t>
            </w:r>
            <w:r w:rsidR="005A0A52">
              <w:rPr>
                <w:rFonts w:asciiTheme="minorHAnsi" w:eastAsiaTheme="minorEastAsia" w:hAnsiTheme="minorHAnsi" w:cstheme="minorBidi"/>
                <w:b w:val="0"/>
                <w:szCs w:val="22"/>
                <w:lang w:eastAsia="en-AU"/>
              </w:rPr>
              <w:tab/>
            </w:r>
            <w:r w:rsidR="005A0A52" w:rsidRPr="0026136D">
              <w:rPr>
                <w:rStyle w:val="Hyperlink"/>
              </w:rPr>
              <w:t>Monitoring, evaluation and research</w:t>
            </w:r>
            <w:r w:rsidR="005A0A52">
              <w:rPr>
                <w:webHidden/>
              </w:rPr>
              <w:tab/>
            </w:r>
            <w:r w:rsidR="005A0A52">
              <w:rPr>
                <w:webHidden/>
              </w:rPr>
              <w:fldChar w:fldCharType="begin"/>
            </w:r>
            <w:r w:rsidR="005A0A52">
              <w:rPr>
                <w:webHidden/>
              </w:rPr>
              <w:instrText xml:space="preserve"> PAGEREF _Toc69846015 \h </w:instrText>
            </w:r>
            <w:r w:rsidR="005A0A52">
              <w:rPr>
                <w:webHidden/>
              </w:rPr>
            </w:r>
            <w:r w:rsidR="005A0A52">
              <w:rPr>
                <w:webHidden/>
              </w:rPr>
              <w:fldChar w:fldCharType="separate"/>
            </w:r>
            <w:r w:rsidR="000A6D80">
              <w:rPr>
                <w:webHidden/>
              </w:rPr>
              <w:t>33</w:t>
            </w:r>
            <w:r w:rsidR="005A0A52">
              <w:rPr>
                <w:webHidden/>
              </w:rPr>
              <w:fldChar w:fldCharType="end"/>
            </w:r>
          </w:hyperlink>
        </w:p>
        <w:p w14:paraId="2D1C6DDA" w14:textId="77777777" w:rsidR="005A0A52" w:rsidRDefault="009B0839">
          <w:pPr>
            <w:pStyle w:val="TOC1"/>
            <w:rPr>
              <w:rFonts w:asciiTheme="minorHAnsi" w:eastAsiaTheme="minorEastAsia" w:hAnsiTheme="minorHAnsi" w:cstheme="minorBidi"/>
              <w:b w:val="0"/>
              <w:szCs w:val="22"/>
              <w:lang w:eastAsia="en-AU"/>
            </w:rPr>
          </w:pPr>
          <w:hyperlink w:anchor="_Toc69846016" w:history="1">
            <w:r w:rsidR="005A0A52" w:rsidRPr="0026136D">
              <w:rPr>
                <w:rStyle w:val="Hyperlink"/>
              </w:rPr>
              <w:t>4</w:t>
            </w:r>
            <w:r w:rsidR="005A0A52">
              <w:rPr>
                <w:rFonts w:asciiTheme="minorHAnsi" w:eastAsiaTheme="minorEastAsia" w:hAnsiTheme="minorHAnsi" w:cstheme="minorBidi"/>
                <w:b w:val="0"/>
                <w:szCs w:val="22"/>
                <w:lang w:eastAsia="en-AU"/>
              </w:rPr>
              <w:tab/>
            </w:r>
            <w:r w:rsidR="005A0A52" w:rsidRPr="0026136D">
              <w:rPr>
                <w:rStyle w:val="Hyperlink"/>
              </w:rPr>
              <w:t>Hydrology</w:t>
            </w:r>
            <w:r w:rsidR="005A0A52">
              <w:rPr>
                <w:webHidden/>
              </w:rPr>
              <w:tab/>
            </w:r>
            <w:r w:rsidR="005A0A52">
              <w:rPr>
                <w:webHidden/>
              </w:rPr>
              <w:fldChar w:fldCharType="begin"/>
            </w:r>
            <w:r w:rsidR="005A0A52">
              <w:rPr>
                <w:webHidden/>
              </w:rPr>
              <w:instrText xml:space="preserve"> PAGEREF _Toc69846016 \h </w:instrText>
            </w:r>
            <w:r w:rsidR="005A0A52">
              <w:rPr>
                <w:webHidden/>
              </w:rPr>
            </w:r>
            <w:r w:rsidR="005A0A52">
              <w:rPr>
                <w:webHidden/>
              </w:rPr>
              <w:fldChar w:fldCharType="separate"/>
            </w:r>
            <w:r w:rsidR="000A6D80">
              <w:rPr>
                <w:webHidden/>
              </w:rPr>
              <w:t>43</w:t>
            </w:r>
            <w:r w:rsidR="005A0A52">
              <w:rPr>
                <w:webHidden/>
              </w:rPr>
              <w:fldChar w:fldCharType="end"/>
            </w:r>
          </w:hyperlink>
        </w:p>
        <w:p w14:paraId="36AF115F" w14:textId="77777777" w:rsidR="005A0A52" w:rsidRDefault="009B0839">
          <w:pPr>
            <w:pStyle w:val="TOC1"/>
            <w:rPr>
              <w:rFonts w:asciiTheme="minorHAnsi" w:eastAsiaTheme="minorEastAsia" w:hAnsiTheme="minorHAnsi" w:cstheme="minorBidi"/>
              <w:b w:val="0"/>
              <w:szCs w:val="22"/>
              <w:lang w:eastAsia="en-AU"/>
            </w:rPr>
          </w:pPr>
          <w:hyperlink w:anchor="_Toc69846017" w:history="1">
            <w:r w:rsidR="005A0A52" w:rsidRPr="0026136D">
              <w:rPr>
                <w:rStyle w:val="Hyperlink"/>
              </w:rPr>
              <w:t>5</w:t>
            </w:r>
            <w:r w:rsidR="005A0A52">
              <w:rPr>
                <w:rFonts w:asciiTheme="minorHAnsi" w:eastAsiaTheme="minorEastAsia" w:hAnsiTheme="minorHAnsi" w:cstheme="minorBidi"/>
                <w:b w:val="0"/>
                <w:szCs w:val="22"/>
                <w:lang w:eastAsia="en-AU"/>
              </w:rPr>
              <w:tab/>
            </w:r>
            <w:r w:rsidR="005A0A52" w:rsidRPr="0026136D">
              <w:rPr>
                <w:rStyle w:val="Hyperlink"/>
              </w:rPr>
              <w:t>Water quality and carbon</w:t>
            </w:r>
            <w:r w:rsidR="005A0A52">
              <w:rPr>
                <w:webHidden/>
              </w:rPr>
              <w:tab/>
            </w:r>
            <w:r w:rsidR="005A0A52">
              <w:rPr>
                <w:webHidden/>
              </w:rPr>
              <w:fldChar w:fldCharType="begin"/>
            </w:r>
            <w:r w:rsidR="005A0A52">
              <w:rPr>
                <w:webHidden/>
              </w:rPr>
              <w:instrText xml:space="preserve"> PAGEREF _Toc69846017 \h </w:instrText>
            </w:r>
            <w:r w:rsidR="005A0A52">
              <w:rPr>
                <w:webHidden/>
              </w:rPr>
            </w:r>
            <w:r w:rsidR="005A0A52">
              <w:rPr>
                <w:webHidden/>
              </w:rPr>
              <w:fldChar w:fldCharType="separate"/>
            </w:r>
            <w:r w:rsidR="000A6D80">
              <w:rPr>
                <w:webHidden/>
              </w:rPr>
              <w:t>53</w:t>
            </w:r>
            <w:r w:rsidR="005A0A52">
              <w:rPr>
                <w:webHidden/>
              </w:rPr>
              <w:fldChar w:fldCharType="end"/>
            </w:r>
          </w:hyperlink>
        </w:p>
        <w:p w14:paraId="753A46CB" w14:textId="77777777" w:rsidR="005A0A52" w:rsidRDefault="009B0839">
          <w:pPr>
            <w:pStyle w:val="TOC1"/>
            <w:rPr>
              <w:rFonts w:asciiTheme="minorHAnsi" w:eastAsiaTheme="minorEastAsia" w:hAnsiTheme="minorHAnsi" w:cstheme="minorBidi"/>
              <w:b w:val="0"/>
              <w:szCs w:val="22"/>
              <w:lang w:eastAsia="en-AU"/>
            </w:rPr>
          </w:pPr>
          <w:hyperlink w:anchor="_Toc69846018" w:history="1">
            <w:r w:rsidR="005A0A52" w:rsidRPr="0026136D">
              <w:rPr>
                <w:rStyle w:val="Hyperlink"/>
              </w:rPr>
              <w:t>6</w:t>
            </w:r>
            <w:r w:rsidR="005A0A52">
              <w:rPr>
                <w:rFonts w:asciiTheme="minorHAnsi" w:eastAsiaTheme="minorEastAsia" w:hAnsiTheme="minorHAnsi" w:cstheme="minorBidi"/>
                <w:b w:val="0"/>
                <w:szCs w:val="22"/>
                <w:lang w:eastAsia="en-AU"/>
              </w:rPr>
              <w:tab/>
            </w:r>
            <w:r w:rsidR="005A0A52" w:rsidRPr="0026136D">
              <w:rPr>
                <w:rStyle w:val="Hyperlink"/>
              </w:rPr>
              <w:t>Stream metabolism</w:t>
            </w:r>
            <w:r w:rsidR="005A0A52">
              <w:rPr>
                <w:webHidden/>
              </w:rPr>
              <w:tab/>
            </w:r>
            <w:r w:rsidR="005A0A52">
              <w:rPr>
                <w:webHidden/>
              </w:rPr>
              <w:fldChar w:fldCharType="begin"/>
            </w:r>
            <w:r w:rsidR="005A0A52">
              <w:rPr>
                <w:webHidden/>
              </w:rPr>
              <w:instrText xml:space="preserve"> PAGEREF _Toc69846018 \h </w:instrText>
            </w:r>
            <w:r w:rsidR="005A0A52">
              <w:rPr>
                <w:webHidden/>
              </w:rPr>
            </w:r>
            <w:r w:rsidR="005A0A52">
              <w:rPr>
                <w:webHidden/>
              </w:rPr>
              <w:fldChar w:fldCharType="separate"/>
            </w:r>
            <w:r w:rsidR="000A6D80">
              <w:rPr>
                <w:webHidden/>
              </w:rPr>
              <w:t>87</w:t>
            </w:r>
            <w:r w:rsidR="005A0A52">
              <w:rPr>
                <w:webHidden/>
              </w:rPr>
              <w:fldChar w:fldCharType="end"/>
            </w:r>
          </w:hyperlink>
        </w:p>
        <w:p w14:paraId="57BADF6B" w14:textId="77777777" w:rsidR="005A0A52" w:rsidRDefault="009B0839">
          <w:pPr>
            <w:pStyle w:val="TOC1"/>
            <w:rPr>
              <w:rFonts w:asciiTheme="minorHAnsi" w:eastAsiaTheme="minorEastAsia" w:hAnsiTheme="minorHAnsi" w:cstheme="minorBidi"/>
              <w:b w:val="0"/>
              <w:szCs w:val="22"/>
              <w:lang w:eastAsia="en-AU"/>
            </w:rPr>
          </w:pPr>
          <w:hyperlink w:anchor="_Toc69846019" w:history="1">
            <w:r w:rsidR="005A0A52" w:rsidRPr="0026136D">
              <w:rPr>
                <w:rStyle w:val="Hyperlink"/>
              </w:rPr>
              <w:t>7</w:t>
            </w:r>
            <w:r w:rsidR="005A0A52">
              <w:rPr>
                <w:rFonts w:asciiTheme="minorHAnsi" w:eastAsiaTheme="minorEastAsia" w:hAnsiTheme="minorHAnsi" w:cstheme="minorBidi"/>
                <w:b w:val="0"/>
                <w:szCs w:val="22"/>
                <w:lang w:eastAsia="en-AU"/>
              </w:rPr>
              <w:tab/>
            </w:r>
            <w:r w:rsidR="005A0A52" w:rsidRPr="0026136D">
              <w:rPr>
                <w:rStyle w:val="Hyperlink"/>
              </w:rPr>
              <w:t>Aquatic and riverbank vegetation</w:t>
            </w:r>
            <w:r w:rsidR="005A0A52">
              <w:rPr>
                <w:webHidden/>
              </w:rPr>
              <w:tab/>
            </w:r>
            <w:r w:rsidR="005A0A52">
              <w:rPr>
                <w:webHidden/>
              </w:rPr>
              <w:fldChar w:fldCharType="begin"/>
            </w:r>
            <w:r w:rsidR="005A0A52">
              <w:rPr>
                <w:webHidden/>
              </w:rPr>
              <w:instrText xml:space="preserve"> PAGEREF _Toc69846019 \h </w:instrText>
            </w:r>
            <w:r w:rsidR="005A0A52">
              <w:rPr>
                <w:webHidden/>
              </w:rPr>
            </w:r>
            <w:r w:rsidR="005A0A52">
              <w:rPr>
                <w:webHidden/>
              </w:rPr>
              <w:fldChar w:fldCharType="separate"/>
            </w:r>
            <w:r w:rsidR="000A6D80">
              <w:rPr>
                <w:webHidden/>
              </w:rPr>
              <w:t>101</w:t>
            </w:r>
            <w:r w:rsidR="005A0A52">
              <w:rPr>
                <w:webHidden/>
              </w:rPr>
              <w:fldChar w:fldCharType="end"/>
            </w:r>
          </w:hyperlink>
        </w:p>
        <w:p w14:paraId="3719E782" w14:textId="77777777" w:rsidR="005A0A52" w:rsidRDefault="009B0839">
          <w:pPr>
            <w:pStyle w:val="TOC1"/>
            <w:rPr>
              <w:rFonts w:asciiTheme="minorHAnsi" w:eastAsiaTheme="minorEastAsia" w:hAnsiTheme="minorHAnsi" w:cstheme="minorBidi"/>
              <w:b w:val="0"/>
              <w:szCs w:val="22"/>
              <w:lang w:eastAsia="en-AU"/>
            </w:rPr>
          </w:pPr>
          <w:hyperlink w:anchor="_Toc69846020" w:history="1">
            <w:r w:rsidR="005A0A52" w:rsidRPr="0026136D">
              <w:rPr>
                <w:rStyle w:val="Hyperlink"/>
              </w:rPr>
              <w:t>8</w:t>
            </w:r>
            <w:r w:rsidR="005A0A52">
              <w:rPr>
                <w:rFonts w:asciiTheme="minorHAnsi" w:eastAsiaTheme="minorEastAsia" w:hAnsiTheme="minorHAnsi" w:cstheme="minorBidi"/>
                <w:b w:val="0"/>
                <w:szCs w:val="22"/>
                <w:lang w:eastAsia="en-AU"/>
              </w:rPr>
              <w:tab/>
            </w:r>
            <w:r w:rsidR="005A0A52" w:rsidRPr="0026136D">
              <w:rPr>
                <w:rStyle w:val="Hyperlink"/>
              </w:rPr>
              <w:t>Fish</w:t>
            </w:r>
            <w:r w:rsidR="005A0A52">
              <w:rPr>
                <w:webHidden/>
              </w:rPr>
              <w:tab/>
            </w:r>
            <w:r w:rsidR="005A0A52">
              <w:rPr>
                <w:webHidden/>
              </w:rPr>
              <w:fldChar w:fldCharType="begin"/>
            </w:r>
            <w:r w:rsidR="005A0A52">
              <w:rPr>
                <w:webHidden/>
              </w:rPr>
              <w:instrText xml:space="preserve"> PAGEREF _Toc69846020 \h </w:instrText>
            </w:r>
            <w:r w:rsidR="005A0A52">
              <w:rPr>
                <w:webHidden/>
              </w:rPr>
            </w:r>
            <w:r w:rsidR="005A0A52">
              <w:rPr>
                <w:webHidden/>
              </w:rPr>
              <w:fldChar w:fldCharType="separate"/>
            </w:r>
            <w:r w:rsidR="000A6D80">
              <w:rPr>
                <w:webHidden/>
              </w:rPr>
              <w:t>121</w:t>
            </w:r>
            <w:r w:rsidR="005A0A52">
              <w:rPr>
                <w:webHidden/>
              </w:rPr>
              <w:fldChar w:fldCharType="end"/>
            </w:r>
          </w:hyperlink>
        </w:p>
        <w:p w14:paraId="77D345AF" w14:textId="77777777" w:rsidR="005A0A52" w:rsidRDefault="009B0839">
          <w:pPr>
            <w:pStyle w:val="TOC1"/>
            <w:rPr>
              <w:rFonts w:asciiTheme="minorHAnsi" w:eastAsiaTheme="minorEastAsia" w:hAnsiTheme="minorHAnsi" w:cstheme="minorBidi"/>
              <w:b w:val="0"/>
              <w:szCs w:val="22"/>
              <w:lang w:eastAsia="en-AU"/>
            </w:rPr>
          </w:pPr>
          <w:hyperlink w:anchor="_Toc69846021" w:history="1">
            <w:r w:rsidR="005A0A52" w:rsidRPr="0026136D">
              <w:rPr>
                <w:rStyle w:val="Hyperlink"/>
              </w:rPr>
              <w:t>9</w:t>
            </w:r>
            <w:r w:rsidR="005A0A52">
              <w:rPr>
                <w:rFonts w:asciiTheme="minorHAnsi" w:eastAsiaTheme="minorEastAsia" w:hAnsiTheme="minorHAnsi" w:cstheme="minorBidi"/>
                <w:b w:val="0"/>
                <w:szCs w:val="22"/>
                <w:lang w:eastAsia="en-AU"/>
              </w:rPr>
              <w:tab/>
            </w:r>
            <w:r w:rsidR="005A0A52" w:rsidRPr="0026136D">
              <w:rPr>
                <w:rStyle w:val="Hyperlink"/>
              </w:rPr>
              <w:t>Physical habitat</w:t>
            </w:r>
            <w:r w:rsidR="005A0A52">
              <w:rPr>
                <w:webHidden/>
              </w:rPr>
              <w:tab/>
            </w:r>
            <w:r w:rsidR="005A0A52">
              <w:rPr>
                <w:webHidden/>
              </w:rPr>
              <w:fldChar w:fldCharType="begin"/>
            </w:r>
            <w:r w:rsidR="005A0A52">
              <w:rPr>
                <w:webHidden/>
              </w:rPr>
              <w:instrText xml:space="preserve"> PAGEREF _Toc69846021 \h </w:instrText>
            </w:r>
            <w:r w:rsidR="005A0A52">
              <w:rPr>
                <w:webHidden/>
              </w:rPr>
            </w:r>
            <w:r w:rsidR="005A0A52">
              <w:rPr>
                <w:webHidden/>
              </w:rPr>
              <w:fldChar w:fldCharType="separate"/>
            </w:r>
            <w:r w:rsidR="000A6D80">
              <w:rPr>
                <w:webHidden/>
              </w:rPr>
              <w:t>155</w:t>
            </w:r>
            <w:r w:rsidR="005A0A52">
              <w:rPr>
                <w:webHidden/>
              </w:rPr>
              <w:fldChar w:fldCharType="end"/>
            </w:r>
          </w:hyperlink>
        </w:p>
        <w:p w14:paraId="7F253425" w14:textId="77777777" w:rsidR="005A0A52" w:rsidRDefault="009B0839">
          <w:pPr>
            <w:pStyle w:val="TOC1"/>
            <w:rPr>
              <w:rFonts w:asciiTheme="minorHAnsi" w:eastAsiaTheme="minorEastAsia" w:hAnsiTheme="minorHAnsi" w:cstheme="minorBidi"/>
              <w:b w:val="0"/>
              <w:szCs w:val="22"/>
              <w:lang w:eastAsia="en-AU"/>
            </w:rPr>
          </w:pPr>
          <w:hyperlink w:anchor="_Toc69846022" w:history="1">
            <w:r w:rsidR="005A0A52" w:rsidRPr="0026136D">
              <w:rPr>
                <w:rStyle w:val="Hyperlink"/>
              </w:rPr>
              <w:t>10</w:t>
            </w:r>
            <w:r w:rsidR="005A0A52">
              <w:rPr>
                <w:rFonts w:asciiTheme="minorHAnsi" w:eastAsiaTheme="minorEastAsia" w:hAnsiTheme="minorHAnsi" w:cstheme="minorBidi"/>
                <w:b w:val="0"/>
                <w:szCs w:val="22"/>
                <w:lang w:eastAsia="en-AU"/>
              </w:rPr>
              <w:tab/>
            </w:r>
            <w:r w:rsidR="005A0A52" w:rsidRPr="0026136D">
              <w:rPr>
                <w:rStyle w:val="Hyperlink"/>
              </w:rPr>
              <w:t>Edward/Kolety River primary productivity research</w:t>
            </w:r>
            <w:r w:rsidR="005A0A52">
              <w:rPr>
                <w:webHidden/>
              </w:rPr>
              <w:tab/>
            </w:r>
            <w:r w:rsidR="005A0A52">
              <w:rPr>
                <w:webHidden/>
              </w:rPr>
              <w:fldChar w:fldCharType="begin"/>
            </w:r>
            <w:r w:rsidR="005A0A52">
              <w:rPr>
                <w:webHidden/>
              </w:rPr>
              <w:instrText xml:space="preserve"> PAGEREF _Toc69846022 \h </w:instrText>
            </w:r>
            <w:r w:rsidR="005A0A52">
              <w:rPr>
                <w:webHidden/>
              </w:rPr>
            </w:r>
            <w:r w:rsidR="005A0A52">
              <w:rPr>
                <w:webHidden/>
              </w:rPr>
              <w:fldChar w:fldCharType="separate"/>
            </w:r>
            <w:r w:rsidR="000A6D80">
              <w:rPr>
                <w:webHidden/>
              </w:rPr>
              <w:t>190</w:t>
            </w:r>
            <w:r w:rsidR="005A0A52">
              <w:rPr>
                <w:webHidden/>
              </w:rPr>
              <w:fldChar w:fldCharType="end"/>
            </w:r>
          </w:hyperlink>
        </w:p>
        <w:p w14:paraId="514E6D18" w14:textId="77777777" w:rsidR="005A0A52" w:rsidRDefault="009B0839">
          <w:pPr>
            <w:pStyle w:val="TOC1"/>
            <w:rPr>
              <w:rFonts w:asciiTheme="minorHAnsi" w:eastAsiaTheme="minorEastAsia" w:hAnsiTheme="minorHAnsi" w:cstheme="minorBidi"/>
              <w:b w:val="0"/>
              <w:szCs w:val="22"/>
              <w:lang w:eastAsia="en-AU"/>
            </w:rPr>
          </w:pPr>
          <w:hyperlink w:anchor="_Toc69846023" w:history="1">
            <w:r w:rsidR="005A0A52" w:rsidRPr="0026136D">
              <w:rPr>
                <w:rStyle w:val="Hyperlink"/>
              </w:rPr>
              <w:t>11</w:t>
            </w:r>
            <w:r w:rsidR="005A0A52">
              <w:rPr>
                <w:rFonts w:asciiTheme="minorHAnsi" w:eastAsiaTheme="minorEastAsia" w:hAnsiTheme="minorHAnsi" w:cstheme="minorBidi"/>
                <w:b w:val="0"/>
                <w:szCs w:val="22"/>
                <w:lang w:eastAsia="en-AU"/>
              </w:rPr>
              <w:tab/>
            </w:r>
            <w:r w:rsidR="005A0A52" w:rsidRPr="0026136D">
              <w:rPr>
                <w:rStyle w:val="Hyperlink"/>
              </w:rPr>
              <w:t>Edward/Kolety River fish spawning research</w:t>
            </w:r>
            <w:r w:rsidR="005A0A52">
              <w:rPr>
                <w:webHidden/>
              </w:rPr>
              <w:tab/>
            </w:r>
            <w:r w:rsidR="005A0A52">
              <w:rPr>
                <w:webHidden/>
              </w:rPr>
              <w:fldChar w:fldCharType="begin"/>
            </w:r>
            <w:r w:rsidR="005A0A52">
              <w:rPr>
                <w:webHidden/>
              </w:rPr>
              <w:instrText xml:space="preserve"> PAGEREF _Toc69846023 \h </w:instrText>
            </w:r>
            <w:r w:rsidR="005A0A52">
              <w:rPr>
                <w:webHidden/>
              </w:rPr>
            </w:r>
            <w:r w:rsidR="005A0A52">
              <w:rPr>
                <w:webHidden/>
              </w:rPr>
              <w:fldChar w:fldCharType="separate"/>
            </w:r>
            <w:r w:rsidR="000A6D80">
              <w:rPr>
                <w:webHidden/>
              </w:rPr>
              <w:t>200</w:t>
            </w:r>
            <w:r w:rsidR="005A0A52">
              <w:rPr>
                <w:webHidden/>
              </w:rPr>
              <w:fldChar w:fldCharType="end"/>
            </w:r>
          </w:hyperlink>
        </w:p>
        <w:p w14:paraId="48BC2316" w14:textId="77777777" w:rsidR="005A0A52" w:rsidRDefault="009B0839">
          <w:pPr>
            <w:pStyle w:val="TOC1"/>
            <w:rPr>
              <w:rFonts w:asciiTheme="minorHAnsi" w:eastAsiaTheme="minorEastAsia" w:hAnsiTheme="minorHAnsi" w:cstheme="minorBidi"/>
              <w:b w:val="0"/>
              <w:szCs w:val="22"/>
              <w:lang w:eastAsia="en-AU"/>
            </w:rPr>
          </w:pPr>
          <w:hyperlink w:anchor="_Toc69846024" w:history="1">
            <w:r w:rsidR="005A0A52" w:rsidRPr="0026136D">
              <w:rPr>
                <w:rStyle w:val="Hyperlink"/>
              </w:rPr>
              <w:t>12</w:t>
            </w:r>
            <w:r w:rsidR="005A0A52">
              <w:rPr>
                <w:rFonts w:asciiTheme="minorHAnsi" w:eastAsiaTheme="minorEastAsia" w:hAnsiTheme="minorHAnsi" w:cstheme="minorBidi"/>
                <w:b w:val="0"/>
                <w:szCs w:val="22"/>
                <w:lang w:eastAsia="en-AU"/>
              </w:rPr>
              <w:tab/>
            </w:r>
            <w:r w:rsidR="005A0A52" w:rsidRPr="0026136D">
              <w:rPr>
                <w:rStyle w:val="Hyperlink"/>
              </w:rPr>
              <w:t>Environmental DNA biodiversity research</w:t>
            </w:r>
            <w:r w:rsidR="005A0A52">
              <w:rPr>
                <w:webHidden/>
              </w:rPr>
              <w:tab/>
            </w:r>
            <w:r w:rsidR="005A0A52">
              <w:rPr>
                <w:webHidden/>
              </w:rPr>
              <w:fldChar w:fldCharType="begin"/>
            </w:r>
            <w:r w:rsidR="005A0A52">
              <w:rPr>
                <w:webHidden/>
              </w:rPr>
              <w:instrText xml:space="preserve"> PAGEREF _Toc69846024 \h </w:instrText>
            </w:r>
            <w:r w:rsidR="005A0A52">
              <w:rPr>
                <w:webHidden/>
              </w:rPr>
            </w:r>
            <w:r w:rsidR="005A0A52">
              <w:rPr>
                <w:webHidden/>
              </w:rPr>
              <w:fldChar w:fldCharType="separate"/>
            </w:r>
            <w:r w:rsidR="000A6D80">
              <w:rPr>
                <w:webHidden/>
              </w:rPr>
              <w:t>208</w:t>
            </w:r>
            <w:r w:rsidR="005A0A52">
              <w:rPr>
                <w:webHidden/>
              </w:rPr>
              <w:fldChar w:fldCharType="end"/>
            </w:r>
          </w:hyperlink>
        </w:p>
        <w:p w14:paraId="749AD603" w14:textId="77777777" w:rsidR="005A0A52" w:rsidRDefault="009B0839">
          <w:pPr>
            <w:pStyle w:val="TOC1"/>
            <w:rPr>
              <w:rFonts w:asciiTheme="minorHAnsi" w:eastAsiaTheme="minorEastAsia" w:hAnsiTheme="minorHAnsi" w:cstheme="minorBidi"/>
              <w:b w:val="0"/>
              <w:szCs w:val="22"/>
              <w:lang w:eastAsia="en-AU"/>
            </w:rPr>
          </w:pPr>
          <w:hyperlink w:anchor="_Toc69846025" w:history="1">
            <w:r w:rsidR="005A0A52" w:rsidRPr="0026136D">
              <w:rPr>
                <w:rStyle w:val="Hyperlink"/>
              </w:rPr>
              <w:t>13</w:t>
            </w:r>
            <w:r w:rsidR="005A0A52">
              <w:rPr>
                <w:rFonts w:asciiTheme="minorHAnsi" w:eastAsiaTheme="minorEastAsia" w:hAnsiTheme="minorHAnsi" w:cstheme="minorBidi"/>
                <w:b w:val="0"/>
                <w:szCs w:val="22"/>
                <w:lang w:eastAsia="en-AU"/>
              </w:rPr>
              <w:tab/>
            </w:r>
            <w:r w:rsidR="005A0A52" w:rsidRPr="0026136D">
              <w:rPr>
                <w:rStyle w:val="Hyperlink"/>
              </w:rPr>
              <w:t>Recommendations for future management of environmental water</w:t>
            </w:r>
            <w:r w:rsidR="005A0A52">
              <w:rPr>
                <w:webHidden/>
              </w:rPr>
              <w:tab/>
            </w:r>
            <w:r w:rsidR="005A0A52">
              <w:rPr>
                <w:webHidden/>
              </w:rPr>
              <w:fldChar w:fldCharType="begin"/>
            </w:r>
            <w:r w:rsidR="005A0A52">
              <w:rPr>
                <w:webHidden/>
              </w:rPr>
              <w:instrText xml:space="preserve"> PAGEREF _Toc69846025 \h </w:instrText>
            </w:r>
            <w:r w:rsidR="005A0A52">
              <w:rPr>
                <w:webHidden/>
              </w:rPr>
            </w:r>
            <w:r w:rsidR="005A0A52">
              <w:rPr>
                <w:webHidden/>
              </w:rPr>
              <w:fldChar w:fldCharType="separate"/>
            </w:r>
            <w:r w:rsidR="000A6D80">
              <w:rPr>
                <w:webHidden/>
              </w:rPr>
              <w:t>247</w:t>
            </w:r>
            <w:r w:rsidR="005A0A52">
              <w:rPr>
                <w:webHidden/>
              </w:rPr>
              <w:fldChar w:fldCharType="end"/>
            </w:r>
          </w:hyperlink>
        </w:p>
        <w:p w14:paraId="731114D1" w14:textId="77777777" w:rsidR="005A0A52" w:rsidRDefault="009B0839">
          <w:pPr>
            <w:pStyle w:val="TOC1"/>
            <w:rPr>
              <w:rFonts w:asciiTheme="minorHAnsi" w:eastAsiaTheme="minorEastAsia" w:hAnsiTheme="minorHAnsi" w:cstheme="minorBidi"/>
              <w:b w:val="0"/>
              <w:szCs w:val="22"/>
              <w:lang w:eastAsia="en-AU"/>
            </w:rPr>
          </w:pPr>
          <w:hyperlink w:anchor="_Toc69846026" w:history="1">
            <w:r w:rsidR="005A0A52" w:rsidRPr="0026136D">
              <w:rPr>
                <w:rStyle w:val="Hyperlink"/>
              </w:rPr>
              <w:t>14</w:t>
            </w:r>
            <w:r w:rsidR="005A0A52">
              <w:rPr>
                <w:rFonts w:asciiTheme="minorHAnsi" w:eastAsiaTheme="minorEastAsia" w:hAnsiTheme="minorHAnsi" w:cstheme="minorBidi"/>
                <w:b w:val="0"/>
                <w:szCs w:val="22"/>
                <w:lang w:eastAsia="en-AU"/>
              </w:rPr>
              <w:tab/>
            </w:r>
            <w:r w:rsidR="005A0A52" w:rsidRPr="0026136D">
              <w:rPr>
                <w:rStyle w:val="Hyperlink"/>
              </w:rPr>
              <w:t>Acknowledgements</w:t>
            </w:r>
            <w:r w:rsidR="005A0A52">
              <w:rPr>
                <w:webHidden/>
              </w:rPr>
              <w:tab/>
            </w:r>
            <w:r w:rsidR="005A0A52">
              <w:rPr>
                <w:webHidden/>
              </w:rPr>
              <w:fldChar w:fldCharType="begin"/>
            </w:r>
            <w:r w:rsidR="005A0A52">
              <w:rPr>
                <w:webHidden/>
              </w:rPr>
              <w:instrText xml:space="preserve"> PAGEREF _Toc69846026 \h </w:instrText>
            </w:r>
            <w:r w:rsidR="005A0A52">
              <w:rPr>
                <w:webHidden/>
              </w:rPr>
            </w:r>
            <w:r w:rsidR="005A0A52">
              <w:rPr>
                <w:webHidden/>
              </w:rPr>
              <w:fldChar w:fldCharType="separate"/>
            </w:r>
            <w:r w:rsidR="000A6D80">
              <w:rPr>
                <w:webHidden/>
              </w:rPr>
              <w:t>254</w:t>
            </w:r>
            <w:r w:rsidR="005A0A52">
              <w:rPr>
                <w:webHidden/>
              </w:rPr>
              <w:fldChar w:fldCharType="end"/>
            </w:r>
          </w:hyperlink>
        </w:p>
        <w:p w14:paraId="71588D22" w14:textId="77777777" w:rsidR="005A0A52" w:rsidRDefault="009B0839">
          <w:pPr>
            <w:pStyle w:val="TOC1"/>
            <w:rPr>
              <w:rFonts w:asciiTheme="minorHAnsi" w:eastAsiaTheme="minorEastAsia" w:hAnsiTheme="minorHAnsi" w:cstheme="minorBidi"/>
              <w:b w:val="0"/>
              <w:szCs w:val="22"/>
              <w:lang w:eastAsia="en-AU"/>
            </w:rPr>
          </w:pPr>
          <w:hyperlink w:anchor="_Toc69846027" w:history="1">
            <w:r w:rsidR="005A0A52" w:rsidRPr="0026136D">
              <w:rPr>
                <w:rStyle w:val="Hyperlink"/>
              </w:rPr>
              <w:t>15</w:t>
            </w:r>
            <w:r w:rsidR="005A0A52">
              <w:rPr>
                <w:rFonts w:asciiTheme="minorHAnsi" w:eastAsiaTheme="minorEastAsia" w:hAnsiTheme="minorHAnsi" w:cstheme="minorBidi"/>
                <w:b w:val="0"/>
                <w:szCs w:val="22"/>
                <w:lang w:eastAsia="en-AU"/>
              </w:rPr>
              <w:tab/>
            </w:r>
            <w:r w:rsidR="005A0A52" w:rsidRPr="0026136D">
              <w:rPr>
                <w:rStyle w:val="Hyperlink"/>
              </w:rPr>
              <w:t>References</w:t>
            </w:r>
            <w:r w:rsidR="005A0A52">
              <w:rPr>
                <w:webHidden/>
              </w:rPr>
              <w:tab/>
            </w:r>
            <w:r w:rsidR="005A0A52">
              <w:rPr>
                <w:webHidden/>
              </w:rPr>
              <w:fldChar w:fldCharType="begin"/>
            </w:r>
            <w:r w:rsidR="005A0A52">
              <w:rPr>
                <w:webHidden/>
              </w:rPr>
              <w:instrText xml:space="preserve"> PAGEREF _Toc69846027 \h </w:instrText>
            </w:r>
            <w:r w:rsidR="005A0A52">
              <w:rPr>
                <w:webHidden/>
              </w:rPr>
            </w:r>
            <w:r w:rsidR="005A0A52">
              <w:rPr>
                <w:webHidden/>
              </w:rPr>
              <w:fldChar w:fldCharType="separate"/>
            </w:r>
            <w:r w:rsidR="000A6D80">
              <w:rPr>
                <w:webHidden/>
              </w:rPr>
              <w:t>255</w:t>
            </w:r>
            <w:r w:rsidR="005A0A52">
              <w:rPr>
                <w:webHidden/>
              </w:rPr>
              <w:fldChar w:fldCharType="end"/>
            </w:r>
          </w:hyperlink>
        </w:p>
        <w:p w14:paraId="6B19C42E" w14:textId="77777777" w:rsidR="004F0EC8" w:rsidRDefault="000B5FD7" w:rsidP="006179A1">
          <w:pPr>
            <w:pStyle w:val="TOC1"/>
            <w:ind w:left="0" w:firstLine="0"/>
          </w:pPr>
          <w:r>
            <w:rPr>
              <w:b w:val="0"/>
              <w:bCs/>
            </w:rPr>
            <w:fldChar w:fldCharType="end"/>
          </w:r>
        </w:p>
      </w:sdtContent>
    </w:sdt>
    <w:p w14:paraId="20015B31" w14:textId="77777777" w:rsidR="001200FC" w:rsidRDefault="001200FC">
      <w:pPr>
        <w:spacing w:after="0" w:line="240" w:lineRule="auto"/>
        <w:jc w:val="left"/>
        <w:rPr>
          <w:noProof/>
          <w:color w:val="215868" w:themeColor="accent5" w:themeShade="80"/>
          <w:sz w:val="36"/>
          <w:szCs w:val="36"/>
        </w:rPr>
      </w:pPr>
      <w:r>
        <w:rPr>
          <w:b/>
          <w:color w:val="215868" w:themeColor="accent5" w:themeShade="80"/>
          <w:sz w:val="36"/>
          <w:szCs w:val="36"/>
        </w:rPr>
        <w:br w:type="page"/>
      </w:r>
    </w:p>
    <w:p w14:paraId="3B4F84EF" w14:textId="6F0329DB" w:rsidR="008D269D" w:rsidRDefault="00A93118" w:rsidP="00836CDD">
      <w:pPr>
        <w:pStyle w:val="Heading1"/>
      </w:pPr>
      <w:bookmarkStart w:id="2" w:name="_Toc69846012"/>
      <w:r w:rsidRPr="00D55D45">
        <w:t>E</w:t>
      </w:r>
      <w:r w:rsidR="0064190C">
        <w:t>xecutive summary</w:t>
      </w:r>
      <w:bookmarkEnd w:id="2"/>
    </w:p>
    <w:p w14:paraId="33F9C11D" w14:textId="4B025713" w:rsidR="003C07B0" w:rsidRPr="0047115F" w:rsidRDefault="003C07B0" w:rsidP="003C07B0">
      <w:pPr>
        <w:spacing w:after="120" w:line="320" w:lineRule="exact"/>
        <w:jc w:val="left"/>
        <w:rPr>
          <w:b/>
          <w:color w:val="31849B" w:themeColor="accent5" w:themeShade="BF"/>
          <w:sz w:val="28"/>
          <w:szCs w:val="28"/>
        </w:rPr>
      </w:pPr>
      <w:r>
        <w:rPr>
          <w:b/>
          <w:color w:val="31849B" w:themeColor="accent5" w:themeShade="BF"/>
          <w:sz w:val="28"/>
          <w:szCs w:val="28"/>
        </w:rPr>
        <w:t>Introduction</w:t>
      </w:r>
    </w:p>
    <w:p w14:paraId="0D923292" w14:textId="77777777" w:rsidR="0047115F" w:rsidRDefault="0047115F" w:rsidP="0047115F">
      <w:pPr>
        <w:pStyle w:val="Para0"/>
        <w:spacing w:before="0" w:line="320" w:lineRule="exact"/>
        <w:ind w:right="-142"/>
        <w:rPr>
          <w:rFonts w:asciiTheme="minorHAnsi" w:hAnsiTheme="minorHAnsi"/>
          <w:sz w:val="22"/>
          <w:szCs w:val="22"/>
        </w:rPr>
      </w:pPr>
      <w:r w:rsidRPr="00FF725E">
        <w:rPr>
          <w:rFonts w:asciiTheme="minorHAnsi" w:hAnsiTheme="minorHAnsi"/>
          <w:sz w:val="22"/>
          <w:szCs w:val="22"/>
        </w:rPr>
        <w:t xml:space="preserve">The </w:t>
      </w:r>
      <w:r w:rsidRPr="001E3C65">
        <w:rPr>
          <w:rFonts w:asciiTheme="minorHAnsi" w:hAnsiTheme="minorHAnsi"/>
          <w:sz w:val="22"/>
          <w:szCs w:val="22"/>
        </w:rPr>
        <w:t>Commonwealth Envi</w:t>
      </w:r>
      <w:r>
        <w:rPr>
          <w:rFonts w:asciiTheme="minorHAnsi" w:hAnsiTheme="minorHAnsi"/>
          <w:sz w:val="22"/>
          <w:szCs w:val="22"/>
        </w:rPr>
        <w:t>ronmental Water Office (</w:t>
      </w:r>
      <w:r w:rsidRPr="00FF725E">
        <w:rPr>
          <w:rFonts w:asciiTheme="minorHAnsi" w:hAnsiTheme="minorHAnsi"/>
          <w:sz w:val="22"/>
          <w:szCs w:val="22"/>
        </w:rPr>
        <w:t>CEWO</w:t>
      </w:r>
      <w:r>
        <w:rPr>
          <w:rFonts w:asciiTheme="minorHAnsi" w:hAnsiTheme="minorHAnsi"/>
          <w:sz w:val="22"/>
          <w:szCs w:val="22"/>
        </w:rPr>
        <w:t>) Monitoring, Evaluation and Research (</w:t>
      </w:r>
      <w:r w:rsidRPr="00FF725E">
        <w:rPr>
          <w:rFonts w:asciiTheme="minorHAnsi" w:hAnsiTheme="minorHAnsi"/>
          <w:sz w:val="22"/>
          <w:szCs w:val="22"/>
        </w:rPr>
        <w:t>MER</w:t>
      </w:r>
      <w:r>
        <w:rPr>
          <w:rFonts w:asciiTheme="minorHAnsi" w:hAnsiTheme="minorHAnsi"/>
          <w:sz w:val="22"/>
          <w:szCs w:val="22"/>
        </w:rPr>
        <w:t>)</w:t>
      </w:r>
      <w:r w:rsidRPr="00FF725E">
        <w:rPr>
          <w:rFonts w:asciiTheme="minorHAnsi" w:hAnsiTheme="minorHAnsi"/>
          <w:sz w:val="22"/>
          <w:szCs w:val="22"/>
        </w:rPr>
        <w:t xml:space="preserve"> Program (2019 to 2022) is an extension of the </w:t>
      </w:r>
      <w:r w:rsidRPr="001E3C65">
        <w:rPr>
          <w:rFonts w:asciiTheme="minorHAnsi" w:hAnsiTheme="minorHAnsi"/>
          <w:sz w:val="22"/>
          <w:szCs w:val="22"/>
        </w:rPr>
        <w:t xml:space="preserve">Long-Term Intervention Monitoring (LTIM) </w:t>
      </w:r>
      <w:r w:rsidRPr="00FF725E">
        <w:rPr>
          <w:rFonts w:asciiTheme="minorHAnsi" w:hAnsiTheme="minorHAnsi"/>
          <w:sz w:val="22"/>
          <w:szCs w:val="22"/>
        </w:rPr>
        <w:t xml:space="preserve">and </w:t>
      </w:r>
      <w:hyperlink r:id="rId22" w:history="1">
        <w:r w:rsidRPr="00FF725E">
          <w:rPr>
            <w:rFonts w:asciiTheme="minorHAnsi" w:hAnsiTheme="minorHAnsi"/>
            <w:sz w:val="22"/>
            <w:szCs w:val="22"/>
          </w:rPr>
          <w:t>Murray-Darling Basin Environmental Water Knowledge and Research Project</w:t>
        </w:r>
      </w:hyperlink>
      <w:r w:rsidRPr="00FF725E">
        <w:rPr>
          <w:rFonts w:asciiTheme="minorHAnsi" w:hAnsiTheme="minorHAnsi"/>
          <w:sz w:val="22"/>
          <w:szCs w:val="22"/>
        </w:rPr>
        <w:t xml:space="preserve"> (EWKR) projects, with monitoring, evaluation and research activities undertaken within a single integrated program.</w:t>
      </w:r>
    </w:p>
    <w:p w14:paraId="3CAAD13F" w14:textId="45F35519" w:rsidR="0047115F" w:rsidRDefault="0047115F" w:rsidP="0047115F">
      <w:pPr>
        <w:spacing w:after="120" w:line="320" w:lineRule="exact"/>
        <w:jc w:val="left"/>
      </w:pPr>
      <w:r w:rsidRPr="00FF725E">
        <w:t xml:space="preserve">This </w:t>
      </w:r>
      <w:r>
        <w:t>report</w:t>
      </w:r>
      <w:r w:rsidRPr="00FF725E">
        <w:t xml:space="preserve"> describes the monitoring, evaluation and research activities that </w:t>
      </w:r>
      <w:r>
        <w:t>were</w:t>
      </w:r>
      <w:r w:rsidRPr="00FF725E">
        <w:t xml:space="preserve"> undertaken </w:t>
      </w:r>
      <w:r>
        <w:t xml:space="preserve">in the Edward/Kolety-Wakool system </w:t>
      </w:r>
      <w:r w:rsidRPr="00FF725E">
        <w:t>as p</w:t>
      </w:r>
      <w:r>
        <w:t>art of the CEWO MER Program in 2019-20</w:t>
      </w:r>
      <w:r w:rsidRPr="00FF725E">
        <w:t xml:space="preserve">. This project </w:t>
      </w:r>
      <w:r>
        <w:t>was</w:t>
      </w:r>
      <w:r w:rsidRPr="00FF725E">
        <w:t xml:space="preserve"> undertaken as a collaboration between Charles Sturt University, NSW DPI (Fisheries), NSW </w:t>
      </w:r>
      <w:r>
        <w:t>Department of Planning, Industry and Environment</w:t>
      </w:r>
      <w:r w:rsidRPr="00FF725E">
        <w:t>, La Trobe University and Streamology</w:t>
      </w:r>
      <w:r>
        <w:t xml:space="preserve">. The fish spawning research was undertaken in partnership with the Edward-Wakool Angling Association. </w:t>
      </w:r>
    </w:p>
    <w:p w14:paraId="002A3F4C" w14:textId="40BCB8C2" w:rsidR="0047115F" w:rsidRDefault="0047115F" w:rsidP="0047115F">
      <w:pPr>
        <w:spacing w:after="0" w:line="320" w:lineRule="exact"/>
        <w:contextualSpacing/>
        <w:jc w:val="left"/>
        <w:rPr>
          <w:rFonts w:asciiTheme="minorHAnsi" w:hAnsiTheme="minorHAnsi" w:cstheme="minorHAnsi"/>
          <w:szCs w:val="22"/>
        </w:rPr>
      </w:pPr>
      <w:r w:rsidRPr="00254299">
        <w:rPr>
          <w:rFonts w:asciiTheme="minorHAnsi" w:hAnsiTheme="minorHAnsi" w:cstheme="minorHAnsi"/>
          <w:szCs w:val="22"/>
        </w:rPr>
        <w:t xml:space="preserve">This report has </w:t>
      </w:r>
      <w:r w:rsidR="008D7AAA">
        <w:rPr>
          <w:rFonts w:asciiTheme="minorHAnsi" w:hAnsiTheme="minorHAnsi" w:cstheme="minorHAnsi"/>
          <w:szCs w:val="22"/>
        </w:rPr>
        <w:t>thirteen</w:t>
      </w:r>
      <w:r w:rsidRPr="00254299">
        <w:rPr>
          <w:rFonts w:asciiTheme="minorHAnsi" w:hAnsiTheme="minorHAnsi" w:cstheme="minorHAnsi"/>
          <w:szCs w:val="22"/>
        </w:rPr>
        <w:t xml:space="preserve"> sections. This introduction (section 1) is followed by a description of the Commonwealth environmental water use objectives and watering actions for this system for 201</w:t>
      </w:r>
      <w:r>
        <w:rPr>
          <w:rFonts w:asciiTheme="minorHAnsi" w:hAnsiTheme="minorHAnsi" w:cstheme="minorHAnsi"/>
          <w:szCs w:val="22"/>
        </w:rPr>
        <w:t>9-20</w:t>
      </w:r>
      <w:r w:rsidRPr="00254299">
        <w:rPr>
          <w:rFonts w:asciiTheme="minorHAnsi" w:hAnsiTheme="minorHAnsi" w:cstheme="minorHAnsi"/>
          <w:szCs w:val="22"/>
        </w:rPr>
        <w:t xml:space="preserve"> </w:t>
      </w:r>
      <w:r>
        <w:rPr>
          <w:rFonts w:asciiTheme="minorHAnsi" w:hAnsiTheme="minorHAnsi" w:cstheme="minorHAnsi"/>
          <w:szCs w:val="22"/>
        </w:rPr>
        <w:t xml:space="preserve">(section 2). An overview of the monitoring, </w:t>
      </w:r>
      <w:r w:rsidRPr="00254299">
        <w:rPr>
          <w:rFonts w:asciiTheme="minorHAnsi" w:hAnsiTheme="minorHAnsi" w:cstheme="minorHAnsi"/>
          <w:szCs w:val="22"/>
        </w:rPr>
        <w:t xml:space="preserve">evaluation </w:t>
      </w:r>
      <w:r>
        <w:rPr>
          <w:rFonts w:asciiTheme="minorHAnsi" w:hAnsiTheme="minorHAnsi" w:cstheme="minorHAnsi"/>
          <w:szCs w:val="22"/>
        </w:rPr>
        <w:t xml:space="preserve">and research </w:t>
      </w:r>
      <w:r w:rsidRPr="00254299">
        <w:rPr>
          <w:rFonts w:asciiTheme="minorHAnsi" w:hAnsiTheme="minorHAnsi" w:cstheme="minorHAnsi"/>
          <w:szCs w:val="22"/>
        </w:rPr>
        <w:t xml:space="preserve">undertaken in this system for the </w:t>
      </w:r>
      <w:r>
        <w:rPr>
          <w:rFonts w:asciiTheme="minorHAnsi" w:hAnsiTheme="minorHAnsi" w:cstheme="minorHAnsi"/>
          <w:szCs w:val="22"/>
        </w:rPr>
        <w:t>MER</w:t>
      </w:r>
      <w:r w:rsidRPr="00254299">
        <w:rPr>
          <w:rFonts w:asciiTheme="minorHAnsi" w:hAnsiTheme="minorHAnsi" w:cstheme="minorHAnsi"/>
          <w:szCs w:val="22"/>
        </w:rPr>
        <w:t xml:space="preserve"> project </w:t>
      </w:r>
      <w:r>
        <w:rPr>
          <w:rFonts w:asciiTheme="minorHAnsi" w:hAnsiTheme="minorHAnsi" w:cstheme="minorHAnsi"/>
          <w:szCs w:val="22"/>
        </w:rPr>
        <w:t xml:space="preserve">and its relationship to LTIM monitoring is described in </w:t>
      </w:r>
      <w:r w:rsidRPr="00254299">
        <w:rPr>
          <w:rFonts w:asciiTheme="minorHAnsi" w:hAnsiTheme="minorHAnsi" w:cstheme="minorHAnsi"/>
          <w:szCs w:val="22"/>
        </w:rPr>
        <w:t xml:space="preserve">section 3. Summaries of the evaluation of responses of each indicator to Commonwealth environmental watering </w:t>
      </w:r>
      <w:r>
        <w:rPr>
          <w:rFonts w:asciiTheme="minorHAnsi" w:hAnsiTheme="minorHAnsi" w:cstheme="minorHAnsi"/>
          <w:szCs w:val="22"/>
        </w:rPr>
        <w:t xml:space="preserve">and unregulated flow events </w:t>
      </w:r>
      <w:r w:rsidRPr="00254299">
        <w:rPr>
          <w:rFonts w:asciiTheme="minorHAnsi" w:hAnsiTheme="minorHAnsi" w:cstheme="minorHAnsi"/>
          <w:szCs w:val="22"/>
        </w:rPr>
        <w:t>are presented in sections four to eight; hydrology (section 4), water quality and carbon (section 5), stream metabolism (section 6), riverbank and aquatic vegetation (section 7), and fish movement, fish spawning, fish recruitment and fish community (section 8). Section</w:t>
      </w:r>
      <w:r>
        <w:rPr>
          <w:rFonts w:asciiTheme="minorHAnsi" w:hAnsiTheme="minorHAnsi" w:cstheme="minorHAnsi"/>
          <w:szCs w:val="22"/>
        </w:rPr>
        <w:t xml:space="preserve">s nine to twelve report on the outcomes of several components of an integrated research program focused on the Edward/Kolety River. Section </w:t>
      </w:r>
      <w:r w:rsidRPr="00254299">
        <w:rPr>
          <w:rFonts w:asciiTheme="minorHAnsi" w:hAnsiTheme="minorHAnsi" w:cstheme="minorHAnsi"/>
          <w:szCs w:val="22"/>
        </w:rPr>
        <w:t xml:space="preserve">9 reports on </w:t>
      </w:r>
      <w:r>
        <w:rPr>
          <w:rFonts w:asciiTheme="minorHAnsi" w:hAnsiTheme="minorHAnsi" w:cstheme="minorHAnsi"/>
          <w:szCs w:val="22"/>
        </w:rPr>
        <w:t xml:space="preserve">physical habitat research, section 10 on primary productivity research, section 11 on fish spawning research and section 12 on eDNA biodiversity research. </w:t>
      </w:r>
      <w:r w:rsidRPr="00254299">
        <w:rPr>
          <w:rFonts w:asciiTheme="minorHAnsi" w:hAnsiTheme="minorHAnsi" w:cstheme="minorHAnsi"/>
          <w:szCs w:val="22"/>
        </w:rPr>
        <w:t xml:space="preserve">Recommendations to inform adaptive management of environmental water in </w:t>
      </w:r>
      <w:r>
        <w:rPr>
          <w:rFonts w:asciiTheme="minorHAnsi" w:hAnsiTheme="minorHAnsi" w:cstheme="minorHAnsi"/>
          <w:szCs w:val="22"/>
        </w:rPr>
        <w:t>the Edward/Kolety-Wakool</w:t>
      </w:r>
      <w:r w:rsidRPr="00254299">
        <w:rPr>
          <w:rFonts w:asciiTheme="minorHAnsi" w:hAnsiTheme="minorHAnsi" w:cstheme="minorHAnsi"/>
          <w:szCs w:val="22"/>
        </w:rPr>
        <w:t xml:space="preserve"> system in the future is presented in section 1</w:t>
      </w:r>
      <w:r>
        <w:rPr>
          <w:rFonts w:asciiTheme="minorHAnsi" w:hAnsiTheme="minorHAnsi" w:cstheme="minorHAnsi"/>
          <w:szCs w:val="22"/>
        </w:rPr>
        <w:t>3</w:t>
      </w:r>
      <w:r w:rsidRPr="00254299">
        <w:rPr>
          <w:rFonts w:asciiTheme="minorHAnsi" w:hAnsiTheme="minorHAnsi" w:cstheme="minorHAnsi"/>
          <w:szCs w:val="22"/>
        </w:rPr>
        <w:t>. A summary report (Watts et</w:t>
      </w:r>
      <w:r>
        <w:rPr>
          <w:rFonts w:asciiTheme="minorHAnsi" w:hAnsiTheme="minorHAnsi" w:cstheme="minorHAnsi"/>
          <w:szCs w:val="22"/>
        </w:rPr>
        <w:t xml:space="preserve"> al. 2020</w:t>
      </w:r>
      <w:r w:rsidRPr="00254299">
        <w:rPr>
          <w:rFonts w:asciiTheme="minorHAnsi" w:hAnsiTheme="minorHAnsi" w:cstheme="minorHAnsi"/>
          <w:szCs w:val="22"/>
        </w:rPr>
        <w:t>) provides an overview of the monitoring and key findings of the ecosystem responses to environmental watering actions in the Edward/Kolety-Wakool system in 201</w:t>
      </w:r>
      <w:r>
        <w:rPr>
          <w:rFonts w:asciiTheme="minorHAnsi" w:hAnsiTheme="minorHAnsi" w:cstheme="minorHAnsi"/>
          <w:szCs w:val="22"/>
        </w:rPr>
        <w:t>9-20</w:t>
      </w:r>
      <w:r w:rsidRPr="00254299">
        <w:rPr>
          <w:rFonts w:asciiTheme="minorHAnsi" w:hAnsiTheme="minorHAnsi" w:cstheme="minorHAnsi"/>
          <w:szCs w:val="22"/>
        </w:rPr>
        <w:t xml:space="preserve"> </w:t>
      </w:r>
      <w:r>
        <w:rPr>
          <w:rFonts w:asciiTheme="minorHAnsi" w:hAnsiTheme="minorHAnsi" w:cstheme="minorHAnsi"/>
          <w:szCs w:val="22"/>
        </w:rPr>
        <w:t>including findings</w:t>
      </w:r>
      <w:r w:rsidRPr="00254299">
        <w:rPr>
          <w:rFonts w:asciiTheme="minorHAnsi" w:hAnsiTheme="minorHAnsi" w:cstheme="minorHAnsi"/>
          <w:szCs w:val="22"/>
        </w:rPr>
        <w:t xml:space="preserve"> across the </w:t>
      </w:r>
      <w:r>
        <w:rPr>
          <w:rFonts w:asciiTheme="minorHAnsi" w:hAnsiTheme="minorHAnsi" w:cstheme="minorHAnsi"/>
          <w:szCs w:val="22"/>
        </w:rPr>
        <w:t>six</w:t>
      </w:r>
      <w:r w:rsidRPr="00254299">
        <w:rPr>
          <w:rFonts w:asciiTheme="minorHAnsi" w:hAnsiTheme="minorHAnsi" w:cstheme="minorHAnsi"/>
          <w:szCs w:val="22"/>
        </w:rPr>
        <w:t xml:space="preserve"> years of the </w:t>
      </w:r>
      <w:r>
        <w:rPr>
          <w:rFonts w:asciiTheme="minorHAnsi" w:hAnsiTheme="minorHAnsi" w:cstheme="minorHAnsi"/>
          <w:szCs w:val="22"/>
        </w:rPr>
        <w:t xml:space="preserve">combined </w:t>
      </w:r>
      <w:r w:rsidRPr="00254299">
        <w:rPr>
          <w:rFonts w:asciiTheme="minorHAnsi" w:hAnsiTheme="minorHAnsi" w:cstheme="minorHAnsi"/>
          <w:szCs w:val="22"/>
        </w:rPr>
        <w:t>LTIM</w:t>
      </w:r>
      <w:r>
        <w:rPr>
          <w:rFonts w:asciiTheme="minorHAnsi" w:hAnsiTheme="minorHAnsi" w:cstheme="minorHAnsi"/>
          <w:szCs w:val="22"/>
        </w:rPr>
        <w:t>/MER</w:t>
      </w:r>
      <w:r w:rsidRPr="00254299">
        <w:rPr>
          <w:rFonts w:asciiTheme="minorHAnsi" w:hAnsiTheme="minorHAnsi" w:cstheme="minorHAnsi"/>
          <w:szCs w:val="22"/>
        </w:rPr>
        <w:t xml:space="preserve"> program</w:t>
      </w:r>
      <w:r>
        <w:rPr>
          <w:rFonts w:asciiTheme="minorHAnsi" w:hAnsiTheme="minorHAnsi" w:cstheme="minorHAnsi"/>
          <w:szCs w:val="22"/>
        </w:rPr>
        <w:t>.</w:t>
      </w:r>
    </w:p>
    <w:p w14:paraId="231482FD" w14:textId="77777777" w:rsidR="0047115F" w:rsidRDefault="0047115F" w:rsidP="0047115F">
      <w:pPr>
        <w:spacing w:after="0" w:line="320" w:lineRule="exact"/>
        <w:contextualSpacing/>
        <w:jc w:val="left"/>
        <w:rPr>
          <w:rFonts w:asciiTheme="minorHAnsi" w:hAnsiTheme="minorHAnsi" w:cstheme="minorHAnsi"/>
          <w:szCs w:val="22"/>
        </w:rPr>
      </w:pPr>
    </w:p>
    <w:p w14:paraId="64F1F4C1" w14:textId="2169E5BF" w:rsidR="0047115F" w:rsidRPr="0047115F" w:rsidRDefault="0047115F" w:rsidP="0047115F">
      <w:pPr>
        <w:spacing w:after="120" w:line="320" w:lineRule="exact"/>
        <w:jc w:val="left"/>
        <w:rPr>
          <w:b/>
          <w:color w:val="31849B" w:themeColor="accent5" w:themeShade="BF"/>
          <w:sz w:val="28"/>
          <w:szCs w:val="28"/>
        </w:rPr>
      </w:pPr>
      <w:r w:rsidRPr="0047115F">
        <w:rPr>
          <w:b/>
          <w:color w:val="31849B" w:themeColor="accent5" w:themeShade="BF"/>
          <w:sz w:val="28"/>
          <w:szCs w:val="28"/>
        </w:rPr>
        <w:t>Monitoring and evaluation</w:t>
      </w:r>
    </w:p>
    <w:p w14:paraId="31478FF1" w14:textId="769F9804" w:rsidR="0047115F" w:rsidRDefault="0047115F" w:rsidP="0047115F">
      <w:pPr>
        <w:spacing w:after="0" w:line="320" w:lineRule="exact"/>
        <w:contextualSpacing/>
        <w:jc w:val="left"/>
      </w:pPr>
      <w:r>
        <w:t>The monitoring and research described in this report is undertaken using methods and approaches described in the Edward/Kolety-Wakool MER Plan (Watts et al 2019a).</w:t>
      </w:r>
      <w:r w:rsidRPr="00E015F1">
        <w:t xml:space="preserve"> </w:t>
      </w:r>
      <w:r>
        <w:t>As the MER project is a continuation of the LTIM</w:t>
      </w:r>
      <w:r w:rsidRPr="00737E17">
        <w:t xml:space="preserve"> Project</w:t>
      </w:r>
      <w:r>
        <w:t>, for some of the monitoring indicators we will evaluate long-term trends across the six years of the LTIM/MER project.</w:t>
      </w:r>
    </w:p>
    <w:p w14:paraId="7AEF82DC" w14:textId="5DAF8C6D" w:rsidR="0047115F" w:rsidRPr="00971CE3" w:rsidRDefault="0047115F" w:rsidP="0047115F">
      <w:pPr>
        <w:pStyle w:val="BodyText1"/>
        <w:spacing w:beforeLines="50" w:after="0" w:line="320" w:lineRule="exact"/>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T</w:t>
      </w:r>
      <w:r w:rsidRPr="00971CE3">
        <w:rPr>
          <w:rFonts w:asciiTheme="minorHAnsi" w:eastAsia="Calibri" w:hAnsiTheme="minorHAnsi" w:cstheme="minorHAnsi"/>
          <w:lang w:eastAsia="en-US" w:bidi="ar-SA"/>
        </w:rPr>
        <w:t>he MER project includes monitoring in the following hydrological zones:</w:t>
      </w:r>
    </w:p>
    <w:p w14:paraId="517C3126" w14:textId="39219656" w:rsidR="0047115F" w:rsidRPr="00971CE3" w:rsidRDefault="0047115F" w:rsidP="0040642F">
      <w:pPr>
        <w:pStyle w:val="BodyText1"/>
        <w:numPr>
          <w:ilvl w:val="0"/>
          <w:numId w:val="32"/>
        </w:numPr>
        <w:spacing w:before="0" w:after="0" w:line="320" w:lineRule="exact"/>
        <w:ind w:left="714" w:hanging="357"/>
        <w:jc w:val="left"/>
        <w:rPr>
          <w:rFonts w:asciiTheme="minorHAnsi" w:eastAsia="Calibri" w:hAnsiTheme="minorHAnsi" w:cstheme="minorHAnsi"/>
          <w:lang w:eastAsia="en-US" w:bidi="ar-SA"/>
        </w:rPr>
      </w:pPr>
      <w:r w:rsidRPr="00971CE3">
        <w:rPr>
          <w:rFonts w:asciiTheme="minorHAnsi" w:eastAsia="Calibri" w:hAnsiTheme="minorHAnsi" w:cstheme="minorHAnsi"/>
          <w:lang w:eastAsia="en-US" w:bidi="ar-SA"/>
        </w:rPr>
        <w:t>Monitoring sites established during the LTIM project that focus</w:t>
      </w:r>
      <w:r>
        <w:rPr>
          <w:rFonts w:asciiTheme="minorHAnsi" w:eastAsia="Calibri" w:hAnsiTheme="minorHAnsi" w:cstheme="minorHAnsi"/>
          <w:lang w:eastAsia="en-US" w:bidi="ar-SA"/>
        </w:rPr>
        <w:t>sed</w:t>
      </w:r>
      <w:r w:rsidRPr="00971CE3">
        <w:rPr>
          <w:rFonts w:asciiTheme="minorHAnsi" w:eastAsia="Calibri" w:hAnsiTheme="minorHAnsi" w:cstheme="minorHAnsi"/>
          <w:lang w:eastAsia="en-US" w:bidi="ar-SA"/>
        </w:rPr>
        <w:t xml:space="preserve"> on the upper and mid reaches of the Wakool-Yallakool system (zones 1, 2, 3 and 4) </w:t>
      </w:r>
      <w:r>
        <w:rPr>
          <w:rFonts w:asciiTheme="minorHAnsi" w:eastAsia="Calibri" w:hAnsiTheme="minorHAnsi" w:cstheme="minorHAnsi"/>
          <w:lang w:eastAsia="en-US" w:bidi="ar-SA"/>
        </w:rPr>
        <w:t>were</w:t>
      </w:r>
      <w:r w:rsidRPr="00971CE3">
        <w:rPr>
          <w:rFonts w:asciiTheme="minorHAnsi" w:eastAsia="Calibri" w:hAnsiTheme="minorHAnsi" w:cstheme="minorHAnsi"/>
          <w:lang w:eastAsia="en-US" w:bidi="ar-SA"/>
        </w:rPr>
        <w:t xml:space="preserve"> maintained for the MER project</w:t>
      </w:r>
      <w:r>
        <w:rPr>
          <w:rFonts w:asciiTheme="minorHAnsi" w:eastAsia="Calibri" w:hAnsiTheme="minorHAnsi" w:cstheme="minorHAnsi"/>
          <w:lang w:eastAsia="en-US" w:bidi="ar-SA"/>
        </w:rPr>
        <w:t>.</w:t>
      </w:r>
    </w:p>
    <w:p w14:paraId="24766921" w14:textId="589144BF" w:rsidR="0047115F" w:rsidRPr="00971CE3" w:rsidRDefault="0047115F" w:rsidP="0040642F">
      <w:pPr>
        <w:pStyle w:val="BodyText1"/>
        <w:numPr>
          <w:ilvl w:val="0"/>
          <w:numId w:val="32"/>
        </w:numPr>
        <w:spacing w:before="0" w:after="0" w:line="320" w:lineRule="exact"/>
        <w:ind w:left="714" w:hanging="357"/>
        <w:jc w:val="left"/>
        <w:rPr>
          <w:rFonts w:asciiTheme="minorHAnsi" w:eastAsia="Calibri" w:hAnsiTheme="minorHAnsi" w:cstheme="minorHAnsi"/>
          <w:lang w:eastAsia="en-US" w:bidi="ar-SA"/>
        </w:rPr>
      </w:pPr>
      <w:r w:rsidRPr="00971CE3">
        <w:rPr>
          <w:rFonts w:asciiTheme="minorHAnsi" w:eastAsia="Calibri" w:hAnsiTheme="minorHAnsi" w:cstheme="minorHAnsi"/>
          <w:lang w:eastAsia="en-US" w:bidi="ar-SA"/>
        </w:rPr>
        <w:t xml:space="preserve">Twenty sites that were established for fish community surveys in 2010 and were monitored in year one (2015) and year five (2019) of the LTIM project </w:t>
      </w:r>
      <w:r>
        <w:rPr>
          <w:rFonts w:asciiTheme="minorHAnsi" w:eastAsia="Calibri" w:hAnsiTheme="minorHAnsi" w:cstheme="minorHAnsi"/>
          <w:lang w:eastAsia="en-US" w:bidi="ar-SA"/>
        </w:rPr>
        <w:t>were</w:t>
      </w:r>
      <w:r w:rsidRPr="00971CE3">
        <w:rPr>
          <w:rFonts w:asciiTheme="minorHAnsi" w:eastAsia="Calibri" w:hAnsiTheme="minorHAnsi" w:cstheme="minorHAnsi"/>
          <w:lang w:eastAsia="en-US" w:bidi="ar-SA"/>
        </w:rPr>
        <w:t xml:space="preserve"> maintained </w:t>
      </w:r>
      <w:r>
        <w:rPr>
          <w:rFonts w:asciiTheme="minorHAnsi" w:eastAsia="Calibri" w:hAnsiTheme="minorHAnsi" w:cstheme="minorHAnsi"/>
          <w:lang w:eastAsia="en-US" w:bidi="ar-SA"/>
        </w:rPr>
        <w:t xml:space="preserve">for the MER project </w:t>
      </w:r>
      <w:r w:rsidRPr="00971CE3">
        <w:rPr>
          <w:rFonts w:asciiTheme="minorHAnsi" w:eastAsia="Calibri" w:hAnsiTheme="minorHAnsi" w:cstheme="minorHAnsi"/>
          <w:lang w:eastAsia="en-US" w:bidi="ar-SA"/>
        </w:rPr>
        <w:t>and will be surveyed in year three of MER (2022).</w:t>
      </w:r>
    </w:p>
    <w:p w14:paraId="6DABE729" w14:textId="5EEF352A" w:rsidR="0047115F" w:rsidRPr="00971CE3" w:rsidRDefault="0047115F" w:rsidP="0040642F">
      <w:pPr>
        <w:pStyle w:val="ListParagraph"/>
        <w:numPr>
          <w:ilvl w:val="0"/>
          <w:numId w:val="32"/>
        </w:numPr>
        <w:spacing w:after="120" w:line="320" w:lineRule="exact"/>
        <w:ind w:left="714" w:hanging="357"/>
        <w:jc w:val="left"/>
        <w:rPr>
          <w:rFonts w:asciiTheme="minorHAnsi" w:hAnsiTheme="minorHAnsi" w:cstheme="minorHAnsi"/>
        </w:rPr>
      </w:pPr>
      <w:r w:rsidRPr="00971CE3">
        <w:rPr>
          <w:rFonts w:asciiTheme="minorHAnsi" w:hAnsiTheme="minorHAnsi" w:cstheme="minorHAnsi"/>
        </w:rPr>
        <w:t xml:space="preserve">Additional sites </w:t>
      </w:r>
      <w:r>
        <w:rPr>
          <w:rFonts w:asciiTheme="minorHAnsi" w:hAnsiTheme="minorHAnsi" w:cstheme="minorHAnsi"/>
        </w:rPr>
        <w:t>were</w:t>
      </w:r>
      <w:r w:rsidRPr="00971CE3">
        <w:rPr>
          <w:rFonts w:asciiTheme="minorHAnsi" w:hAnsiTheme="minorHAnsi" w:cstheme="minorHAnsi"/>
        </w:rPr>
        <w:t xml:space="preserve"> added to the existing network of water quality monitoring sites established during LTIM project. For the MER project there are 17 water quality monitoring sites throughout the whole system</w:t>
      </w:r>
      <w:r>
        <w:rPr>
          <w:rFonts w:asciiTheme="minorHAnsi" w:hAnsiTheme="minorHAnsi" w:cstheme="minorHAnsi"/>
        </w:rPr>
        <w:t>.</w:t>
      </w:r>
      <w:r w:rsidRPr="00971CE3">
        <w:rPr>
          <w:rFonts w:asciiTheme="minorHAnsi" w:hAnsiTheme="minorHAnsi" w:cstheme="minorHAnsi"/>
        </w:rPr>
        <w:t xml:space="preserve"> </w:t>
      </w:r>
    </w:p>
    <w:p w14:paraId="27E62099" w14:textId="59823FF9" w:rsidR="0047115F" w:rsidRPr="00547D70" w:rsidRDefault="0047115F" w:rsidP="0047115F">
      <w:pPr>
        <w:spacing w:after="120" w:line="240" w:lineRule="auto"/>
      </w:pPr>
      <w:r>
        <w:t>An evaluation of the outcomes</w:t>
      </w:r>
      <w:r w:rsidRPr="00547D70">
        <w:t xml:space="preserve"> of Commonwealth environme</w:t>
      </w:r>
      <w:r>
        <w:t>ntal watering undertaken in 2019-20</w:t>
      </w:r>
      <w:r w:rsidRPr="00547D70">
        <w:t xml:space="preserve"> </w:t>
      </w:r>
      <w:r>
        <w:t>was undertaken</w:t>
      </w:r>
      <w:r w:rsidRPr="00547D70">
        <w:t xml:space="preserve"> for the following indicators:</w:t>
      </w:r>
      <w:r>
        <w:t xml:space="preserve"> Hydrology, </w:t>
      </w:r>
      <w:r w:rsidRPr="00547D70">
        <w:t>Wate</w:t>
      </w:r>
      <w:r>
        <w:t xml:space="preserve">r quality and carbon, Stream metabolism, </w:t>
      </w:r>
      <w:r w:rsidRPr="00547D70">
        <w:t>Aquatic and river</w:t>
      </w:r>
      <w:r>
        <w:t>bank vegetation, and f</w:t>
      </w:r>
      <w:r w:rsidRPr="00547D70">
        <w:t>ish movement</w:t>
      </w:r>
      <w:r>
        <w:t>, reproduction, recruitment, and community.</w:t>
      </w:r>
    </w:p>
    <w:p w14:paraId="427D51FE" w14:textId="5F904B90" w:rsidR="0047115F" w:rsidRDefault="0047115F" w:rsidP="0047115F">
      <w:pPr>
        <w:spacing w:after="0" w:line="320" w:lineRule="exact"/>
        <w:contextualSpacing/>
        <w:jc w:val="left"/>
      </w:pPr>
      <w:r>
        <w:t>Responses to Commonwealth environmental water were evaluated in two ways:</w:t>
      </w:r>
    </w:p>
    <w:p w14:paraId="5CBF50E4" w14:textId="77777777" w:rsidR="0047115F" w:rsidRDefault="0047115F" w:rsidP="0040642F">
      <w:pPr>
        <w:pStyle w:val="ListParagraph"/>
        <w:numPr>
          <w:ilvl w:val="0"/>
          <w:numId w:val="24"/>
        </w:numPr>
        <w:spacing w:after="0" w:line="320" w:lineRule="exact"/>
        <w:ind w:left="408" w:hanging="408"/>
        <w:jc w:val="left"/>
      </w:pPr>
      <w:r>
        <w:t>Indicators that respond quickly to flow (e.g. hydrology, water quality and carbon, stream metabolism, fish movement, fish spawning) were evaluated for their response to specific watering actions. Hydrological indicators were calculated on the discharge data with and without the environmental water.</w:t>
      </w:r>
    </w:p>
    <w:p w14:paraId="6FCAFF2D" w14:textId="69DC2AEE" w:rsidR="0047115F" w:rsidRDefault="0047115F" w:rsidP="0040642F">
      <w:pPr>
        <w:pStyle w:val="ListParagraph"/>
        <w:numPr>
          <w:ilvl w:val="0"/>
          <w:numId w:val="24"/>
        </w:numPr>
        <w:spacing w:after="240" w:line="320" w:lineRule="exact"/>
        <w:ind w:left="408" w:hanging="408"/>
        <w:jc w:val="left"/>
      </w:pPr>
      <w:r>
        <w:t>Indicators that respond over longer time frames (e.g. riverbank and aquatic vegetation, fish recruitment, fish community) were evaluated for their response to the longer-term environmental watering regimes. This was undertaken by comparing responses over multiple years, and/or comparing responses in reaches that have received environmental water to zones (e.g. upper Wakool River zone 2) that has received none or minimal environmental water.</w:t>
      </w:r>
    </w:p>
    <w:p w14:paraId="12B3766E" w14:textId="53A608AD" w:rsidR="0047115F" w:rsidRPr="0047115F" w:rsidRDefault="0047115F" w:rsidP="0047115F">
      <w:pPr>
        <w:spacing w:after="120" w:line="320" w:lineRule="exact"/>
        <w:jc w:val="left"/>
        <w:rPr>
          <w:b/>
          <w:color w:val="31849B" w:themeColor="accent5" w:themeShade="BF"/>
          <w:sz w:val="28"/>
          <w:szCs w:val="28"/>
        </w:rPr>
      </w:pPr>
      <w:r w:rsidRPr="0047115F">
        <w:rPr>
          <w:b/>
          <w:color w:val="31849B" w:themeColor="accent5" w:themeShade="BF"/>
          <w:sz w:val="28"/>
          <w:szCs w:val="28"/>
        </w:rPr>
        <w:t>Research</w:t>
      </w:r>
    </w:p>
    <w:p w14:paraId="23A7B0B6" w14:textId="07045BD4" w:rsidR="0047115F" w:rsidRDefault="0047115F" w:rsidP="0047115F">
      <w:pPr>
        <w:pStyle w:val="BodyText1"/>
        <w:spacing w:before="0" w:line="320" w:lineRule="exact"/>
        <w:jc w:val="left"/>
        <w:rPr>
          <w:rFonts w:ascii="Calibri" w:eastAsia="Calibri" w:hAnsi="Calibri" w:cs="Times New Roman"/>
          <w:szCs w:val="20"/>
          <w:lang w:eastAsia="en-US" w:bidi="ar-SA"/>
        </w:rPr>
      </w:pPr>
      <w:r w:rsidRPr="00443BD6">
        <w:rPr>
          <w:rFonts w:asciiTheme="minorHAnsi" w:eastAsia="Calibri" w:hAnsiTheme="minorHAnsi" w:cstheme="minorHAnsi"/>
          <w:lang w:eastAsia="en-US" w:bidi="ar-SA"/>
        </w:rPr>
        <w:t>The focus of the research is the Edward/Kolety River downstream of Stevens Weir</w:t>
      </w:r>
      <w:r w:rsidRPr="009E6A15">
        <w:rPr>
          <w:rFonts w:ascii="Calibri" w:eastAsia="Calibri" w:hAnsi="Calibri" w:cs="Times New Roman"/>
          <w:szCs w:val="20"/>
          <w:lang w:eastAsia="en-US" w:bidi="ar-SA"/>
        </w:rPr>
        <w:t xml:space="preserve">. The Edward/Kolety River was not </w:t>
      </w:r>
      <w:r w:rsidR="00131521">
        <w:rPr>
          <w:rFonts w:ascii="Calibri" w:eastAsia="Calibri" w:hAnsi="Calibri" w:cs="Times New Roman"/>
          <w:szCs w:val="20"/>
          <w:lang w:eastAsia="en-US" w:bidi="ar-SA"/>
        </w:rPr>
        <w:t>included in</w:t>
      </w:r>
      <w:r w:rsidRPr="009E6A15">
        <w:rPr>
          <w:rFonts w:ascii="Calibri" w:eastAsia="Calibri" w:hAnsi="Calibri" w:cs="Times New Roman"/>
          <w:szCs w:val="20"/>
          <w:lang w:eastAsia="en-US" w:bidi="ar-SA"/>
        </w:rPr>
        <w:t xml:space="preserve"> LTIM program, so there are considerable knowledge gaps that need to be addressed to inform the future delivery of environmental water to the Edward/Kolety River and the management of environmental water in relation to the Werai Forest, which is part of the NSW Central Murray Forests Ramsar site (NSW Office of Environment and Heritage 2018).</w:t>
      </w:r>
    </w:p>
    <w:p w14:paraId="7333041D" w14:textId="080CE52C" w:rsidR="0047115F" w:rsidRDefault="00131521" w:rsidP="0047115F">
      <w:pPr>
        <w:spacing w:after="120" w:line="320" w:lineRule="exact"/>
        <w:jc w:val="left"/>
      </w:pPr>
      <w:r>
        <w:t>The Edward/Kolety</w:t>
      </w:r>
      <w:r w:rsidR="0047115F">
        <w:t xml:space="preserve"> integrated research project includes physical, ecological, and social research that will address questions relating to</w:t>
      </w:r>
      <w:r w:rsidR="0047115F" w:rsidRPr="007E2AB2">
        <w:t xml:space="preserve"> how managed flows </w:t>
      </w:r>
      <w:r>
        <w:t>in the Edward</w:t>
      </w:r>
      <w:r w:rsidR="00E30D62">
        <w:t>/Kolety</w:t>
      </w:r>
      <w:r>
        <w:t xml:space="preserve"> River </w:t>
      </w:r>
      <w:r w:rsidR="0047115F" w:rsidRPr="007E2AB2">
        <w:t>and the operation of Stevens Weir</w:t>
      </w:r>
      <w:r>
        <w:t xml:space="preserve">. The research examines </w:t>
      </w:r>
      <w:r w:rsidR="0047115F" w:rsidRPr="007E2AB2">
        <w:t xml:space="preserve">physical aspects (e.g. </w:t>
      </w:r>
      <w:r w:rsidR="0047115F">
        <w:t>lateral</w:t>
      </w:r>
      <w:r w:rsidR="0047115F" w:rsidRPr="007E2AB2">
        <w:t xml:space="preserve"> connectivity and physical form) </w:t>
      </w:r>
      <w:r>
        <w:t>as well as</w:t>
      </w:r>
      <w:r w:rsidR="0047115F" w:rsidRPr="007E2AB2">
        <w:t xml:space="preserve"> ecological processes</w:t>
      </w:r>
      <w:r w:rsidR="0047115F">
        <w:t>,</w:t>
      </w:r>
      <w:r w:rsidR="0047115F" w:rsidRPr="007E2AB2">
        <w:t xml:space="preserve"> such as river productivity, wetland plant emergence and survival, turtle movement and condition, and fish spawning. </w:t>
      </w:r>
      <w:r>
        <w:t>In addition, a project on</w:t>
      </w:r>
      <w:r w:rsidR="0047115F">
        <w:t xml:space="preserve"> e-DNA approach </w:t>
      </w:r>
      <w:r>
        <w:t>was undertaken</w:t>
      </w:r>
      <w:r w:rsidR="0047115F">
        <w:t xml:space="preserve"> to determine the </w:t>
      </w:r>
      <w:r w:rsidR="0047115F" w:rsidRPr="009E6A15">
        <w:rPr>
          <w:rFonts w:cstheme="minorHAnsi"/>
        </w:rPr>
        <w:t>presence and spatial distribution of threatened, uncommon and iconic or rare taxa that have not been the target of the LTIM/MER monitoring and evaluation. Integrated with these biophysical research themes, s</w:t>
      </w:r>
      <w:r w:rsidR="0047115F" w:rsidRPr="007E2AB2">
        <w:t xml:space="preserve">ocial research </w:t>
      </w:r>
      <w:r w:rsidR="0047115F">
        <w:t>will be undertaken in 2020-21 to examine</w:t>
      </w:r>
      <w:r w:rsidR="0047115F" w:rsidRPr="007E2AB2">
        <w:t xml:space="preserve"> stakeholder attitudes to, and acceptance of, the concept and use of C</w:t>
      </w:r>
      <w:r w:rsidR="0047115F">
        <w:t>ommonwealth environmental water. Some of the research components have different reporting timelines. The research implementation will be undertaken throughout the MER program (2019-2022), and the research outcomes will be integrated in the final MER report in 2022.</w:t>
      </w:r>
    </w:p>
    <w:p w14:paraId="085CCFB0" w14:textId="40D9A38E" w:rsidR="0012016B" w:rsidRPr="00921FE8" w:rsidRDefault="0012016B" w:rsidP="0012016B">
      <w:pPr>
        <w:tabs>
          <w:tab w:val="left" w:pos="9071"/>
        </w:tabs>
        <w:spacing w:after="120" w:line="320" w:lineRule="exact"/>
        <w:jc w:val="left"/>
        <w:rPr>
          <w:b/>
          <w:color w:val="31849B" w:themeColor="accent5" w:themeShade="BF"/>
          <w:sz w:val="28"/>
          <w:szCs w:val="28"/>
        </w:rPr>
      </w:pPr>
      <w:r w:rsidRPr="00921FE8">
        <w:rPr>
          <w:b/>
          <w:color w:val="31849B" w:themeColor="accent5" w:themeShade="BF"/>
          <w:sz w:val="28"/>
          <w:szCs w:val="28"/>
        </w:rPr>
        <w:t>Environmental watering in the Edward</w:t>
      </w:r>
      <w:r w:rsidR="0066621C">
        <w:rPr>
          <w:b/>
          <w:color w:val="31849B" w:themeColor="accent5" w:themeShade="BF"/>
          <w:sz w:val="28"/>
          <w:szCs w:val="28"/>
        </w:rPr>
        <w:t>/Kolety-Wakool system 2019</w:t>
      </w:r>
      <w:r>
        <w:rPr>
          <w:b/>
          <w:color w:val="31849B" w:themeColor="accent5" w:themeShade="BF"/>
          <w:sz w:val="28"/>
          <w:szCs w:val="28"/>
        </w:rPr>
        <w:t>-</w:t>
      </w:r>
      <w:r w:rsidR="0066621C">
        <w:rPr>
          <w:b/>
          <w:color w:val="31849B" w:themeColor="accent5" w:themeShade="BF"/>
          <w:sz w:val="28"/>
          <w:szCs w:val="28"/>
        </w:rPr>
        <w:t>20</w:t>
      </w:r>
    </w:p>
    <w:p w14:paraId="73B538AA" w14:textId="77777777" w:rsidR="0066621C" w:rsidRDefault="0066621C" w:rsidP="0066621C">
      <w:pPr>
        <w:pStyle w:val="NoSpacing"/>
        <w:spacing w:after="120" w:line="320" w:lineRule="exact"/>
        <w:jc w:val="left"/>
      </w:pPr>
      <w:r w:rsidRPr="00B35204">
        <w:t xml:space="preserve">This report </w:t>
      </w:r>
      <w:r>
        <w:t>reports</w:t>
      </w:r>
      <w:r w:rsidRPr="00B35204">
        <w:t xml:space="preserve"> on </w:t>
      </w:r>
      <w:r>
        <w:t xml:space="preserve">responses to </w:t>
      </w:r>
      <w:r w:rsidRPr="00B35204">
        <w:t xml:space="preserve">Commonwealth environmental watering actions in the Edward/Kolety-Wakool Selected Area from 1 May 2019 to 30 June 2020. This </w:t>
      </w:r>
      <w:r>
        <w:t>reporting period commences in May 2019 to enable</w:t>
      </w:r>
      <w:r w:rsidRPr="00B35204">
        <w:t xml:space="preserve"> an evaluation of the winter watering action that commenced in May 2019.</w:t>
      </w:r>
    </w:p>
    <w:p w14:paraId="0A4BC8F9" w14:textId="44AF01F8" w:rsidR="0066621C" w:rsidRDefault="0066621C" w:rsidP="0066621C">
      <w:pPr>
        <w:pStyle w:val="NoSpacing"/>
        <w:spacing w:after="120" w:line="320" w:lineRule="exact"/>
        <w:jc w:val="left"/>
      </w:pPr>
      <w:r w:rsidRPr="000C7D65">
        <w:t>Three watering actions were planned by the Commonwealth Environmental Water Office for the 2019-20 water year in the Wakool-Yallakool system and the Colligen-Niemur system (</w:t>
      </w:r>
      <w:r>
        <w:t>Table i</w:t>
      </w:r>
      <w:r w:rsidRPr="000C7D65">
        <w:t xml:space="preserve">). </w:t>
      </w:r>
      <w:r>
        <w:t xml:space="preserve">Some of the water during these actions was sourced as </w:t>
      </w:r>
      <w:r w:rsidRPr="00A14E1A">
        <w:t>return flows from the Southern</w:t>
      </w:r>
      <w:r w:rsidRPr="000C7D65">
        <w:t xml:space="preserve"> </w:t>
      </w:r>
      <w:r>
        <w:t>Connected F</w:t>
      </w:r>
      <w:r w:rsidRPr="00A14E1A">
        <w:t>low</w:t>
      </w:r>
      <w:r w:rsidRPr="000C7D65">
        <w:t xml:space="preserve"> </w:t>
      </w:r>
      <w:r w:rsidRPr="004C0F90">
        <w:t>in the Murray River</w:t>
      </w:r>
      <w:r>
        <w:t>. This influenced flows in the Edward/Kolety-Wakool system from 28 August to 9 September 2019, and 23 September to 1 October 2019. The return flows from Millewa Forest may have affected the water quality in the Edward/Kolety-Wakool system on these dates, and on later dates at sites further downstream. Actions 1 and 3a specifically targeted hydrology outcomes of connectivity.</w:t>
      </w:r>
    </w:p>
    <w:p w14:paraId="1869ABA3" w14:textId="68C86EF7" w:rsidR="0066621C" w:rsidRPr="00B35204" w:rsidRDefault="0066621C" w:rsidP="006E65C5">
      <w:pPr>
        <w:pStyle w:val="NoSpacing"/>
        <w:spacing w:after="240" w:line="320" w:lineRule="exact"/>
        <w:jc w:val="left"/>
      </w:pPr>
      <w:r w:rsidRPr="000C7D65">
        <w:t xml:space="preserve">Watering action number 1 was a winter base flow. Watering action 2 was for a short period of time in August 2019 when there was no operational demand, so CEW was used to prevent water levels reducing to low levels for a short period between action 1 and action 3. Watering action 3 </w:t>
      </w:r>
      <w:r w:rsidR="001E321C">
        <w:t>was</w:t>
      </w:r>
      <w:r w:rsidRPr="000C7D65">
        <w:t xml:space="preserve"> partitioned into 5 components to describe a series of flows commencing on 28 August and ending on 22 December 2019 (Table </w:t>
      </w:r>
      <w:r>
        <w:t>i</w:t>
      </w:r>
      <w:r w:rsidRPr="000C7D65">
        <w:t>)</w:t>
      </w:r>
    </w:p>
    <w:p w14:paraId="3FFA34D0" w14:textId="77777777" w:rsidR="0066621C" w:rsidRPr="00B35204" w:rsidRDefault="0066621C" w:rsidP="0066621C">
      <w:pPr>
        <w:pStyle w:val="ListBullet"/>
        <w:spacing w:after="0"/>
        <w:ind w:right="-142"/>
        <w:jc w:val="left"/>
        <w:rPr>
          <w:rFonts w:asciiTheme="minorHAnsi" w:hAnsiTheme="minorHAnsi" w:cstheme="minorHAnsi"/>
        </w:rPr>
      </w:pPr>
      <w:r w:rsidRPr="00B35204">
        <w:rPr>
          <w:rFonts w:asciiTheme="minorHAnsi" w:hAnsiTheme="minorHAnsi"/>
          <w:b/>
        </w:rPr>
        <w:t xml:space="preserve">Table i  </w:t>
      </w:r>
      <w:r w:rsidRPr="00B35204">
        <w:rPr>
          <w:rFonts w:asciiTheme="minorHAnsi" w:hAnsiTheme="minorHAnsi"/>
        </w:rPr>
        <w:t xml:space="preserve">Planned Commonwealth environmental watering actions in the Edward/Kolety-Wakool system in </w:t>
      </w:r>
    </w:p>
    <w:p w14:paraId="7CC8D8C4" w14:textId="77777777" w:rsidR="0066621C" w:rsidRDefault="0066621C" w:rsidP="0066621C">
      <w:pPr>
        <w:pStyle w:val="BodyText"/>
        <w:spacing w:line="240" w:lineRule="auto"/>
        <w:jc w:val="left"/>
        <w:rPr>
          <w:rFonts w:asciiTheme="minorHAnsi" w:hAnsiTheme="minorHAnsi" w:cstheme="minorHAnsi"/>
          <w:sz w:val="20"/>
        </w:rPr>
      </w:pPr>
      <w:r w:rsidRPr="00B35204">
        <w:rPr>
          <w:rFonts w:asciiTheme="minorHAnsi" w:hAnsiTheme="minorHAnsi" w:cstheme="minorHAnsi"/>
          <w:sz w:val="20"/>
        </w:rPr>
        <w:t xml:space="preserve">2019-20 in the Edward/Kolety Wakool River system. This report focusses on watering actions 1 and 3. </w:t>
      </w:r>
    </w:p>
    <w:tbl>
      <w:tblPr>
        <w:tblStyle w:val="TableGrid"/>
        <w:tblW w:w="873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391"/>
        <w:gridCol w:w="1865"/>
        <w:gridCol w:w="4394"/>
        <w:gridCol w:w="1081"/>
      </w:tblGrid>
      <w:tr w:rsidR="0066621C" w14:paraId="7117A821" w14:textId="77777777" w:rsidTr="001E321C">
        <w:trPr>
          <w:trHeight w:val="507"/>
        </w:trPr>
        <w:tc>
          <w:tcPr>
            <w:tcW w:w="1391" w:type="dxa"/>
            <w:tcBorders>
              <w:top w:val="single" w:sz="4" w:space="0" w:color="auto"/>
              <w:bottom w:val="single" w:sz="4" w:space="0" w:color="auto"/>
            </w:tcBorders>
            <w:shd w:val="clear" w:color="auto" w:fill="92CDDC"/>
          </w:tcPr>
          <w:p w14:paraId="4030C2CD" w14:textId="77777777" w:rsidR="0066621C" w:rsidRDefault="0066621C" w:rsidP="007D4D5C">
            <w:pPr>
              <w:spacing w:after="0" w:line="240" w:lineRule="auto"/>
              <w:rPr>
                <w:b/>
              </w:rPr>
            </w:pPr>
            <w:r>
              <w:rPr>
                <w:b/>
              </w:rPr>
              <w:t>Watering Action No</w:t>
            </w:r>
          </w:p>
        </w:tc>
        <w:tc>
          <w:tcPr>
            <w:tcW w:w="1865" w:type="dxa"/>
            <w:tcBorders>
              <w:top w:val="single" w:sz="4" w:space="0" w:color="auto"/>
              <w:bottom w:val="single" w:sz="4" w:space="0" w:color="auto"/>
            </w:tcBorders>
            <w:shd w:val="clear" w:color="auto" w:fill="92CDDC"/>
          </w:tcPr>
          <w:p w14:paraId="29AE0605" w14:textId="77777777" w:rsidR="0066621C" w:rsidRDefault="0066621C" w:rsidP="007D4D5C">
            <w:pPr>
              <w:spacing w:after="0" w:line="240" w:lineRule="auto"/>
              <w:rPr>
                <w:b/>
              </w:rPr>
            </w:pPr>
            <w:r>
              <w:rPr>
                <w:b/>
              </w:rPr>
              <w:t>Name</w:t>
            </w:r>
          </w:p>
        </w:tc>
        <w:tc>
          <w:tcPr>
            <w:tcW w:w="4394" w:type="dxa"/>
            <w:tcBorders>
              <w:top w:val="single" w:sz="4" w:space="0" w:color="auto"/>
              <w:bottom w:val="single" w:sz="4" w:space="0" w:color="auto"/>
            </w:tcBorders>
            <w:shd w:val="clear" w:color="auto" w:fill="92CDDC"/>
          </w:tcPr>
          <w:p w14:paraId="1429B59A" w14:textId="77777777" w:rsidR="0066621C" w:rsidRDefault="0066621C" w:rsidP="007D4D5C">
            <w:pPr>
              <w:spacing w:after="0" w:line="240" w:lineRule="auto"/>
              <w:rPr>
                <w:b/>
              </w:rPr>
            </w:pPr>
            <w:r>
              <w:rPr>
                <w:b/>
              </w:rPr>
              <w:t>Objectives (from CEWO)</w:t>
            </w:r>
          </w:p>
        </w:tc>
        <w:tc>
          <w:tcPr>
            <w:tcW w:w="1081" w:type="dxa"/>
            <w:tcBorders>
              <w:top w:val="single" w:sz="4" w:space="0" w:color="auto"/>
              <w:bottom w:val="single" w:sz="4" w:space="0" w:color="auto"/>
            </w:tcBorders>
            <w:shd w:val="clear" w:color="auto" w:fill="92CDDC"/>
          </w:tcPr>
          <w:p w14:paraId="1F2888DF" w14:textId="77777777" w:rsidR="0066621C" w:rsidRDefault="0066621C" w:rsidP="007D4D5C">
            <w:pPr>
              <w:spacing w:after="0" w:line="240" w:lineRule="auto"/>
              <w:rPr>
                <w:b/>
              </w:rPr>
            </w:pPr>
            <w:r>
              <w:rPr>
                <w:b/>
              </w:rPr>
              <w:t>Dates</w:t>
            </w:r>
          </w:p>
        </w:tc>
      </w:tr>
      <w:tr w:rsidR="0066621C" w14:paraId="7B84EBEB" w14:textId="77777777" w:rsidTr="001E321C">
        <w:trPr>
          <w:trHeight w:val="687"/>
        </w:trPr>
        <w:tc>
          <w:tcPr>
            <w:tcW w:w="1391" w:type="dxa"/>
            <w:tcBorders>
              <w:top w:val="single" w:sz="4" w:space="0" w:color="auto"/>
            </w:tcBorders>
            <w:shd w:val="clear" w:color="auto" w:fill="FFFFFF" w:themeFill="background1"/>
          </w:tcPr>
          <w:p w14:paraId="3399E104"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Action 1</w:t>
            </w:r>
          </w:p>
        </w:tc>
        <w:tc>
          <w:tcPr>
            <w:tcW w:w="1865" w:type="dxa"/>
            <w:tcBorders>
              <w:top w:val="single" w:sz="4" w:space="0" w:color="auto"/>
            </w:tcBorders>
            <w:shd w:val="clear" w:color="auto" w:fill="FFFFFF" w:themeFill="background1"/>
          </w:tcPr>
          <w:p w14:paraId="315A2701"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Winter base flow</w:t>
            </w:r>
          </w:p>
        </w:tc>
        <w:tc>
          <w:tcPr>
            <w:tcW w:w="4394" w:type="dxa"/>
            <w:tcBorders>
              <w:top w:val="single" w:sz="4" w:space="0" w:color="auto"/>
            </w:tcBorders>
            <w:shd w:val="clear" w:color="auto" w:fill="FFFFFF" w:themeFill="background1"/>
          </w:tcPr>
          <w:p w14:paraId="6A970EF4"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sz w:val="20"/>
              </w:rPr>
              <w:t xml:space="preserve">For native fish condition and movement, vegetation in-channel, </w:t>
            </w:r>
            <w:r w:rsidRPr="0035316B">
              <w:rPr>
                <w:rFonts w:asciiTheme="minorHAnsi" w:hAnsiTheme="minorHAnsi" w:cstheme="minorHAnsi"/>
                <w:b/>
                <w:sz w:val="20"/>
              </w:rPr>
              <w:t>longitudinal connectivity;</w:t>
            </w:r>
            <w:r w:rsidRPr="00780317">
              <w:rPr>
                <w:rFonts w:asciiTheme="minorHAnsi" w:hAnsiTheme="minorHAnsi" w:cstheme="minorHAnsi"/>
                <w:sz w:val="20"/>
              </w:rPr>
              <w:t xml:space="preserve"> refuge habitat during irrigation shut-down period</w:t>
            </w:r>
          </w:p>
        </w:tc>
        <w:tc>
          <w:tcPr>
            <w:tcW w:w="1081" w:type="dxa"/>
            <w:tcBorders>
              <w:top w:val="single" w:sz="4" w:space="0" w:color="auto"/>
            </w:tcBorders>
            <w:shd w:val="clear" w:color="auto" w:fill="FFFFFF" w:themeFill="background1"/>
          </w:tcPr>
          <w:p w14:paraId="40258C52"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15/05/19 - 9/08/2019</w:t>
            </w:r>
          </w:p>
        </w:tc>
      </w:tr>
      <w:tr w:rsidR="0066621C" w14:paraId="7A7754CA" w14:textId="77777777" w:rsidTr="001E321C">
        <w:trPr>
          <w:trHeight w:val="927"/>
        </w:trPr>
        <w:tc>
          <w:tcPr>
            <w:tcW w:w="1391" w:type="dxa"/>
            <w:shd w:val="clear" w:color="auto" w:fill="FFFFFF" w:themeFill="background1"/>
          </w:tcPr>
          <w:p w14:paraId="355B972C"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Action 2</w:t>
            </w:r>
          </w:p>
        </w:tc>
        <w:tc>
          <w:tcPr>
            <w:tcW w:w="1865" w:type="dxa"/>
            <w:shd w:val="clear" w:color="auto" w:fill="FFFFFF" w:themeFill="background1"/>
          </w:tcPr>
          <w:p w14:paraId="15C3561E"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Winter to spring transition flow</w:t>
            </w:r>
          </w:p>
        </w:tc>
        <w:tc>
          <w:tcPr>
            <w:tcW w:w="4394" w:type="dxa"/>
            <w:shd w:val="clear" w:color="auto" w:fill="FFFFFF" w:themeFill="background1"/>
          </w:tcPr>
          <w:p w14:paraId="01CB7C4B"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sz w:val="20"/>
              </w:rPr>
              <w:t>At this time, there was no operational demand so CEW was used to prevent water levels reducing to low levels for a short period between action 1 and action 3.</w:t>
            </w:r>
          </w:p>
        </w:tc>
        <w:tc>
          <w:tcPr>
            <w:tcW w:w="1081" w:type="dxa"/>
            <w:shd w:val="clear" w:color="auto" w:fill="FFFFFF" w:themeFill="background1"/>
          </w:tcPr>
          <w:p w14:paraId="766BEFFB"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 xml:space="preserve">10/08/19 - 27/08/19 </w:t>
            </w:r>
          </w:p>
          <w:p w14:paraId="25E26CDE" w14:textId="77777777" w:rsidR="0066621C" w:rsidRPr="00780317" w:rsidRDefault="0066621C" w:rsidP="007D4D5C">
            <w:pPr>
              <w:spacing w:after="0" w:line="240" w:lineRule="auto"/>
              <w:rPr>
                <w:rFonts w:asciiTheme="minorHAnsi" w:hAnsiTheme="minorHAnsi" w:cstheme="minorHAnsi"/>
                <w:sz w:val="20"/>
              </w:rPr>
            </w:pPr>
          </w:p>
        </w:tc>
      </w:tr>
      <w:tr w:rsidR="0066621C" w14:paraId="2A814A52" w14:textId="77777777" w:rsidTr="001E321C">
        <w:trPr>
          <w:trHeight w:val="1151"/>
        </w:trPr>
        <w:tc>
          <w:tcPr>
            <w:tcW w:w="1391" w:type="dxa"/>
            <w:shd w:val="clear" w:color="auto" w:fill="FFFFFF" w:themeFill="background1"/>
          </w:tcPr>
          <w:p w14:paraId="4EFCC8E9" w14:textId="77777777" w:rsidR="0066621C" w:rsidRPr="00780317" w:rsidRDefault="0066621C" w:rsidP="007D4D5C">
            <w:pPr>
              <w:spacing w:after="0" w:line="240" w:lineRule="auto"/>
              <w:ind w:left="29"/>
              <w:rPr>
                <w:rFonts w:asciiTheme="minorHAnsi" w:hAnsiTheme="minorHAnsi" w:cstheme="minorHAnsi"/>
                <w:sz w:val="20"/>
              </w:rPr>
            </w:pPr>
            <w:r w:rsidRPr="00780317">
              <w:rPr>
                <w:rFonts w:asciiTheme="minorHAnsi" w:hAnsiTheme="minorHAnsi" w:cstheme="minorHAnsi"/>
                <w:sz w:val="20"/>
              </w:rPr>
              <w:t>Action 3a</w:t>
            </w:r>
          </w:p>
        </w:tc>
        <w:tc>
          <w:tcPr>
            <w:tcW w:w="1865" w:type="dxa"/>
            <w:shd w:val="clear" w:color="auto" w:fill="FFFFFF" w:themeFill="background1"/>
          </w:tcPr>
          <w:p w14:paraId="52B4727A"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Winter/spring early fresh</w:t>
            </w:r>
          </w:p>
        </w:tc>
        <w:tc>
          <w:tcPr>
            <w:tcW w:w="4394" w:type="dxa"/>
            <w:shd w:val="clear" w:color="auto" w:fill="FFFFFF" w:themeFill="background1"/>
          </w:tcPr>
          <w:p w14:paraId="6F98985F"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rPr>
              <w:t xml:space="preserve">To provide early season </w:t>
            </w:r>
            <w:r w:rsidRPr="00D9354D">
              <w:rPr>
                <w:rFonts w:asciiTheme="minorHAnsi" w:hAnsiTheme="minorHAnsi" w:cstheme="minorHAnsi"/>
                <w:b/>
                <w:color w:val="000000" w:themeColor="text1"/>
                <w:sz w:val="20"/>
              </w:rPr>
              <w:t>rise in river level to contribute to connectivity</w:t>
            </w:r>
            <w:r w:rsidRPr="00780317">
              <w:rPr>
                <w:rFonts w:asciiTheme="minorHAnsi" w:hAnsiTheme="minorHAnsi" w:cstheme="minorHAnsi"/>
                <w:color w:val="000000" w:themeColor="text1"/>
                <w:sz w:val="20"/>
              </w:rPr>
              <w:t>, water quality, stimulating early growth of in-stream aquatic vegetation, pre-spawning condition of native fish and/or spawning in early spawning native fish.</w:t>
            </w:r>
          </w:p>
        </w:tc>
        <w:tc>
          <w:tcPr>
            <w:tcW w:w="1081" w:type="dxa"/>
            <w:shd w:val="clear" w:color="auto" w:fill="FFFFFF" w:themeFill="background1"/>
          </w:tcPr>
          <w:p w14:paraId="4C1A5D7C"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28/08/19 - 4/09/19</w:t>
            </w:r>
          </w:p>
        </w:tc>
      </w:tr>
      <w:tr w:rsidR="0066621C" w14:paraId="4D95B137" w14:textId="77777777" w:rsidTr="001E321C">
        <w:trPr>
          <w:trHeight w:val="455"/>
        </w:trPr>
        <w:tc>
          <w:tcPr>
            <w:tcW w:w="1391" w:type="dxa"/>
            <w:shd w:val="clear" w:color="auto" w:fill="FFFFFF" w:themeFill="background1"/>
          </w:tcPr>
          <w:p w14:paraId="3D0CF153" w14:textId="77777777" w:rsidR="0066621C" w:rsidRPr="00780317" w:rsidRDefault="0066621C" w:rsidP="007D4D5C">
            <w:pPr>
              <w:spacing w:after="0" w:line="240" w:lineRule="auto"/>
              <w:ind w:left="29"/>
              <w:rPr>
                <w:rFonts w:asciiTheme="minorHAnsi" w:hAnsiTheme="minorHAnsi" w:cstheme="minorHAnsi"/>
                <w:sz w:val="20"/>
              </w:rPr>
            </w:pPr>
            <w:r w:rsidRPr="00780317">
              <w:rPr>
                <w:rFonts w:asciiTheme="minorHAnsi" w:hAnsiTheme="minorHAnsi" w:cstheme="minorHAnsi"/>
                <w:sz w:val="20"/>
              </w:rPr>
              <w:t>Action 3b</w:t>
            </w:r>
          </w:p>
        </w:tc>
        <w:tc>
          <w:tcPr>
            <w:tcW w:w="1865" w:type="dxa"/>
            <w:shd w:val="clear" w:color="auto" w:fill="FFFFFF" w:themeFill="background1"/>
          </w:tcPr>
          <w:p w14:paraId="3492C635"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Early spring elevated base flow</w:t>
            </w:r>
          </w:p>
        </w:tc>
        <w:tc>
          <w:tcPr>
            <w:tcW w:w="4394" w:type="dxa"/>
            <w:shd w:val="clear" w:color="auto" w:fill="FFFFFF" w:themeFill="background1"/>
          </w:tcPr>
          <w:p w14:paraId="7DCABCE9"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maintain nesting habitat for Murray Cod, and inundation for aquatic vegetation growth.</w:t>
            </w:r>
          </w:p>
        </w:tc>
        <w:tc>
          <w:tcPr>
            <w:tcW w:w="1081" w:type="dxa"/>
            <w:shd w:val="clear" w:color="auto" w:fill="FFFFFF" w:themeFill="background1"/>
          </w:tcPr>
          <w:p w14:paraId="65BE38CB"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5/09/19 - 22/09/19</w:t>
            </w:r>
          </w:p>
        </w:tc>
      </w:tr>
      <w:tr w:rsidR="0066621C" w14:paraId="6C14F0CB" w14:textId="77777777" w:rsidTr="001E321C">
        <w:trPr>
          <w:trHeight w:val="1151"/>
        </w:trPr>
        <w:tc>
          <w:tcPr>
            <w:tcW w:w="1391" w:type="dxa"/>
            <w:shd w:val="clear" w:color="auto" w:fill="FFFFFF" w:themeFill="background1"/>
          </w:tcPr>
          <w:p w14:paraId="02BC7349" w14:textId="77777777" w:rsidR="0066621C" w:rsidRPr="00780317" w:rsidRDefault="0066621C" w:rsidP="007D4D5C">
            <w:pPr>
              <w:spacing w:after="0" w:line="240" w:lineRule="auto"/>
              <w:ind w:left="29"/>
              <w:rPr>
                <w:rFonts w:asciiTheme="minorHAnsi" w:hAnsiTheme="minorHAnsi" w:cstheme="minorHAnsi"/>
                <w:sz w:val="20"/>
              </w:rPr>
            </w:pPr>
            <w:r w:rsidRPr="00780317">
              <w:rPr>
                <w:rFonts w:asciiTheme="minorHAnsi" w:hAnsiTheme="minorHAnsi" w:cstheme="minorHAnsi"/>
                <w:sz w:val="20"/>
              </w:rPr>
              <w:t>Action 3c</w:t>
            </w:r>
          </w:p>
        </w:tc>
        <w:tc>
          <w:tcPr>
            <w:tcW w:w="1865" w:type="dxa"/>
            <w:shd w:val="clear" w:color="auto" w:fill="FFFFFF" w:themeFill="background1"/>
          </w:tcPr>
          <w:p w14:paraId="129F6501"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Late spring fresh</w:t>
            </w:r>
          </w:p>
        </w:tc>
        <w:tc>
          <w:tcPr>
            <w:tcW w:w="4394" w:type="dxa"/>
            <w:shd w:val="clear" w:color="auto" w:fill="FFFFFF" w:themeFill="background1"/>
          </w:tcPr>
          <w:p w14:paraId="07F294A9"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 xml:space="preserve">To promote silver perch spawning, influence and encourage fish movement, may be coordinated with wider Murray River actions to maximise benefit. May also assist with dispersal of larvae and juveniles of a number of fish species. </w:t>
            </w:r>
          </w:p>
        </w:tc>
        <w:tc>
          <w:tcPr>
            <w:tcW w:w="1081" w:type="dxa"/>
            <w:shd w:val="clear" w:color="auto" w:fill="FFFFFF" w:themeFill="background1"/>
          </w:tcPr>
          <w:p w14:paraId="003DD1D8"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23/09/19 - 11/10/19</w:t>
            </w:r>
          </w:p>
          <w:p w14:paraId="5EA7F2A8" w14:textId="77777777" w:rsidR="0066621C" w:rsidRPr="00780317" w:rsidRDefault="0066621C" w:rsidP="007D4D5C">
            <w:pPr>
              <w:spacing w:after="0" w:line="240" w:lineRule="auto"/>
              <w:rPr>
                <w:rFonts w:asciiTheme="minorHAnsi" w:hAnsiTheme="minorHAnsi" w:cstheme="minorHAnsi"/>
                <w:sz w:val="20"/>
              </w:rPr>
            </w:pPr>
          </w:p>
        </w:tc>
      </w:tr>
      <w:tr w:rsidR="0066621C" w14:paraId="70F95379" w14:textId="77777777" w:rsidTr="001E321C">
        <w:trPr>
          <w:trHeight w:val="927"/>
        </w:trPr>
        <w:tc>
          <w:tcPr>
            <w:tcW w:w="1391" w:type="dxa"/>
            <w:tcBorders>
              <w:bottom w:val="single" w:sz="4" w:space="0" w:color="FFFFFF" w:themeColor="background1"/>
            </w:tcBorders>
            <w:shd w:val="clear" w:color="auto" w:fill="FFFFFF" w:themeFill="background1"/>
          </w:tcPr>
          <w:p w14:paraId="7A669B32" w14:textId="77777777" w:rsidR="0066621C" w:rsidRPr="00780317" w:rsidRDefault="0066621C" w:rsidP="007D4D5C">
            <w:pPr>
              <w:spacing w:after="0" w:line="240" w:lineRule="auto"/>
              <w:ind w:left="29"/>
              <w:rPr>
                <w:rFonts w:asciiTheme="minorHAnsi" w:hAnsiTheme="minorHAnsi" w:cstheme="minorHAnsi"/>
                <w:sz w:val="20"/>
              </w:rPr>
            </w:pPr>
            <w:r w:rsidRPr="00780317">
              <w:rPr>
                <w:rFonts w:asciiTheme="minorHAnsi" w:hAnsiTheme="minorHAnsi" w:cstheme="minorHAnsi"/>
                <w:sz w:val="20"/>
              </w:rPr>
              <w:t>Action 3d</w:t>
            </w:r>
          </w:p>
        </w:tc>
        <w:tc>
          <w:tcPr>
            <w:tcW w:w="1865" w:type="dxa"/>
            <w:tcBorders>
              <w:bottom w:val="single" w:sz="4" w:space="0" w:color="FFFFFF" w:themeColor="background1"/>
            </w:tcBorders>
            <w:shd w:val="clear" w:color="auto" w:fill="FFFFFF" w:themeFill="background1"/>
          </w:tcPr>
          <w:p w14:paraId="4D5CCC51"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Late spring elevated base flow</w:t>
            </w:r>
          </w:p>
        </w:tc>
        <w:tc>
          <w:tcPr>
            <w:tcW w:w="4394" w:type="dxa"/>
            <w:tcBorders>
              <w:bottom w:val="single" w:sz="4" w:space="0" w:color="FFFFFF" w:themeColor="background1"/>
            </w:tcBorders>
            <w:shd w:val="clear" w:color="auto" w:fill="FFFFFF" w:themeFill="background1"/>
          </w:tcPr>
          <w:p w14:paraId="7C1722B4" w14:textId="77777777" w:rsidR="0066621C" w:rsidRPr="00780317" w:rsidRDefault="0066621C" w:rsidP="007D4D5C">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influence and encourage fish movement, may be coordinated with wider Murray River actions to maximise benefit. May also assist with dispersal of larvae and juveniles of a number of fish species.</w:t>
            </w:r>
          </w:p>
        </w:tc>
        <w:tc>
          <w:tcPr>
            <w:tcW w:w="1081" w:type="dxa"/>
            <w:tcBorders>
              <w:bottom w:val="single" w:sz="4" w:space="0" w:color="FFFFFF" w:themeColor="background1"/>
            </w:tcBorders>
            <w:shd w:val="clear" w:color="auto" w:fill="FFFFFF" w:themeFill="background1"/>
          </w:tcPr>
          <w:p w14:paraId="1E9B4715"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12/10/19 - 30/11/19</w:t>
            </w:r>
          </w:p>
          <w:p w14:paraId="4602B57D" w14:textId="77777777" w:rsidR="0066621C" w:rsidRPr="00780317" w:rsidRDefault="0066621C" w:rsidP="007D4D5C">
            <w:pPr>
              <w:spacing w:after="0" w:line="240" w:lineRule="auto"/>
              <w:rPr>
                <w:rFonts w:asciiTheme="minorHAnsi" w:hAnsiTheme="minorHAnsi" w:cstheme="minorHAnsi"/>
                <w:sz w:val="20"/>
              </w:rPr>
            </w:pPr>
          </w:p>
        </w:tc>
      </w:tr>
      <w:tr w:rsidR="0066621C" w14:paraId="7B8C72FE" w14:textId="77777777" w:rsidTr="001E321C">
        <w:trPr>
          <w:trHeight w:val="455"/>
        </w:trPr>
        <w:tc>
          <w:tcPr>
            <w:tcW w:w="1391" w:type="dxa"/>
            <w:tcBorders>
              <w:bottom w:val="single" w:sz="4" w:space="0" w:color="auto"/>
            </w:tcBorders>
            <w:shd w:val="clear" w:color="auto" w:fill="FFFFFF" w:themeFill="background1"/>
          </w:tcPr>
          <w:p w14:paraId="28044BB5" w14:textId="77777777" w:rsidR="0066621C" w:rsidRPr="00780317" w:rsidRDefault="0066621C" w:rsidP="007D4D5C">
            <w:pPr>
              <w:spacing w:after="0" w:line="240" w:lineRule="auto"/>
              <w:ind w:left="29"/>
              <w:rPr>
                <w:rFonts w:asciiTheme="minorHAnsi" w:hAnsiTheme="minorHAnsi" w:cstheme="minorHAnsi"/>
                <w:sz w:val="20"/>
              </w:rPr>
            </w:pPr>
            <w:r w:rsidRPr="00780317">
              <w:rPr>
                <w:rFonts w:asciiTheme="minorHAnsi" w:hAnsiTheme="minorHAnsi" w:cstheme="minorHAnsi"/>
                <w:sz w:val="20"/>
              </w:rPr>
              <w:t>Action 3e</w:t>
            </w:r>
          </w:p>
        </w:tc>
        <w:tc>
          <w:tcPr>
            <w:tcW w:w="1865" w:type="dxa"/>
            <w:tcBorders>
              <w:bottom w:val="single" w:sz="4" w:space="0" w:color="auto"/>
            </w:tcBorders>
            <w:shd w:val="clear" w:color="auto" w:fill="FFFFFF" w:themeFill="background1"/>
          </w:tcPr>
          <w:p w14:paraId="47D9373E"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Recession</w:t>
            </w:r>
          </w:p>
        </w:tc>
        <w:tc>
          <w:tcPr>
            <w:tcW w:w="4394" w:type="dxa"/>
            <w:tcBorders>
              <w:bottom w:val="single" w:sz="4" w:space="0" w:color="auto"/>
            </w:tcBorders>
            <w:shd w:val="clear" w:color="auto" w:fill="FFFFFF" w:themeFill="background1"/>
          </w:tcPr>
          <w:p w14:paraId="73293337"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Slow recessions for instream water plants</w:t>
            </w:r>
          </w:p>
        </w:tc>
        <w:tc>
          <w:tcPr>
            <w:tcW w:w="1081" w:type="dxa"/>
            <w:tcBorders>
              <w:bottom w:val="single" w:sz="4" w:space="0" w:color="auto"/>
            </w:tcBorders>
            <w:shd w:val="clear" w:color="auto" w:fill="FFFFFF" w:themeFill="background1"/>
          </w:tcPr>
          <w:p w14:paraId="0E9EC230" w14:textId="77777777" w:rsidR="0066621C" w:rsidRPr="00780317" w:rsidRDefault="0066621C" w:rsidP="007D4D5C">
            <w:pPr>
              <w:spacing w:after="0" w:line="240" w:lineRule="auto"/>
              <w:rPr>
                <w:rFonts w:asciiTheme="minorHAnsi" w:hAnsiTheme="minorHAnsi" w:cstheme="minorHAnsi"/>
                <w:sz w:val="20"/>
              </w:rPr>
            </w:pPr>
            <w:r w:rsidRPr="00780317">
              <w:rPr>
                <w:rFonts w:asciiTheme="minorHAnsi" w:hAnsiTheme="minorHAnsi" w:cstheme="minorHAnsi"/>
                <w:sz w:val="20"/>
              </w:rPr>
              <w:t>1/12/19 - 22/12/19</w:t>
            </w:r>
          </w:p>
        </w:tc>
      </w:tr>
    </w:tbl>
    <w:p w14:paraId="10AE40EE" w14:textId="495781BC" w:rsidR="0012016B" w:rsidRDefault="00735969" w:rsidP="0012016B">
      <w:pPr>
        <w:tabs>
          <w:tab w:val="left" w:pos="9071"/>
        </w:tabs>
        <w:spacing w:after="80" w:line="320" w:lineRule="exact"/>
        <w:jc w:val="left"/>
        <w:rPr>
          <w:b/>
          <w:color w:val="31849B" w:themeColor="accent5" w:themeShade="BF"/>
          <w:sz w:val="28"/>
          <w:szCs w:val="28"/>
        </w:rPr>
      </w:pPr>
      <w:r>
        <w:rPr>
          <w:b/>
          <w:color w:val="31849B" w:themeColor="accent5" w:themeShade="BF"/>
          <w:sz w:val="28"/>
          <w:szCs w:val="28"/>
        </w:rPr>
        <w:t>O</w:t>
      </w:r>
      <w:r w:rsidR="008D7AAA">
        <w:rPr>
          <w:b/>
          <w:color w:val="31849B" w:themeColor="accent5" w:themeShade="BF"/>
          <w:sz w:val="28"/>
          <w:szCs w:val="28"/>
        </w:rPr>
        <w:t>utcomes</w:t>
      </w:r>
      <w:r w:rsidR="0012016B" w:rsidRPr="00921FE8">
        <w:rPr>
          <w:b/>
          <w:color w:val="31849B" w:themeColor="accent5" w:themeShade="BF"/>
          <w:sz w:val="28"/>
          <w:szCs w:val="28"/>
        </w:rPr>
        <w:t xml:space="preserve"> </w:t>
      </w:r>
      <w:r w:rsidR="0066621C">
        <w:rPr>
          <w:b/>
          <w:color w:val="31849B" w:themeColor="accent5" w:themeShade="BF"/>
          <w:sz w:val="28"/>
          <w:szCs w:val="28"/>
        </w:rPr>
        <w:t xml:space="preserve">of </w:t>
      </w:r>
      <w:r w:rsidR="003C07B0">
        <w:rPr>
          <w:b/>
          <w:color w:val="31849B" w:themeColor="accent5" w:themeShade="BF"/>
          <w:sz w:val="28"/>
          <w:szCs w:val="28"/>
        </w:rPr>
        <w:t>monitoring and evaluation of environmental watering</w:t>
      </w:r>
    </w:p>
    <w:p w14:paraId="4D6AAF73" w14:textId="77777777" w:rsidR="0066621C" w:rsidRDefault="0066621C" w:rsidP="006E65C5">
      <w:pPr>
        <w:spacing w:after="120" w:line="320" w:lineRule="exact"/>
        <w:ind w:right="-142"/>
        <w:jc w:val="left"/>
        <w:rPr>
          <w:szCs w:val="24"/>
        </w:rPr>
      </w:pPr>
      <w:r w:rsidRPr="00C60161">
        <w:t xml:space="preserve">Key results from environmental watering actions in 2019-20 1 are presented in Table ii. </w:t>
      </w:r>
    </w:p>
    <w:p w14:paraId="27F14E3D" w14:textId="1460AF65" w:rsidR="0012016B" w:rsidRDefault="0012016B" w:rsidP="0012016B">
      <w:pPr>
        <w:pStyle w:val="ListBullet"/>
        <w:spacing w:after="0"/>
        <w:ind w:right="-425"/>
        <w:jc w:val="left"/>
        <w:rPr>
          <w:rFonts w:asciiTheme="minorHAnsi" w:hAnsiTheme="minorHAnsi"/>
        </w:rPr>
      </w:pPr>
      <w:r>
        <w:rPr>
          <w:rFonts w:asciiTheme="minorHAnsi" w:hAnsiTheme="minorHAnsi"/>
          <w:b/>
        </w:rPr>
        <w:t xml:space="preserve">Table ii  </w:t>
      </w:r>
      <w:r w:rsidR="006E281F">
        <w:rPr>
          <w:rFonts w:asciiTheme="minorHAnsi" w:hAnsiTheme="minorHAnsi"/>
        </w:rPr>
        <w:t>R</w:t>
      </w:r>
      <w:r w:rsidR="001E321C">
        <w:rPr>
          <w:rFonts w:asciiTheme="minorHAnsi" w:hAnsiTheme="minorHAnsi"/>
        </w:rPr>
        <w:t>esults for each indicator in response to environmental w</w:t>
      </w:r>
      <w:r w:rsidR="001E321C" w:rsidRPr="00915086">
        <w:rPr>
          <w:rFonts w:asciiTheme="minorHAnsi" w:hAnsiTheme="minorHAnsi"/>
        </w:rPr>
        <w:t xml:space="preserve">atering </w:t>
      </w:r>
      <w:r w:rsidR="001E321C">
        <w:rPr>
          <w:rFonts w:asciiTheme="minorHAnsi" w:hAnsiTheme="minorHAnsi"/>
        </w:rPr>
        <w:t xml:space="preserve">actions </w:t>
      </w:r>
      <w:r w:rsidR="001E321C" w:rsidRPr="00915086">
        <w:rPr>
          <w:rFonts w:asciiTheme="minorHAnsi" w:hAnsiTheme="minorHAnsi"/>
        </w:rPr>
        <w:t xml:space="preserve">in the </w:t>
      </w:r>
      <w:r w:rsidR="001E321C">
        <w:rPr>
          <w:rFonts w:asciiTheme="minorHAnsi" w:hAnsiTheme="minorHAnsi"/>
        </w:rPr>
        <w:t>Edward/Kolety-Wakool system in 2019-20.</w:t>
      </w:r>
    </w:p>
    <w:tbl>
      <w:tblPr>
        <w:tblStyle w:val="TableGrid"/>
        <w:tblW w:w="8982" w:type="dxa"/>
        <w:tblLayout w:type="fixed"/>
        <w:tblLook w:val="04A0" w:firstRow="1" w:lastRow="0" w:firstColumn="1" w:lastColumn="0" w:noHBand="0" w:noVBand="1"/>
      </w:tblPr>
      <w:tblGrid>
        <w:gridCol w:w="751"/>
        <w:gridCol w:w="1806"/>
        <w:gridCol w:w="6425"/>
      </w:tblGrid>
      <w:tr w:rsidR="0012016B" w14:paraId="3772BD93" w14:textId="77777777" w:rsidTr="006E65C5">
        <w:tc>
          <w:tcPr>
            <w:tcW w:w="751" w:type="dxa"/>
            <w:shd w:val="clear" w:color="auto" w:fill="31849B" w:themeFill="accent5" w:themeFillShade="BF"/>
            <w:tcMar>
              <w:left w:w="57" w:type="dxa"/>
              <w:right w:w="57" w:type="dxa"/>
            </w:tcMar>
          </w:tcPr>
          <w:p w14:paraId="6F53533F" w14:textId="77777777" w:rsidR="0012016B" w:rsidRPr="00422896" w:rsidRDefault="0012016B" w:rsidP="0012016B">
            <w:pPr>
              <w:autoSpaceDE w:val="0"/>
              <w:autoSpaceDN w:val="0"/>
              <w:adjustRightInd w:val="0"/>
              <w:spacing w:after="120" w:line="320" w:lineRule="exact"/>
              <w:jc w:val="left"/>
              <w:rPr>
                <w:b/>
                <w:color w:val="FFFFFF" w:themeColor="background1"/>
                <w:szCs w:val="22"/>
              </w:rPr>
            </w:pPr>
            <w:r w:rsidRPr="00422896">
              <w:rPr>
                <w:b/>
                <w:color w:val="FFFFFF" w:themeColor="background1"/>
                <w:szCs w:val="22"/>
              </w:rPr>
              <w:t>Theme</w:t>
            </w:r>
          </w:p>
        </w:tc>
        <w:tc>
          <w:tcPr>
            <w:tcW w:w="1806" w:type="dxa"/>
            <w:shd w:val="clear" w:color="auto" w:fill="31849B" w:themeFill="accent5" w:themeFillShade="BF"/>
          </w:tcPr>
          <w:p w14:paraId="6AAD96F6" w14:textId="77777777" w:rsidR="0012016B" w:rsidRPr="00E45FE9" w:rsidRDefault="0012016B" w:rsidP="0012016B">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Indicator</w:t>
            </w:r>
          </w:p>
        </w:tc>
        <w:tc>
          <w:tcPr>
            <w:tcW w:w="6425" w:type="dxa"/>
            <w:shd w:val="clear" w:color="auto" w:fill="31849B" w:themeFill="accent5" w:themeFillShade="BF"/>
          </w:tcPr>
          <w:p w14:paraId="20855DF8" w14:textId="77777777" w:rsidR="0012016B" w:rsidRPr="00E45FE9" w:rsidRDefault="0012016B" w:rsidP="0012016B">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Key result</w:t>
            </w:r>
          </w:p>
        </w:tc>
      </w:tr>
      <w:tr w:rsidR="0012016B" w14:paraId="4415502D" w14:textId="77777777" w:rsidTr="006E65C5">
        <w:trPr>
          <w:trHeight w:val="815"/>
        </w:trPr>
        <w:tc>
          <w:tcPr>
            <w:tcW w:w="751" w:type="dxa"/>
            <w:vMerge w:val="restart"/>
            <w:shd w:val="clear" w:color="auto" w:fill="31849B" w:themeFill="accent5" w:themeFillShade="BF"/>
            <w:textDirection w:val="btLr"/>
          </w:tcPr>
          <w:p w14:paraId="47DF7902"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Hydrology</w:t>
            </w:r>
          </w:p>
        </w:tc>
        <w:tc>
          <w:tcPr>
            <w:tcW w:w="1806" w:type="dxa"/>
            <w:shd w:val="clear" w:color="auto" w:fill="B6DDE8" w:themeFill="accent5" w:themeFillTint="66"/>
          </w:tcPr>
          <w:p w14:paraId="63321BF0"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Maximum and minimum discharge</w:t>
            </w:r>
          </w:p>
        </w:tc>
        <w:tc>
          <w:tcPr>
            <w:tcW w:w="6425" w:type="dxa"/>
          </w:tcPr>
          <w:p w14:paraId="1466BAB4" w14:textId="268B9C3A" w:rsidR="0012016B" w:rsidRPr="001E321C" w:rsidRDefault="001E321C" w:rsidP="006E65C5">
            <w:pPr>
              <w:pStyle w:val="NoSpacing"/>
              <w:spacing w:line="259" w:lineRule="auto"/>
              <w:jc w:val="left"/>
              <w:rPr>
                <w:rFonts w:asciiTheme="minorHAnsi" w:hAnsiTheme="minorHAnsi" w:cstheme="minorHAnsi"/>
                <w:sz w:val="20"/>
                <w:highlight w:val="yellow"/>
              </w:rPr>
            </w:pPr>
            <w:r w:rsidRPr="001E321C">
              <w:rPr>
                <w:rFonts w:asciiTheme="minorHAnsi" w:hAnsiTheme="minorHAnsi" w:cstheme="minorHAnsi"/>
                <w:sz w:val="20"/>
              </w:rPr>
              <w:t>The winter watering action (action 1) maintained base flows in Yallakool Creek, the mid and lower Wakool River, and the Colligen-Niemur system. In the absence of environmental water there would have been an extended period of cease to flow in these rivers.</w:t>
            </w:r>
            <w:r w:rsidR="006E65C5">
              <w:rPr>
                <w:rFonts w:asciiTheme="minorHAnsi" w:hAnsiTheme="minorHAnsi" w:cstheme="minorHAnsi"/>
                <w:sz w:val="20"/>
              </w:rPr>
              <w:t xml:space="preserve"> </w:t>
            </w:r>
            <w:r w:rsidRPr="001E321C">
              <w:rPr>
                <w:rFonts w:asciiTheme="minorHAnsi" w:hAnsiTheme="minorHAnsi" w:cstheme="minorHAnsi"/>
                <w:sz w:val="20"/>
              </w:rPr>
              <w:t>Watering action 3 increased the maximum discharge in all zones compared to operational flows.</w:t>
            </w:r>
          </w:p>
        </w:tc>
      </w:tr>
      <w:tr w:rsidR="0012016B" w:rsidRPr="004557A6" w14:paraId="57DA55A4" w14:textId="77777777" w:rsidTr="006E65C5">
        <w:trPr>
          <w:trHeight w:val="482"/>
        </w:trPr>
        <w:tc>
          <w:tcPr>
            <w:tcW w:w="751" w:type="dxa"/>
            <w:vMerge/>
            <w:shd w:val="clear" w:color="auto" w:fill="31849B" w:themeFill="accent5" w:themeFillShade="BF"/>
            <w:textDirection w:val="btLr"/>
          </w:tcPr>
          <w:p w14:paraId="00B19E73"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39185BEC"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variability</w:t>
            </w:r>
          </w:p>
        </w:tc>
        <w:tc>
          <w:tcPr>
            <w:tcW w:w="6425" w:type="dxa"/>
          </w:tcPr>
          <w:p w14:paraId="768B44C6" w14:textId="0D96D396" w:rsidR="0012016B" w:rsidRPr="001E321C" w:rsidRDefault="001E321C" w:rsidP="0012016B">
            <w:pPr>
              <w:autoSpaceDE w:val="0"/>
              <w:autoSpaceDN w:val="0"/>
              <w:adjustRightInd w:val="0"/>
              <w:spacing w:after="0" w:line="240" w:lineRule="auto"/>
              <w:jc w:val="left"/>
              <w:rPr>
                <w:rFonts w:asciiTheme="minorHAnsi" w:hAnsiTheme="minorHAnsi" w:cstheme="minorHAnsi"/>
                <w:sz w:val="20"/>
                <w:highlight w:val="yellow"/>
              </w:rPr>
            </w:pPr>
            <w:r w:rsidRPr="001E321C">
              <w:rPr>
                <w:sz w:val="20"/>
              </w:rPr>
              <w:t>Watering action 3 increased the coefficient of variation of discharge compared to operational flows. In the absence of this watering action there would have been extended period of low variability of flows.</w:t>
            </w:r>
          </w:p>
        </w:tc>
      </w:tr>
      <w:tr w:rsidR="0012016B" w14:paraId="5EE6C0BD" w14:textId="77777777" w:rsidTr="006E65C5">
        <w:trPr>
          <w:trHeight w:val="772"/>
        </w:trPr>
        <w:tc>
          <w:tcPr>
            <w:tcW w:w="751" w:type="dxa"/>
            <w:vMerge/>
            <w:shd w:val="clear" w:color="auto" w:fill="31849B" w:themeFill="accent5" w:themeFillShade="BF"/>
            <w:textDirection w:val="btLr"/>
          </w:tcPr>
          <w:p w14:paraId="6E145C34"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1E2218C0"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Longitudinal connectivity</w:t>
            </w:r>
          </w:p>
        </w:tc>
        <w:tc>
          <w:tcPr>
            <w:tcW w:w="6425" w:type="dxa"/>
          </w:tcPr>
          <w:p w14:paraId="1D1C39EB" w14:textId="48D880CB" w:rsidR="0012016B" w:rsidRPr="001E321C" w:rsidRDefault="001E321C" w:rsidP="0012016B">
            <w:pPr>
              <w:autoSpaceDE w:val="0"/>
              <w:autoSpaceDN w:val="0"/>
              <w:adjustRightInd w:val="0"/>
              <w:spacing w:after="0" w:line="240" w:lineRule="auto"/>
              <w:jc w:val="left"/>
              <w:rPr>
                <w:rFonts w:asciiTheme="minorHAnsi" w:hAnsiTheme="minorHAnsi" w:cstheme="minorHAnsi"/>
                <w:sz w:val="20"/>
                <w:highlight w:val="yellow"/>
              </w:rPr>
            </w:pPr>
            <w:r w:rsidRPr="001E321C">
              <w:rPr>
                <w:rFonts w:asciiTheme="minorHAnsi" w:hAnsiTheme="minorHAnsi" w:cstheme="minorHAnsi"/>
                <w:sz w:val="20"/>
              </w:rPr>
              <w:t>Watering action 1 (winter watering action) maintained longitudinal connectivity in Yallakool Creek, the mid and lower Wakool River, and the Colligen-Niemur system.</w:t>
            </w:r>
          </w:p>
        </w:tc>
      </w:tr>
      <w:tr w:rsidR="0012016B" w14:paraId="025E70DA" w14:textId="77777777" w:rsidTr="006E65C5">
        <w:tc>
          <w:tcPr>
            <w:tcW w:w="751" w:type="dxa"/>
            <w:vMerge/>
            <w:shd w:val="clear" w:color="auto" w:fill="31849B" w:themeFill="accent5" w:themeFillShade="BF"/>
          </w:tcPr>
          <w:p w14:paraId="557D00BB"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3791D941"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Lateral connectivity</w:t>
            </w:r>
          </w:p>
        </w:tc>
        <w:tc>
          <w:tcPr>
            <w:tcW w:w="6425" w:type="dxa"/>
          </w:tcPr>
          <w:p w14:paraId="71486BDA" w14:textId="433C01B8" w:rsidR="0012016B" w:rsidRPr="001E321C" w:rsidRDefault="001E321C" w:rsidP="0012016B">
            <w:pPr>
              <w:autoSpaceDE w:val="0"/>
              <w:autoSpaceDN w:val="0"/>
              <w:adjustRightInd w:val="0"/>
              <w:spacing w:after="0" w:line="240" w:lineRule="auto"/>
              <w:jc w:val="left"/>
              <w:rPr>
                <w:rFonts w:asciiTheme="minorHAnsi" w:hAnsiTheme="minorHAnsi" w:cstheme="minorHAnsi"/>
                <w:sz w:val="20"/>
                <w:highlight w:val="yellow"/>
              </w:rPr>
            </w:pPr>
            <w:r w:rsidRPr="001E321C">
              <w:rPr>
                <w:color w:val="222222"/>
                <w:sz w:val="20"/>
              </w:rPr>
              <w:t xml:space="preserve">Watering action 3 </w:t>
            </w:r>
            <w:r w:rsidRPr="001E321C">
              <w:rPr>
                <w:sz w:val="20"/>
                <w:lang w:val="en-US"/>
              </w:rPr>
              <w:t>increased lateral connectivity compared to the modelled connectivity under operational flows.</w:t>
            </w:r>
          </w:p>
        </w:tc>
      </w:tr>
      <w:tr w:rsidR="0012016B" w14:paraId="65259E9E" w14:textId="77777777" w:rsidTr="006E65C5">
        <w:tc>
          <w:tcPr>
            <w:tcW w:w="751" w:type="dxa"/>
            <w:vMerge w:val="restart"/>
            <w:shd w:val="clear" w:color="auto" w:fill="31849B" w:themeFill="accent5" w:themeFillShade="BF"/>
            <w:textDirection w:val="btLr"/>
          </w:tcPr>
          <w:p w14:paraId="3D9AF367"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Water quality and carbon</w:t>
            </w:r>
          </w:p>
        </w:tc>
        <w:tc>
          <w:tcPr>
            <w:tcW w:w="1806" w:type="dxa"/>
            <w:tcBorders>
              <w:top w:val="single" w:sz="12" w:space="0" w:color="000000"/>
            </w:tcBorders>
            <w:shd w:val="clear" w:color="auto" w:fill="B6DDE8" w:themeFill="accent5" w:themeFillTint="66"/>
          </w:tcPr>
          <w:p w14:paraId="7C787BCC"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Dissolved oxygen concentration</w:t>
            </w:r>
          </w:p>
        </w:tc>
        <w:tc>
          <w:tcPr>
            <w:tcW w:w="6425" w:type="dxa"/>
            <w:tcBorders>
              <w:top w:val="single" w:sz="12" w:space="0" w:color="000000"/>
            </w:tcBorders>
          </w:tcPr>
          <w:p w14:paraId="353248F5" w14:textId="02560ABB" w:rsidR="0012016B" w:rsidRPr="001E321C" w:rsidRDefault="006E65C5" w:rsidP="006E65C5">
            <w:pPr>
              <w:autoSpaceDE w:val="0"/>
              <w:autoSpaceDN w:val="0"/>
              <w:adjustRightInd w:val="0"/>
              <w:spacing w:after="0" w:line="240" w:lineRule="auto"/>
              <w:jc w:val="left"/>
              <w:rPr>
                <w:rFonts w:asciiTheme="minorHAnsi" w:hAnsiTheme="minorHAnsi" w:cstheme="minorHAnsi"/>
                <w:sz w:val="20"/>
                <w:highlight w:val="yellow"/>
              </w:rPr>
            </w:pPr>
            <w:r>
              <w:rPr>
                <w:rFonts w:asciiTheme="minorHAnsi" w:eastAsia="Calibri" w:hAnsiTheme="minorHAnsi" w:cstheme="minorHAnsi"/>
                <w:sz w:val="20"/>
              </w:rPr>
              <w:t>D</w:t>
            </w:r>
            <w:r w:rsidR="001E321C" w:rsidRPr="001E321C">
              <w:rPr>
                <w:rFonts w:asciiTheme="minorHAnsi" w:eastAsia="Calibri" w:hAnsiTheme="minorHAnsi" w:cstheme="minorHAnsi"/>
                <w:sz w:val="20"/>
              </w:rPr>
              <w:t>issolved oxygen concentration was consistently higher during late summer and early autumn i</w:t>
            </w:r>
            <w:r>
              <w:rPr>
                <w:rFonts w:asciiTheme="minorHAnsi" w:eastAsia="Calibri" w:hAnsiTheme="minorHAnsi" w:cstheme="minorHAnsi"/>
                <w:sz w:val="20"/>
              </w:rPr>
              <w:t xml:space="preserve">n zones 1, 3 and 4 than zone 2 that received minimal </w:t>
            </w:r>
            <w:r w:rsidR="001E321C" w:rsidRPr="001E321C">
              <w:rPr>
                <w:rFonts w:asciiTheme="minorHAnsi" w:eastAsia="Calibri" w:hAnsiTheme="minorHAnsi" w:cstheme="minorHAnsi"/>
                <w:sz w:val="20"/>
              </w:rPr>
              <w:t xml:space="preserve">environmental water than zone 2. </w:t>
            </w:r>
            <w:r w:rsidR="001E321C" w:rsidRPr="001E321C">
              <w:rPr>
                <w:rFonts w:asciiTheme="minorHAnsi" w:hAnsiTheme="minorHAnsi" w:cstheme="minorHAnsi"/>
                <w:sz w:val="20"/>
              </w:rPr>
              <w:t xml:space="preserve">Concentrations of dissolved oxygen in the Edward/Kolety River, Wakool River and the Colligen-Niemur River were above the range of concern to fish populations (4 mg/L). The expected seasonal variations were observed, with higher concentrations in winter and lower concentrations </w:t>
            </w:r>
            <w:r>
              <w:rPr>
                <w:rFonts w:asciiTheme="minorHAnsi" w:hAnsiTheme="minorHAnsi" w:cstheme="minorHAnsi"/>
                <w:sz w:val="20"/>
              </w:rPr>
              <w:t>during</w:t>
            </w:r>
            <w:r w:rsidR="001E321C" w:rsidRPr="001E321C">
              <w:rPr>
                <w:rFonts w:asciiTheme="minorHAnsi" w:hAnsiTheme="minorHAnsi" w:cstheme="minorHAnsi"/>
                <w:sz w:val="20"/>
              </w:rPr>
              <w:t xml:space="preserve"> periods of higher water temperature.</w:t>
            </w:r>
          </w:p>
        </w:tc>
      </w:tr>
      <w:tr w:rsidR="0012016B" w14:paraId="189B8BD7" w14:textId="77777777" w:rsidTr="006E65C5">
        <w:tc>
          <w:tcPr>
            <w:tcW w:w="751" w:type="dxa"/>
            <w:vMerge/>
            <w:shd w:val="clear" w:color="auto" w:fill="31849B" w:themeFill="accent5" w:themeFillShade="BF"/>
          </w:tcPr>
          <w:p w14:paraId="6F42F567"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76CD60BC"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Nutrient concentrations</w:t>
            </w:r>
          </w:p>
        </w:tc>
        <w:tc>
          <w:tcPr>
            <w:tcW w:w="6425" w:type="dxa"/>
          </w:tcPr>
          <w:p w14:paraId="4004F0ED" w14:textId="11C6C5A6" w:rsidR="0012016B" w:rsidRPr="001E321C" w:rsidRDefault="001E321C" w:rsidP="006E65C5">
            <w:pPr>
              <w:autoSpaceDE w:val="0"/>
              <w:autoSpaceDN w:val="0"/>
              <w:adjustRightInd w:val="0"/>
              <w:spacing w:after="0" w:line="240" w:lineRule="auto"/>
              <w:jc w:val="left"/>
              <w:rPr>
                <w:rFonts w:asciiTheme="minorHAnsi" w:hAnsiTheme="minorHAnsi" w:cstheme="minorHAnsi"/>
                <w:sz w:val="20"/>
                <w:highlight w:val="yellow"/>
              </w:rPr>
            </w:pPr>
            <w:r w:rsidRPr="001E321C">
              <w:rPr>
                <w:rFonts w:asciiTheme="minorHAnsi" w:hAnsiTheme="minorHAnsi" w:cstheme="minorHAnsi"/>
                <w:sz w:val="20"/>
              </w:rPr>
              <w:t>Total Phosphorus and Total Nitrogen were slightly elevated, l</w:t>
            </w:r>
            <w:r w:rsidR="006E65C5">
              <w:rPr>
                <w:rFonts w:asciiTheme="minorHAnsi" w:hAnsiTheme="minorHAnsi" w:cstheme="minorHAnsi"/>
                <w:sz w:val="20"/>
              </w:rPr>
              <w:t xml:space="preserve">ikely due to high turbidity, </w:t>
            </w:r>
            <w:r w:rsidRPr="001E321C">
              <w:rPr>
                <w:rFonts w:asciiTheme="minorHAnsi" w:hAnsiTheme="minorHAnsi" w:cstheme="minorHAnsi"/>
                <w:sz w:val="20"/>
              </w:rPr>
              <w:t>but bioavailable nutrient remained low. The absence of overbank flows meant that substantial nutrient inputs w</w:t>
            </w:r>
            <w:r w:rsidR="006E65C5">
              <w:rPr>
                <w:rFonts w:asciiTheme="minorHAnsi" w:hAnsiTheme="minorHAnsi" w:cstheme="minorHAnsi"/>
                <w:sz w:val="20"/>
              </w:rPr>
              <w:t>ere not expected</w:t>
            </w:r>
            <w:r w:rsidRPr="001E321C">
              <w:rPr>
                <w:rFonts w:asciiTheme="minorHAnsi" w:hAnsiTheme="minorHAnsi" w:cstheme="minorHAnsi"/>
                <w:sz w:val="20"/>
              </w:rPr>
              <w:t>.</w:t>
            </w:r>
          </w:p>
        </w:tc>
      </w:tr>
      <w:tr w:rsidR="0012016B" w14:paraId="49D7314E" w14:textId="77777777" w:rsidTr="006E65C5">
        <w:tc>
          <w:tcPr>
            <w:tcW w:w="751" w:type="dxa"/>
            <w:vMerge/>
            <w:shd w:val="clear" w:color="auto" w:fill="31849B" w:themeFill="accent5" w:themeFillShade="BF"/>
          </w:tcPr>
          <w:p w14:paraId="2250857C"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61D9960"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Temperature regimes</w:t>
            </w:r>
          </w:p>
        </w:tc>
        <w:tc>
          <w:tcPr>
            <w:tcW w:w="6425" w:type="dxa"/>
          </w:tcPr>
          <w:p w14:paraId="3891BB9C" w14:textId="4BC266CC" w:rsidR="0012016B" w:rsidRPr="001E321C" w:rsidRDefault="001E321C" w:rsidP="0012016B">
            <w:pPr>
              <w:autoSpaceDE w:val="0"/>
              <w:autoSpaceDN w:val="0"/>
              <w:adjustRightInd w:val="0"/>
              <w:spacing w:after="0" w:line="240" w:lineRule="auto"/>
              <w:jc w:val="left"/>
              <w:rPr>
                <w:rFonts w:asciiTheme="minorHAnsi" w:hAnsiTheme="minorHAnsi" w:cstheme="minorHAnsi"/>
                <w:sz w:val="20"/>
                <w:highlight w:val="yellow"/>
              </w:rPr>
            </w:pPr>
            <w:r w:rsidRPr="001E321C">
              <w:rPr>
                <w:rFonts w:asciiTheme="minorHAnsi" w:hAnsiTheme="minorHAnsi" w:cstheme="minorHAnsi"/>
                <w:sz w:val="20"/>
              </w:rPr>
              <w:t>None of the watering actions targeted temperature. Water temperatures in the system were primarily controlled by th</w:t>
            </w:r>
            <w:r w:rsidR="006E65C5">
              <w:rPr>
                <w:rFonts w:asciiTheme="minorHAnsi" w:hAnsiTheme="minorHAnsi" w:cstheme="minorHAnsi"/>
                <w:sz w:val="20"/>
              </w:rPr>
              <w:t>e prevailing weather conditions.</w:t>
            </w:r>
          </w:p>
        </w:tc>
      </w:tr>
      <w:tr w:rsidR="0012016B" w14:paraId="65E86605" w14:textId="77777777" w:rsidTr="006E65C5">
        <w:tc>
          <w:tcPr>
            <w:tcW w:w="751" w:type="dxa"/>
            <w:vMerge/>
            <w:shd w:val="clear" w:color="auto" w:fill="31849B" w:themeFill="accent5" w:themeFillShade="BF"/>
          </w:tcPr>
          <w:p w14:paraId="5F8B4ACF"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7DC1E05B" w14:textId="5293938A" w:rsidR="0012016B" w:rsidRPr="00477CDF" w:rsidRDefault="006E65C5" w:rsidP="0012016B">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D</w:t>
            </w:r>
            <w:r w:rsidR="0012016B" w:rsidRPr="00477CDF">
              <w:rPr>
                <w:rFonts w:asciiTheme="minorHAnsi" w:hAnsiTheme="minorHAnsi" w:cstheme="minorHAnsi"/>
                <w:sz w:val="20"/>
              </w:rPr>
              <w:t>issolved organic matter</w:t>
            </w:r>
          </w:p>
        </w:tc>
        <w:tc>
          <w:tcPr>
            <w:tcW w:w="6425" w:type="dxa"/>
          </w:tcPr>
          <w:p w14:paraId="11C8F840" w14:textId="028FF186" w:rsidR="0012016B" w:rsidRPr="001E321C" w:rsidRDefault="001E321C" w:rsidP="006E65C5">
            <w:pPr>
              <w:autoSpaceDE w:val="0"/>
              <w:autoSpaceDN w:val="0"/>
              <w:adjustRightInd w:val="0"/>
              <w:spacing w:after="0" w:line="240" w:lineRule="auto"/>
              <w:jc w:val="left"/>
              <w:rPr>
                <w:rFonts w:asciiTheme="minorHAnsi" w:hAnsiTheme="minorHAnsi" w:cstheme="minorHAnsi"/>
                <w:sz w:val="20"/>
                <w:highlight w:val="yellow"/>
              </w:rPr>
            </w:pPr>
            <w:r w:rsidRPr="001E321C">
              <w:rPr>
                <w:rFonts w:asciiTheme="minorHAnsi" w:hAnsiTheme="minorHAnsi" w:cstheme="minorHAnsi"/>
                <w:sz w:val="20"/>
              </w:rPr>
              <w:t xml:space="preserve">There was no detectable effect of environmental watering actions on </w:t>
            </w:r>
            <w:r w:rsidR="006E65C5">
              <w:rPr>
                <w:rFonts w:asciiTheme="minorHAnsi" w:hAnsiTheme="minorHAnsi" w:cstheme="minorHAnsi"/>
                <w:sz w:val="20"/>
              </w:rPr>
              <w:t>dissolved organic matter</w:t>
            </w:r>
            <w:r w:rsidRPr="001E321C">
              <w:rPr>
                <w:rFonts w:asciiTheme="minorHAnsi" w:hAnsiTheme="minorHAnsi" w:cstheme="minorHAnsi"/>
                <w:sz w:val="20"/>
              </w:rPr>
              <w:t xml:space="preserve"> and no adverse water quality outcomes. </w:t>
            </w:r>
          </w:p>
        </w:tc>
      </w:tr>
      <w:tr w:rsidR="0012016B" w:rsidRPr="008C019D" w14:paraId="1AAAC2CA" w14:textId="77777777" w:rsidTr="006E65C5">
        <w:trPr>
          <w:trHeight w:val="1871"/>
        </w:trPr>
        <w:tc>
          <w:tcPr>
            <w:tcW w:w="751" w:type="dxa"/>
            <w:vMerge w:val="restart"/>
            <w:shd w:val="clear" w:color="auto" w:fill="31849B" w:themeFill="accent5" w:themeFillShade="BF"/>
            <w:textDirection w:val="btLr"/>
          </w:tcPr>
          <w:p w14:paraId="1F9EC58E"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Stream metabolism</w:t>
            </w:r>
          </w:p>
        </w:tc>
        <w:tc>
          <w:tcPr>
            <w:tcW w:w="1806" w:type="dxa"/>
            <w:shd w:val="clear" w:color="auto" w:fill="B6DDE8" w:themeFill="accent5" w:themeFillTint="66"/>
            <w:tcMar>
              <w:top w:w="28" w:type="dxa"/>
            </w:tcMar>
          </w:tcPr>
          <w:p w14:paraId="290D961B"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Gross Primary Production (GPP) </w:t>
            </w:r>
          </w:p>
        </w:tc>
        <w:tc>
          <w:tcPr>
            <w:tcW w:w="6425" w:type="dxa"/>
            <w:tcMar>
              <w:top w:w="28" w:type="dxa"/>
            </w:tcMar>
          </w:tcPr>
          <w:p w14:paraId="09444229" w14:textId="41E2BBAE" w:rsidR="0012016B" w:rsidRPr="001E321C" w:rsidRDefault="001E321C" w:rsidP="00131521">
            <w:pPr>
              <w:autoSpaceDE w:val="0"/>
              <w:autoSpaceDN w:val="0"/>
              <w:adjustRightInd w:val="0"/>
              <w:spacing w:after="0" w:line="240" w:lineRule="auto"/>
              <w:jc w:val="left"/>
              <w:rPr>
                <w:rFonts w:asciiTheme="minorHAnsi" w:hAnsiTheme="minorHAnsi" w:cstheme="minorHAnsi"/>
                <w:sz w:val="20"/>
                <w:highlight w:val="yellow"/>
              </w:rPr>
            </w:pPr>
            <w:r w:rsidRPr="001E321C">
              <w:rPr>
                <w:sz w:val="20"/>
              </w:rPr>
              <w:t>Watering actions did not substantially affect areal rates of gross primary productivity (GPP)(mg O</w:t>
            </w:r>
            <w:r w:rsidRPr="001E321C">
              <w:rPr>
                <w:sz w:val="20"/>
                <w:vertAlign w:val="subscript"/>
              </w:rPr>
              <w:t>2</w:t>
            </w:r>
            <w:r w:rsidRPr="001E321C">
              <w:rPr>
                <w:sz w:val="20"/>
              </w:rPr>
              <w:t>/m</w:t>
            </w:r>
            <w:r w:rsidRPr="001E321C">
              <w:rPr>
                <w:sz w:val="20"/>
                <w:vertAlign w:val="superscript"/>
              </w:rPr>
              <w:t>2</w:t>
            </w:r>
            <w:r w:rsidRPr="001E321C">
              <w:rPr>
                <w:sz w:val="20"/>
              </w:rPr>
              <w:t xml:space="preserve">/day), which largely followed seasonal trends. However, when GPP was calculated as the amount of organic carbon </w:t>
            </w:r>
            <w:r w:rsidR="00131521">
              <w:rPr>
                <w:sz w:val="20"/>
              </w:rPr>
              <w:t>produced per day (kg C/day) the</w:t>
            </w:r>
            <w:r w:rsidRPr="001E321C">
              <w:rPr>
                <w:sz w:val="20"/>
              </w:rPr>
              <w:t xml:space="preserve"> watering actions were shown to have a beneficial effect (more ‘food’ is better). The size of the beneficial impact was related to the proportion of total flow that came from the watering action, with greater proportional effects of environmental water in winter low-flow periods. Carbon production was enhanced by between 15% and 278% during watering actions, with a median across all sites and watering actions of 50% more carbon produced during Commonwealth environmental watering actions compared to no environmental water.</w:t>
            </w:r>
          </w:p>
        </w:tc>
      </w:tr>
      <w:tr w:rsidR="0012016B" w:rsidRPr="008C019D" w14:paraId="211F4A82" w14:textId="77777777" w:rsidTr="006E65C5">
        <w:tc>
          <w:tcPr>
            <w:tcW w:w="751" w:type="dxa"/>
            <w:vMerge/>
            <w:tcBorders>
              <w:bottom w:val="single" w:sz="12" w:space="0" w:color="000000"/>
            </w:tcBorders>
            <w:shd w:val="clear" w:color="auto" w:fill="31849B" w:themeFill="accent5" w:themeFillShade="BF"/>
          </w:tcPr>
          <w:p w14:paraId="23FF7316"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Mar>
              <w:top w:w="28" w:type="dxa"/>
            </w:tcMar>
          </w:tcPr>
          <w:p w14:paraId="19EED335"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Ecosystem Respiration (ER)</w:t>
            </w:r>
          </w:p>
        </w:tc>
        <w:tc>
          <w:tcPr>
            <w:tcW w:w="6425" w:type="dxa"/>
            <w:tcBorders>
              <w:bottom w:val="single" w:sz="12" w:space="0" w:color="000000"/>
            </w:tcBorders>
            <w:tcMar>
              <w:top w:w="28" w:type="dxa"/>
            </w:tcMar>
          </w:tcPr>
          <w:p w14:paraId="7A296547" w14:textId="50561740" w:rsidR="0012016B" w:rsidRPr="006E65C5" w:rsidRDefault="006E65C5" w:rsidP="006E65C5">
            <w:pPr>
              <w:autoSpaceDE w:val="0"/>
              <w:autoSpaceDN w:val="0"/>
              <w:adjustRightInd w:val="0"/>
              <w:spacing w:after="0" w:line="240" w:lineRule="auto"/>
              <w:jc w:val="left"/>
              <w:rPr>
                <w:rFonts w:asciiTheme="minorHAnsi" w:hAnsiTheme="minorHAnsi" w:cstheme="minorHAnsi"/>
                <w:sz w:val="20"/>
                <w:highlight w:val="yellow"/>
              </w:rPr>
            </w:pPr>
            <w:r w:rsidRPr="006E65C5">
              <w:rPr>
                <w:sz w:val="20"/>
              </w:rPr>
              <w:t>As with GPP, areal rates of ecosystem respiration (ER)(mg O</w:t>
            </w:r>
            <w:r w:rsidRPr="006E65C5">
              <w:rPr>
                <w:sz w:val="20"/>
                <w:vertAlign w:val="subscript"/>
              </w:rPr>
              <w:t>2</w:t>
            </w:r>
            <w:r w:rsidRPr="006E65C5">
              <w:rPr>
                <w:sz w:val="20"/>
              </w:rPr>
              <w:t>/m</w:t>
            </w:r>
            <w:r w:rsidRPr="006E65C5">
              <w:rPr>
                <w:sz w:val="20"/>
                <w:vertAlign w:val="superscript"/>
              </w:rPr>
              <w:t>2</w:t>
            </w:r>
            <w:r w:rsidRPr="006E65C5">
              <w:rPr>
                <w:sz w:val="20"/>
              </w:rPr>
              <w:t>/day) were largely driven by seasonal trends. However, when ER was calculated as the amount of organic carbon consumed per day (kg C/day), then watering actions had a beneficial effect. A higher amount of organic carbon consumed means more nutrient recycling and hence greater nutrient supply to fuel GPP. Carbon consumption was enhanced by between 18% and 263% during the watering actions, with a median across all sites and watering actions of 51% more carbon consumed during Commonwealth environmental watering actions compared to no environmental water.</w:t>
            </w:r>
          </w:p>
        </w:tc>
      </w:tr>
    </w:tbl>
    <w:p w14:paraId="487A1E7D" w14:textId="77777777" w:rsidR="0012016B" w:rsidRDefault="0012016B" w:rsidP="0012016B">
      <w:pPr>
        <w:spacing w:after="0" w:line="240" w:lineRule="auto"/>
        <w:jc w:val="left"/>
        <w:rPr>
          <w:rFonts w:asciiTheme="minorHAnsi" w:hAnsiTheme="minorHAnsi"/>
        </w:rPr>
      </w:pPr>
      <w:r>
        <w:rPr>
          <w:rFonts w:asciiTheme="minorHAnsi" w:hAnsiTheme="minorHAnsi"/>
          <w:b/>
        </w:rPr>
        <w:t xml:space="preserve">Table ii  (continued) </w:t>
      </w:r>
      <w:r>
        <w:rPr>
          <w:rFonts w:asciiTheme="minorHAnsi" w:hAnsiTheme="minorHAnsi"/>
        </w:rPr>
        <w:t>Key results for each indicator in response to environmental w</w:t>
      </w:r>
      <w:r w:rsidRPr="00915086">
        <w:rPr>
          <w:rFonts w:asciiTheme="minorHAnsi" w:hAnsiTheme="minorHAnsi"/>
        </w:rPr>
        <w:t xml:space="preserve">atering </w:t>
      </w:r>
      <w:r>
        <w:rPr>
          <w:rFonts w:asciiTheme="minorHAnsi" w:hAnsiTheme="minorHAnsi"/>
        </w:rPr>
        <w:t xml:space="preserve">action 1 (the 800 ML/day flow trial) </w:t>
      </w:r>
      <w:r w:rsidRPr="00915086">
        <w:rPr>
          <w:rFonts w:asciiTheme="minorHAnsi" w:hAnsiTheme="minorHAnsi"/>
        </w:rPr>
        <w:t xml:space="preserve">in the </w:t>
      </w:r>
      <w:r>
        <w:rPr>
          <w:rFonts w:asciiTheme="minorHAnsi" w:hAnsiTheme="minorHAnsi"/>
        </w:rPr>
        <w:t>Edward/Kolety-Wakool  system in 2018-19.</w:t>
      </w:r>
    </w:p>
    <w:tbl>
      <w:tblPr>
        <w:tblStyle w:val="TableGrid"/>
        <w:tblW w:w="8926" w:type="dxa"/>
        <w:tblLayout w:type="fixed"/>
        <w:tblCellMar>
          <w:left w:w="28" w:type="dxa"/>
          <w:right w:w="28" w:type="dxa"/>
        </w:tblCellMar>
        <w:tblLook w:val="04A0" w:firstRow="1" w:lastRow="0" w:firstColumn="1" w:lastColumn="0" w:noHBand="0" w:noVBand="1"/>
      </w:tblPr>
      <w:tblGrid>
        <w:gridCol w:w="751"/>
        <w:gridCol w:w="1806"/>
        <w:gridCol w:w="6369"/>
      </w:tblGrid>
      <w:tr w:rsidR="0012016B" w:rsidRPr="00CB1660" w14:paraId="7CCF298B" w14:textId="77777777" w:rsidTr="0012016B">
        <w:trPr>
          <w:cantSplit/>
          <w:trHeight w:val="419"/>
        </w:trPr>
        <w:tc>
          <w:tcPr>
            <w:tcW w:w="751" w:type="dxa"/>
            <w:tcBorders>
              <w:top w:val="single" w:sz="12" w:space="0" w:color="000000"/>
            </w:tcBorders>
            <w:shd w:val="clear" w:color="auto" w:fill="31849B" w:themeFill="accent5" w:themeFillShade="BF"/>
            <w:tcMar>
              <w:left w:w="0" w:type="dxa"/>
              <w:right w:w="57" w:type="dxa"/>
            </w:tcMar>
          </w:tcPr>
          <w:p w14:paraId="0FF08345" w14:textId="77777777" w:rsidR="0012016B" w:rsidRPr="00B952EF" w:rsidRDefault="0012016B" w:rsidP="0012016B">
            <w:pPr>
              <w:autoSpaceDE w:val="0"/>
              <w:autoSpaceDN w:val="0"/>
              <w:adjustRightInd w:val="0"/>
              <w:spacing w:after="120" w:line="320" w:lineRule="exact"/>
              <w:jc w:val="left"/>
              <w:rPr>
                <w:b/>
                <w:color w:val="FFFFFF" w:themeColor="background1"/>
                <w:szCs w:val="22"/>
              </w:rPr>
            </w:pPr>
            <w:r w:rsidRPr="00B952EF">
              <w:rPr>
                <w:b/>
                <w:color w:val="FFFFFF" w:themeColor="background1"/>
                <w:szCs w:val="22"/>
              </w:rPr>
              <w:t>Theme</w:t>
            </w:r>
          </w:p>
        </w:tc>
        <w:tc>
          <w:tcPr>
            <w:tcW w:w="1806" w:type="dxa"/>
            <w:tcBorders>
              <w:top w:val="single" w:sz="12" w:space="0" w:color="000000"/>
            </w:tcBorders>
            <w:shd w:val="clear" w:color="auto" w:fill="31849B" w:themeFill="accent5" w:themeFillShade="BF"/>
            <w:tcMar>
              <w:left w:w="28" w:type="dxa"/>
              <w:right w:w="57" w:type="dxa"/>
            </w:tcMar>
          </w:tcPr>
          <w:p w14:paraId="18E8AA16"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E45FE9">
              <w:rPr>
                <w:b/>
                <w:color w:val="FFFFFF" w:themeColor="background1"/>
                <w:sz w:val="24"/>
                <w:szCs w:val="24"/>
              </w:rPr>
              <w:t>Indicator</w:t>
            </w:r>
          </w:p>
        </w:tc>
        <w:tc>
          <w:tcPr>
            <w:tcW w:w="6369" w:type="dxa"/>
            <w:tcBorders>
              <w:top w:val="single" w:sz="12" w:space="0" w:color="000000"/>
            </w:tcBorders>
            <w:shd w:val="clear" w:color="auto" w:fill="31849B" w:themeFill="accent5" w:themeFillShade="BF"/>
            <w:tcMar>
              <w:left w:w="28" w:type="dxa"/>
              <w:right w:w="57" w:type="dxa"/>
            </w:tcMar>
          </w:tcPr>
          <w:p w14:paraId="30D1D46D" w14:textId="77777777" w:rsidR="0012016B" w:rsidRPr="007509D9" w:rsidRDefault="0012016B" w:rsidP="0012016B">
            <w:pPr>
              <w:autoSpaceDE w:val="0"/>
              <w:autoSpaceDN w:val="0"/>
              <w:adjustRightInd w:val="0"/>
              <w:spacing w:after="0" w:line="240" w:lineRule="auto"/>
              <w:jc w:val="left"/>
              <w:rPr>
                <w:sz w:val="20"/>
              </w:rPr>
            </w:pPr>
            <w:r w:rsidRPr="00E45FE9">
              <w:rPr>
                <w:b/>
                <w:color w:val="FFFFFF" w:themeColor="background1"/>
                <w:sz w:val="24"/>
                <w:szCs w:val="24"/>
              </w:rPr>
              <w:t>Key result</w:t>
            </w:r>
          </w:p>
        </w:tc>
      </w:tr>
      <w:tr w:rsidR="0012016B" w:rsidRPr="00CB1660" w14:paraId="7ACD2435" w14:textId="77777777" w:rsidTr="0012016B">
        <w:trPr>
          <w:cantSplit/>
          <w:trHeight w:val="594"/>
        </w:trPr>
        <w:tc>
          <w:tcPr>
            <w:tcW w:w="751" w:type="dxa"/>
            <w:vMerge w:val="restart"/>
            <w:tcBorders>
              <w:top w:val="single" w:sz="12" w:space="0" w:color="000000"/>
            </w:tcBorders>
            <w:shd w:val="clear" w:color="auto" w:fill="31849B" w:themeFill="accent5" w:themeFillShade="BF"/>
            <w:textDirection w:val="btLr"/>
          </w:tcPr>
          <w:p w14:paraId="3279B26E"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Riverbank and aquatic vegetation</w:t>
            </w:r>
          </w:p>
        </w:tc>
        <w:tc>
          <w:tcPr>
            <w:tcW w:w="1806" w:type="dxa"/>
            <w:tcBorders>
              <w:top w:val="single" w:sz="12" w:space="0" w:color="000000"/>
            </w:tcBorders>
            <w:shd w:val="clear" w:color="auto" w:fill="B6DDE8" w:themeFill="accent5" w:themeFillTint="66"/>
          </w:tcPr>
          <w:p w14:paraId="01BF0666"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Total species richness</w:t>
            </w:r>
          </w:p>
        </w:tc>
        <w:tc>
          <w:tcPr>
            <w:tcW w:w="6369" w:type="dxa"/>
            <w:tcBorders>
              <w:top w:val="single" w:sz="12" w:space="0" w:color="000000"/>
            </w:tcBorders>
          </w:tcPr>
          <w:p w14:paraId="152A53B6" w14:textId="77777777" w:rsidR="00A128E3" w:rsidRPr="00A128E3" w:rsidRDefault="00A128E3" w:rsidP="00A128E3">
            <w:pPr>
              <w:spacing w:after="0" w:line="240" w:lineRule="auto"/>
              <w:jc w:val="left"/>
              <w:rPr>
                <w:sz w:val="20"/>
              </w:rPr>
            </w:pPr>
            <w:r w:rsidRPr="00A128E3">
              <w:rPr>
                <w:sz w:val="20"/>
              </w:rPr>
              <w:t>There was an increase in the mean total species richness in each of the five monitored zones since the flood in 2016. The mean species richness has not yet recovered to the same levels as prior to the flood.</w:t>
            </w:r>
          </w:p>
          <w:p w14:paraId="186521C4" w14:textId="13DA1894" w:rsidR="0012016B" w:rsidRPr="00A128E3" w:rsidRDefault="00A128E3" w:rsidP="00A128E3">
            <w:pPr>
              <w:autoSpaceDE w:val="0"/>
              <w:autoSpaceDN w:val="0"/>
              <w:adjustRightInd w:val="0"/>
              <w:spacing w:after="0" w:line="240" w:lineRule="auto"/>
              <w:jc w:val="left"/>
              <w:rPr>
                <w:rFonts w:asciiTheme="minorHAnsi" w:hAnsiTheme="minorHAnsi" w:cstheme="minorHAnsi"/>
                <w:sz w:val="20"/>
                <w:highlight w:val="yellow"/>
              </w:rPr>
            </w:pPr>
            <w:r w:rsidRPr="00A128E3">
              <w:rPr>
                <w:sz w:val="20"/>
              </w:rPr>
              <w:t>The mean total number of taxa was consistently lower in zone 2, which has received minimal or no environmental water compared to the other zones. The exception was in 2018-19 when zone 2 received environmental water.</w:t>
            </w:r>
          </w:p>
        </w:tc>
      </w:tr>
      <w:tr w:rsidR="0012016B" w:rsidRPr="00063795" w14:paraId="7ABE38FE" w14:textId="77777777" w:rsidTr="0012016B">
        <w:tc>
          <w:tcPr>
            <w:tcW w:w="751" w:type="dxa"/>
            <w:vMerge/>
            <w:shd w:val="clear" w:color="auto" w:fill="31849B" w:themeFill="accent5" w:themeFillShade="BF"/>
          </w:tcPr>
          <w:p w14:paraId="2AF30B74"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490B20E8"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Richness of functional groups</w:t>
            </w:r>
          </w:p>
        </w:tc>
        <w:tc>
          <w:tcPr>
            <w:tcW w:w="6369" w:type="dxa"/>
          </w:tcPr>
          <w:p w14:paraId="6ACDCABB" w14:textId="60762EA8" w:rsidR="00A128E3" w:rsidRPr="001A1BA8" w:rsidRDefault="00A128E3" w:rsidP="00A128E3">
            <w:pPr>
              <w:spacing w:after="0" w:line="240" w:lineRule="auto"/>
              <w:jc w:val="left"/>
              <w:rPr>
                <w:sz w:val="20"/>
              </w:rPr>
            </w:pPr>
            <w:r w:rsidRPr="001A1BA8">
              <w:rPr>
                <w:sz w:val="20"/>
              </w:rPr>
              <w:t>Since 2017-18 there has been a gradual recovery of submerged taxa in all zones, but the total richness has not yet reached levels observed prior to the 2016 flood. In 2019-20 the maximum mean precent cover of submerged taxa increased (zones 1 and 8) or was maintained (zones 3 and 4) in zones that received environmental</w:t>
            </w:r>
            <w:r w:rsidR="001A1BA8" w:rsidRPr="001A1BA8">
              <w:rPr>
                <w:sz w:val="20"/>
              </w:rPr>
              <w:t xml:space="preserve"> water, but reduced in zone 2 (u</w:t>
            </w:r>
            <w:r w:rsidRPr="001A1BA8">
              <w:rPr>
                <w:sz w:val="20"/>
              </w:rPr>
              <w:t>pper Wakool River) that did not receive environmental water in 2019-20.</w:t>
            </w:r>
          </w:p>
          <w:p w14:paraId="4AFA2DDC" w14:textId="30E8C377" w:rsidR="0012016B" w:rsidRPr="00A128E3" w:rsidRDefault="00A128E3" w:rsidP="001A1BA8">
            <w:pPr>
              <w:autoSpaceDE w:val="0"/>
              <w:autoSpaceDN w:val="0"/>
              <w:adjustRightInd w:val="0"/>
              <w:spacing w:after="0" w:line="240" w:lineRule="auto"/>
              <w:jc w:val="left"/>
              <w:rPr>
                <w:rFonts w:asciiTheme="minorHAnsi" w:hAnsiTheme="minorHAnsi" w:cstheme="minorHAnsi"/>
                <w:sz w:val="20"/>
                <w:highlight w:val="yellow"/>
              </w:rPr>
            </w:pPr>
            <w:r w:rsidRPr="001A1BA8">
              <w:rPr>
                <w:sz w:val="20"/>
              </w:rPr>
              <w:t xml:space="preserve">Since the flood the number of amphibious taxa has increased in all zones. The mean total richness was higher in zones that received environmental water (zones 1, 3, 4 and 8) than in zone 2 that received no or minimal environmental water. However, zones 3 and 4 have not yet recovered to the same total richness observed prior to the flood. </w:t>
            </w:r>
          </w:p>
        </w:tc>
      </w:tr>
      <w:tr w:rsidR="0012016B" w:rsidRPr="00280122" w14:paraId="460C64E0" w14:textId="77777777" w:rsidTr="0012016B">
        <w:tc>
          <w:tcPr>
            <w:tcW w:w="751" w:type="dxa"/>
            <w:vMerge/>
            <w:tcBorders>
              <w:bottom w:val="single" w:sz="12" w:space="0" w:color="000000"/>
            </w:tcBorders>
            <w:shd w:val="clear" w:color="auto" w:fill="31849B" w:themeFill="accent5" w:themeFillShade="BF"/>
          </w:tcPr>
          <w:p w14:paraId="6E9D73F0" w14:textId="77777777" w:rsidR="0012016B" w:rsidRPr="00422896" w:rsidRDefault="0012016B" w:rsidP="0012016B">
            <w:pPr>
              <w:autoSpaceDE w:val="0"/>
              <w:autoSpaceDN w:val="0"/>
              <w:adjustRightInd w:val="0"/>
              <w:spacing w:after="0" w:line="240" w:lineRule="auto"/>
              <w:jc w:val="left"/>
              <w:rPr>
                <w:b/>
                <w:color w:val="FFFFFF" w:themeColor="background1"/>
                <w:szCs w:val="22"/>
              </w:rPr>
            </w:pPr>
          </w:p>
        </w:tc>
        <w:tc>
          <w:tcPr>
            <w:tcW w:w="1806" w:type="dxa"/>
            <w:tcBorders>
              <w:bottom w:val="single" w:sz="12" w:space="0" w:color="000000"/>
            </w:tcBorders>
            <w:shd w:val="clear" w:color="auto" w:fill="B6DDE8" w:themeFill="accent5" w:themeFillTint="66"/>
          </w:tcPr>
          <w:p w14:paraId="2975AE35"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Percent cover of functional groups</w:t>
            </w:r>
          </w:p>
        </w:tc>
        <w:tc>
          <w:tcPr>
            <w:tcW w:w="6369" w:type="dxa"/>
            <w:tcBorders>
              <w:bottom w:val="single" w:sz="12" w:space="0" w:color="000000"/>
            </w:tcBorders>
          </w:tcPr>
          <w:p w14:paraId="0EEE292E" w14:textId="77777777" w:rsidR="00A128E3" w:rsidRPr="001A1BA8" w:rsidRDefault="00A128E3" w:rsidP="00A128E3">
            <w:pPr>
              <w:autoSpaceDE w:val="0"/>
              <w:autoSpaceDN w:val="0"/>
              <w:adjustRightInd w:val="0"/>
              <w:spacing w:after="0" w:line="240" w:lineRule="auto"/>
              <w:jc w:val="left"/>
              <w:rPr>
                <w:sz w:val="20"/>
              </w:rPr>
            </w:pPr>
            <w:r w:rsidRPr="001A1BA8">
              <w:rPr>
                <w:sz w:val="20"/>
              </w:rPr>
              <w:t xml:space="preserve">In 2019-20 there was a significant increase in the cover of </w:t>
            </w:r>
            <w:r w:rsidRPr="001A1BA8">
              <w:rPr>
                <w:i/>
                <w:sz w:val="20"/>
              </w:rPr>
              <w:t>Chara</w:t>
            </w:r>
            <w:r w:rsidRPr="001A1BA8">
              <w:rPr>
                <w:sz w:val="20"/>
              </w:rPr>
              <w:t xml:space="preserve"> (submerged macro algae) in the monitored hydrological zones that received environmental water (zones 1, 3, 4, 8), and the cover has returned to pre-flood levels in these zones. </w:t>
            </w:r>
          </w:p>
          <w:p w14:paraId="22A8F003" w14:textId="6D012219" w:rsidR="0012016B" w:rsidRPr="0012016B" w:rsidRDefault="00A128E3" w:rsidP="001A1BA8">
            <w:pPr>
              <w:autoSpaceDE w:val="0"/>
              <w:autoSpaceDN w:val="0"/>
              <w:adjustRightInd w:val="0"/>
              <w:spacing w:after="0" w:line="240" w:lineRule="auto"/>
              <w:jc w:val="left"/>
              <w:rPr>
                <w:rFonts w:asciiTheme="minorHAnsi" w:hAnsiTheme="minorHAnsi" w:cstheme="minorHAnsi"/>
                <w:sz w:val="20"/>
                <w:highlight w:val="yellow"/>
              </w:rPr>
            </w:pPr>
            <w:r w:rsidRPr="001A1BA8">
              <w:rPr>
                <w:sz w:val="20"/>
              </w:rPr>
              <w:t>The response in cover of amphibious taxa since the 2016 flood has not been consistent among zones because there were different dominant taxa in different zones. Spiny mud grass (</w:t>
            </w:r>
            <w:r w:rsidRPr="001A1BA8">
              <w:rPr>
                <w:i/>
                <w:sz w:val="20"/>
              </w:rPr>
              <w:t xml:space="preserve">Pseudoraphis spinescens) </w:t>
            </w:r>
            <w:r w:rsidRPr="001A1BA8">
              <w:rPr>
                <w:sz w:val="20"/>
              </w:rPr>
              <w:t xml:space="preserve">was </w:t>
            </w:r>
            <w:r w:rsidR="001A1BA8" w:rsidRPr="001A1BA8">
              <w:rPr>
                <w:sz w:val="20"/>
              </w:rPr>
              <w:t xml:space="preserve">the </w:t>
            </w:r>
            <w:r w:rsidRPr="001A1BA8">
              <w:rPr>
                <w:sz w:val="20"/>
              </w:rPr>
              <w:t>most abundant taxa in zone 4 and has increased in percent cover in zone 4 such that it currently has a higher percent cover than was recorded prior to the flood. The common spikerush (</w:t>
            </w:r>
            <w:r w:rsidRPr="001A1BA8">
              <w:rPr>
                <w:i/>
                <w:sz w:val="20"/>
              </w:rPr>
              <w:t>Eleocharis sp.)</w:t>
            </w:r>
            <w:r w:rsidRPr="001A1BA8">
              <w:rPr>
                <w:sz w:val="20"/>
              </w:rPr>
              <w:t xml:space="preserve"> was the dominant taxa in zone 8 (Colligen Creek) prior to the flood, but tolerated the flooding and has maintained similar mean percent cover across all years. In contrast, floating pondweed (</w:t>
            </w:r>
            <w:r w:rsidRPr="001A1BA8">
              <w:rPr>
                <w:i/>
                <w:sz w:val="20"/>
              </w:rPr>
              <w:t>Potamogeton tricarinatus)</w:t>
            </w:r>
            <w:r w:rsidRPr="001A1BA8">
              <w:rPr>
                <w:sz w:val="20"/>
              </w:rPr>
              <w:t xml:space="preserve"> was the dominant amphibious taxa in zone 3 prior to the flood </w:t>
            </w:r>
            <w:r w:rsidR="001A1BA8" w:rsidRPr="001A1BA8">
              <w:rPr>
                <w:sz w:val="20"/>
              </w:rPr>
              <w:t>and</w:t>
            </w:r>
            <w:r w:rsidRPr="001A1BA8">
              <w:rPr>
                <w:sz w:val="20"/>
              </w:rPr>
              <w:t xml:space="preserve"> significantly reduced in cover or was killed by the flood in 2016. It was recorded again for the first time in 2019-20 in zone 3 at low percent cover. Similarly, milfoil (</w:t>
            </w:r>
            <w:r w:rsidRPr="001A1BA8">
              <w:rPr>
                <w:i/>
                <w:sz w:val="20"/>
              </w:rPr>
              <w:t xml:space="preserve">Myriophyllum spp) </w:t>
            </w:r>
            <w:r w:rsidRPr="001A1BA8">
              <w:rPr>
                <w:sz w:val="20"/>
              </w:rPr>
              <w:t>was abundant in zones 1, 3 and 4 prior to the flood but was recorded at low percent cover in zones 1 and 3 in 2019-20.</w:t>
            </w:r>
          </w:p>
        </w:tc>
      </w:tr>
      <w:tr w:rsidR="0012016B" w:rsidRPr="00477CDF" w14:paraId="6BDC018D" w14:textId="77777777" w:rsidTr="0012016B">
        <w:trPr>
          <w:cantSplit/>
          <w:trHeight w:val="687"/>
        </w:trPr>
        <w:tc>
          <w:tcPr>
            <w:tcW w:w="751" w:type="dxa"/>
            <w:shd w:val="clear" w:color="auto" w:fill="31849B" w:themeFill="accent5" w:themeFillShade="BF"/>
            <w:noWrap/>
            <w:tcMar>
              <w:left w:w="0" w:type="dxa"/>
              <w:right w:w="0" w:type="dxa"/>
            </w:tcMar>
            <w:textDirection w:val="btLr"/>
          </w:tcPr>
          <w:p w14:paraId="6486D1A5" w14:textId="77777777" w:rsidR="0012016B" w:rsidRPr="004557A6" w:rsidRDefault="0012016B" w:rsidP="0012016B">
            <w:pPr>
              <w:autoSpaceDE w:val="0"/>
              <w:autoSpaceDN w:val="0"/>
              <w:adjustRightInd w:val="0"/>
              <w:spacing w:after="0" w:line="240" w:lineRule="auto"/>
              <w:ind w:left="113" w:right="113"/>
              <w:jc w:val="center"/>
              <w:rPr>
                <w:b/>
                <w:color w:val="FFFFFF" w:themeColor="background1"/>
                <w:sz w:val="20"/>
              </w:rPr>
            </w:pPr>
            <w:r w:rsidRPr="004557A6">
              <w:rPr>
                <w:b/>
                <w:color w:val="FFFFFF" w:themeColor="background1"/>
                <w:sz w:val="20"/>
              </w:rPr>
              <w:t>Fish movement</w:t>
            </w:r>
          </w:p>
        </w:tc>
        <w:tc>
          <w:tcPr>
            <w:tcW w:w="1806" w:type="dxa"/>
            <w:shd w:val="clear" w:color="auto" w:fill="B6DDE8" w:themeFill="accent5" w:themeFillTint="66"/>
          </w:tcPr>
          <w:p w14:paraId="232592D7"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Movement of golden perch and silver perch</w:t>
            </w:r>
          </w:p>
        </w:tc>
        <w:tc>
          <w:tcPr>
            <w:tcW w:w="6369" w:type="dxa"/>
          </w:tcPr>
          <w:p w14:paraId="737F0B28" w14:textId="0B869850" w:rsidR="008653E4" w:rsidRPr="0012016B" w:rsidRDefault="008653E4" w:rsidP="006E281F">
            <w:pPr>
              <w:spacing w:after="0" w:line="240" w:lineRule="auto"/>
              <w:jc w:val="left"/>
              <w:rPr>
                <w:sz w:val="20"/>
                <w:highlight w:val="yellow"/>
              </w:rPr>
            </w:pPr>
            <w:r w:rsidRPr="00605A7D">
              <w:rPr>
                <w:bCs/>
                <w:sz w:val="20"/>
              </w:rPr>
              <w:t>No discernible differences were observed in the scale of the movements of golden perch or silver perch during the 2019 winter watering event, although we note that sample sizes were low.</w:t>
            </w:r>
            <w:r>
              <w:rPr>
                <w:bCs/>
              </w:rPr>
              <w:t xml:space="preserve"> M</w:t>
            </w:r>
            <w:r w:rsidRPr="00605A7D">
              <w:rPr>
                <w:bCs/>
                <w:sz w:val="20"/>
              </w:rPr>
              <w:t>odelling based on previous water delivery years (2017 and 2018) indicates that CEW deliveries in winter</w:t>
            </w:r>
            <w:r>
              <w:rPr>
                <w:bCs/>
                <w:sz w:val="20"/>
              </w:rPr>
              <w:t xml:space="preserve"> result in an </w:t>
            </w:r>
            <w:r w:rsidRPr="00605A7D">
              <w:rPr>
                <w:bCs/>
                <w:sz w:val="20"/>
              </w:rPr>
              <w:t>increase in the frequency of movement of golden perch, silver perch and Murray cod, but that it is most pronounced in silver perch</w:t>
            </w:r>
            <w:r>
              <w:rPr>
                <w:bCs/>
              </w:rPr>
              <w:t xml:space="preserve">. </w:t>
            </w:r>
            <w:r w:rsidRPr="00605A7D">
              <w:rPr>
                <w:bCs/>
                <w:sz w:val="20"/>
              </w:rPr>
              <w:t>Occupation of Yallakool Creek zone 1 by golden perch was enabled during winter watering in 2019 in comparison to winter 2018 (no watering), indicating that increased habitat was both available and utilised during the watering event.</w:t>
            </w:r>
          </w:p>
        </w:tc>
      </w:tr>
      <w:tr w:rsidR="0012016B" w:rsidRPr="0082756B" w14:paraId="0FF41C42" w14:textId="77777777" w:rsidTr="0012016B">
        <w:trPr>
          <w:cantSplit/>
          <w:trHeight w:val="687"/>
        </w:trPr>
        <w:tc>
          <w:tcPr>
            <w:tcW w:w="751" w:type="dxa"/>
            <w:vMerge w:val="restart"/>
            <w:shd w:val="clear" w:color="auto" w:fill="31849B" w:themeFill="accent5" w:themeFillShade="BF"/>
            <w:textDirection w:val="btLr"/>
          </w:tcPr>
          <w:p w14:paraId="6357A91C" w14:textId="77777777" w:rsidR="0012016B" w:rsidRPr="00422896" w:rsidRDefault="0012016B" w:rsidP="0012016B">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34FF84DE"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periodic species</w:t>
            </w:r>
          </w:p>
        </w:tc>
        <w:tc>
          <w:tcPr>
            <w:tcW w:w="6369" w:type="dxa"/>
          </w:tcPr>
          <w:p w14:paraId="49990F7D" w14:textId="71C06FB8" w:rsidR="0012016B" w:rsidRPr="0012016B" w:rsidRDefault="008653E4" w:rsidP="008653E4">
            <w:pPr>
              <w:autoSpaceDE w:val="0"/>
              <w:autoSpaceDN w:val="0"/>
              <w:adjustRightInd w:val="0"/>
              <w:spacing w:after="60" w:line="240" w:lineRule="auto"/>
              <w:jc w:val="left"/>
              <w:rPr>
                <w:rFonts w:asciiTheme="minorHAnsi" w:hAnsiTheme="minorHAnsi" w:cstheme="minorHAnsi"/>
                <w:sz w:val="20"/>
                <w:highlight w:val="yellow"/>
              </w:rPr>
            </w:pPr>
            <w:r w:rsidRPr="00605A7D">
              <w:rPr>
                <w:bCs/>
                <w:sz w:val="20"/>
              </w:rPr>
              <w:t>Significantly more bony herring larvae were found in some study rivers that received environmental water compared to the Upper Wakool River, which did not receive environmental water.</w:t>
            </w:r>
            <w:r>
              <w:rPr>
                <w:bCs/>
                <w:sz w:val="20"/>
              </w:rPr>
              <w:t xml:space="preserve"> </w:t>
            </w:r>
            <w:r w:rsidRPr="00605A7D">
              <w:rPr>
                <w:bCs/>
                <w:sz w:val="20"/>
              </w:rPr>
              <w:t xml:space="preserve">Despite the </w:t>
            </w:r>
            <w:r>
              <w:rPr>
                <w:bCs/>
                <w:sz w:val="20"/>
              </w:rPr>
              <w:t>Southern Connected Flow in the</w:t>
            </w:r>
            <w:r w:rsidRPr="00605A7D">
              <w:rPr>
                <w:bCs/>
                <w:sz w:val="20"/>
              </w:rPr>
              <w:t xml:space="preserve"> Murray River t</w:t>
            </w:r>
            <w:r>
              <w:rPr>
                <w:bCs/>
                <w:sz w:val="20"/>
              </w:rPr>
              <w:t>hat influenced the Edward/Kolet</w:t>
            </w:r>
            <w:r w:rsidR="00E30D62">
              <w:rPr>
                <w:bCs/>
                <w:sz w:val="20"/>
              </w:rPr>
              <w:t>y</w:t>
            </w:r>
            <w:r>
              <w:rPr>
                <w:bCs/>
                <w:sz w:val="20"/>
              </w:rPr>
              <w:t>-Wakool system</w:t>
            </w:r>
            <w:r w:rsidRPr="00605A7D">
              <w:rPr>
                <w:bCs/>
                <w:sz w:val="20"/>
              </w:rPr>
              <w:t>, there was no evidence of golden or silver perch spawning recorded.</w:t>
            </w:r>
          </w:p>
        </w:tc>
      </w:tr>
      <w:tr w:rsidR="0012016B" w:rsidRPr="0082756B" w14:paraId="67A16A8B" w14:textId="77777777" w:rsidTr="0012016B">
        <w:tc>
          <w:tcPr>
            <w:tcW w:w="751" w:type="dxa"/>
            <w:vMerge/>
            <w:shd w:val="clear" w:color="auto" w:fill="31849B" w:themeFill="accent5" w:themeFillShade="BF"/>
          </w:tcPr>
          <w:p w14:paraId="22ECCE65" w14:textId="77777777" w:rsidR="0012016B" w:rsidRPr="00422896" w:rsidRDefault="0012016B" w:rsidP="0012016B">
            <w:pPr>
              <w:autoSpaceDE w:val="0"/>
              <w:autoSpaceDN w:val="0"/>
              <w:adjustRightInd w:val="0"/>
              <w:spacing w:after="0" w:line="240" w:lineRule="auto"/>
              <w:jc w:val="center"/>
              <w:rPr>
                <w:b/>
                <w:color w:val="FFFFFF" w:themeColor="background1"/>
                <w:szCs w:val="22"/>
              </w:rPr>
            </w:pPr>
          </w:p>
        </w:tc>
        <w:tc>
          <w:tcPr>
            <w:tcW w:w="1806" w:type="dxa"/>
            <w:shd w:val="clear" w:color="auto" w:fill="B6DDE8" w:themeFill="accent5" w:themeFillTint="66"/>
          </w:tcPr>
          <w:p w14:paraId="71B6B7EE"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opportunistic species</w:t>
            </w:r>
          </w:p>
        </w:tc>
        <w:tc>
          <w:tcPr>
            <w:tcW w:w="6369" w:type="dxa"/>
          </w:tcPr>
          <w:p w14:paraId="09BB0AFE" w14:textId="2AB2232A" w:rsidR="0012016B" w:rsidRPr="0012016B" w:rsidRDefault="008653E4" w:rsidP="0012016B">
            <w:pPr>
              <w:autoSpaceDE w:val="0"/>
              <w:autoSpaceDN w:val="0"/>
              <w:adjustRightInd w:val="0"/>
              <w:spacing w:after="0" w:line="240" w:lineRule="auto"/>
              <w:jc w:val="left"/>
              <w:rPr>
                <w:rFonts w:asciiTheme="minorHAnsi" w:hAnsiTheme="minorHAnsi" w:cstheme="minorHAnsi"/>
                <w:sz w:val="20"/>
                <w:highlight w:val="yellow"/>
              </w:rPr>
            </w:pPr>
            <w:r w:rsidRPr="00605A7D">
              <w:rPr>
                <w:bCs/>
                <w:sz w:val="20"/>
              </w:rPr>
              <w:t>Significantly more Australian smelt larvae were found in all study rivers that received environmental water compared to the Upper Wakool River which did not receive environmental water.</w:t>
            </w:r>
          </w:p>
        </w:tc>
      </w:tr>
      <w:tr w:rsidR="0012016B" w:rsidRPr="00477CDF" w14:paraId="6B3E7810" w14:textId="77777777" w:rsidTr="0012016B">
        <w:trPr>
          <w:cantSplit/>
          <w:trHeight w:val="838"/>
        </w:trPr>
        <w:tc>
          <w:tcPr>
            <w:tcW w:w="751" w:type="dxa"/>
            <w:tcBorders>
              <w:bottom w:val="single" w:sz="4" w:space="0" w:color="000000"/>
            </w:tcBorders>
            <w:shd w:val="clear" w:color="auto" w:fill="31849B" w:themeFill="accent5" w:themeFillShade="BF"/>
            <w:textDirection w:val="btLr"/>
          </w:tcPr>
          <w:p w14:paraId="36814025" w14:textId="77777777" w:rsidR="0012016B" w:rsidRPr="00635AA0" w:rsidRDefault="0012016B" w:rsidP="0012016B">
            <w:pPr>
              <w:autoSpaceDE w:val="0"/>
              <w:autoSpaceDN w:val="0"/>
              <w:adjustRightInd w:val="0"/>
              <w:spacing w:after="0" w:line="240" w:lineRule="auto"/>
              <w:ind w:left="113" w:right="113"/>
              <w:jc w:val="center"/>
              <w:rPr>
                <w:b/>
                <w:color w:val="FFFFFF" w:themeColor="background1"/>
                <w:sz w:val="18"/>
                <w:szCs w:val="18"/>
              </w:rPr>
            </w:pPr>
            <w:r w:rsidRPr="00635AA0">
              <w:rPr>
                <w:b/>
                <w:color w:val="FFFFFF" w:themeColor="background1"/>
                <w:sz w:val="18"/>
                <w:szCs w:val="18"/>
              </w:rPr>
              <w:t>Fish recruitment</w:t>
            </w:r>
          </w:p>
        </w:tc>
        <w:tc>
          <w:tcPr>
            <w:tcW w:w="1806" w:type="dxa"/>
            <w:tcBorders>
              <w:bottom w:val="single" w:sz="4" w:space="0" w:color="000000"/>
            </w:tcBorders>
            <w:shd w:val="clear" w:color="auto" w:fill="B6DDE8" w:themeFill="accent5" w:themeFillTint="66"/>
          </w:tcPr>
          <w:p w14:paraId="1786A9A1"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Murray cod, silver perch and golden perch recruitment</w:t>
            </w:r>
          </w:p>
        </w:tc>
        <w:tc>
          <w:tcPr>
            <w:tcW w:w="6369" w:type="dxa"/>
            <w:tcBorders>
              <w:bottom w:val="single" w:sz="4" w:space="0" w:color="000000"/>
            </w:tcBorders>
          </w:tcPr>
          <w:p w14:paraId="24264554" w14:textId="065135EF" w:rsidR="0012016B" w:rsidRPr="0012016B" w:rsidRDefault="008653E4" w:rsidP="008653E4">
            <w:pPr>
              <w:autoSpaceDE w:val="0"/>
              <w:autoSpaceDN w:val="0"/>
              <w:adjustRightInd w:val="0"/>
              <w:spacing w:after="60" w:line="240" w:lineRule="auto"/>
              <w:jc w:val="left"/>
              <w:rPr>
                <w:rFonts w:asciiTheme="minorHAnsi" w:hAnsiTheme="minorHAnsi" w:cstheme="minorHAnsi"/>
                <w:sz w:val="20"/>
                <w:highlight w:val="yellow"/>
              </w:rPr>
            </w:pPr>
            <w:r w:rsidRPr="00605A7D">
              <w:rPr>
                <w:bCs/>
                <w:sz w:val="20"/>
              </w:rPr>
              <w:t>Murray cod YOY recruits were detected in zones 3 and 4 for first time since 2015-16. Murray cod 1+ recruits were at their highest relative abundance since surveys began, although slower growth rates were observed compared to the previous year.</w:t>
            </w:r>
            <w:r>
              <w:rPr>
                <w:bCs/>
                <w:sz w:val="20"/>
              </w:rPr>
              <w:t xml:space="preserve"> </w:t>
            </w:r>
            <w:r w:rsidRPr="00605A7D">
              <w:rPr>
                <w:bCs/>
                <w:sz w:val="20"/>
              </w:rPr>
              <w:t>Silver perch 1+ recruits were present at a low relative abundance and YOY recruits were not detected.</w:t>
            </w:r>
            <w:r>
              <w:rPr>
                <w:bCs/>
                <w:sz w:val="20"/>
              </w:rPr>
              <w:t xml:space="preserve"> </w:t>
            </w:r>
            <w:r w:rsidRPr="00605A7D">
              <w:rPr>
                <w:bCs/>
                <w:sz w:val="20"/>
              </w:rPr>
              <w:t>No golden perch 1+ or YOY recruits were detected.</w:t>
            </w:r>
          </w:p>
        </w:tc>
      </w:tr>
      <w:tr w:rsidR="0012016B" w:rsidRPr="00477CDF" w14:paraId="5BEC0904" w14:textId="77777777" w:rsidTr="0012016B">
        <w:trPr>
          <w:cantSplit/>
          <w:trHeight w:val="1062"/>
        </w:trPr>
        <w:tc>
          <w:tcPr>
            <w:tcW w:w="751" w:type="dxa"/>
            <w:tcBorders>
              <w:bottom w:val="single" w:sz="12" w:space="0" w:color="000000"/>
            </w:tcBorders>
            <w:shd w:val="clear" w:color="auto" w:fill="31849B" w:themeFill="accent5" w:themeFillShade="BF"/>
            <w:tcMar>
              <w:left w:w="57" w:type="dxa"/>
              <w:right w:w="57" w:type="dxa"/>
            </w:tcMar>
            <w:textDirection w:val="btLr"/>
          </w:tcPr>
          <w:p w14:paraId="5690E1C4" w14:textId="77777777" w:rsidR="0012016B" w:rsidRPr="00635AA0" w:rsidRDefault="0012016B" w:rsidP="0012016B">
            <w:pPr>
              <w:autoSpaceDE w:val="0"/>
              <w:autoSpaceDN w:val="0"/>
              <w:adjustRightInd w:val="0"/>
              <w:spacing w:after="0" w:line="240" w:lineRule="auto"/>
              <w:ind w:left="113" w:right="113"/>
              <w:jc w:val="center"/>
              <w:rPr>
                <w:b/>
                <w:color w:val="FFFFFF" w:themeColor="background1"/>
                <w:sz w:val="18"/>
                <w:szCs w:val="18"/>
              </w:rPr>
            </w:pPr>
            <w:r w:rsidRPr="00635AA0">
              <w:rPr>
                <w:b/>
                <w:color w:val="FFFFFF" w:themeColor="background1"/>
                <w:sz w:val="18"/>
                <w:szCs w:val="18"/>
              </w:rPr>
              <w:t>Fish populations</w:t>
            </w:r>
          </w:p>
        </w:tc>
        <w:tc>
          <w:tcPr>
            <w:tcW w:w="1806" w:type="dxa"/>
            <w:tcBorders>
              <w:bottom w:val="single" w:sz="12" w:space="0" w:color="000000"/>
            </w:tcBorders>
            <w:shd w:val="clear" w:color="auto" w:fill="B6DDE8" w:themeFill="accent5" w:themeFillTint="66"/>
          </w:tcPr>
          <w:p w14:paraId="0F320209" w14:textId="77777777" w:rsidR="0012016B" w:rsidRPr="00477CDF" w:rsidRDefault="0012016B" w:rsidP="0012016B">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Adult fish populations</w:t>
            </w:r>
          </w:p>
        </w:tc>
        <w:tc>
          <w:tcPr>
            <w:tcW w:w="6369" w:type="dxa"/>
            <w:tcBorders>
              <w:bottom w:val="single" w:sz="12" w:space="0" w:color="000000"/>
            </w:tcBorders>
          </w:tcPr>
          <w:p w14:paraId="73761ECD" w14:textId="231ADCFE" w:rsidR="008653E4" w:rsidRPr="00605A7D" w:rsidRDefault="008653E4" w:rsidP="008653E4">
            <w:pPr>
              <w:autoSpaceDE w:val="0"/>
              <w:autoSpaceDN w:val="0"/>
              <w:adjustRightInd w:val="0"/>
              <w:spacing w:after="0" w:line="240" w:lineRule="auto"/>
              <w:jc w:val="left"/>
              <w:rPr>
                <w:bCs/>
                <w:sz w:val="20"/>
              </w:rPr>
            </w:pPr>
            <w:r w:rsidRPr="00605A7D">
              <w:rPr>
                <w:bCs/>
                <w:sz w:val="20"/>
              </w:rPr>
              <w:t xml:space="preserve">Eight native species and two alien fish species were captured during fish community sampling. Both flathead gudgeon and Eastern gambusia were absent, although these were in low and/or variable abundance in previous years. </w:t>
            </w:r>
            <w:r>
              <w:rPr>
                <w:bCs/>
                <w:sz w:val="20"/>
              </w:rPr>
              <w:t xml:space="preserve"> Almost</w:t>
            </w:r>
            <w:r w:rsidRPr="00605A7D">
              <w:rPr>
                <w:bCs/>
                <w:sz w:val="20"/>
              </w:rPr>
              <w:t xml:space="preserve">-no carp recruitment </w:t>
            </w:r>
            <w:r>
              <w:rPr>
                <w:bCs/>
                <w:sz w:val="20"/>
              </w:rPr>
              <w:t>were</w:t>
            </w:r>
            <w:r w:rsidRPr="00605A7D">
              <w:rPr>
                <w:bCs/>
                <w:sz w:val="20"/>
              </w:rPr>
              <w:t xml:space="preserve"> observed in 2020, and the adult population exhibited decreased relative abundance and biomass. </w:t>
            </w:r>
          </w:p>
          <w:p w14:paraId="15888EF1" w14:textId="77777777" w:rsidR="008653E4" w:rsidRPr="00605A7D" w:rsidRDefault="008653E4" w:rsidP="008653E4">
            <w:pPr>
              <w:autoSpaceDE w:val="0"/>
              <w:autoSpaceDN w:val="0"/>
              <w:adjustRightInd w:val="0"/>
              <w:spacing w:after="0" w:line="240" w:lineRule="auto"/>
              <w:jc w:val="left"/>
              <w:rPr>
                <w:bCs/>
                <w:sz w:val="20"/>
              </w:rPr>
            </w:pPr>
            <w:r w:rsidRPr="00605A7D">
              <w:rPr>
                <w:bCs/>
                <w:sz w:val="20"/>
              </w:rPr>
              <w:t xml:space="preserve">The golden perch population continues to exhibit no recruitment, and is predominantly comprised of large adults. The population is ageing but stable. </w:t>
            </w:r>
          </w:p>
          <w:p w14:paraId="0C84C0FB" w14:textId="6A7E8A0E" w:rsidR="0012016B" w:rsidRPr="0012016B" w:rsidRDefault="008653E4" w:rsidP="008653E4">
            <w:pPr>
              <w:autoSpaceDE w:val="0"/>
              <w:autoSpaceDN w:val="0"/>
              <w:adjustRightInd w:val="0"/>
              <w:spacing w:after="0" w:line="240" w:lineRule="auto"/>
              <w:jc w:val="left"/>
              <w:rPr>
                <w:rFonts w:asciiTheme="minorHAnsi" w:hAnsiTheme="minorHAnsi" w:cstheme="minorHAnsi"/>
                <w:sz w:val="20"/>
                <w:highlight w:val="yellow"/>
              </w:rPr>
            </w:pPr>
            <w:r w:rsidRPr="00605A7D">
              <w:rPr>
                <w:bCs/>
                <w:sz w:val="20"/>
              </w:rPr>
              <w:t>Murray cod relative abundance and biomass continue to increase following fish kills in 2016.</w:t>
            </w:r>
            <w:r>
              <w:rPr>
                <w:bCs/>
                <w:sz w:val="20"/>
              </w:rPr>
              <w:t xml:space="preserve"> </w:t>
            </w:r>
            <w:r w:rsidRPr="00605A7D">
              <w:rPr>
                <w:bCs/>
                <w:sz w:val="20"/>
              </w:rPr>
              <w:t>Bony herring were present at the highest relative abundance observed in the program, reflecting a strong spawning and recruitment year.</w:t>
            </w:r>
            <w:r>
              <w:rPr>
                <w:bCs/>
                <w:sz w:val="20"/>
              </w:rPr>
              <w:t xml:space="preserve"> </w:t>
            </w:r>
            <w:r w:rsidRPr="00605A7D">
              <w:rPr>
                <w:bCs/>
                <w:sz w:val="20"/>
              </w:rPr>
              <w:t>Typical annual fluctuations were observed in small bodied generalist species</w:t>
            </w:r>
          </w:p>
        </w:tc>
      </w:tr>
    </w:tbl>
    <w:p w14:paraId="02BD9A87" w14:textId="77777777" w:rsidR="00D70F5D" w:rsidRDefault="00D70F5D" w:rsidP="0012016B">
      <w:pPr>
        <w:tabs>
          <w:tab w:val="left" w:pos="9071"/>
        </w:tabs>
        <w:spacing w:after="120" w:line="320" w:lineRule="exact"/>
        <w:jc w:val="left"/>
        <w:rPr>
          <w:b/>
          <w:color w:val="31849B" w:themeColor="accent5" w:themeShade="BF"/>
          <w:sz w:val="28"/>
          <w:szCs w:val="28"/>
        </w:rPr>
      </w:pPr>
    </w:p>
    <w:p w14:paraId="7A3D41DC" w14:textId="14591EC4" w:rsidR="003C07B0" w:rsidRPr="00735969" w:rsidRDefault="001A1BA8" w:rsidP="00C373D5">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O</w:t>
      </w:r>
      <w:r w:rsidR="00C373D5">
        <w:rPr>
          <w:b/>
          <w:color w:val="31849B" w:themeColor="accent5" w:themeShade="BF"/>
          <w:sz w:val="28"/>
          <w:szCs w:val="28"/>
        </w:rPr>
        <w:t>utcomes</w:t>
      </w:r>
      <w:r>
        <w:rPr>
          <w:b/>
          <w:color w:val="31849B" w:themeColor="accent5" w:themeShade="BF"/>
          <w:sz w:val="28"/>
          <w:szCs w:val="28"/>
        </w:rPr>
        <w:t xml:space="preserve"> of research projects</w:t>
      </w:r>
    </w:p>
    <w:p w14:paraId="3958A474" w14:textId="44B0EC76" w:rsidR="00F7137E" w:rsidRDefault="00F7137E" w:rsidP="00EA144F">
      <w:pPr>
        <w:spacing w:after="120" w:line="320" w:lineRule="exact"/>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t>Edward/Kolety River physical habitat</w:t>
      </w:r>
    </w:p>
    <w:p w14:paraId="0B171F6F" w14:textId="3EBD2068" w:rsidR="00F7137E" w:rsidRDefault="00EA144F" w:rsidP="001A1BA8">
      <w:pPr>
        <w:pStyle w:val="SNormalText"/>
        <w:spacing w:after="120" w:line="320" w:lineRule="exact"/>
        <w:ind w:right="-284"/>
      </w:pPr>
      <w:r>
        <w:t>W</w:t>
      </w:r>
      <w:r w:rsidR="00F7137E">
        <w:t>e</w:t>
      </w:r>
      <w:r w:rsidR="00F7137E" w:rsidRPr="00185CBB">
        <w:t xml:space="preserve"> </w:t>
      </w:r>
      <w:r w:rsidR="00F7137E">
        <w:t xml:space="preserve">investigated </w:t>
      </w:r>
      <w:r w:rsidR="00F7137E" w:rsidRPr="00185CBB">
        <w:t>the impacts of f</w:t>
      </w:r>
      <w:r w:rsidR="00F7137E">
        <w:t xml:space="preserve">low events on physical habitat on the riverbank in two </w:t>
      </w:r>
      <w:r w:rsidR="00F7137E" w:rsidRPr="00185CBB">
        <w:t xml:space="preserve">reaches </w:t>
      </w:r>
      <w:r w:rsidR="00F7137E">
        <w:t>of</w:t>
      </w:r>
      <w:r w:rsidR="00F7137E" w:rsidRPr="00185CBB">
        <w:t xml:space="preserve"> the Edward</w:t>
      </w:r>
      <w:r w:rsidR="00F7137E">
        <w:t>/Kolety</w:t>
      </w:r>
      <w:r w:rsidR="00F7137E" w:rsidRPr="00185CBB">
        <w:t xml:space="preserve"> River and </w:t>
      </w:r>
      <w:r w:rsidR="00F7137E">
        <w:t xml:space="preserve">one reach in </w:t>
      </w:r>
      <w:r w:rsidR="00F7137E" w:rsidRPr="00185CBB">
        <w:t xml:space="preserve">Colligen Creek. Unmanned Aerial Vehicle (UAV) technology </w:t>
      </w:r>
      <w:r w:rsidR="00F7137E">
        <w:t>was</w:t>
      </w:r>
      <w:r w:rsidR="00F7137E" w:rsidRPr="00185CBB">
        <w:t xml:space="preserve"> used to capture high resolution aerial imagery to process with photogrammetry methods to produce</w:t>
      </w:r>
      <w:r w:rsidR="001A1BA8">
        <w:t xml:space="preserve">; </w:t>
      </w:r>
      <w:r w:rsidR="00F7137E" w:rsidRPr="00185CBB">
        <w:t>Detailed digital elevation models (DEMs), DEMs of Difference (DEMODs) and qua</w:t>
      </w:r>
      <w:r w:rsidR="00F7137E">
        <w:t>ntifying bank condition changes</w:t>
      </w:r>
      <w:r w:rsidR="001A1BA8">
        <w:t>, and r</w:t>
      </w:r>
      <w:r w:rsidR="00F7137E" w:rsidRPr="00185CBB">
        <w:t xml:space="preserve">iparian vegetation maps displaying spatial and temporal differences associated with flow events, quantification of the percentage loss of riparian vegetation, and </w:t>
      </w:r>
      <w:r w:rsidR="00F7137E">
        <w:t>identify</w:t>
      </w:r>
      <w:r w:rsidR="00F7137E" w:rsidRPr="00185CBB">
        <w:t xml:space="preserve"> areas of most/least impact.</w:t>
      </w:r>
    </w:p>
    <w:p w14:paraId="111D89D1" w14:textId="77777777" w:rsidR="00F7137E" w:rsidRDefault="00F7137E" w:rsidP="001A1BA8">
      <w:pPr>
        <w:spacing w:after="0" w:line="320" w:lineRule="exact"/>
        <w:ind w:right="-284"/>
        <w:jc w:val="left"/>
      </w:pPr>
      <w:r>
        <w:t>Questions addressed were:</w:t>
      </w:r>
    </w:p>
    <w:p w14:paraId="353CDC03" w14:textId="77777777" w:rsidR="00F7137E" w:rsidRPr="00DD77E6" w:rsidRDefault="00F7137E" w:rsidP="0040642F">
      <w:pPr>
        <w:pStyle w:val="SNormalText"/>
        <w:numPr>
          <w:ilvl w:val="0"/>
          <w:numId w:val="41"/>
        </w:numPr>
        <w:spacing w:line="320" w:lineRule="exact"/>
        <w:ind w:left="357" w:right="-567" w:hanging="357"/>
        <w:rPr>
          <w:iCs/>
        </w:rPr>
      </w:pPr>
      <w:r w:rsidRPr="00DD77E6">
        <w:rPr>
          <w:iCs/>
        </w:rPr>
        <w:t>What are the features of the flow regime and river operations that drive erosion and deposition?</w:t>
      </w:r>
    </w:p>
    <w:p w14:paraId="7AD124B2" w14:textId="77777777" w:rsidR="00F7137E" w:rsidRPr="00DD77E6" w:rsidRDefault="00F7137E" w:rsidP="0040642F">
      <w:pPr>
        <w:pStyle w:val="SNormalText"/>
        <w:numPr>
          <w:ilvl w:val="0"/>
          <w:numId w:val="41"/>
        </w:numPr>
        <w:spacing w:after="120" w:line="320" w:lineRule="exact"/>
        <w:ind w:right="-426"/>
      </w:pPr>
      <w:r w:rsidRPr="00DD77E6">
        <w:rPr>
          <w:iCs/>
        </w:rPr>
        <w:t>What are the features of flow regime and river operations that affect riverbank vegetation and aquatic vegetation cover?</w:t>
      </w:r>
      <w:r w:rsidRPr="00DD77E6">
        <w:t xml:space="preserve"> </w:t>
      </w:r>
    </w:p>
    <w:p w14:paraId="4479B70D" w14:textId="77777777" w:rsidR="00F7137E" w:rsidRPr="00DD77E6" w:rsidRDefault="00F7137E" w:rsidP="001A1BA8">
      <w:pPr>
        <w:pStyle w:val="SNormalText"/>
        <w:spacing w:after="120" w:line="259" w:lineRule="auto"/>
        <w:ind w:right="-425"/>
      </w:pPr>
      <w:r w:rsidRPr="00DD77E6">
        <w:t xml:space="preserve">Operational flows that produce prolonged invariable periods of inundation to riverbanks within a defined </w:t>
      </w:r>
      <w:r>
        <w:t xml:space="preserve">zone of the river </w:t>
      </w:r>
      <w:r w:rsidRPr="00DD77E6">
        <w:t xml:space="preserve">bank appear to be the main driver of notching on riverbanks in the Edward/Kolety River downstream of Stevens Weir. The position of the notch relative to the water level of </w:t>
      </w:r>
      <w:r>
        <w:t xml:space="preserve">subsequent </w:t>
      </w:r>
      <w:r w:rsidRPr="00DD77E6">
        <w:t>flow delivery was a critical variable which implicated the scale and pattern of the erosion response.</w:t>
      </w:r>
      <w:r>
        <w:t xml:space="preserve"> </w:t>
      </w:r>
      <w:r w:rsidRPr="00DD77E6">
        <w:t xml:space="preserve">Commonwealth environmental water (CEW), operational flows and unregulated flows </w:t>
      </w:r>
      <w:r>
        <w:t>that</w:t>
      </w:r>
      <w:r w:rsidRPr="00DD77E6">
        <w:t xml:space="preserve"> result in periods of inundation of the </w:t>
      </w:r>
      <w:r>
        <w:t>river</w:t>
      </w:r>
      <w:r w:rsidRPr="00DD77E6">
        <w:t>bank above the notch, can result in large quantities of unstable sediment</w:t>
      </w:r>
      <w:r>
        <w:t xml:space="preserve"> </w:t>
      </w:r>
      <w:r w:rsidRPr="00DD77E6">
        <w:t>and upon draw-down. It is the combination of the following processes in sequence that are the driving force behind extensive areas of channel widening res</w:t>
      </w:r>
      <w:r>
        <w:t xml:space="preserve">ulting from mass-failure events; </w:t>
      </w:r>
      <w:r w:rsidRPr="00DD77E6">
        <w:t xml:space="preserve">a) </w:t>
      </w:r>
      <w:r w:rsidRPr="00DD77E6">
        <w:rPr>
          <w:i/>
          <w:iCs/>
        </w:rPr>
        <w:t>Summer operational flows:</w:t>
      </w:r>
      <w:r w:rsidRPr="00DD77E6">
        <w:t xml:space="preserve"> create a deep notch and drying of the upper bank</w:t>
      </w:r>
      <w:r>
        <w:t xml:space="preserve">, and </w:t>
      </w:r>
      <w:r w:rsidRPr="00DD77E6">
        <w:t xml:space="preserve">b) </w:t>
      </w:r>
      <w:r w:rsidRPr="00DD77E6">
        <w:rPr>
          <w:i/>
          <w:iCs/>
        </w:rPr>
        <w:t>Environmental or unregulated flows:</w:t>
      </w:r>
      <w:r w:rsidRPr="00DD77E6">
        <w:t xml:space="preserve"> saturation of upper bank and drawdown of the water level.</w:t>
      </w:r>
    </w:p>
    <w:p w14:paraId="0C704744" w14:textId="445094F4" w:rsidR="00F7137E" w:rsidRPr="00DD77E6" w:rsidRDefault="001A1BA8" w:rsidP="001A1BA8">
      <w:pPr>
        <w:spacing w:after="120" w:line="259" w:lineRule="auto"/>
        <w:ind w:right="-425"/>
        <w:jc w:val="left"/>
        <w:rPr>
          <w:szCs w:val="22"/>
        </w:rPr>
      </w:pPr>
      <w:r>
        <w:rPr>
          <w:szCs w:val="22"/>
        </w:rPr>
        <w:t>T</w:t>
      </w:r>
      <w:r w:rsidR="00F7137E" w:rsidRPr="00DD77E6">
        <w:rPr>
          <w:szCs w:val="22"/>
        </w:rPr>
        <w:t>he influence of CEW actions or unregulated flows on bank condition cannot be measured in isolation. Preparation of the bank during operational flows play</w:t>
      </w:r>
      <w:r w:rsidR="00F7137E">
        <w:t>s</w:t>
      </w:r>
      <w:r w:rsidR="00F7137E" w:rsidRPr="00DD77E6">
        <w:rPr>
          <w:szCs w:val="22"/>
        </w:rPr>
        <w:t xml:space="preserve"> a critical role in driving erosion events throughout the entire year and in years following. The erosion volumes at the Edward/Kolety River site downstream of Stevens Weir are linked to the historic pattern of operational flows. </w:t>
      </w:r>
    </w:p>
    <w:p w14:paraId="7A28655F" w14:textId="12EDA5C7" w:rsidR="00F7137E" w:rsidRPr="00DD77E6" w:rsidRDefault="00F7137E" w:rsidP="001A1BA8">
      <w:pPr>
        <w:pStyle w:val="SNormalText"/>
        <w:spacing w:after="120" w:line="259" w:lineRule="auto"/>
        <w:ind w:right="-425"/>
      </w:pPr>
      <w:r w:rsidRPr="00DD77E6">
        <w:t>Flows which resulted in the most deposition relative to erosion were unregulated flows during the winter months. This was due to the fo</w:t>
      </w:r>
      <w:r>
        <w:t xml:space="preserve">llowing combination of factors; </w:t>
      </w:r>
      <w:r w:rsidRPr="00DD77E6">
        <w:t>a) the source of the water delivered during this period (high tributary %), b) the range of these flows (between 500 - 3,000 ML/day), and c) the lack of erosion evident in response to these events.</w:t>
      </w:r>
      <w:r>
        <w:t xml:space="preserve"> </w:t>
      </w:r>
      <w:r w:rsidRPr="00DD77E6">
        <w:t>CEW actions that are delivered with a gradual draw-down of the receding limb are likely to result in less erosion due to mass-failure events, and higher levels of deposition as a result of mud-draping. However, this will have a limited impact if summer operational flows are not re-designed.</w:t>
      </w:r>
    </w:p>
    <w:p w14:paraId="7AC5E099" w14:textId="626F2EA1" w:rsidR="00F7137E" w:rsidRDefault="00F7137E" w:rsidP="001A1BA8">
      <w:pPr>
        <w:spacing w:after="120" w:line="259" w:lineRule="auto"/>
        <w:ind w:right="-425"/>
        <w:jc w:val="left"/>
        <w:rPr>
          <w:szCs w:val="22"/>
        </w:rPr>
      </w:pPr>
      <w:r w:rsidRPr="00DD77E6">
        <w:rPr>
          <w:szCs w:val="22"/>
        </w:rPr>
        <w:t xml:space="preserve">Prolonged inundation (+30 days) during spring appeared to </w:t>
      </w:r>
      <w:r>
        <w:rPr>
          <w:szCs w:val="22"/>
        </w:rPr>
        <w:t>reduce</w:t>
      </w:r>
      <w:r w:rsidRPr="00DD77E6">
        <w:rPr>
          <w:szCs w:val="22"/>
        </w:rPr>
        <w:t xml:space="preserve"> riparian vegetation cover above the bank zone relating to 3,000 ML/day in the Edward/Kolety River downstream of Stevens Weir. This was evident in Colligen Creek and the Edward/Kolety River, however some of this vegetation grew back over the summer and autumn months, highlighting the ability of vegetation to recolonise under favourable conditions. </w:t>
      </w:r>
    </w:p>
    <w:p w14:paraId="14464DCA" w14:textId="3496EBAB" w:rsidR="00F7137E" w:rsidRPr="00185CBB" w:rsidRDefault="00F7137E" w:rsidP="001A1BA8">
      <w:pPr>
        <w:spacing w:after="120" w:line="259" w:lineRule="auto"/>
        <w:ind w:right="-425"/>
        <w:jc w:val="left"/>
        <w:rPr>
          <w:rFonts w:asciiTheme="minorHAnsi" w:hAnsiTheme="minorHAnsi" w:cstheme="minorHAnsi"/>
        </w:rPr>
      </w:pPr>
      <w:r>
        <w:rPr>
          <w:rFonts w:asciiTheme="minorHAnsi" w:hAnsiTheme="minorHAnsi" w:cstheme="minorHAnsi"/>
        </w:rPr>
        <w:t>T</w:t>
      </w:r>
      <w:r w:rsidRPr="00185CBB">
        <w:rPr>
          <w:rFonts w:asciiTheme="minorHAnsi" w:hAnsiTheme="minorHAnsi" w:cstheme="minorHAnsi"/>
        </w:rPr>
        <w:t xml:space="preserve">his </w:t>
      </w:r>
      <w:r>
        <w:rPr>
          <w:rFonts w:asciiTheme="minorHAnsi" w:hAnsiTheme="minorHAnsi" w:cstheme="minorHAnsi"/>
        </w:rPr>
        <w:t>study</w:t>
      </w:r>
      <w:r w:rsidRPr="00185CBB">
        <w:rPr>
          <w:rFonts w:asciiTheme="minorHAnsi" w:hAnsiTheme="minorHAnsi" w:cstheme="minorHAnsi"/>
        </w:rPr>
        <w:t xml:space="preserve"> highlights the important role that historic flow patterns play on influencing future erosion events. In systems like the Edward/Kolety-Wakool, where historic flow patterns have led to excessive notching within channels, bank responses to flow events cannot be looked at in isolation. </w:t>
      </w:r>
      <w:r>
        <w:rPr>
          <w:rFonts w:asciiTheme="minorHAnsi" w:hAnsiTheme="minorHAnsi" w:cstheme="minorHAnsi"/>
        </w:rPr>
        <w:t>Thus</w:t>
      </w:r>
      <w:r w:rsidRPr="00185CBB">
        <w:rPr>
          <w:rFonts w:asciiTheme="minorHAnsi" w:hAnsiTheme="minorHAnsi" w:cstheme="minorHAnsi"/>
        </w:rPr>
        <w:t xml:space="preserve">, to </w:t>
      </w:r>
      <w:r>
        <w:rPr>
          <w:rFonts w:asciiTheme="minorHAnsi" w:hAnsiTheme="minorHAnsi" w:cstheme="minorHAnsi"/>
        </w:rPr>
        <w:t>be able to correctly assess the outcome of</w:t>
      </w:r>
      <w:r w:rsidRPr="00185CBB">
        <w:rPr>
          <w:rFonts w:asciiTheme="minorHAnsi" w:hAnsiTheme="minorHAnsi" w:cstheme="minorHAnsi"/>
        </w:rPr>
        <w:t xml:space="preserve"> CEW</w:t>
      </w:r>
      <w:r>
        <w:rPr>
          <w:rFonts w:asciiTheme="minorHAnsi" w:hAnsiTheme="minorHAnsi" w:cstheme="minorHAnsi"/>
        </w:rPr>
        <w:t xml:space="preserve"> on riverbanks</w:t>
      </w:r>
      <w:r w:rsidRPr="00185CBB">
        <w:rPr>
          <w:rFonts w:asciiTheme="minorHAnsi" w:hAnsiTheme="minorHAnsi" w:cstheme="minorHAnsi"/>
        </w:rPr>
        <w:t xml:space="preserve">, the </w:t>
      </w:r>
      <w:r>
        <w:rPr>
          <w:rFonts w:asciiTheme="minorHAnsi" w:hAnsiTheme="minorHAnsi" w:cstheme="minorHAnsi"/>
        </w:rPr>
        <w:t>impacts of operational flow</w:t>
      </w:r>
      <w:r w:rsidRPr="00185CBB">
        <w:rPr>
          <w:rFonts w:asciiTheme="minorHAnsi" w:hAnsiTheme="minorHAnsi" w:cstheme="minorHAnsi"/>
        </w:rPr>
        <w:t xml:space="preserve"> strategies must be considered and addressed. </w:t>
      </w:r>
      <w:r w:rsidRPr="00DD77E6">
        <w:rPr>
          <w:szCs w:val="22"/>
        </w:rPr>
        <w:t>If the management of operational flows does not change, then the potential benefits to bank condition as a result of CEW actions-will not materialise.</w:t>
      </w:r>
      <w:r>
        <w:rPr>
          <w:szCs w:val="22"/>
        </w:rPr>
        <w:t xml:space="preserve"> </w:t>
      </w:r>
      <w:r w:rsidRPr="00185CBB">
        <w:rPr>
          <w:rFonts w:asciiTheme="minorHAnsi" w:hAnsiTheme="minorHAnsi" w:cstheme="minorHAnsi"/>
        </w:rPr>
        <w:t>If this is not possible</w:t>
      </w:r>
      <w:r>
        <w:rPr>
          <w:rFonts w:asciiTheme="minorHAnsi" w:hAnsiTheme="minorHAnsi" w:cstheme="minorHAnsi"/>
        </w:rPr>
        <w:t xml:space="preserve"> to change operational flow delivery</w:t>
      </w:r>
      <w:r w:rsidRPr="00185CBB">
        <w:rPr>
          <w:rFonts w:asciiTheme="minorHAnsi" w:hAnsiTheme="minorHAnsi" w:cstheme="minorHAnsi"/>
        </w:rPr>
        <w:t xml:space="preserve"> then environmental flow deliveries need to be designed with the position of the existing notch considered and with close</w:t>
      </w:r>
      <w:r>
        <w:rPr>
          <w:rFonts w:asciiTheme="minorHAnsi" w:hAnsiTheme="minorHAnsi" w:cstheme="minorHAnsi"/>
        </w:rPr>
        <w:t xml:space="preserve"> attention to the rate of fall </w:t>
      </w:r>
      <w:r w:rsidRPr="00185CBB">
        <w:rPr>
          <w:rFonts w:asciiTheme="minorHAnsi" w:hAnsiTheme="minorHAnsi" w:cstheme="minorHAnsi"/>
        </w:rPr>
        <w:t>to minimise r</w:t>
      </w:r>
      <w:r>
        <w:rPr>
          <w:rFonts w:asciiTheme="minorHAnsi" w:hAnsiTheme="minorHAnsi" w:cstheme="minorHAnsi"/>
        </w:rPr>
        <w:t>esponding mass-failure events.</w:t>
      </w:r>
    </w:p>
    <w:p w14:paraId="1A472D51" w14:textId="65ADC0F6" w:rsidR="00C373D5" w:rsidRDefault="00C373D5" w:rsidP="00C373D5">
      <w:pPr>
        <w:spacing w:after="240" w:line="320" w:lineRule="exact"/>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t>Edward/Kolety River primary productivity research</w:t>
      </w:r>
    </w:p>
    <w:p w14:paraId="391FFB2A" w14:textId="7DAB4FC1" w:rsidR="00C373D5" w:rsidRPr="00DF3837" w:rsidRDefault="00C373D5" w:rsidP="00C373D5">
      <w:pPr>
        <w:spacing w:after="120" w:line="259" w:lineRule="auto"/>
        <w:jc w:val="left"/>
        <w:rPr>
          <w:bCs/>
          <w:szCs w:val="22"/>
        </w:rPr>
      </w:pPr>
      <w:r>
        <w:rPr>
          <w:bCs/>
          <w:szCs w:val="22"/>
        </w:rPr>
        <w:t>The</w:t>
      </w:r>
      <w:r w:rsidRPr="00DF3837">
        <w:rPr>
          <w:bCs/>
          <w:szCs w:val="22"/>
        </w:rPr>
        <w:t xml:space="preserve"> stream metabolism monitoring for LTIM/MER project </w:t>
      </w:r>
      <w:r>
        <w:rPr>
          <w:bCs/>
          <w:szCs w:val="22"/>
        </w:rPr>
        <w:t xml:space="preserve">to date </w:t>
      </w:r>
      <w:r w:rsidRPr="00DF3837">
        <w:rPr>
          <w:bCs/>
          <w:szCs w:val="22"/>
        </w:rPr>
        <w:t xml:space="preserve">has focussed on in-channel flow in the Wakool-Yallakool system. The aim of this </w:t>
      </w:r>
      <w:r w:rsidR="00750789">
        <w:rPr>
          <w:bCs/>
          <w:szCs w:val="22"/>
        </w:rPr>
        <w:t xml:space="preserve">new </w:t>
      </w:r>
      <w:r w:rsidRPr="00DF3837">
        <w:rPr>
          <w:bCs/>
          <w:szCs w:val="22"/>
        </w:rPr>
        <w:t>research was to advance understanding of Gross Primary Production (GPP) and Ecosystem Respiration (ER) in the Edward/Kolety River downstream of Stevens Weir, due to potential for flows to inundate parts of Werai Forest, connecting low-lying floodplains, anabranches and floodplain wetlands and runners that sometimes return discharge back into the river.</w:t>
      </w:r>
      <w:r>
        <w:rPr>
          <w:bCs/>
          <w:szCs w:val="22"/>
        </w:rPr>
        <w:t xml:space="preserve"> The main research question was ‘How does variation in the flow regime downstream of Steven’s Weir drive changes in rates of GPP, ER and </w:t>
      </w:r>
      <w:r w:rsidRPr="007F563D">
        <w:rPr>
          <w:rFonts w:eastAsiaTheme="minorHAnsi" w:cs="Calibri"/>
          <w:color w:val="000000"/>
          <w:szCs w:val="22"/>
        </w:rPr>
        <w:t>net ecosystem producti</w:t>
      </w:r>
      <w:r>
        <w:rPr>
          <w:rFonts w:eastAsiaTheme="minorHAnsi" w:cs="Calibri"/>
          <w:color w:val="000000"/>
          <w:szCs w:val="22"/>
        </w:rPr>
        <w:t>on (NEP,</w:t>
      </w:r>
      <w:r w:rsidRPr="007F563D">
        <w:rPr>
          <w:rFonts w:eastAsiaTheme="minorHAnsi" w:cs="Calibri"/>
          <w:color w:val="000000"/>
          <w:szCs w:val="22"/>
        </w:rPr>
        <w:t xml:space="preserve"> GPP – ER) in the </w:t>
      </w:r>
      <w:r>
        <w:t xml:space="preserve">Edward/Kolety </w:t>
      </w:r>
      <w:r w:rsidRPr="007F563D">
        <w:rPr>
          <w:rFonts w:eastAsiaTheme="minorHAnsi" w:cs="Calibri"/>
          <w:color w:val="000000"/>
          <w:szCs w:val="22"/>
        </w:rPr>
        <w:t>River</w:t>
      </w:r>
      <w:r>
        <w:rPr>
          <w:bCs/>
          <w:szCs w:val="22"/>
        </w:rPr>
        <w:t>?’.</w:t>
      </w:r>
    </w:p>
    <w:p w14:paraId="1AF34E8E" w14:textId="1E0DDE51" w:rsidR="00C373D5" w:rsidRDefault="000426DB" w:rsidP="00C373D5">
      <w:pPr>
        <w:spacing w:after="120" w:line="259" w:lineRule="auto"/>
        <w:jc w:val="left"/>
        <w:rPr>
          <w:rFonts w:asciiTheme="minorHAnsi" w:hAnsiTheme="minorHAnsi"/>
          <w:bCs/>
          <w:iCs/>
          <w:szCs w:val="22"/>
        </w:rPr>
      </w:pPr>
      <w:r>
        <w:rPr>
          <w:bCs/>
          <w:szCs w:val="22"/>
        </w:rPr>
        <w:t>GPP, ER and NEP</w:t>
      </w:r>
      <w:r w:rsidR="00C373D5" w:rsidRPr="00DF3837">
        <w:rPr>
          <w:bCs/>
          <w:szCs w:val="22"/>
        </w:rPr>
        <w:t xml:space="preserve"> </w:t>
      </w:r>
      <w:r>
        <w:rPr>
          <w:bCs/>
          <w:szCs w:val="22"/>
        </w:rPr>
        <w:t>were</w:t>
      </w:r>
      <w:r w:rsidR="00C373D5">
        <w:rPr>
          <w:bCs/>
          <w:szCs w:val="22"/>
        </w:rPr>
        <w:t xml:space="preserve"> calculated </w:t>
      </w:r>
      <w:r w:rsidR="001A1BA8">
        <w:rPr>
          <w:bCs/>
          <w:szCs w:val="22"/>
        </w:rPr>
        <w:t xml:space="preserve">for </w:t>
      </w:r>
      <w:r w:rsidR="00C373D5" w:rsidRPr="00DF3837">
        <w:rPr>
          <w:bCs/>
          <w:szCs w:val="22"/>
        </w:rPr>
        <w:t xml:space="preserve">one </w:t>
      </w:r>
      <w:r w:rsidR="001A1BA8">
        <w:rPr>
          <w:bCs/>
          <w:szCs w:val="22"/>
        </w:rPr>
        <w:t xml:space="preserve">site </w:t>
      </w:r>
      <w:r w:rsidR="00C373D5" w:rsidRPr="00DF3837">
        <w:rPr>
          <w:bCs/>
          <w:szCs w:val="22"/>
        </w:rPr>
        <w:t xml:space="preserve">upstream of Werai Forest and one </w:t>
      </w:r>
      <w:r w:rsidR="001A1BA8">
        <w:rPr>
          <w:bCs/>
          <w:szCs w:val="22"/>
        </w:rPr>
        <w:t>site downstream of the forest</w:t>
      </w:r>
      <w:r w:rsidR="00C373D5" w:rsidRPr="00DF3837">
        <w:rPr>
          <w:bCs/>
          <w:szCs w:val="22"/>
        </w:rPr>
        <w:t>. The downstream</w:t>
      </w:r>
      <w:r w:rsidR="00C373D5">
        <w:rPr>
          <w:rFonts w:asciiTheme="minorHAnsi" w:hAnsiTheme="minorHAnsi"/>
          <w:bCs/>
          <w:iCs/>
          <w:szCs w:val="22"/>
        </w:rPr>
        <w:t xml:space="preserve"> site integrates a reach of the </w:t>
      </w:r>
      <w:r w:rsidR="00C373D5">
        <w:t xml:space="preserve">Edward/Kolety </w:t>
      </w:r>
      <w:r w:rsidR="00C373D5">
        <w:rPr>
          <w:rFonts w:asciiTheme="minorHAnsi" w:hAnsiTheme="minorHAnsi"/>
          <w:bCs/>
          <w:iCs/>
          <w:szCs w:val="22"/>
        </w:rPr>
        <w:t>River bordering Werai Forest as well as outflows from Werai Forest. Unfortunately t</w:t>
      </w:r>
      <w:r w:rsidR="00C373D5" w:rsidRPr="00814787">
        <w:rPr>
          <w:bCs/>
          <w:szCs w:val="22"/>
        </w:rPr>
        <w:t xml:space="preserve">here was not enough </w:t>
      </w:r>
      <w:r w:rsidR="00C373D5">
        <w:rPr>
          <w:bCs/>
          <w:szCs w:val="22"/>
        </w:rPr>
        <w:t>useable</w:t>
      </w:r>
      <w:r w:rsidR="00C373D5" w:rsidRPr="00814787">
        <w:rPr>
          <w:bCs/>
          <w:szCs w:val="22"/>
        </w:rPr>
        <w:t xml:space="preserve"> data in 2019-20 </w:t>
      </w:r>
      <w:r w:rsidR="00C373D5">
        <w:rPr>
          <w:bCs/>
          <w:szCs w:val="22"/>
        </w:rPr>
        <w:t xml:space="preserve">to answer the research question. </w:t>
      </w:r>
      <w:r w:rsidR="006C1292">
        <w:rPr>
          <w:bCs/>
          <w:szCs w:val="22"/>
        </w:rPr>
        <w:t>However, t</w:t>
      </w:r>
      <w:r w:rsidR="00C373D5">
        <w:rPr>
          <w:bCs/>
          <w:szCs w:val="22"/>
        </w:rPr>
        <w:t xml:space="preserve">he most notable trends in the available data were a greater occurrence of high GPP and ER events downstream of Steven’s Weir when compared with the site downstream of Werai Forest, and a seasonal progression from higher to lower GPP/ER ratios from summer to winter 2020. There was little correlation between other potential indicators of inundation within </w:t>
      </w:r>
      <w:r>
        <w:rPr>
          <w:bCs/>
          <w:szCs w:val="22"/>
        </w:rPr>
        <w:t>the f</w:t>
      </w:r>
      <w:r w:rsidR="00C373D5">
        <w:rPr>
          <w:bCs/>
          <w:szCs w:val="22"/>
        </w:rPr>
        <w:t>orest (% inundation, daily rainfall) and changes in GPP or ER rates.</w:t>
      </w:r>
    </w:p>
    <w:p w14:paraId="03195E54" w14:textId="30F9B3D4" w:rsidR="00C373D5" w:rsidRDefault="00C373D5" w:rsidP="00C373D5">
      <w:pPr>
        <w:spacing w:after="120" w:line="259" w:lineRule="auto"/>
        <w:jc w:val="left"/>
        <w:rPr>
          <w:bCs/>
          <w:szCs w:val="22"/>
        </w:rPr>
      </w:pPr>
      <w:r>
        <w:rPr>
          <w:bCs/>
          <w:szCs w:val="22"/>
        </w:rPr>
        <w:t xml:space="preserve">Examination of Sentinel satellite imagery suggests that low-lying areas prone to inundation are more likely to occur in the centre of Werai Forest than along the </w:t>
      </w:r>
      <w:r>
        <w:t>Edward/Kolety River</w:t>
      </w:r>
      <w:r>
        <w:rPr>
          <w:bCs/>
          <w:szCs w:val="22"/>
        </w:rPr>
        <w:t>. These inundated floodplain wetlands within Werai Forest are likely to act as a strong “sink” for nutrients and carbon (i.e. retained within the system and either incorporated into organism biomass or deposited) rather than exported downstream to support in-channel respiration. Thus, much of the carbon cycled during inundation of the forest may be both produced and consumed within shallow, slow-flowing anabranches and inundated floodplains, and may not be reflected in oxygen cycles within the river.</w:t>
      </w:r>
    </w:p>
    <w:p w14:paraId="7F2D3915" w14:textId="39A23C1E" w:rsidR="00C373D5" w:rsidRPr="008F354A" w:rsidRDefault="00C373D5" w:rsidP="00C373D5">
      <w:pPr>
        <w:spacing w:after="120" w:line="259" w:lineRule="auto"/>
        <w:jc w:val="left"/>
        <w:rPr>
          <w:rFonts w:cstheme="minorHAnsi"/>
        </w:rPr>
      </w:pPr>
      <w:r>
        <w:rPr>
          <w:bCs/>
          <w:szCs w:val="22"/>
        </w:rPr>
        <w:t xml:space="preserve">A more comprehensive understanding of how inundation events from anabranch and connection flows influences whole-river metabolism will require monitoring of several sites within Werai Forest. </w:t>
      </w:r>
      <w:r>
        <w:t xml:space="preserve">We recommend that a campaign/intervention monitoring type of study be undertaken during a flow event &gt;2700 ML/day that inundates low lying parts of Werai forest and is likely to return flows to Colligen Creek or the Edward/Kolety River. The evaluation of primary productivity associated with the event would be enhanced by the installation of temporary gauges to collect data on the inflows to the forest. Analysis of Sentinel images would also quantify extent of inundation within Werai Forest. </w:t>
      </w:r>
      <w:r w:rsidRPr="008F354A">
        <w:rPr>
          <w:rFonts w:cstheme="minorHAnsi"/>
        </w:rPr>
        <w:t>This research is focussed on the Werai Forest, and the lessons learned from this project may be transferrable to other low lying forested areas within the Edward/Kolety-Wakool system, such as Koondrook Perricoota Forest.</w:t>
      </w:r>
    </w:p>
    <w:p w14:paraId="02FE825B" w14:textId="77777777" w:rsidR="00735969" w:rsidRPr="00735969" w:rsidRDefault="00735969" w:rsidP="00735969">
      <w:pPr>
        <w:spacing w:after="240" w:line="320" w:lineRule="exact"/>
        <w:jc w:val="left"/>
        <w:rPr>
          <w:rFonts w:asciiTheme="minorHAnsi" w:eastAsia="Times New Roman" w:hAnsiTheme="minorHAnsi"/>
          <w:b/>
          <w:i/>
          <w:color w:val="31849B"/>
          <w:szCs w:val="22"/>
          <w:lang w:eastAsia="en-AU"/>
        </w:rPr>
      </w:pPr>
      <w:r w:rsidRPr="00735969">
        <w:rPr>
          <w:rFonts w:asciiTheme="minorHAnsi" w:eastAsia="Times New Roman" w:hAnsiTheme="minorHAnsi"/>
          <w:b/>
          <w:i/>
          <w:color w:val="31849B"/>
          <w:szCs w:val="22"/>
          <w:lang w:eastAsia="en-AU"/>
        </w:rPr>
        <w:t>Fish spawning in the Edward/Kolety River</w:t>
      </w:r>
    </w:p>
    <w:p w14:paraId="78DB903B" w14:textId="7DD147CA" w:rsidR="00735969" w:rsidRDefault="00735969" w:rsidP="0069051C">
      <w:pPr>
        <w:spacing w:after="120" w:line="259" w:lineRule="auto"/>
        <w:ind w:right="-426"/>
        <w:jc w:val="left"/>
        <w:rPr>
          <w:rFonts w:cstheme="minorHAnsi"/>
        </w:rPr>
      </w:pPr>
      <w:r>
        <w:rPr>
          <w:rFonts w:cstheme="minorHAnsi"/>
        </w:rPr>
        <w:t xml:space="preserve">Throughout the LTIM/MER project there has been no evidence of golden perch spawning in Wakool-Yallakool system and only a very small number of silver perch larvae </w:t>
      </w:r>
      <w:r w:rsidR="006C1292">
        <w:rPr>
          <w:rFonts w:cstheme="minorHAnsi"/>
        </w:rPr>
        <w:t>recorded in that</w:t>
      </w:r>
      <w:r>
        <w:rPr>
          <w:rFonts w:cstheme="minorHAnsi"/>
        </w:rPr>
        <w:t xml:space="preserve"> system. </w:t>
      </w:r>
      <w:r w:rsidRPr="00A92551">
        <w:rPr>
          <w:rFonts w:cstheme="minorHAnsi"/>
        </w:rPr>
        <w:t xml:space="preserve">Local fishers </w:t>
      </w:r>
      <w:r>
        <w:rPr>
          <w:rFonts w:cstheme="minorHAnsi"/>
        </w:rPr>
        <w:t>had</w:t>
      </w:r>
      <w:r w:rsidRPr="00A92551">
        <w:rPr>
          <w:rFonts w:cstheme="minorHAnsi"/>
        </w:rPr>
        <w:t xml:space="preserve"> </w:t>
      </w:r>
      <w:r>
        <w:rPr>
          <w:rFonts w:cstheme="minorHAnsi"/>
        </w:rPr>
        <w:t xml:space="preserve">previously </w:t>
      </w:r>
      <w:r w:rsidRPr="00A92551">
        <w:rPr>
          <w:rFonts w:cstheme="minorHAnsi"/>
        </w:rPr>
        <w:t xml:space="preserve">observed golden perch congregating </w:t>
      </w:r>
      <w:r w:rsidR="006C1292">
        <w:rPr>
          <w:rFonts w:cstheme="minorHAnsi"/>
        </w:rPr>
        <w:t xml:space="preserve">in the Edward/Kolety River </w:t>
      </w:r>
      <w:r w:rsidRPr="00A92551">
        <w:rPr>
          <w:rFonts w:cstheme="minorHAnsi"/>
        </w:rPr>
        <w:t>downstream of Stevens Weir dur</w:t>
      </w:r>
      <w:r w:rsidRPr="00B300E7">
        <w:rPr>
          <w:rFonts w:cstheme="minorHAnsi"/>
        </w:rPr>
        <w:t xml:space="preserve">ing late spring, </w:t>
      </w:r>
      <w:r>
        <w:rPr>
          <w:rFonts w:cstheme="minorHAnsi"/>
        </w:rPr>
        <w:t xml:space="preserve">prompting the establishment of this research project. </w:t>
      </w:r>
      <w:r>
        <w:rPr>
          <w:szCs w:val="22"/>
        </w:rPr>
        <w:t>The aim of the</w:t>
      </w:r>
      <w:r w:rsidRPr="004B212E">
        <w:rPr>
          <w:szCs w:val="22"/>
        </w:rPr>
        <w:t xml:space="preserve"> research was to determine</w:t>
      </w:r>
      <w:r>
        <w:t xml:space="preserve"> if </w:t>
      </w:r>
      <w:r w:rsidRPr="00054B18">
        <w:rPr>
          <w:szCs w:val="22"/>
        </w:rPr>
        <w:t>golden perch and silver perch spawn in the Edward/Kolety River downstr</w:t>
      </w:r>
      <w:r>
        <w:rPr>
          <w:szCs w:val="22"/>
        </w:rPr>
        <w:t>eam of Steven’s Weir</w:t>
      </w:r>
      <w:r w:rsidRPr="00FA2D61">
        <w:rPr>
          <w:rFonts w:cstheme="minorHAnsi"/>
        </w:rPr>
        <w:t xml:space="preserve">. The </w:t>
      </w:r>
      <w:r>
        <w:rPr>
          <w:rFonts w:cstheme="minorHAnsi"/>
        </w:rPr>
        <w:t>project</w:t>
      </w:r>
      <w:r w:rsidRPr="00FA2D61">
        <w:rPr>
          <w:rFonts w:cstheme="minorHAnsi"/>
        </w:rPr>
        <w:t xml:space="preserve"> was undertaken as a citizen science project </w:t>
      </w:r>
      <w:r>
        <w:rPr>
          <w:rFonts w:cstheme="minorHAnsi"/>
        </w:rPr>
        <w:t xml:space="preserve">through </w:t>
      </w:r>
      <w:r w:rsidRPr="00FA2D61">
        <w:rPr>
          <w:rFonts w:cstheme="minorHAnsi"/>
        </w:rPr>
        <w:t xml:space="preserve">collaboration between Charles Sturt University and the Edward-Wakool Angling Association. The MER program funded the field work and employment of EWAA members on the project. Members of EWAA from Deniliquin undertook </w:t>
      </w:r>
      <w:r>
        <w:rPr>
          <w:rFonts w:cstheme="minorHAnsi"/>
        </w:rPr>
        <w:t>drift net</w:t>
      </w:r>
      <w:r w:rsidRPr="00FA2D61">
        <w:rPr>
          <w:rFonts w:cstheme="minorHAnsi"/>
        </w:rPr>
        <w:t xml:space="preserve"> sampling at three sites in the Edward/Kolety River once per week over a period of twenty-two weeks in 2019-20</w:t>
      </w:r>
      <w:r>
        <w:rPr>
          <w:rFonts w:cstheme="minorHAnsi"/>
        </w:rPr>
        <w:t>, and samples were analysed at Charles Sturt University</w:t>
      </w:r>
      <w:r w:rsidRPr="00FA2D61">
        <w:rPr>
          <w:rFonts w:cstheme="minorHAnsi"/>
        </w:rPr>
        <w:t>.</w:t>
      </w:r>
    </w:p>
    <w:p w14:paraId="1A3929F7" w14:textId="77777777" w:rsidR="00735969" w:rsidRDefault="00735969" w:rsidP="0069051C">
      <w:pPr>
        <w:spacing w:after="120" w:line="259" w:lineRule="auto"/>
        <w:ind w:right="-426"/>
        <w:jc w:val="left"/>
        <w:rPr>
          <w:rFonts w:cstheme="minorHAnsi"/>
        </w:rPr>
      </w:pPr>
      <w:r w:rsidRPr="00FA2D61">
        <w:rPr>
          <w:rFonts w:cstheme="minorHAnsi"/>
        </w:rPr>
        <w:t xml:space="preserve">In 2019-20 there was no indication of golden or silver perch spawning </w:t>
      </w:r>
      <w:r>
        <w:rPr>
          <w:rFonts w:cstheme="minorHAnsi"/>
        </w:rPr>
        <w:t>at the three study sites</w:t>
      </w:r>
      <w:r w:rsidRPr="00FA2D61">
        <w:rPr>
          <w:rFonts w:cstheme="minorHAnsi"/>
        </w:rPr>
        <w:t xml:space="preserve"> </w:t>
      </w:r>
      <w:r w:rsidRPr="008B0AA5">
        <w:rPr>
          <w:color w:val="000000" w:themeColor="text1"/>
        </w:rPr>
        <w:t xml:space="preserve">in the Edward/Kolety River </w:t>
      </w:r>
      <w:r w:rsidRPr="00FA2D61">
        <w:rPr>
          <w:rFonts w:cstheme="minorHAnsi"/>
        </w:rPr>
        <w:t>as evidenced by the lack of eggs or larvae</w:t>
      </w:r>
      <w:r>
        <w:rPr>
          <w:rFonts w:cstheme="minorHAnsi"/>
        </w:rPr>
        <w:t xml:space="preserve"> of golden perch and silver perch</w:t>
      </w:r>
      <w:r w:rsidRPr="00FA2D61">
        <w:rPr>
          <w:rFonts w:cstheme="minorHAnsi"/>
        </w:rPr>
        <w:t xml:space="preserve">. </w:t>
      </w:r>
      <w:r>
        <w:rPr>
          <w:rFonts w:cstheme="minorHAnsi"/>
        </w:rPr>
        <w:t>Regardless of this result</w:t>
      </w:r>
      <w:r w:rsidRPr="008B0AA5">
        <w:rPr>
          <w:color w:val="000000" w:themeColor="text1"/>
        </w:rPr>
        <w:t>, further monitoring over a longer period of time is warranted</w:t>
      </w:r>
      <w:r>
        <w:rPr>
          <w:color w:val="000000" w:themeColor="text1"/>
        </w:rPr>
        <w:t xml:space="preserve"> as these are long-lived species that may not spawn every year</w:t>
      </w:r>
      <w:r w:rsidRPr="008B0AA5">
        <w:rPr>
          <w:color w:val="000000" w:themeColor="text1"/>
        </w:rPr>
        <w:t xml:space="preserve">. </w:t>
      </w:r>
      <w:r>
        <w:rPr>
          <w:color w:val="000000" w:themeColor="text1"/>
        </w:rPr>
        <w:t>T</w:t>
      </w:r>
      <w:r w:rsidRPr="00FA2D61">
        <w:rPr>
          <w:rFonts w:cstheme="minorHAnsi"/>
        </w:rPr>
        <w:t xml:space="preserve">he project demonstrated that collaboration between researchers and community groups is an effective way to undertake research and engage the local community, draw on local expert knowledge, </w:t>
      </w:r>
      <w:r>
        <w:rPr>
          <w:rFonts w:cstheme="minorHAnsi"/>
        </w:rPr>
        <w:t>provide local employment and</w:t>
      </w:r>
      <w:r w:rsidRPr="00FA2D61">
        <w:rPr>
          <w:rFonts w:cstheme="minorHAnsi"/>
        </w:rPr>
        <w:t xml:space="preserve"> training, </w:t>
      </w:r>
      <w:r>
        <w:rPr>
          <w:rFonts w:cstheme="minorHAnsi"/>
        </w:rPr>
        <w:t xml:space="preserve">and make </w:t>
      </w:r>
      <w:r w:rsidRPr="00FA2D61">
        <w:rPr>
          <w:rFonts w:cstheme="minorHAnsi"/>
        </w:rPr>
        <w:t>cost savings and reduced carbon emissions</w:t>
      </w:r>
      <w:r>
        <w:rPr>
          <w:rFonts w:cstheme="minorHAnsi"/>
        </w:rPr>
        <w:t xml:space="preserve"> due to reduced travel</w:t>
      </w:r>
      <w:r w:rsidRPr="00FA2D61">
        <w:rPr>
          <w:rFonts w:cstheme="minorHAnsi"/>
        </w:rPr>
        <w:t>.</w:t>
      </w:r>
    </w:p>
    <w:p w14:paraId="3E912DA2" w14:textId="087DA362" w:rsidR="00735969" w:rsidRPr="00735969" w:rsidRDefault="00735969" w:rsidP="001A1BA8">
      <w:pPr>
        <w:spacing w:after="120" w:line="259" w:lineRule="auto"/>
        <w:jc w:val="left"/>
        <w:rPr>
          <w:rFonts w:asciiTheme="minorHAnsi" w:eastAsia="Times New Roman" w:hAnsiTheme="minorHAnsi"/>
          <w:b/>
          <w:i/>
          <w:color w:val="31849B"/>
          <w:szCs w:val="22"/>
          <w:lang w:eastAsia="en-AU"/>
        </w:rPr>
      </w:pPr>
      <w:r w:rsidRPr="00735969">
        <w:rPr>
          <w:rFonts w:asciiTheme="minorHAnsi" w:eastAsia="Times New Roman" w:hAnsiTheme="minorHAnsi"/>
          <w:b/>
          <w:i/>
          <w:color w:val="31849B"/>
          <w:szCs w:val="22"/>
          <w:lang w:eastAsia="en-AU"/>
        </w:rPr>
        <w:t xml:space="preserve">Targeted eDNA </w:t>
      </w:r>
      <w:r w:rsidR="006E281F">
        <w:rPr>
          <w:rFonts w:asciiTheme="minorHAnsi" w:eastAsia="Times New Roman" w:hAnsiTheme="minorHAnsi"/>
          <w:b/>
          <w:i/>
          <w:color w:val="31849B"/>
          <w:szCs w:val="22"/>
          <w:lang w:eastAsia="en-AU"/>
        </w:rPr>
        <w:t>research</w:t>
      </w:r>
      <w:r w:rsidRPr="00735969">
        <w:rPr>
          <w:rFonts w:asciiTheme="minorHAnsi" w:eastAsia="Times New Roman" w:hAnsiTheme="minorHAnsi"/>
          <w:b/>
          <w:i/>
          <w:color w:val="31849B"/>
          <w:szCs w:val="22"/>
          <w:lang w:eastAsia="en-AU"/>
        </w:rPr>
        <w:t xml:space="preserve"> to identify the presence and spatial distribution of threatened, uncommon and iconic species</w:t>
      </w:r>
    </w:p>
    <w:p w14:paraId="62907664" w14:textId="77777777" w:rsidR="00735969" w:rsidRDefault="00735969" w:rsidP="0069051C">
      <w:pPr>
        <w:spacing w:after="120" w:line="259" w:lineRule="auto"/>
        <w:ind w:right="-284"/>
        <w:jc w:val="left"/>
      </w:pPr>
      <w:r w:rsidRPr="00364C60">
        <w:t xml:space="preserve">The aim of this </w:t>
      </w:r>
      <w:r>
        <w:t>research was</w:t>
      </w:r>
      <w:r w:rsidRPr="00364C60">
        <w:t xml:space="preserve"> to use </w:t>
      </w:r>
      <w:r>
        <w:t xml:space="preserve">a targeted, single species </w:t>
      </w:r>
      <w:r w:rsidRPr="00364C60">
        <w:t xml:space="preserve">eDNA to identify the presence and spatial distribution of threatened, uncommon and iconic species in the </w:t>
      </w:r>
      <w:r>
        <w:t xml:space="preserve">Edward/Kolety-Wakool system. This approach </w:t>
      </w:r>
      <w:r w:rsidRPr="00364C60">
        <w:t>allows flexibility in the choice of the target gene to maximise the chance that the target species can be detected and differentiated from congeneric species</w:t>
      </w:r>
      <w:r>
        <w:t>.</w:t>
      </w:r>
    </w:p>
    <w:p w14:paraId="5B1AD2A9" w14:textId="77777777" w:rsidR="00735969" w:rsidRDefault="00735969" w:rsidP="0069051C">
      <w:pPr>
        <w:spacing w:after="120" w:line="259" w:lineRule="auto"/>
        <w:ind w:right="-284"/>
        <w:jc w:val="left"/>
      </w:pPr>
      <w:r>
        <w:t>Water samples were collected from 10 sites; s</w:t>
      </w:r>
      <w:r w:rsidRPr="018055DF">
        <w:t xml:space="preserve">ix </w:t>
      </w:r>
      <w:r>
        <w:t xml:space="preserve">MER </w:t>
      </w:r>
      <w:r w:rsidRPr="018055DF">
        <w:t xml:space="preserve">fish </w:t>
      </w:r>
      <w:r>
        <w:t xml:space="preserve">monitoring sites, and </w:t>
      </w:r>
      <w:r w:rsidRPr="018055DF">
        <w:t xml:space="preserve">four </w:t>
      </w:r>
      <w:r>
        <w:t xml:space="preserve">additional </w:t>
      </w:r>
      <w:r w:rsidRPr="018055DF">
        <w:t>sites in the Edward</w:t>
      </w:r>
      <w:r>
        <w:t>/Kolety</w:t>
      </w:r>
      <w:r w:rsidRPr="018055DF">
        <w:t xml:space="preserve"> River to </w:t>
      </w:r>
      <w:r>
        <w:t>link</w:t>
      </w:r>
      <w:r w:rsidRPr="018055DF">
        <w:t xml:space="preserve"> with other </w:t>
      </w:r>
      <w:r>
        <w:t xml:space="preserve">components of the </w:t>
      </w:r>
      <w:r w:rsidRPr="018055DF">
        <w:t>integrated research project</w:t>
      </w:r>
      <w:r>
        <w:t xml:space="preserve">. PCR assay design was already available for platypus. The research successfully developed designs for six additional species; </w:t>
      </w:r>
      <w:r w:rsidRPr="00364C60">
        <w:t xml:space="preserve">Murray cod, trout cod, silver perch, dwarf flathead gudgeon, </w:t>
      </w:r>
      <w:r>
        <w:t xml:space="preserve">freshwater catfish and </w:t>
      </w:r>
      <w:r w:rsidRPr="00364C60">
        <w:t>Murray crayfish.</w:t>
      </w:r>
      <w:r>
        <w:t xml:space="preserve"> </w:t>
      </w:r>
      <w:r w:rsidRPr="00364C60">
        <w:t xml:space="preserve">The assays were tested for specificity by </w:t>
      </w:r>
      <w:r>
        <w:t>comparing</w:t>
      </w:r>
      <w:r w:rsidRPr="00364C60">
        <w:t xml:space="preserve"> DNA from the target species and closely related species</w:t>
      </w:r>
      <w:r>
        <w:t xml:space="preserve">. </w:t>
      </w:r>
      <w:r w:rsidRPr="00680C4D">
        <w:t xml:space="preserve">Redfin perch were not </w:t>
      </w:r>
      <w:r>
        <w:t xml:space="preserve">a target species, this invasive species was included in the study because </w:t>
      </w:r>
      <w:r w:rsidRPr="00680C4D">
        <w:t xml:space="preserve">the assay </w:t>
      </w:r>
      <w:r>
        <w:t>was already available.</w:t>
      </w:r>
    </w:p>
    <w:p w14:paraId="2F1092A9" w14:textId="3823DF2F" w:rsidR="00735969" w:rsidRDefault="00735969" w:rsidP="0069051C">
      <w:pPr>
        <w:spacing w:after="120" w:line="259" w:lineRule="auto"/>
        <w:ind w:right="-284"/>
        <w:jc w:val="left"/>
      </w:pPr>
      <w:r w:rsidRPr="00364C60">
        <w:t>Murray cod</w:t>
      </w:r>
      <w:r>
        <w:t xml:space="preserve"> were detected at 8 of 10 sites and t</w:t>
      </w:r>
      <w:r w:rsidRPr="00364C60">
        <w:t>rout cod</w:t>
      </w:r>
      <w:r>
        <w:t xml:space="preserve"> were detected at 4 of 10 sites, with the highest proportion of positive detections in the upper Edward/Kolety River at Four Posts. S</w:t>
      </w:r>
      <w:r w:rsidRPr="00364C60">
        <w:t xml:space="preserve">ilver perch </w:t>
      </w:r>
      <w:r>
        <w:t>were detected in 7 of 10 sites, however</w:t>
      </w:r>
      <w:r w:rsidRPr="00364C60">
        <w:t xml:space="preserve"> </w:t>
      </w:r>
      <w:r>
        <w:t>there was a lo</w:t>
      </w:r>
      <w:r w:rsidRPr="00364C60">
        <w:t xml:space="preserve">wer </w:t>
      </w:r>
      <w:r>
        <w:t>proportion of</w:t>
      </w:r>
      <w:r w:rsidRPr="00364C60">
        <w:t xml:space="preserve"> positive </w:t>
      </w:r>
      <w:r>
        <w:t>replicates</w:t>
      </w:r>
      <w:r w:rsidRPr="00364C60">
        <w:t xml:space="preserve"> </w:t>
      </w:r>
      <w:r>
        <w:t xml:space="preserve">of silver perch </w:t>
      </w:r>
      <w:r w:rsidRPr="00364C60">
        <w:t>per sample per site</w:t>
      </w:r>
      <w:r>
        <w:t xml:space="preserve"> than Murray cod</w:t>
      </w:r>
      <w:r w:rsidRPr="00364C60">
        <w:t xml:space="preserve">. Redfin perch were detected at </w:t>
      </w:r>
      <w:r>
        <w:t>a single</w:t>
      </w:r>
      <w:r w:rsidRPr="00364C60">
        <w:t xml:space="preserve"> site</w:t>
      </w:r>
      <w:r>
        <w:t xml:space="preserve">. </w:t>
      </w:r>
      <w:r w:rsidRPr="00364C60">
        <w:t xml:space="preserve">Platypus were not detected at any </w:t>
      </w:r>
      <w:r>
        <w:t>sites, however two samples were determined to be</w:t>
      </w:r>
      <w:r w:rsidRPr="00364C60">
        <w:t xml:space="preserve"> false positives</w:t>
      </w:r>
      <w:r>
        <w:t xml:space="preserve"> and </w:t>
      </w:r>
      <w:r w:rsidR="000F20B5">
        <w:t>th</w:t>
      </w:r>
      <w:r w:rsidR="006C1292">
        <w:t xml:space="preserve">is will be </w:t>
      </w:r>
      <w:r>
        <w:t>sequenced to check</w:t>
      </w:r>
      <w:r w:rsidRPr="00364C60">
        <w:t xml:space="preserve"> if the </w:t>
      </w:r>
      <w:r>
        <w:t>q</w:t>
      </w:r>
      <w:r w:rsidRPr="00364C60">
        <w:t xml:space="preserve">PCR product is platypus. </w:t>
      </w:r>
      <w:r>
        <w:t>D</w:t>
      </w:r>
      <w:r w:rsidRPr="00364C60">
        <w:t>warf flathead gudgeon</w:t>
      </w:r>
      <w:r>
        <w:t xml:space="preserve">, freshwater </w:t>
      </w:r>
      <w:r w:rsidRPr="00364C60">
        <w:t>catfish</w:t>
      </w:r>
      <w:r>
        <w:t xml:space="preserve"> and Murray crayfish</w:t>
      </w:r>
      <w:r w:rsidRPr="00364C60">
        <w:t xml:space="preserve"> were not de</w:t>
      </w:r>
      <w:r>
        <w:t>tected at any of the 10 sites.</w:t>
      </w:r>
    </w:p>
    <w:p w14:paraId="29D71B23" w14:textId="18B70032" w:rsidR="00735969" w:rsidRDefault="00735969" w:rsidP="0069051C">
      <w:pPr>
        <w:spacing w:after="120" w:line="259" w:lineRule="auto"/>
        <w:ind w:right="-142"/>
        <w:jc w:val="left"/>
      </w:pPr>
      <w:r>
        <w:t xml:space="preserve">Developing </w:t>
      </w:r>
      <w:r w:rsidRPr="00680C4D">
        <w:t xml:space="preserve">targeted </w:t>
      </w:r>
      <w:r>
        <w:t xml:space="preserve">eDNA </w:t>
      </w:r>
      <w:r w:rsidRPr="00680C4D">
        <w:t>assays is time consuming and expensive</w:t>
      </w:r>
      <w:r>
        <w:t>, particularly</w:t>
      </w:r>
      <w:r w:rsidRPr="00680C4D">
        <w:t xml:space="preserve"> if there are </w:t>
      </w:r>
      <w:r>
        <w:t>complications</w:t>
      </w:r>
      <w:r w:rsidRPr="00680C4D">
        <w:t xml:space="preserve"> </w:t>
      </w:r>
      <w:r>
        <w:t>in</w:t>
      </w:r>
      <w:r w:rsidRPr="00680C4D">
        <w:t xml:space="preserve"> primer development</w:t>
      </w:r>
      <w:r>
        <w:t>,</w:t>
      </w:r>
      <w:r w:rsidRPr="00680C4D">
        <w:t xml:space="preserve"> such as a lack of variability in the target gene between closely related species.</w:t>
      </w:r>
      <w:r>
        <w:t xml:space="preserve"> However, we concluded that once assays have been developed and tested</w:t>
      </w:r>
      <w:r w:rsidR="006C1292">
        <w:t>,</w:t>
      </w:r>
      <w:r>
        <w:t xml:space="preserve"> targeted eDNA </w:t>
      </w:r>
      <w:r w:rsidR="006C1292">
        <w:t>is</w:t>
      </w:r>
      <w:r>
        <w:t xml:space="preserve"> an effective method to detect the presence of rare and threatened species. It is particularly suitable to document the distribution of species inefficiently sampled by other methods. We recommend future work explores occupancy modelling to enable detection probabilities to be estimated. This eDNA approach </w:t>
      </w:r>
      <w:r w:rsidRPr="00364C60">
        <w:t>could potentially be used in the future to identify population expansion as a result of targeted environmental watering.</w:t>
      </w:r>
    </w:p>
    <w:p w14:paraId="0678741A" w14:textId="774B86BA" w:rsidR="0012016B" w:rsidRPr="00EB0E8C" w:rsidRDefault="0012016B" w:rsidP="008D7AAA">
      <w:pPr>
        <w:tabs>
          <w:tab w:val="left" w:pos="9071"/>
        </w:tabs>
        <w:spacing w:after="0" w:line="320" w:lineRule="exact"/>
        <w:jc w:val="left"/>
        <w:rPr>
          <w:b/>
          <w:color w:val="31849B" w:themeColor="accent5" w:themeShade="BF"/>
          <w:sz w:val="28"/>
          <w:szCs w:val="28"/>
        </w:rPr>
      </w:pPr>
      <w:r>
        <w:rPr>
          <w:b/>
          <w:color w:val="31849B" w:themeColor="accent5" w:themeShade="BF"/>
          <w:sz w:val="28"/>
          <w:szCs w:val="28"/>
        </w:rPr>
        <w:t>Recommendations for future management of environmental water</w:t>
      </w:r>
    </w:p>
    <w:p w14:paraId="560AB49A" w14:textId="24AE22F6" w:rsidR="0012016B" w:rsidRDefault="0012016B" w:rsidP="008653E4">
      <w:pPr>
        <w:spacing w:after="240" w:line="320" w:lineRule="exact"/>
        <w:ind w:right="-284"/>
        <w:jc w:val="left"/>
        <w:rPr>
          <w:b/>
          <w:sz w:val="20"/>
        </w:rPr>
      </w:pPr>
      <w:r>
        <w:t>A summary of r</w:t>
      </w:r>
      <w:r w:rsidRPr="00184499">
        <w:t>ecommendations</w:t>
      </w:r>
      <w:r>
        <w:t xml:space="preserve"> from </w:t>
      </w:r>
      <w:r w:rsidR="008653E4">
        <w:t>previous</w:t>
      </w:r>
      <w:r>
        <w:t xml:space="preserve"> Edward/Kolety-Wakool LTIM annual reports (Watts et al. 2015, 2016, 2017b, 2018</w:t>
      </w:r>
      <w:r w:rsidR="008653E4">
        <w:t>, 2019</w:t>
      </w:r>
      <w:r>
        <w:t>) and the extent to which they have</w:t>
      </w:r>
      <w:r w:rsidRPr="00184499">
        <w:t xml:space="preserve"> </w:t>
      </w:r>
      <w:r>
        <w:t xml:space="preserve">been implemented to improve the planning and delivery of Commonwealth environmental water are summarised in Table </w:t>
      </w:r>
      <w:r w:rsidR="008D7AAA">
        <w:t>iii</w:t>
      </w:r>
      <w:r>
        <w:t>.</w:t>
      </w:r>
      <w:r w:rsidR="00D70F5D">
        <w:t xml:space="preserve"> Details of CEWO adaptive management response and actions undertaken to implement these recommendations are outlined in previous reports.</w:t>
      </w:r>
    </w:p>
    <w:p w14:paraId="391EAE21" w14:textId="6D81DD9E" w:rsidR="00D70F5D" w:rsidRDefault="0012016B" w:rsidP="00D70F5D">
      <w:pPr>
        <w:spacing w:after="0" w:line="240" w:lineRule="auto"/>
        <w:ind w:right="-142"/>
        <w:jc w:val="left"/>
        <w:rPr>
          <w:sz w:val="20"/>
        </w:rPr>
      </w:pPr>
      <w:r>
        <w:rPr>
          <w:b/>
          <w:sz w:val="20"/>
        </w:rPr>
        <w:t>Table i</w:t>
      </w:r>
      <w:r w:rsidR="008D7AAA">
        <w:rPr>
          <w:b/>
          <w:sz w:val="20"/>
        </w:rPr>
        <w:t>ii</w:t>
      </w:r>
      <w:r>
        <w:rPr>
          <w:sz w:val="20"/>
        </w:rPr>
        <w:t xml:space="preserve">  Summary of recommendations from</w:t>
      </w:r>
      <w:r w:rsidRPr="00297F60">
        <w:rPr>
          <w:sz w:val="20"/>
        </w:rPr>
        <w:t xml:space="preserve"> </w:t>
      </w:r>
      <w:r>
        <w:rPr>
          <w:sz w:val="20"/>
        </w:rPr>
        <w:t>Edward/Kolety-Wakool</w:t>
      </w:r>
      <w:r w:rsidRPr="00297F60">
        <w:rPr>
          <w:sz w:val="20"/>
        </w:rPr>
        <w:t xml:space="preserve"> LTIM annual report</w:t>
      </w:r>
      <w:r>
        <w:rPr>
          <w:sz w:val="20"/>
        </w:rPr>
        <w:t xml:space="preserve">s 2014-15, </w:t>
      </w:r>
      <w:r w:rsidRPr="00297F60">
        <w:rPr>
          <w:sz w:val="20"/>
        </w:rPr>
        <w:t>2015-16</w:t>
      </w:r>
      <w:r w:rsidR="008D7AAA">
        <w:rPr>
          <w:sz w:val="20"/>
        </w:rPr>
        <w:t xml:space="preserve">, 2016-17, </w:t>
      </w:r>
      <w:r>
        <w:rPr>
          <w:sz w:val="20"/>
        </w:rPr>
        <w:t>2017-18</w:t>
      </w:r>
      <w:r w:rsidR="008D7AAA">
        <w:rPr>
          <w:sz w:val="20"/>
        </w:rPr>
        <w:t xml:space="preserve"> and 2018-19</w:t>
      </w:r>
      <w:r>
        <w:rPr>
          <w:sz w:val="20"/>
        </w:rPr>
        <w:t xml:space="preserve"> showing year implemented. R = recommendation number.</w:t>
      </w:r>
    </w:p>
    <w:tbl>
      <w:tblPr>
        <w:tblStyle w:val="TableGrid"/>
        <w:tblW w:w="8828" w:type="dxa"/>
        <w:tblLayout w:type="fixed"/>
        <w:tblLook w:val="04A0" w:firstRow="1" w:lastRow="0" w:firstColumn="1" w:lastColumn="0" w:noHBand="0" w:noVBand="1"/>
      </w:tblPr>
      <w:tblGrid>
        <w:gridCol w:w="6378"/>
        <w:gridCol w:w="1260"/>
        <w:gridCol w:w="1190"/>
      </w:tblGrid>
      <w:tr w:rsidR="00D70F5D" w14:paraId="3EC9CE52" w14:textId="77777777" w:rsidTr="008653E4">
        <w:tc>
          <w:tcPr>
            <w:tcW w:w="6378" w:type="dxa"/>
            <w:shd w:val="clear" w:color="auto" w:fill="92CDDC"/>
            <w:tcMar>
              <w:left w:w="57" w:type="dxa"/>
              <w:right w:w="57" w:type="dxa"/>
            </w:tcMar>
          </w:tcPr>
          <w:p w14:paraId="17C0F0A4" w14:textId="77777777" w:rsidR="00D70F5D" w:rsidRPr="005B4C1A" w:rsidRDefault="00D70F5D" w:rsidP="007D4D5C">
            <w:pPr>
              <w:spacing w:after="0" w:line="240" w:lineRule="auto"/>
              <w:jc w:val="left"/>
              <w:rPr>
                <w:b/>
                <w:color w:val="000000" w:themeColor="text1"/>
              </w:rPr>
            </w:pPr>
            <w:r w:rsidRPr="005B4C1A">
              <w:rPr>
                <w:b/>
                <w:color w:val="000000" w:themeColor="text1"/>
              </w:rPr>
              <w:t xml:space="preserve">Recommendation </w:t>
            </w:r>
          </w:p>
        </w:tc>
        <w:tc>
          <w:tcPr>
            <w:tcW w:w="1260" w:type="dxa"/>
            <w:shd w:val="clear" w:color="auto" w:fill="92CDDC"/>
            <w:tcMar>
              <w:left w:w="57" w:type="dxa"/>
              <w:right w:w="28" w:type="dxa"/>
            </w:tcMar>
          </w:tcPr>
          <w:p w14:paraId="5FDC8896" w14:textId="77777777" w:rsidR="00D70F5D" w:rsidRPr="0015746C" w:rsidRDefault="00D70F5D" w:rsidP="007D4D5C">
            <w:pPr>
              <w:spacing w:after="0" w:line="240" w:lineRule="auto"/>
              <w:jc w:val="left"/>
              <w:rPr>
                <w:b/>
                <w:color w:val="000000" w:themeColor="text1"/>
                <w:sz w:val="18"/>
                <w:szCs w:val="18"/>
              </w:rPr>
            </w:pPr>
            <w:r w:rsidRPr="0015746C">
              <w:rPr>
                <w:b/>
                <w:color w:val="000000" w:themeColor="text1"/>
                <w:sz w:val="18"/>
                <w:szCs w:val="18"/>
              </w:rPr>
              <w:t>Year(s) recommended</w:t>
            </w:r>
          </w:p>
        </w:tc>
        <w:tc>
          <w:tcPr>
            <w:tcW w:w="1190" w:type="dxa"/>
            <w:shd w:val="clear" w:color="auto" w:fill="92CDDC"/>
            <w:tcMar>
              <w:left w:w="57" w:type="dxa"/>
              <w:right w:w="57" w:type="dxa"/>
            </w:tcMar>
          </w:tcPr>
          <w:p w14:paraId="2A70C77F" w14:textId="77777777" w:rsidR="00D70F5D" w:rsidRPr="0015746C" w:rsidRDefault="00D70F5D" w:rsidP="007D4D5C">
            <w:pPr>
              <w:spacing w:after="0" w:line="240" w:lineRule="auto"/>
              <w:jc w:val="left"/>
              <w:rPr>
                <w:b/>
                <w:color w:val="000000" w:themeColor="text1"/>
                <w:sz w:val="18"/>
                <w:szCs w:val="18"/>
              </w:rPr>
            </w:pPr>
            <w:r w:rsidRPr="0015746C">
              <w:rPr>
                <w:b/>
                <w:color w:val="000000" w:themeColor="text1"/>
                <w:sz w:val="18"/>
                <w:szCs w:val="18"/>
              </w:rPr>
              <w:t>Year(s) implemented</w:t>
            </w:r>
          </w:p>
        </w:tc>
      </w:tr>
      <w:tr w:rsidR="00D70F5D" w14:paraId="7C84DD1C" w14:textId="77777777" w:rsidTr="008653E4">
        <w:tc>
          <w:tcPr>
            <w:tcW w:w="6378" w:type="dxa"/>
            <w:tcMar>
              <w:left w:w="57" w:type="dxa"/>
              <w:right w:w="57" w:type="dxa"/>
            </w:tcMar>
          </w:tcPr>
          <w:p w14:paraId="2C53ACC2" w14:textId="77777777" w:rsidR="00D70F5D" w:rsidRPr="0046601E" w:rsidRDefault="00D70F5D" w:rsidP="0040642F">
            <w:pPr>
              <w:pStyle w:val="ListParagraph"/>
              <w:numPr>
                <w:ilvl w:val="0"/>
                <w:numId w:val="26"/>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Consider a trial to increase the delivery of environmental water to the upper Wakool River </w:t>
            </w:r>
          </w:p>
        </w:tc>
        <w:tc>
          <w:tcPr>
            <w:tcW w:w="1260" w:type="dxa"/>
            <w:tcMar>
              <w:left w:w="57" w:type="dxa"/>
              <w:right w:w="57" w:type="dxa"/>
            </w:tcMar>
          </w:tcPr>
          <w:p w14:paraId="2117539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16ED80EC"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3077ADC2"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190" w:type="dxa"/>
            <w:tcMar>
              <w:left w:w="57" w:type="dxa"/>
              <w:right w:w="57" w:type="dxa"/>
            </w:tcMar>
          </w:tcPr>
          <w:p w14:paraId="7A51C503" w14:textId="77777777" w:rsidR="00D70F5D" w:rsidRPr="0046601E" w:rsidRDefault="00D70F5D" w:rsidP="007D4D5C">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2018-19</w:t>
            </w:r>
          </w:p>
        </w:tc>
      </w:tr>
      <w:tr w:rsidR="00D70F5D" w14:paraId="6A445EE5" w14:textId="77777777" w:rsidTr="008653E4">
        <w:tc>
          <w:tcPr>
            <w:tcW w:w="6378" w:type="dxa"/>
            <w:tcMar>
              <w:left w:w="57" w:type="dxa"/>
              <w:right w:w="57" w:type="dxa"/>
            </w:tcMar>
          </w:tcPr>
          <w:p w14:paraId="10237323" w14:textId="7E8AE285"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w:t>
            </w:r>
            <w:r w:rsidR="00E30D62">
              <w:rPr>
                <w:rFonts w:asciiTheme="minorHAnsi" w:hAnsiTheme="minorHAnsi" w:cstheme="minorHAnsi"/>
                <w:sz w:val="18"/>
                <w:szCs w:val="18"/>
              </w:rPr>
              <w:t>/Kolety</w:t>
            </w:r>
            <w:r w:rsidRPr="0046601E">
              <w:rPr>
                <w:rFonts w:asciiTheme="minorHAnsi" w:hAnsiTheme="minorHAnsi" w:cstheme="minorHAnsi"/>
                <w:sz w:val="18"/>
                <w:szCs w:val="18"/>
              </w:rPr>
              <w:t xml:space="preserve"> River to target golden p</w:t>
            </w:r>
            <w:r>
              <w:rPr>
                <w:rFonts w:asciiTheme="minorHAnsi" w:hAnsiTheme="minorHAnsi" w:cstheme="minorHAnsi"/>
                <w:sz w:val="18"/>
                <w:szCs w:val="18"/>
              </w:rPr>
              <w:t>erch and silver perch spawning.</w:t>
            </w:r>
          </w:p>
        </w:tc>
        <w:tc>
          <w:tcPr>
            <w:tcW w:w="1260" w:type="dxa"/>
            <w:tcMar>
              <w:left w:w="57" w:type="dxa"/>
              <w:right w:w="57" w:type="dxa"/>
            </w:tcMar>
          </w:tcPr>
          <w:p w14:paraId="3B04B1D9"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3E27AB26"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12DD9811"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5A1F6DAF"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(R3)</w:t>
            </w:r>
          </w:p>
        </w:tc>
        <w:tc>
          <w:tcPr>
            <w:tcW w:w="1190" w:type="dxa"/>
            <w:tcMar>
              <w:left w:w="57" w:type="dxa"/>
              <w:right w:w="57" w:type="dxa"/>
            </w:tcMar>
          </w:tcPr>
          <w:p w14:paraId="02BFC48B"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r>
      <w:tr w:rsidR="00D70F5D" w14:paraId="1E3396A6" w14:textId="77777777" w:rsidTr="008653E4">
        <w:tc>
          <w:tcPr>
            <w:tcW w:w="6378" w:type="dxa"/>
            <w:tcMar>
              <w:left w:w="57" w:type="dxa"/>
              <w:right w:w="57" w:type="dxa"/>
            </w:tcMar>
          </w:tcPr>
          <w:p w14:paraId="7C50DE94" w14:textId="34CD04CF" w:rsidR="00D70F5D" w:rsidRPr="00D70F5D"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Pr>
                <w:rFonts w:asciiTheme="minorHAnsi" w:hAnsiTheme="minorHAnsi" w:cstheme="minorHAnsi"/>
                <w:sz w:val="18"/>
                <w:szCs w:val="18"/>
              </w:rPr>
              <w:t xml:space="preserve">In collaboration with stakeholders explore options to implement </w:t>
            </w:r>
            <w:r w:rsidRPr="0046601E">
              <w:rPr>
                <w:rFonts w:asciiTheme="minorHAnsi" w:hAnsiTheme="minorHAnsi" w:cstheme="minorHAnsi"/>
                <w:sz w:val="18"/>
                <w:szCs w:val="18"/>
              </w:rPr>
              <w:t xml:space="preserve">a short duration environmental flow trial in late winter/spring 2016 at a higher discharge than the </w:t>
            </w:r>
            <w:r>
              <w:rPr>
                <w:rFonts w:asciiTheme="minorHAnsi" w:hAnsiTheme="minorHAnsi" w:cstheme="minorHAnsi"/>
                <w:sz w:val="18"/>
                <w:szCs w:val="18"/>
              </w:rPr>
              <w:t xml:space="preserve">current constraint of 600 ML/d at the Wakool-Yallakool confluence.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Pr>
                <w:rFonts w:asciiTheme="minorHAnsi" w:hAnsiTheme="minorHAnsi" w:cstheme="minorHAnsi"/>
                <w:sz w:val="18"/>
                <w:szCs w:val="18"/>
              </w:rPr>
              <w:t>.</w:t>
            </w:r>
          </w:p>
          <w:p w14:paraId="2064EA58" w14:textId="1B792A87" w:rsidR="00D70F5D" w:rsidRPr="00E93457" w:rsidRDefault="00D70F5D" w:rsidP="00D70F5D">
            <w:pPr>
              <w:spacing w:after="0" w:line="240" w:lineRule="auto"/>
              <w:ind w:left="222"/>
              <w:jc w:val="left"/>
              <w:rPr>
                <w:rFonts w:asciiTheme="minorHAnsi" w:hAnsiTheme="minorHAnsi" w:cstheme="minorHAnsi"/>
                <w:sz w:val="18"/>
                <w:szCs w:val="18"/>
              </w:rPr>
            </w:pPr>
            <w:r w:rsidRPr="00E93457">
              <w:rPr>
                <w:rFonts w:asciiTheme="minorHAnsi" w:hAnsiTheme="minorHAnsi" w:cstheme="minorHAnsi"/>
                <w:sz w:val="18"/>
                <w:szCs w:val="18"/>
              </w:rPr>
              <w:t>Implement a second flow trial in-channel fresh in late winter or early spring that exceeds the current normal operating rules, to increase the lateral connection of in-channel habitats and increase river productivity. The earlier timing of flows would help to prime the system and thus increase the outcomes of subsequent watering actions delivered later in spring or early summer.</w:t>
            </w:r>
          </w:p>
        </w:tc>
        <w:tc>
          <w:tcPr>
            <w:tcW w:w="1260" w:type="dxa"/>
            <w:tcMar>
              <w:left w:w="57" w:type="dxa"/>
              <w:right w:w="57" w:type="dxa"/>
            </w:tcMar>
          </w:tcPr>
          <w:p w14:paraId="5A7EF4CE"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53825D93"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4B4CA8F8" w14:textId="77777777" w:rsidR="00D70F5D"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(R4)</w:t>
            </w:r>
          </w:p>
          <w:p w14:paraId="56FB0065" w14:textId="77777777" w:rsidR="00D70F5D" w:rsidRDefault="00D70F5D" w:rsidP="007D4D5C">
            <w:pPr>
              <w:spacing w:after="0" w:line="240" w:lineRule="auto"/>
              <w:jc w:val="left"/>
              <w:rPr>
                <w:rFonts w:asciiTheme="minorHAnsi" w:hAnsiTheme="minorHAnsi" w:cstheme="minorHAnsi"/>
                <w:sz w:val="18"/>
                <w:szCs w:val="18"/>
              </w:rPr>
            </w:pPr>
          </w:p>
          <w:p w14:paraId="764AF569" w14:textId="77777777" w:rsidR="00D70F5D" w:rsidRDefault="00D70F5D" w:rsidP="007D4D5C">
            <w:pPr>
              <w:spacing w:after="0" w:line="240" w:lineRule="auto"/>
              <w:jc w:val="left"/>
              <w:rPr>
                <w:rFonts w:asciiTheme="minorHAnsi" w:hAnsiTheme="minorHAnsi" w:cstheme="minorHAnsi"/>
                <w:sz w:val="18"/>
                <w:szCs w:val="18"/>
              </w:rPr>
            </w:pPr>
          </w:p>
          <w:p w14:paraId="34B5AB5D" w14:textId="77777777" w:rsidR="00D70F5D" w:rsidRDefault="00D70F5D" w:rsidP="007D4D5C">
            <w:pPr>
              <w:spacing w:after="0" w:line="240" w:lineRule="auto"/>
              <w:jc w:val="left"/>
              <w:rPr>
                <w:rFonts w:asciiTheme="minorHAnsi" w:hAnsiTheme="minorHAnsi" w:cstheme="minorHAnsi"/>
                <w:sz w:val="18"/>
                <w:szCs w:val="18"/>
              </w:rPr>
            </w:pPr>
          </w:p>
          <w:p w14:paraId="4C29CF51" w14:textId="1261479A"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(R3)</w:t>
            </w:r>
          </w:p>
          <w:p w14:paraId="7B032ED6" w14:textId="77777777" w:rsidR="00D70F5D" w:rsidRPr="0046601E" w:rsidRDefault="00D70F5D" w:rsidP="007D4D5C">
            <w:pPr>
              <w:spacing w:after="0" w:line="240" w:lineRule="auto"/>
              <w:jc w:val="left"/>
              <w:rPr>
                <w:rFonts w:asciiTheme="minorHAnsi" w:hAnsiTheme="minorHAnsi" w:cstheme="minorHAnsi"/>
                <w:sz w:val="18"/>
                <w:szCs w:val="18"/>
              </w:rPr>
            </w:pPr>
          </w:p>
        </w:tc>
        <w:tc>
          <w:tcPr>
            <w:tcW w:w="1190" w:type="dxa"/>
            <w:tcMar>
              <w:left w:w="57" w:type="dxa"/>
              <w:right w:w="57" w:type="dxa"/>
            </w:tcMar>
          </w:tcPr>
          <w:p w14:paraId="4428D4D5" w14:textId="77777777" w:rsidR="00D70F5D" w:rsidRPr="0046601E" w:rsidRDefault="00D70F5D" w:rsidP="007D4D5C">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r>
      <w:tr w:rsidR="00D70F5D" w14:paraId="264E2445" w14:textId="77777777" w:rsidTr="008653E4">
        <w:tc>
          <w:tcPr>
            <w:tcW w:w="6378" w:type="dxa"/>
            <w:tcMar>
              <w:left w:w="57" w:type="dxa"/>
              <w:right w:w="57" w:type="dxa"/>
            </w:tcMar>
          </w:tcPr>
          <w:p w14:paraId="466E22F3" w14:textId="477FF136" w:rsidR="00D70F5D" w:rsidRPr="00D70F5D"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982626">
              <w:rPr>
                <w:rFonts w:asciiTheme="minorHAnsi" w:hAnsiTheme="minorHAnsi" w:cstheme="minorHAnsi"/>
                <w:sz w:val="18"/>
                <w:szCs w:val="18"/>
              </w:rPr>
              <w:t xml:space="preserve">Each year plan to deliver at least one flow event with higher than normal operating discharge to the upper Wakool River. This may include delivery of water through the Wakool offtake regulator or via the Wakool escape </w:t>
            </w:r>
          </w:p>
        </w:tc>
        <w:tc>
          <w:tcPr>
            <w:tcW w:w="1260" w:type="dxa"/>
            <w:tcMar>
              <w:left w:w="57" w:type="dxa"/>
              <w:right w:w="57" w:type="dxa"/>
            </w:tcMar>
          </w:tcPr>
          <w:p w14:paraId="0A3FB0A1"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(R1)</w:t>
            </w:r>
          </w:p>
        </w:tc>
        <w:tc>
          <w:tcPr>
            <w:tcW w:w="1190" w:type="dxa"/>
            <w:tcMar>
              <w:left w:w="57" w:type="dxa"/>
              <w:right w:w="57" w:type="dxa"/>
            </w:tcMar>
          </w:tcPr>
          <w:p w14:paraId="4867B6A0"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r>
      <w:tr w:rsidR="00D70F5D" w14:paraId="6EA3F3F9" w14:textId="77777777" w:rsidTr="008653E4">
        <w:tc>
          <w:tcPr>
            <w:tcW w:w="6378" w:type="dxa"/>
            <w:tcMar>
              <w:left w:w="57" w:type="dxa"/>
              <w:right w:w="57" w:type="dxa"/>
            </w:tcMar>
          </w:tcPr>
          <w:p w14:paraId="2B1D3F54" w14:textId="77777777" w:rsidR="00D70F5D" w:rsidRPr="007B0CED"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2012-13 and 2013-14</w:t>
            </w:r>
          </w:p>
        </w:tc>
        <w:tc>
          <w:tcPr>
            <w:tcW w:w="1260" w:type="dxa"/>
            <w:tcMar>
              <w:left w:w="57" w:type="dxa"/>
              <w:right w:w="57" w:type="dxa"/>
            </w:tcMar>
          </w:tcPr>
          <w:p w14:paraId="1C133FE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29863D5B"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190" w:type="dxa"/>
            <w:tcMar>
              <w:left w:w="57" w:type="dxa"/>
              <w:right w:w="57" w:type="dxa"/>
            </w:tcMar>
          </w:tcPr>
          <w:p w14:paraId="1DECA2C1"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1A2C7FA9"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382A3D0D" w14:textId="77777777" w:rsidR="00D70F5D" w:rsidRPr="0046601E" w:rsidRDefault="00D70F5D" w:rsidP="007D4D5C">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2017-18</w:t>
            </w:r>
          </w:p>
        </w:tc>
      </w:tr>
      <w:tr w:rsidR="00D70F5D" w14:paraId="6A4A04B4" w14:textId="77777777" w:rsidTr="008653E4">
        <w:tc>
          <w:tcPr>
            <w:tcW w:w="6378" w:type="dxa"/>
            <w:tcMar>
              <w:left w:w="57" w:type="dxa"/>
              <w:right w:w="57" w:type="dxa"/>
            </w:tcMar>
          </w:tcPr>
          <w:p w14:paraId="4DF96481" w14:textId="77777777"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260" w:type="dxa"/>
            <w:tcMar>
              <w:left w:w="57" w:type="dxa"/>
              <w:right w:w="57" w:type="dxa"/>
            </w:tcMar>
          </w:tcPr>
          <w:p w14:paraId="7391769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2E7E5A04"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40500DEA"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190" w:type="dxa"/>
            <w:tcMar>
              <w:left w:w="57" w:type="dxa"/>
              <w:right w:w="57" w:type="dxa"/>
            </w:tcMar>
          </w:tcPr>
          <w:p w14:paraId="5A32A844"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Winter 2017</w:t>
            </w:r>
          </w:p>
          <w:p w14:paraId="646E25DF" w14:textId="77777777" w:rsidR="00D70F5D" w:rsidRPr="0046601E" w:rsidRDefault="00D70F5D" w:rsidP="007D4D5C">
            <w:pPr>
              <w:spacing w:after="0" w:line="240" w:lineRule="auto"/>
              <w:jc w:val="left"/>
              <w:rPr>
                <w:rFonts w:asciiTheme="minorHAnsi" w:hAnsiTheme="minorHAnsi" w:cstheme="minorHAnsi"/>
                <w:sz w:val="18"/>
                <w:szCs w:val="18"/>
                <w:highlight w:val="yellow"/>
              </w:rPr>
            </w:pPr>
          </w:p>
        </w:tc>
      </w:tr>
      <w:tr w:rsidR="00D70F5D" w14:paraId="15A77CFD" w14:textId="77777777" w:rsidTr="008653E4">
        <w:tc>
          <w:tcPr>
            <w:tcW w:w="6378" w:type="dxa"/>
            <w:tcMar>
              <w:left w:w="57" w:type="dxa"/>
              <w:right w:w="57" w:type="dxa"/>
            </w:tcMar>
          </w:tcPr>
          <w:p w14:paraId="77B10B70" w14:textId="28964097" w:rsidR="00D70F5D" w:rsidRPr="004645A5" w:rsidRDefault="00D70F5D" w:rsidP="0040642F">
            <w:pPr>
              <w:pStyle w:val="ListParagraph"/>
              <w:numPr>
                <w:ilvl w:val="0"/>
                <w:numId w:val="26"/>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 xml:space="preserve">Implement a second trial of continuous base winter environmental flow (no winter cease to flow) in tributaries of the </w:t>
            </w:r>
            <w:r>
              <w:rPr>
                <w:rFonts w:asciiTheme="minorHAnsi" w:hAnsiTheme="minorHAnsi" w:cstheme="minorHAnsi"/>
                <w:sz w:val="18"/>
                <w:szCs w:val="18"/>
              </w:rPr>
              <w:t>Edward/Kolety-Wakool</w:t>
            </w:r>
            <w:r w:rsidRPr="00F858FA">
              <w:rPr>
                <w:rFonts w:asciiTheme="minorHAnsi" w:hAnsiTheme="minorHAnsi" w:cstheme="minorHAnsi"/>
                <w:sz w:val="18"/>
                <w:szCs w:val="18"/>
              </w:rPr>
              <w:t xml:space="preserve"> system to promote the temporal availability and continuity of instream habitat to benefit fish and other aquatic animals and assist recovery of submerged aquatic plants.</w:t>
            </w:r>
          </w:p>
        </w:tc>
        <w:tc>
          <w:tcPr>
            <w:tcW w:w="1260" w:type="dxa"/>
            <w:tcMar>
              <w:left w:w="57" w:type="dxa"/>
              <w:right w:w="57" w:type="dxa"/>
            </w:tcMar>
          </w:tcPr>
          <w:p w14:paraId="5E10BFDF"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(R2)</w:t>
            </w:r>
          </w:p>
        </w:tc>
        <w:tc>
          <w:tcPr>
            <w:tcW w:w="1190" w:type="dxa"/>
            <w:tcMar>
              <w:left w:w="57" w:type="dxa"/>
              <w:right w:w="57" w:type="dxa"/>
            </w:tcMar>
          </w:tcPr>
          <w:p w14:paraId="439DB557"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2019</w:t>
            </w:r>
          </w:p>
        </w:tc>
      </w:tr>
      <w:tr w:rsidR="00D70F5D" w14:paraId="28DB11EE" w14:textId="77777777" w:rsidTr="008653E4">
        <w:tc>
          <w:tcPr>
            <w:tcW w:w="6378" w:type="dxa"/>
            <w:tcMar>
              <w:left w:w="57" w:type="dxa"/>
              <w:right w:w="57" w:type="dxa"/>
            </w:tcMar>
          </w:tcPr>
          <w:p w14:paraId="5BECD822" w14:textId="77777777" w:rsidR="00D70F5D"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p w14:paraId="7B99D0F7" w14:textId="48D535F3" w:rsidR="00D70F5D" w:rsidRPr="00E93457" w:rsidRDefault="00D70F5D" w:rsidP="00D70F5D">
            <w:pPr>
              <w:spacing w:after="0" w:line="240" w:lineRule="auto"/>
              <w:ind w:left="246"/>
              <w:jc w:val="left"/>
              <w:rPr>
                <w:rFonts w:asciiTheme="minorHAnsi" w:hAnsiTheme="minorHAnsi" w:cstheme="minorHAnsi"/>
                <w:sz w:val="18"/>
                <w:szCs w:val="18"/>
              </w:rPr>
            </w:pPr>
            <w:r w:rsidRPr="00E93457">
              <w:rPr>
                <w:rFonts w:asciiTheme="minorHAnsi" w:hAnsiTheme="minorHAnsi" w:cstheme="minorHAnsi"/>
                <w:sz w:val="18"/>
                <w:szCs w:val="18"/>
              </w:rPr>
              <w:t>Include variation in the timing of environmental watering actions among water years to promote the temporal availability and continuity of instream habitat to benefit fish and other aquatic animals and assist the recovery of submerged aquatic plants in the system.</w:t>
            </w:r>
          </w:p>
        </w:tc>
        <w:tc>
          <w:tcPr>
            <w:tcW w:w="1260" w:type="dxa"/>
            <w:tcMar>
              <w:left w:w="57" w:type="dxa"/>
              <w:right w:w="57" w:type="dxa"/>
            </w:tcMar>
          </w:tcPr>
          <w:p w14:paraId="56F280C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30422AAE"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(R5)</w:t>
            </w:r>
          </w:p>
          <w:p w14:paraId="75B92FA1"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(R2)</w:t>
            </w:r>
          </w:p>
        </w:tc>
        <w:tc>
          <w:tcPr>
            <w:tcW w:w="1190" w:type="dxa"/>
            <w:tcMar>
              <w:left w:w="57" w:type="dxa"/>
              <w:right w:w="57" w:type="dxa"/>
            </w:tcMar>
          </w:tcPr>
          <w:p w14:paraId="5C653C75"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32CD2FD8"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04B1350F"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2018-19</w:t>
            </w:r>
          </w:p>
          <w:p w14:paraId="1D4D2DC9" w14:textId="77777777" w:rsidR="00D70F5D" w:rsidRDefault="00D70F5D" w:rsidP="007D4D5C">
            <w:pPr>
              <w:spacing w:after="0" w:line="240" w:lineRule="auto"/>
              <w:jc w:val="left"/>
              <w:rPr>
                <w:rFonts w:asciiTheme="minorHAnsi" w:hAnsiTheme="minorHAnsi" w:cstheme="minorHAnsi"/>
                <w:sz w:val="18"/>
                <w:szCs w:val="18"/>
              </w:rPr>
            </w:pPr>
          </w:p>
          <w:p w14:paraId="34E22760" w14:textId="77777777" w:rsidR="00D70F5D" w:rsidRPr="0046601E" w:rsidRDefault="00D70F5D" w:rsidP="007D4D5C">
            <w:pPr>
              <w:spacing w:after="0" w:line="240" w:lineRule="auto"/>
              <w:jc w:val="left"/>
              <w:rPr>
                <w:rFonts w:asciiTheme="minorHAnsi" w:hAnsiTheme="minorHAnsi" w:cstheme="minorHAnsi"/>
                <w:sz w:val="18"/>
                <w:szCs w:val="18"/>
              </w:rPr>
            </w:pPr>
          </w:p>
        </w:tc>
      </w:tr>
      <w:tr w:rsidR="00D70F5D" w14:paraId="37735275" w14:textId="77777777" w:rsidTr="008653E4">
        <w:tc>
          <w:tcPr>
            <w:tcW w:w="6378" w:type="dxa"/>
            <w:tcMar>
              <w:left w:w="57" w:type="dxa"/>
              <w:right w:w="57" w:type="dxa"/>
            </w:tcMar>
          </w:tcPr>
          <w:p w14:paraId="774BA515" w14:textId="77777777" w:rsidR="00D70F5D" w:rsidRPr="0046601E" w:rsidRDefault="00D70F5D" w:rsidP="0040642F">
            <w:pPr>
              <w:pStyle w:val="ListParagraph"/>
              <w:numPr>
                <w:ilvl w:val="0"/>
                <w:numId w:val="26"/>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Implement environmental watering actions for freshes in spring and early summer (October to December) that include flow variability up to a magnitude of + 125 to 150 ML/d. Undertake trials to improve understanding of the magnitude of variability that provides beneficial ecosystem outcomes.</w:t>
            </w:r>
          </w:p>
        </w:tc>
        <w:tc>
          <w:tcPr>
            <w:tcW w:w="1260" w:type="dxa"/>
            <w:tcMar>
              <w:left w:w="57" w:type="dxa"/>
              <w:right w:w="57" w:type="dxa"/>
            </w:tcMar>
          </w:tcPr>
          <w:p w14:paraId="2C091DBA"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(R1)</w:t>
            </w:r>
          </w:p>
        </w:tc>
        <w:tc>
          <w:tcPr>
            <w:tcW w:w="1190" w:type="dxa"/>
            <w:tcMar>
              <w:left w:w="57" w:type="dxa"/>
              <w:right w:w="57" w:type="dxa"/>
            </w:tcMar>
          </w:tcPr>
          <w:p w14:paraId="74C62F3A" w14:textId="77777777" w:rsidR="00D70F5D" w:rsidRPr="0046601E" w:rsidRDefault="00D70F5D" w:rsidP="007D4D5C">
            <w:pPr>
              <w:spacing w:after="0" w:line="240" w:lineRule="auto"/>
              <w:jc w:val="left"/>
              <w:rPr>
                <w:rFonts w:asciiTheme="minorHAnsi" w:hAnsiTheme="minorHAnsi" w:cstheme="minorHAnsi"/>
                <w:sz w:val="18"/>
                <w:szCs w:val="18"/>
              </w:rPr>
            </w:pPr>
          </w:p>
        </w:tc>
      </w:tr>
      <w:tr w:rsidR="00D70F5D" w14:paraId="2A05BA3E" w14:textId="77777777" w:rsidTr="008653E4">
        <w:tc>
          <w:tcPr>
            <w:tcW w:w="6378" w:type="dxa"/>
            <w:shd w:val="clear" w:color="auto" w:fill="auto"/>
            <w:tcMar>
              <w:left w:w="57" w:type="dxa"/>
              <w:right w:w="57" w:type="dxa"/>
            </w:tcMar>
          </w:tcPr>
          <w:p w14:paraId="6CA6AE75" w14:textId="77777777" w:rsidR="00D70F5D"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11264C">
              <w:rPr>
                <w:rFonts w:asciiTheme="minorHAnsi" w:hAnsiTheme="minorHAnsi" w:cstheme="minorHAnsi"/>
                <w:sz w:val="18"/>
                <w:szCs w:val="18"/>
              </w:rPr>
              <w:t>Explore options to implement in-channel pulses at any time of the year to connect additional in-channel habitats and increase river productivity.</w:t>
            </w:r>
          </w:p>
        </w:tc>
        <w:tc>
          <w:tcPr>
            <w:tcW w:w="1260" w:type="dxa"/>
            <w:shd w:val="clear" w:color="auto" w:fill="auto"/>
          </w:tcPr>
          <w:p w14:paraId="517FABE6" w14:textId="77777777" w:rsidR="00D70F5D" w:rsidRDefault="00D70F5D" w:rsidP="007D4D5C">
            <w:pPr>
              <w:spacing w:after="0" w:line="240" w:lineRule="auto"/>
              <w:ind w:left="-80"/>
              <w:jc w:val="left"/>
              <w:rPr>
                <w:rFonts w:asciiTheme="minorHAnsi" w:hAnsiTheme="minorHAnsi" w:cstheme="minorHAnsi"/>
                <w:sz w:val="18"/>
                <w:szCs w:val="18"/>
              </w:rPr>
            </w:pPr>
            <w:r>
              <w:rPr>
                <w:rFonts w:asciiTheme="minorHAnsi" w:hAnsiTheme="minorHAnsi" w:cstheme="minorHAnsi"/>
                <w:sz w:val="18"/>
                <w:szCs w:val="18"/>
              </w:rPr>
              <w:t>2018-19 (R4)</w:t>
            </w:r>
          </w:p>
        </w:tc>
        <w:tc>
          <w:tcPr>
            <w:tcW w:w="1190" w:type="dxa"/>
            <w:shd w:val="clear" w:color="auto" w:fill="auto"/>
            <w:tcMar>
              <w:left w:w="57" w:type="dxa"/>
              <w:right w:w="57" w:type="dxa"/>
            </w:tcMar>
          </w:tcPr>
          <w:p w14:paraId="29F277E3" w14:textId="77777777" w:rsidR="00D70F5D"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55F99ABC" w14:textId="77777777" w:rsidTr="008653E4">
        <w:tc>
          <w:tcPr>
            <w:tcW w:w="6378" w:type="dxa"/>
            <w:tcMar>
              <w:left w:w="57" w:type="dxa"/>
              <w:right w:w="57" w:type="dxa"/>
            </w:tcMar>
          </w:tcPr>
          <w:p w14:paraId="0EF05128" w14:textId="77777777"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260" w:type="dxa"/>
            <w:tcMar>
              <w:left w:w="57" w:type="dxa"/>
              <w:right w:w="57" w:type="dxa"/>
            </w:tcMar>
          </w:tcPr>
          <w:p w14:paraId="3466218E"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4D221D0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30BF6FBA" w14:textId="77777777" w:rsidR="00D70F5D" w:rsidRPr="0046601E" w:rsidRDefault="00D70F5D" w:rsidP="007D4D5C">
            <w:pPr>
              <w:spacing w:after="0" w:line="240" w:lineRule="auto"/>
              <w:jc w:val="left"/>
              <w:rPr>
                <w:rFonts w:asciiTheme="minorHAnsi" w:hAnsiTheme="minorHAnsi" w:cstheme="minorHAnsi"/>
                <w:sz w:val="18"/>
                <w:szCs w:val="18"/>
              </w:rPr>
            </w:pPr>
          </w:p>
        </w:tc>
        <w:tc>
          <w:tcPr>
            <w:tcW w:w="1190" w:type="dxa"/>
            <w:tcMar>
              <w:left w:w="57" w:type="dxa"/>
              <w:right w:w="57" w:type="dxa"/>
            </w:tcMar>
          </w:tcPr>
          <w:p w14:paraId="3B2E0D89"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w:t>
            </w:r>
          </w:p>
          <w:p w14:paraId="70CA07E0"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119D04AE"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4FC934B1" w14:textId="77777777" w:rsidR="00D70F5D"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w:t>
            </w:r>
            <w:r>
              <w:rPr>
                <w:rFonts w:asciiTheme="minorHAnsi" w:hAnsiTheme="minorHAnsi" w:cstheme="minorHAnsi"/>
                <w:sz w:val="18"/>
                <w:szCs w:val="18"/>
              </w:rPr>
              <w:t>7</w:t>
            </w:r>
            <w:r w:rsidRPr="0046601E">
              <w:rPr>
                <w:rFonts w:asciiTheme="minorHAnsi" w:hAnsiTheme="minorHAnsi" w:cstheme="minorHAnsi"/>
                <w:sz w:val="18"/>
                <w:szCs w:val="18"/>
              </w:rPr>
              <w:t>-1</w:t>
            </w:r>
            <w:r>
              <w:rPr>
                <w:rFonts w:asciiTheme="minorHAnsi" w:hAnsiTheme="minorHAnsi" w:cstheme="minorHAnsi"/>
                <w:sz w:val="18"/>
                <w:szCs w:val="18"/>
              </w:rPr>
              <w:t>8</w:t>
            </w:r>
          </w:p>
          <w:p w14:paraId="74F74DF4"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r>
      <w:tr w:rsidR="00D70F5D" w14:paraId="4C654975" w14:textId="77777777" w:rsidTr="008653E4">
        <w:tc>
          <w:tcPr>
            <w:tcW w:w="6378" w:type="dxa"/>
            <w:tcMar>
              <w:left w:w="57" w:type="dxa"/>
              <w:right w:w="57" w:type="dxa"/>
            </w:tcMar>
          </w:tcPr>
          <w:p w14:paraId="40690748" w14:textId="550C644D" w:rsidR="00D70F5D" w:rsidRPr="004645A5" w:rsidRDefault="00D70F5D" w:rsidP="0040642F">
            <w:pPr>
              <w:pStyle w:val="ListParagraph"/>
              <w:numPr>
                <w:ilvl w:val="0"/>
                <w:numId w:val="26"/>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w:t>
            </w:r>
            <w:r>
              <w:rPr>
                <w:rFonts w:asciiTheme="minorHAnsi" w:hAnsiTheme="minorHAnsi" w:cstheme="minorHAnsi"/>
                <w:iCs/>
                <w:sz w:val="18"/>
                <w:szCs w:val="18"/>
              </w:rPr>
              <w:t>DO</w:t>
            </w:r>
            <w:r w:rsidRPr="0046601E">
              <w:rPr>
                <w:rFonts w:asciiTheme="minorHAnsi" w:hAnsiTheme="minorHAnsi" w:cstheme="minorHAnsi"/>
                <w:iCs/>
                <w:sz w:val="18"/>
                <w:szCs w:val="18"/>
              </w:rPr>
              <w:t xml:space="preserve">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tc>
        <w:tc>
          <w:tcPr>
            <w:tcW w:w="1260" w:type="dxa"/>
            <w:tcMar>
              <w:left w:w="57" w:type="dxa"/>
              <w:right w:w="57" w:type="dxa"/>
            </w:tcMar>
          </w:tcPr>
          <w:p w14:paraId="18491B5E"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190" w:type="dxa"/>
            <w:tcMar>
              <w:left w:w="57" w:type="dxa"/>
              <w:right w:w="57" w:type="dxa"/>
            </w:tcMar>
          </w:tcPr>
          <w:p w14:paraId="47ABA031"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317FFD00" w14:textId="77777777" w:rsidTr="008653E4">
        <w:trPr>
          <w:trHeight w:val="642"/>
        </w:trPr>
        <w:tc>
          <w:tcPr>
            <w:tcW w:w="6378" w:type="dxa"/>
            <w:tcMar>
              <w:left w:w="57" w:type="dxa"/>
              <w:right w:w="57" w:type="dxa"/>
            </w:tcMar>
          </w:tcPr>
          <w:p w14:paraId="71E6BF78" w14:textId="6237EE64" w:rsidR="00D70F5D" w:rsidRPr="004645A5" w:rsidRDefault="00D70F5D" w:rsidP="0040642F">
            <w:pPr>
              <w:pStyle w:val="ListParagraph"/>
              <w:numPr>
                <w:ilvl w:val="0"/>
                <w:numId w:val="26"/>
              </w:numPr>
              <w:shd w:val="clear" w:color="auto" w:fill="FFFFFF" w:themeFill="background1"/>
              <w:spacing w:after="0" w:line="240" w:lineRule="auto"/>
              <w:ind w:left="272" w:hanging="295"/>
              <w:jc w:val="left"/>
              <w:rPr>
                <w:rFonts w:asciiTheme="minorHAnsi" w:hAnsiTheme="minorHAnsi" w:cstheme="minorHAnsi"/>
                <w:sz w:val="18"/>
                <w:szCs w:val="18"/>
              </w:rPr>
            </w:pPr>
            <w:r w:rsidRPr="00480AA1">
              <w:rPr>
                <w:rFonts w:asciiTheme="minorHAnsi" w:hAnsiTheme="minorHAnsi" w:cstheme="minorHAnsi"/>
                <w:sz w:val="18"/>
                <w:szCs w:val="18"/>
              </w:rPr>
              <w:t>Trial a carefully managed environmental watering action through Koondrook-Perricoota Forest via Barbers Creek to improve the productivity of the mid and lower Wakool River system.</w:t>
            </w:r>
          </w:p>
        </w:tc>
        <w:tc>
          <w:tcPr>
            <w:tcW w:w="1260" w:type="dxa"/>
            <w:tcMar>
              <w:left w:w="57" w:type="dxa"/>
              <w:right w:w="57" w:type="dxa"/>
            </w:tcMar>
          </w:tcPr>
          <w:p w14:paraId="3C4C4BC4"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(R5)</w:t>
            </w:r>
          </w:p>
        </w:tc>
        <w:tc>
          <w:tcPr>
            <w:tcW w:w="1190" w:type="dxa"/>
            <w:tcMar>
              <w:left w:w="57" w:type="dxa"/>
              <w:right w:w="57" w:type="dxa"/>
            </w:tcMar>
          </w:tcPr>
          <w:p w14:paraId="56036AB4" w14:textId="23CB3BFB"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 xml:space="preserve">Not </w:t>
            </w:r>
            <w:r w:rsidR="007B43AD">
              <w:rPr>
                <w:rFonts w:asciiTheme="minorHAnsi" w:hAnsiTheme="minorHAnsi" w:cstheme="minorHAnsi"/>
                <w:sz w:val="18"/>
                <w:szCs w:val="18"/>
              </w:rPr>
              <w:t>yet implemented via Barbers C</w:t>
            </w:r>
            <w:r>
              <w:rPr>
                <w:rFonts w:asciiTheme="minorHAnsi" w:hAnsiTheme="minorHAnsi" w:cstheme="minorHAnsi"/>
                <w:sz w:val="18"/>
                <w:szCs w:val="18"/>
              </w:rPr>
              <w:t>k</w:t>
            </w:r>
          </w:p>
        </w:tc>
      </w:tr>
      <w:tr w:rsidR="00D70F5D" w14:paraId="0C3FA76A" w14:textId="77777777" w:rsidTr="008653E4">
        <w:trPr>
          <w:trHeight w:val="972"/>
        </w:trPr>
        <w:tc>
          <w:tcPr>
            <w:tcW w:w="6378" w:type="dxa"/>
            <w:shd w:val="clear" w:color="auto" w:fill="auto"/>
            <w:tcMar>
              <w:left w:w="57" w:type="dxa"/>
              <w:right w:w="57" w:type="dxa"/>
            </w:tcMar>
          </w:tcPr>
          <w:p w14:paraId="13BDC37B" w14:textId="1806B9A3" w:rsidR="00D70F5D" w:rsidRDefault="00D70F5D" w:rsidP="0040642F">
            <w:pPr>
              <w:pStyle w:val="ListParagraph"/>
              <w:numPr>
                <w:ilvl w:val="0"/>
                <w:numId w:val="26"/>
              </w:numPr>
              <w:shd w:val="clear" w:color="auto" w:fill="FFFFFF" w:themeFill="background1"/>
              <w:spacing w:after="0" w:line="240" w:lineRule="auto"/>
              <w:ind w:left="272" w:hanging="295"/>
              <w:jc w:val="left"/>
              <w:rPr>
                <w:rFonts w:asciiTheme="minorHAnsi" w:hAnsiTheme="minorHAnsi" w:cstheme="minorHAnsi"/>
                <w:sz w:val="18"/>
                <w:szCs w:val="18"/>
              </w:rPr>
            </w:pPr>
            <w:r w:rsidRPr="0011264C">
              <w:rPr>
                <w:rFonts w:asciiTheme="minorHAnsi" w:hAnsiTheme="minorHAnsi" w:cstheme="minorHAnsi"/>
                <w:sz w:val="18"/>
                <w:szCs w:val="18"/>
              </w:rPr>
              <w:t>Explore and develop a range of options for the delivery of environmental water during times of drought to ensure connectivity of habitat and avoid damage to key environmental assets. Inform the community of the factors limiting water delivery in extreme drought</w:t>
            </w:r>
            <w:r w:rsidRPr="00067FC1">
              <w:rPr>
                <w:rFonts w:asciiTheme="minorHAnsi" w:hAnsiTheme="minorHAnsi" w:cstheme="minorHAnsi"/>
                <w:sz w:val="18"/>
                <w:szCs w:val="18"/>
              </w:rPr>
              <w:t>.</w:t>
            </w:r>
          </w:p>
        </w:tc>
        <w:tc>
          <w:tcPr>
            <w:tcW w:w="1260" w:type="dxa"/>
            <w:shd w:val="clear" w:color="auto" w:fill="auto"/>
          </w:tcPr>
          <w:p w14:paraId="72010D2A" w14:textId="77777777" w:rsidR="00D70F5D" w:rsidRDefault="00D70F5D" w:rsidP="007D4D5C">
            <w:pPr>
              <w:spacing w:after="0" w:line="240" w:lineRule="auto"/>
              <w:ind w:left="-80" w:firstLine="14"/>
              <w:jc w:val="left"/>
              <w:rPr>
                <w:rFonts w:asciiTheme="minorHAnsi" w:hAnsiTheme="minorHAnsi" w:cstheme="minorHAnsi"/>
                <w:sz w:val="18"/>
                <w:szCs w:val="18"/>
              </w:rPr>
            </w:pPr>
            <w:r>
              <w:rPr>
                <w:rFonts w:asciiTheme="minorHAnsi" w:hAnsiTheme="minorHAnsi" w:cstheme="minorHAnsi"/>
                <w:sz w:val="18"/>
                <w:szCs w:val="18"/>
              </w:rPr>
              <w:t>2018-19 (R5)</w:t>
            </w:r>
          </w:p>
        </w:tc>
        <w:tc>
          <w:tcPr>
            <w:tcW w:w="1190" w:type="dxa"/>
            <w:shd w:val="clear" w:color="auto" w:fill="auto"/>
            <w:tcMar>
              <w:left w:w="57" w:type="dxa"/>
              <w:right w:w="57" w:type="dxa"/>
            </w:tcMar>
          </w:tcPr>
          <w:p w14:paraId="2D62E90A" w14:textId="77777777" w:rsidR="00D70F5D" w:rsidRDefault="00D70F5D" w:rsidP="007D4D5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062244CB" w14:textId="77777777" w:rsidTr="008653E4">
        <w:tc>
          <w:tcPr>
            <w:tcW w:w="6378" w:type="dxa"/>
            <w:tcMar>
              <w:left w:w="57" w:type="dxa"/>
              <w:right w:w="57" w:type="dxa"/>
            </w:tcMar>
          </w:tcPr>
          <w:p w14:paraId="1BEEEDDD" w14:textId="77777777"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260" w:type="dxa"/>
            <w:tcMar>
              <w:left w:w="57" w:type="dxa"/>
              <w:right w:w="57" w:type="dxa"/>
            </w:tcMar>
          </w:tcPr>
          <w:p w14:paraId="3827ED9C"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6ED34798" w14:textId="77777777" w:rsidR="00D70F5D" w:rsidRPr="0046601E" w:rsidRDefault="00D70F5D" w:rsidP="007D4D5C">
            <w:pPr>
              <w:spacing w:after="0" w:line="240" w:lineRule="auto"/>
              <w:jc w:val="left"/>
              <w:rPr>
                <w:rFonts w:asciiTheme="minorHAnsi" w:hAnsiTheme="minorHAnsi" w:cstheme="minorHAnsi"/>
                <w:sz w:val="18"/>
                <w:szCs w:val="18"/>
              </w:rPr>
            </w:pPr>
          </w:p>
        </w:tc>
        <w:tc>
          <w:tcPr>
            <w:tcW w:w="1190" w:type="dxa"/>
            <w:tcMar>
              <w:left w:w="57" w:type="dxa"/>
              <w:right w:w="57" w:type="dxa"/>
            </w:tcMar>
          </w:tcPr>
          <w:p w14:paraId="3A6E8ED3" w14:textId="77777777" w:rsidR="00D70F5D" w:rsidRPr="0046601E" w:rsidRDefault="00D70F5D" w:rsidP="007D4D5C">
            <w:pPr>
              <w:spacing w:after="0" w:line="240" w:lineRule="auto"/>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r>
      <w:tr w:rsidR="00D70F5D" w14:paraId="2E5090FA" w14:textId="77777777" w:rsidTr="008653E4">
        <w:tc>
          <w:tcPr>
            <w:tcW w:w="6378" w:type="dxa"/>
            <w:tcMar>
              <w:left w:w="57" w:type="dxa"/>
              <w:right w:w="57" w:type="dxa"/>
            </w:tcMar>
          </w:tcPr>
          <w:p w14:paraId="6BB5D7DD" w14:textId="77777777"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Undertake a comprehensive flows assessment for the tributaries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to better inform future decisions on environmental watering in this system.</w:t>
            </w:r>
          </w:p>
        </w:tc>
        <w:tc>
          <w:tcPr>
            <w:tcW w:w="1260" w:type="dxa"/>
            <w:tcMar>
              <w:left w:w="57" w:type="dxa"/>
              <w:right w:w="57" w:type="dxa"/>
            </w:tcMar>
          </w:tcPr>
          <w:p w14:paraId="3A273B5D"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0E1D1EDA"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190" w:type="dxa"/>
            <w:tcMar>
              <w:left w:w="57" w:type="dxa"/>
              <w:right w:w="57" w:type="dxa"/>
            </w:tcMar>
          </w:tcPr>
          <w:p w14:paraId="0E35504A" w14:textId="77777777" w:rsidR="00D70F5D" w:rsidRPr="00051C5B" w:rsidRDefault="00D70F5D" w:rsidP="007D4D5C">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r>
      <w:tr w:rsidR="00D70F5D" w14:paraId="355FCA5A" w14:textId="77777777" w:rsidTr="008653E4">
        <w:trPr>
          <w:trHeight w:val="511"/>
        </w:trPr>
        <w:tc>
          <w:tcPr>
            <w:tcW w:w="6378" w:type="dxa"/>
            <w:tcMar>
              <w:left w:w="57" w:type="dxa"/>
              <w:right w:w="57" w:type="dxa"/>
            </w:tcMar>
          </w:tcPr>
          <w:p w14:paraId="63D68263" w14:textId="77777777" w:rsidR="00D70F5D" w:rsidRPr="0046601E" w:rsidRDefault="00D70F5D" w:rsidP="0040642F">
            <w:pPr>
              <w:pStyle w:val="ListParagraph"/>
              <w:numPr>
                <w:ilvl w:val="0"/>
                <w:numId w:val="26"/>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260" w:type="dxa"/>
            <w:tcMar>
              <w:left w:w="57" w:type="dxa"/>
              <w:right w:w="57" w:type="dxa"/>
            </w:tcMar>
          </w:tcPr>
          <w:p w14:paraId="3754F951"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190" w:type="dxa"/>
            <w:tcMar>
              <w:left w:w="57" w:type="dxa"/>
              <w:right w:w="57" w:type="dxa"/>
            </w:tcMar>
          </w:tcPr>
          <w:p w14:paraId="51ED5ABD"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ongoing</w:t>
            </w:r>
          </w:p>
        </w:tc>
      </w:tr>
      <w:tr w:rsidR="00D70F5D" w14:paraId="6F3AB299" w14:textId="77777777" w:rsidTr="008653E4">
        <w:tc>
          <w:tcPr>
            <w:tcW w:w="6378" w:type="dxa"/>
            <w:tcMar>
              <w:left w:w="57" w:type="dxa"/>
              <w:right w:w="57" w:type="dxa"/>
            </w:tcMar>
          </w:tcPr>
          <w:p w14:paraId="36E29D56" w14:textId="77777777" w:rsidR="00D70F5D" w:rsidRPr="0046601E" w:rsidRDefault="00D70F5D" w:rsidP="0040642F">
            <w:pPr>
              <w:pStyle w:val="ListParagraph"/>
              <w:numPr>
                <w:ilvl w:val="0"/>
                <w:numId w:val="26"/>
              </w:numPr>
              <w:shd w:val="clear" w:color="auto" w:fill="FFFFFF" w:themeFill="background1"/>
              <w:spacing w:after="0" w:line="240" w:lineRule="auto"/>
              <w:ind w:left="288" w:hanging="322"/>
              <w:jc w:val="left"/>
              <w:rPr>
                <w:rFonts w:asciiTheme="minorHAnsi" w:hAnsiTheme="minorHAnsi" w:cstheme="minorHAnsi"/>
                <w:sz w:val="18"/>
                <w:szCs w:val="18"/>
              </w:rPr>
            </w:pPr>
            <w:r w:rsidRPr="0046601E">
              <w:rPr>
                <w:rFonts w:asciiTheme="minorHAnsi" w:hAnsiTheme="minorHAnsi" w:cstheme="minorHAnsi"/>
                <w:sz w:val="18"/>
                <w:szCs w:val="18"/>
              </w:rPr>
              <w:t xml:space="preserve">The installation of </w:t>
            </w:r>
            <w:r>
              <w:rPr>
                <w:rFonts w:asciiTheme="minorHAnsi" w:hAnsiTheme="minorHAnsi" w:cstheme="minorHAnsi"/>
                <w:sz w:val="18"/>
                <w:szCs w:val="18"/>
              </w:rPr>
              <w:t xml:space="preserve">a DO logger on a </w:t>
            </w:r>
            <w:r w:rsidRPr="0046601E">
              <w:rPr>
                <w:rFonts w:asciiTheme="minorHAnsi" w:hAnsiTheme="minorHAnsi" w:cstheme="minorHAnsi"/>
                <w:sz w:val="18"/>
                <w:szCs w:val="18"/>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rPr>
              <w:t xml:space="preserve">Consideration should also be given to installing </w:t>
            </w:r>
            <w:r>
              <w:rPr>
                <w:rFonts w:asciiTheme="minorHAnsi" w:hAnsiTheme="minorHAnsi" w:cstheme="minorHAnsi"/>
                <w:sz w:val="18"/>
                <w:szCs w:val="18"/>
              </w:rPr>
              <w:t>DO</w:t>
            </w:r>
            <w:r w:rsidRPr="0046601E">
              <w:rPr>
                <w:rFonts w:asciiTheme="minorHAnsi" w:hAnsiTheme="minorHAnsi" w:cstheme="minorHAnsi"/>
                <w:sz w:val="18"/>
                <w:szCs w:val="18"/>
              </w:rPr>
              <w:t xml:space="preserve"> loggers, both upstream and downstream of other forested areas that influence water qual</w:t>
            </w:r>
            <w:r>
              <w:rPr>
                <w:rFonts w:asciiTheme="minorHAnsi" w:hAnsiTheme="minorHAnsi" w:cstheme="minorHAnsi"/>
                <w:sz w:val="18"/>
                <w:szCs w:val="18"/>
              </w:rPr>
              <w:t>ity in the Edward/Kolety-Wakool system</w:t>
            </w:r>
          </w:p>
        </w:tc>
        <w:tc>
          <w:tcPr>
            <w:tcW w:w="1260" w:type="dxa"/>
            <w:tcMar>
              <w:left w:w="57" w:type="dxa"/>
              <w:right w:w="57" w:type="dxa"/>
            </w:tcMar>
          </w:tcPr>
          <w:p w14:paraId="2EBAC063" w14:textId="77777777" w:rsidR="00D70F5D" w:rsidRPr="0046601E" w:rsidRDefault="00D70F5D" w:rsidP="0040642F">
            <w:pPr>
              <w:pStyle w:val="ListParagraph"/>
              <w:numPr>
                <w:ilvl w:val="1"/>
                <w:numId w:val="21"/>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(R2)</w:t>
            </w:r>
          </w:p>
        </w:tc>
        <w:tc>
          <w:tcPr>
            <w:tcW w:w="1190" w:type="dxa"/>
            <w:tcMar>
              <w:left w:w="57" w:type="dxa"/>
              <w:right w:w="57" w:type="dxa"/>
            </w:tcMar>
          </w:tcPr>
          <w:p w14:paraId="4D736F21" w14:textId="77777777" w:rsidR="00D70F5D" w:rsidRPr="0046601E" w:rsidRDefault="00D70F5D" w:rsidP="007D4D5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18A82734" w14:textId="77777777" w:rsidTr="008653E4">
        <w:tc>
          <w:tcPr>
            <w:tcW w:w="6378" w:type="dxa"/>
            <w:tcMar>
              <w:left w:w="57" w:type="dxa"/>
              <w:right w:w="57" w:type="dxa"/>
            </w:tcMar>
          </w:tcPr>
          <w:p w14:paraId="39E288CD" w14:textId="77777777" w:rsidR="00D70F5D" w:rsidRPr="0046601E" w:rsidRDefault="00D70F5D" w:rsidP="0040642F">
            <w:pPr>
              <w:pStyle w:val="ListParagraph"/>
              <w:numPr>
                <w:ilvl w:val="0"/>
                <w:numId w:val="26"/>
              </w:numPr>
              <w:spacing w:after="0" w:line="240" w:lineRule="auto"/>
              <w:ind w:left="277" w:hanging="266"/>
              <w:jc w:val="left"/>
              <w:rPr>
                <w:rFonts w:asciiTheme="minorHAnsi" w:hAnsiTheme="minorHAnsi" w:cstheme="minorHAnsi"/>
                <w:sz w:val="18"/>
                <w:szCs w:val="18"/>
              </w:rPr>
            </w:pPr>
            <w:r w:rsidRPr="0046601E">
              <w:rPr>
                <w:rFonts w:asciiTheme="minorHAnsi" w:hAnsiTheme="minorHAnsi" w:cstheme="minorHAnsi"/>
                <w:sz w:val="18"/>
                <w:szCs w:val="18"/>
              </w:rPr>
              <w:t xml:space="preserve">Undertake in-channel habitat mapping for key reaches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rPr>
              <w:t xml:space="preserve"> hydraulic modelling to facilitate learning about this system </w:t>
            </w:r>
          </w:p>
        </w:tc>
        <w:tc>
          <w:tcPr>
            <w:tcW w:w="1260" w:type="dxa"/>
            <w:tcMar>
              <w:left w:w="57" w:type="dxa"/>
              <w:right w:w="57" w:type="dxa"/>
            </w:tcMar>
          </w:tcPr>
          <w:p w14:paraId="42A6E5A2"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190" w:type="dxa"/>
            <w:tcMar>
              <w:left w:w="57" w:type="dxa"/>
              <w:right w:w="57" w:type="dxa"/>
            </w:tcMar>
          </w:tcPr>
          <w:p w14:paraId="17C4446E"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Implemented in part by NSW DPI</w:t>
            </w:r>
          </w:p>
        </w:tc>
      </w:tr>
      <w:tr w:rsidR="00D70F5D" w14:paraId="2DE9F08A" w14:textId="77777777" w:rsidTr="008653E4">
        <w:tc>
          <w:tcPr>
            <w:tcW w:w="6378" w:type="dxa"/>
            <w:tcMar>
              <w:left w:w="57" w:type="dxa"/>
              <w:right w:w="57" w:type="dxa"/>
            </w:tcMar>
          </w:tcPr>
          <w:p w14:paraId="05F4A82C" w14:textId="77777777" w:rsidR="00D70F5D" w:rsidRPr="0046601E" w:rsidRDefault="00D70F5D" w:rsidP="0040642F">
            <w:pPr>
              <w:pStyle w:val="ListParagraph"/>
              <w:numPr>
                <w:ilvl w:val="0"/>
                <w:numId w:val="26"/>
              </w:numPr>
              <w:shd w:val="clear" w:color="auto" w:fill="FFFFFF" w:themeFill="background1"/>
              <w:spacing w:after="0" w:line="240" w:lineRule="auto"/>
              <w:ind w:left="272" w:hanging="295"/>
              <w:jc w:val="left"/>
              <w:rPr>
                <w:rFonts w:asciiTheme="minorHAnsi" w:hAnsiTheme="minorHAnsi" w:cstheme="minorHAnsi"/>
                <w:sz w:val="18"/>
                <w:szCs w:val="18"/>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260" w:type="dxa"/>
            <w:tcMar>
              <w:left w:w="57" w:type="dxa"/>
              <w:right w:w="57" w:type="dxa"/>
            </w:tcMar>
          </w:tcPr>
          <w:p w14:paraId="15E44EE4" w14:textId="77777777" w:rsidR="00D70F5D" w:rsidRPr="0046601E" w:rsidRDefault="00D70F5D" w:rsidP="007D4D5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190" w:type="dxa"/>
            <w:tcMar>
              <w:left w:w="57" w:type="dxa"/>
              <w:right w:w="57" w:type="dxa"/>
            </w:tcMar>
          </w:tcPr>
          <w:p w14:paraId="72B34F6D" w14:textId="77777777" w:rsidR="00D70F5D" w:rsidRPr="0046601E" w:rsidRDefault="00D70F5D" w:rsidP="007D4D5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w:t>
            </w:r>
          </w:p>
        </w:tc>
      </w:tr>
    </w:tbl>
    <w:p w14:paraId="217809C0" w14:textId="43A29944" w:rsidR="0012016B" w:rsidRDefault="0012016B" w:rsidP="0012016B">
      <w:pPr>
        <w:spacing w:after="80" w:line="320" w:lineRule="exact"/>
        <w:jc w:val="left"/>
        <w:rPr>
          <w:rFonts w:asciiTheme="minorHAnsi" w:eastAsia="Times New Roman" w:hAnsiTheme="minorHAnsi"/>
          <w:b/>
          <w:i/>
          <w:color w:val="31849B"/>
          <w:sz w:val="24"/>
          <w:szCs w:val="24"/>
          <w:lang w:eastAsia="en-AU"/>
        </w:rPr>
      </w:pPr>
      <w:r w:rsidRPr="00F06B95">
        <w:rPr>
          <w:rFonts w:asciiTheme="minorHAnsi" w:eastAsia="Times New Roman" w:hAnsiTheme="minorHAnsi"/>
          <w:b/>
          <w:i/>
          <w:color w:val="31849B"/>
          <w:sz w:val="24"/>
          <w:szCs w:val="24"/>
          <w:lang w:eastAsia="en-AU"/>
        </w:rPr>
        <w:t>Recommendations from 201</w:t>
      </w:r>
      <w:r>
        <w:rPr>
          <w:rFonts w:asciiTheme="minorHAnsi" w:eastAsia="Times New Roman" w:hAnsiTheme="minorHAnsi"/>
          <w:b/>
          <w:i/>
          <w:color w:val="31849B"/>
          <w:sz w:val="24"/>
          <w:szCs w:val="24"/>
          <w:lang w:eastAsia="en-AU"/>
        </w:rPr>
        <w:t>9-20</w:t>
      </w:r>
      <w:r w:rsidRPr="00F06B95">
        <w:rPr>
          <w:rFonts w:asciiTheme="minorHAnsi" w:eastAsia="Times New Roman" w:hAnsiTheme="minorHAnsi"/>
          <w:b/>
          <w:i/>
          <w:color w:val="31849B"/>
          <w:sz w:val="24"/>
          <w:szCs w:val="24"/>
          <w:lang w:eastAsia="en-AU"/>
        </w:rPr>
        <w:t xml:space="preserve"> watering actions</w:t>
      </w:r>
    </w:p>
    <w:p w14:paraId="1BCCBA41" w14:textId="560C9304" w:rsidR="00D70F5D" w:rsidRDefault="00D70F5D" w:rsidP="007B43AD">
      <w:pPr>
        <w:shd w:val="clear" w:color="auto" w:fill="FFFFFF" w:themeFill="background1"/>
        <w:spacing w:after="120" w:line="259" w:lineRule="auto"/>
        <w:ind w:right="-142"/>
        <w:jc w:val="left"/>
      </w:pPr>
      <w:r w:rsidRPr="00E23F54">
        <w:t xml:space="preserve">We continue to endorse the recommendations </w:t>
      </w:r>
      <w:r>
        <w:t>from previous LTIM rep</w:t>
      </w:r>
      <w:r w:rsidR="008D7AAA">
        <w:t>orts as summarised in Table iii</w:t>
      </w:r>
      <w:r>
        <w:t xml:space="preserve">. In addition, </w:t>
      </w:r>
      <w:r w:rsidRPr="00AB442A">
        <w:t xml:space="preserve">we outline </w:t>
      </w:r>
      <w:r>
        <w:t>the following</w:t>
      </w:r>
      <w:r w:rsidRPr="00AB442A">
        <w:t xml:space="preserve"> </w:t>
      </w:r>
      <w:r>
        <w:t>1</w:t>
      </w:r>
      <w:r w:rsidR="000F20B5">
        <w:t>5</w:t>
      </w:r>
      <w:r>
        <w:t xml:space="preserve"> </w:t>
      </w:r>
      <w:r w:rsidRPr="00AB442A">
        <w:t xml:space="preserve">recommendations to improve the planning and delivery of Commonwealth environmental water </w:t>
      </w:r>
      <w:r>
        <w:t xml:space="preserve">in the Edward/Kolety-Wakool system. </w:t>
      </w:r>
    </w:p>
    <w:p w14:paraId="18120C28" w14:textId="5C56186E" w:rsidR="00D70F5D" w:rsidRDefault="00D70F5D" w:rsidP="007B43AD">
      <w:pPr>
        <w:spacing w:after="120" w:line="259" w:lineRule="auto"/>
        <w:ind w:right="-427"/>
        <w:jc w:val="left"/>
        <w:rPr>
          <w:i/>
          <w:color w:val="31849B"/>
          <w:szCs w:val="22"/>
          <w:lang w:val="en-US"/>
        </w:rPr>
      </w:pPr>
      <w:r w:rsidRPr="00FE1DB8">
        <w:rPr>
          <w:i/>
          <w:color w:val="31849B"/>
          <w:szCs w:val="22"/>
          <w:lang w:val="en-US"/>
        </w:rPr>
        <w:t>Recommendation</w:t>
      </w:r>
      <w:r w:rsidR="009F5688">
        <w:rPr>
          <w:i/>
          <w:color w:val="31849B"/>
          <w:szCs w:val="22"/>
          <w:lang w:val="en-US"/>
        </w:rPr>
        <w:t>s</w:t>
      </w:r>
      <w:r w:rsidRPr="00FE1DB8">
        <w:rPr>
          <w:i/>
          <w:color w:val="31849B"/>
          <w:szCs w:val="22"/>
          <w:lang w:val="en-US"/>
        </w:rPr>
        <w:t xml:space="preserve"> for </w:t>
      </w:r>
      <w:r>
        <w:rPr>
          <w:i/>
          <w:color w:val="31849B"/>
          <w:szCs w:val="22"/>
          <w:lang w:val="en-US"/>
        </w:rPr>
        <w:t>small in-channel freshes</w:t>
      </w:r>
    </w:p>
    <w:p w14:paraId="07692B62" w14:textId="3121121C" w:rsidR="00D70F5D" w:rsidRDefault="00D70F5D" w:rsidP="007B43AD">
      <w:pPr>
        <w:spacing w:after="120" w:line="259" w:lineRule="auto"/>
        <w:jc w:val="left"/>
        <w:rPr>
          <w:szCs w:val="22"/>
        </w:rPr>
      </w:pPr>
      <w:r w:rsidRPr="00B75695">
        <w:rPr>
          <w:b/>
        </w:rPr>
        <w:t>Recommendation</w:t>
      </w:r>
      <w:r>
        <w:rPr>
          <w:b/>
        </w:rPr>
        <w:t xml:space="preserve"> 1</w:t>
      </w:r>
      <w:r>
        <w:t>: A</w:t>
      </w:r>
      <w:r>
        <w:rPr>
          <w:szCs w:val="22"/>
        </w:rPr>
        <w:t>lthough small watering actions have provided a beneficial outcome for the riverine ecosystem productivity, it is highly probable that reconnecting backwaters and the floodplain to the river channel would result in much larger positive outcomes. It is recommended that, when possible, consideration be given to providing a more variable flow regime in the Edward</w:t>
      </w:r>
      <w:r w:rsidR="00E30D62">
        <w:rPr>
          <w:szCs w:val="22"/>
        </w:rPr>
        <w:t>/Kolety</w:t>
      </w:r>
      <w:r>
        <w:rPr>
          <w:szCs w:val="22"/>
        </w:rPr>
        <w:t>-Wakool system in future years.</w:t>
      </w:r>
    </w:p>
    <w:p w14:paraId="68B201B3" w14:textId="77777777" w:rsidR="00D70F5D" w:rsidRDefault="00D70F5D" w:rsidP="007B43AD">
      <w:pPr>
        <w:spacing w:after="120" w:line="259" w:lineRule="auto"/>
        <w:ind w:right="-284"/>
        <w:jc w:val="left"/>
      </w:pPr>
      <w:r w:rsidRPr="00B75695">
        <w:rPr>
          <w:b/>
        </w:rPr>
        <w:t>Recommendation</w:t>
      </w:r>
      <w:r>
        <w:rPr>
          <w:b/>
        </w:rPr>
        <w:t xml:space="preserve"> 2</w:t>
      </w:r>
      <w:r w:rsidRPr="00B75695">
        <w:rPr>
          <w:b/>
        </w:rPr>
        <w:t>:</w:t>
      </w:r>
      <w:r>
        <w:t xml:space="preserve"> Deliver a series of freshes to all rivers in all major tributaries of the Edward/Kolety-Wakool system to increase the wetted area of the bank. L</w:t>
      </w:r>
      <w:r w:rsidRPr="00313075">
        <w:t>ate winter/early spring freshes that inundate slackwater</w:t>
      </w:r>
      <w:r>
        <w:t xml:space="preserve"> areas</w:t>
      </w:r>
      <w:r w:rsidRPr="00313075">
        <w:t xml:space="preserve">, in-channel benches or low lying areas of riverbank within the channel </w:t>
      </w:r>
      <w:r>
        <w:t>will</w:t>
      </w:r>
      <w:r w:rsidRPr="00313075">
        <w:t xml:space="preserve"> trigger emergence of river bank vegetation. Following the recession of flows, these damp banks provide ideal conditions for plant</w:t>
      </w:r>
      <w:r>
        <w:t>s to establish and grow</w:t>
      </w:r>
      <w:r w:rsidRPr="00313075">
        <w:t xml:space="preserve"> prior to the onset of hotter weather in summer that can quickly dry out the river banks.</w:t>
      </w:r>
    </w:p>
    <w:p w14:paraId="0FF82B96" w14:textId="77777777" w:rsidR="00D70F5D" w:rsidRDefault="00D70F5D" w:rsidP="007B43AD">
      <w:pPr>
        <w:spacing w:after="120" w:line="259" w:lineRule="auto"/>
        <w:ind w:right="-284"/>
        <w:jc w:val="left"/>
      </w:pPr>
      <w:r w:rsidRPr="003F214C">
        <w:rPr>
          <w:b/>
        </w:rPr>
        <w:t>Recommendation</w:t>
      </w:r>
      <w:r>
        <w:rPr>
          <w:b/>
        </w:rPr>
        <w:t xml:space="preserve"> 3</w:t>
      </w:r>
      <w:r w:rsidRPr="003F214C">
        <w:rPr>
          <w:b/>
        </w:rPr>
        <w:t>:</w:t>
      </w:r>
      <w:r>
        <w:t xml:space="preserve"> In years with high water availability, consider a late spring/early summer pulse, immediately after Murray cod larvae have left the nest, to support food resources for Murray cod larvae while at the same time providing opportunities for spawning to occur in silver perch and golden perch.</w:t>
      </w:r>
    </w:p>
    <w:p w14:paraId="3EACE120" w14:textId="5CC09782" w:rsidR="00D70F5D" w:rsidRDefault="00D70F5D" w:rsidP="007B43AD">
      <w:pPr>
        <w:spacing w:after="120" w:line="259" w:lineRule="auto"/>
        <w:ind w:right="-284"/>
        <w:jc w:val="left"/>
      </w:pPr>
      <w:r w:rsidRPr="003F214C">
        <w:rPr>
          <w:b/>
        </w:rPr>
        <w:t>Recommendation</w:t>
      </w:r>
      <w:r>
        <w:rPr>
          <w:b/>
        </w:rPr>
        <w:t xml:space="preserve"> 4</w:t>
      </w:r>
      <w:r w:rsidRPr="003F214C">
        <w:rPr>
          <w:b/>
        </w:rPr>
        <w:t>:</w:t>
      </w:r>
      <w:r>
        <w:t xml:space="preserve"> Consider adaptive use of water to coincide with high Murray River flows to maximise attraction/immigration of upstream migrating juvenile golden perch and silver perch in late summer. The probability of silver perch moving into and then staying in other more upstream tributaries of the Murray River (Goulburn and Campaspe rivers) is elevated in March-May (Koster et al. 2020), so delivering attraction flows in the Edward</w:t>
      </w:r>
      <w:r w:rsidR="00E30D62">
        <w:t>/Kolety</w:t>
      </w:r>
      <w:r>
        <w:t>-Wakool river system at this time or before (e.g. January-March) may be optimal for this more downstream tributary.</w:t>
      </w:r>
    </w:p>
    <w:tbl>
      <w:tblPr>
        <w:tblStyle w:val="TableGrid"/>
        <w:tblW w:w="8784" w:type="dxa"/>
        <w:tblLook w:val="04A0" w:firstRow="1" w:lastRow="0" w:firstColumn="1" w:lastColumn="0" w:noHBand="0" w:noVBand="1"/>
      </w:tblPr>
      <w:tblGrid>
        <w:gridCol w:w="8784"/>
      </w:tblGrid>
      <w:tr w:rsidR="00D70F5D" w14:paraId="174742FE" w14:textId="77777777" w:rsidTr="006E65C5">
        <w:tc>
          <w:tcPr>
            <w:tcW w:w="8784" w:type="dxa"/>
          </w:tcPr>
          <w:p w14:paraId="43D9D82E" w14:textId="111E4E8C" w:rsidR="00D70F5D" w:rsidRPr="009A7608" w:rsidRDefault="00D70F5D" w:rsidP="006E65C5">
            <w:pPr>
              <w:spacing w:after="0" w:line="324" w:lineRule="exact"/>
              <w:ind w:right="-284"/>
              <w:jc w:val="left"/>
              <w:rPr>
                <w:rFonts w:cs="Calibri"/>
              </w:rPr>
            </w:pPr>
            <w:r w:rsidRPr="00BF3782">
              <w:rPr>
                <w:b/>
                <w:bCs/>
              </w:rPr>
              <w:t>CEWO Adaptive Management Response</w:t>
            </w:r>
            <w:r>
              <w:t>:</w:t>
            </w:r>
            <w:r w:rsidR="006E65C5">
              <w:t xml:space="preserve"> </w:t>
            </w:r>
            <w:r w:rsidRPr="009A7608">
              <w:t>The CEWO agrees that late winter/early spring pulses are important for a range of outcomes, including vegetation, native fish and connectivity. When flows in the Murray River may focus on late spring/early summer pulses, the CEWO will examine the delivery of two pulses into the Edward/Kolety system – one in late winter/early spring and another synchronised with Murray River flows in late spring/early summer.</w:t>
            </w:r>
          </w:p>
        </w:tc>
      </w:tr>
    </w:tbl>
    <w:p w14:paraId="23E1BB6E" w14:textId="77777777" w:rsidR="00D70F5D" w:rsidRDefault="00D70F5D" w:rsidP="007B43AD">
      <w:pPr>
        <w:spacing w:after="0" w:line="259" w:lineRule="auto"/>
        <w:ind w:right="-284"/>
        <w:jc w:val="left"/>
        <w:rPr>
          <w:b/>
        </w:rPr>
      </w:pPr>
    </w:p>
    <w:p w14:paraId="25E0246F" w14:textId="77777777" w:rsidR="00D70F5D" w:rsidRPr="009A7608" w:rsidRDefault="00D70F5D" w:rsidP="00D70F5D">
      <w:pPr>
        <w:spacing w:after="120" w:line="259" w:lineRule="auto"/>
        <w:ind w:right="-285"/>
        <w:jc w:val="left"/>
        <w:rPr>
          <w:i/>
          <w:color w:val="31849B"/>
          <w:szCs w:val="22"/>
          <w:lang w:val="en-US"/>
        </w:rPr>
      </w:pPr>
      <w:r w:rsidRPr="009A7608">
        <w:rPr>
          <w:i/>
          <w:color w:val="31849B"/>
          <w:szCs w:val="22"/>
          <w:lang w:val="en-US"/>
        </w:rPr>
        <w:t xml:space="preserve">Recommendations for </w:t>
      </w:r>
      <w:r>
        <w:rPr>
          <w:i/>
          <w:color w:val="31849B"/>
          <w:szCs w:val="22"/>
          <w:lang w:val="en-US"/>
        </w:rPr>
        <w:t>f</w:t>
      </w:r>
      <w:r w:rsidRPr="00DD2898">
        <w:rPr>
          <w:i/>
          <w:color w:val="31849B"/>
          <w:szCs w:val="22"/>
          <w:lang w:val="en-US"/>
        </w:rPr>
        <w:t>lows to mitigate poor water quality events</w:t>
      </w:r>
    </w:p>
    <w:p w14:paraId="22E27604" w14:textId="77777777" w:rsidR="00D70F5D" w:rsidRDefault="00D70F5D" w:rsidP="008D7AAA">
      <w:pPr>
        <w:spacing w:after="240" w:line="259" w:lineRule="auto"/>
        <w:ind w:right="-284"/>
        <w:jc w:val="left"/>
      </w:pPr>
      <w:r w:rsidRPr="003F214C">
        <w:rPr>
          <w:b/>
        </w:rPr>
        <w:t>Recommendation</w:t>
      </w:r>
      <w:r>
        <w:rPr>
          <w:b/>
        </w:rPr>
        <w:t xml:space="preserve"> 5: </w:t>
      </w:r>
      <w:r>
        <w:t>In watering years where risk of hypoxic blackwater events is probable, consider how CEW watering actions could be used to mitigate effects on fish populations. One option to explore could be use of flows to encourage movement out of high risk reaches.</w:t>
      </w:r>
    </w:p>
    <w:p w14:paraId="64D63A10" w14:textId="77777777" w:rsidR="00D70F5D" w:rsidRPr="00FE1DB8" w:rsidRDefault="00D70F5D" w:rsidP="007B43AD">
      <w:pPr>
        <w:spacing w:after="120" w:line="259" w:lineRule="auto"/>
        <w:ind w:right="-285"/>
        <w:jc w:val="left"/>
        <w:rPr>
          <w:i/>
          <w:color w:val="31849B"/>
          <w:szCs w:val="22"/>
          <w:lang w:val="en-US"/>
        </w:rPr>
      </w:pPr>
      <w:r w:rsidRPr="00FE1DB8">
        <w:rPr>
          <w:i/>
          <w:color w:val="31849B"/>
          <w:szCs w:val="22"/>
          <w:lang w:val="en-US"/>
        </w:rPr>
        <w:t xml:space="preserve">Recommendations for </w:t>
      </w:r>
      <w:r>
        <w:rPr>
          <w:i/>
          <w:color w:val="31849B"/>
          <w:szCs w:val="22"/>
          <w:lang w:val="en-US"/>
        </w:rPr>
        <w:t>winter flows</w:t>
      </w:r>
    </w:p>
    <w:p w14:paraId="097E6403" w14:textId="6AFAFA43" w:rsidR="00D70F5D" w:rsidRDefault="00D70F5D" w:rsidP="007B43AD">
      <w:pPr>
        <w:spacing w:after="120" w:line="259" w:lineRule="auto"/>
        <w:ind w:right="-568"/>
        <w:jc w:val="left"/>
      </w:pPr>
      <w:r w:rsidRPr="00FE1DB8">
        <w:rPr>
          <w:b/>
        </w:rPr>
        <w:t>Recommendation</w:t>
      </w:r>
      <w:r>
        <w:rPr>
          <w:b/>
        </w:rPr>
        <w:t xml:space="preserve"> 6</w:t>
      </w:r>
      <w:r w:rsidRPr="00FE1DB8">
        <w:rPr>
          <w:b/>
        </w:rPr>
        <w:t>:</w:t>
      </w:r>
      <w:r>
        <w:t xml:space="preserve"> </w:t>
      </w:r>
      <w:r w:rsidR="007B43AD">
        <w:t>D</w:t>
      </w:r>
      <w:r w:rsidRPr="00FE1DB8">
        <w:t>elivery of environmental water had the greatest proportional effect during wint</w:t>
      </w:r>
      <w:r w:rsidR="007B43AD">
        <w:t xml:space="preserve">er low-flow periods. We recommend that </w:t>
      </w:r>
      <w:r w:rsidRPr="00FE1DB8">
        <w:t xml:space="preserve">discharge and wetted area </w:t>
      </w:r>
      <w:r w:rsidR="007B43AD">
        <w:t xml:space="preserve">are maintained </w:t>
      </w:r>
      <w:r w:rsidRPr="00FE1DB8">
        <w:t xml:space="preserve">during </w:t>
      </w:r>
      <w:r>
        <w:t>low flow periods</w:t>
      </w:r>
      <w:r w:rsidRPr="00FE1DB8">
        <w:t xml:space="preserve"> </w:t>
      </w:r>
      <w:r>
        <w:t xml:space="preserve">to </w:t>
      </w:r>
      <w:r w:rsidRPr="00FE1DB8">
        <w:t>maintain zooplankton and other invertebrates that feed on phytoplankton and periphyton, and in turn increasesfood availability for fish and other higher order consumers during periods in which food availability might otherwise be low.</w:t>
      </w:r>
    </w:p>
    <w:p w14:paraId="50CF85A7" w14:textId="77777777" w:rsidR="00D70F5D" w:rsidRDefault="00D70F5D" w:rsidP="007B43AD">
      <w:pPr>
        <w:spacing w:after="120" w:line="259" w:lineRule="auto"/>
        <w:ind w:right="-568"/>
        <w:jc w:val="left"/>
      </w:pPr>
      <w:r w:rsidRPr="00B75695">
        <w:rPr>
          <w:b/>
        </w:rPr>
        <w:t>Recommendation</w:t>
      </w:r>
      <w:r>
        <w:rPr>
          <w:b/>
        </w:rPr>
        <w:t xml:space="preserve"> 7</w:t>
      </w:r>
      <w:r>
        <w:t xml:space="preserve">: Prevent negative impacts of a-seasonal cease-to-flow events by delivering winter base flows to promote temporal availability and continuity of instream habitat for aquatic vegetation. This will have minimise damage from </w:t>
      </w:r>
      <w:r w:rsidRPr="0006441C">
        <w:rPr>
          <w:rFonts w:cs="Calibri"/>
        </w:rPr>
        <w:t xml:space="preserve">damage from frost </w:t>
      </w:r>
      <w:r>
        <w:rPr>
          <w:rFonts w:cs="Calibri"/>
        </w:rPr>
        <w:t xml:space="preserve">and livestock </w:t>
      </w:r>
      <w:r w:rsidRPr="0006441C">
        <w:rPr>
          <w:rFonts w:cs="Calibri"/>
        </w:rPr>
        <w:t>if the system</w:t>
      </w:r>
      <w:r>
        <w:rPr>
          <w:rFonts w:cs="Calibri"/>
        </w:rPr>
        <w:t xml:space="preserve"> is shut down during the winter, and result in </w:t>
      </w:r>
      <w:r>
        <w:t>positive benefits for the survival and maintenance of aquatic and riverbank vegetation.</w:t>
      </w:r>
    </w:p>
    <w:p w14:paraId="44474B35" w14:textId="77777777" w:rsidR="00D70F5D" w:rsidRDefault="00D70F5D" w:rsidP="007B43AD">
      <w:pPr>
        <w:spacing w:after="120" w:line="259" w:lineRule="auto"/>
        <w:ind w:right="-568"/>
        <w:jc w:val="left"/>
      </w:pPr>
      <w:r w:rsidRPr="00B75695">
        <w:rPr>
          <w:b/>
        </w:rPr>
        <w:t>Recommendation</w:t>
      </w:r>
      <w:r>
        <w:rPr>
          <w:b/>
        </w:rPr>
        <w:t xml:space="preserve"> 8</w:t>
      </w:r>
      <w:r>
        <w:t>: Prevent negative impacts of a-seasonal cease-to-flow events by delivering winter base flows to promote temporal availability and continuity of instream habitat for fish. Evidence from 2019-20 monitoring indicates this has positive benefits for the survival and local retention of juvenile fish.</w:t>
      </w:r>
    </w:p>
    <w:tbl>
      <w:tblPr>
        <w:tblStyle w:val="TableGrid"/>
        <w:tblW w:w="9067" w:type="dxa"/>
        <w:tblLook w:val="04A0" w:firstRow="1" w:lastRow="0" w:firstColumn="1" w:lastColumn="0" w:noHBand="0" w:noVBand="1"/>
      </w:tblPr>
      <w:tblGrid>
        <w:gridCol w:w="9067"/>
      </w:tblGrid>
      <w:tr w:rsidR="00D70F5D" w14:paraId="1BA438B1" w14:textId="77777777" w:rsidTr="007D4D5C">
        <w:tc>
          <w:tcPr>
            <w:tcW w:w="9067" w:type="dxa"/>
          </w:tcPr>
          <w:p w14:paraId="3B9D4671" w14:textId="43D29660" w:rsidR="00D70F5D" w:rsidRPr="00E2075F" w:rsidRDefault="00D70F5D" w:rsidP="007B43AD">
            <w:pPr>
              <w:spacing w:after="0" w:line="320" w:lineRule="exact"/>
              <w:ind w:right="-108"/>
              <w:jc w:val="left"/>
              <w:rPr>
                <w:rFonts w:cs="Calibri"/>
                <w:szCs w:val="22"/>
              </w:rPr>
            </w:pPr>
            <w:r w:rsidRPr="00BF3782">
              <w:rPr>
                <w:b/>
                <w:bCs/>
              </w:rPr>
              <w:t>CEWO Adaptive Management Response</w:t>
            </w:r>
            <w:r>
              <w:t>:</w:t>
            </w:r>
            <w:r w:rsidR="006E65C5">
              <w:t xml:space="preserve"> </w:t>
            </w:r>
            <w:r w:rsidRPr="00E2075F">
              <w:rPr>
                <w:rFonts w:cs="Calibri"/>
                <w:szCs w:val="22"/>
              </w:rPr>
              <w:t>The ability to prevent winter cease-to-flow conditions in the Yallakool-Wakool and Colligen-Niemur systems is not controlled by the CEWO. The opportunity to provide winter base flows is determined by the need to undertake annual maintenance on Stevens Weir. The CEWO will continue to work with WaterNSW to identify opportunities to deliver winter base flows in the Edward/Kolety River system.</w:t>
            </w:r>
          </w:p>
        </w:tc>
      </w:tr>
    </w:tbl>
    <w:p w14:paraId="035EA657" w14:textId="77777777" w:rsidR="008D7AAA" w:rsidRDefault="008D7AAA" w:rsidP="00194903">
      <w:pPr>
        <w:spacing w:after="0" w:line="320" w:lineRule="exact"/>
        <w:ind w:right="-284"/>
        <w:jc w:val="left"/>
        <w:rPr>
          <w:i/>
          <w:color w:val="31849B"/>
          <w:szCs w:val="22"/>
          <w:lang w:val="en-US"/>
        </w:rPr>
      </w:pPr>
    </w:p>
    <w:p w14:paraId="04FFE745" w14:textId="77777777" w:rsidR="00D70F5D" w:rsidRPr="00FE1DB8" w:rsidRDefault="00D70F5D" w:rsidP="00D70F5D">
      <w:pPr>
        <w:spacing w:after="120" w:line="320" w:lineRule="exact"/>
        <w:ind w:right="-285"/>
        <w:jc w:val="left"/>
        <w:rPr>
          <w:i/>
          <w:color w:val="31849B"/>
          <w:szCs w:val="22"/>
          <w:lang w:val="en-US"/>
        </w:rPr>
      </w:pPr>
      <w:r w:rsidRPr="00FE1DB8">
        <w:rPr>
          <w:i/>
          <w:color w:val="31849B"/>
          <w:szCs w:val="22"/>
          <w:lang w:val="en-US"/>
        </w:rPr>
        <w:t>Flow recommendation</w:t>
      </w:r>
      <w:r>
        <w:rPr>
          <w:i/>
          <w:color w:val="31849B"/>
          <w:szCs w:val="22"/>
          <w:lang w:val="en-US"/>
        </w:rPr>
        <w:t>s</w:t>
      </w:r>
      <w:r w:rsidRPr="00FE1DB8">
        <w:rPr>
          <w:i/>
          <w:color w:val="31849B"/>
          <w:szCs w:val="22"/>
          <w:lang w:val="en-US"/>
        </w:rPr>
        <w:t xml:space="preserve"> for </w:t>
      </w:r>
      <w:r>
        <w:rPr>
          <w:i/>
          <w:color w:val="31849B"/>
          <w:szCs w:val="22"/>
          <w:lang w:val="en-US"/>
        </w:rPr>
        <w:t>the upper Wakool River</w:t>
      </w:r>
    </w:p>
    <w:p w14:paraId="6857F2EB" w14:textId="77777777" w:rsidR="00D70F5D" w:rsidRDefault="00D70F5D" w:rsidP="007B43AD">
      <w:pPr>
        <w:spacing w:after="120" w:line="259" w:lineRule="auto"/>
        <w:ind w:right="-425"/>
        <w:jc w:val="left"/>
      </w:pPr>
      <w:r w:rsidRPr="003F214C">
        <w:rPr>
          <w:b/>
        </w:rPr>
        <w:t>Recommendation</w:t>
      </w:r>
      <w:r>
        <w:rPr>
          <w:b/>
        </w:rPr>
        <w:t xml:space="preserve"> 9: </w:t>
      </w:r>
      <w:r>
        <w:t>Undertake watering actions to improve the aquatic and riverbank vegetation outcomes in the Upper Wakool River. Deliver larger freshes with increased variability to enable riverbank vegetation to establish and be maintained.</w:t>
      </w:r>
    </w:p>
    <w:p w14:paraId="110F0BB3" w14:textId="77777777" w:rsidR="00D70F5D" w:rsidRDefault="00D70F5D" w:rsidP="007B43AD">
      <w:pPr>
        <w:spacing w:after="120" w:line="259" w:lineRule="auto"/>
        <w:ind w:right="-425"/>
        <w:jc w:val="left"/>
      </w:pPr>
      <w:r w:rsidRPr="00B75695">
        <w:rPr>
          <w:b/>
        </w:rPr>
        <w:t>Recommendation</w:t>
      </w:r>
      <w:r>
        <w:rPr>
          <w:b/>
        </w:rPr>
        <w:t xml:space="preserve"> 10</w:t>
      </w:r>
      <w:r w:rsidRPr="00B75695">
        <w:rPr>
          <w:b/>
        </w:rPr>
        <w:t>:</w:t>
      </w:r>
      <w:r>
        <w:t xml:space="preserve"> Deliver elevated base flows to the Upper Wakool River from September-December to maximise nesting and spawning opportunities for Murray cod. Record catches of larvae have been recorded when this type of watering action is delivered. This type of flow delivery should be supported with subsequent winter base flows throughout the Selected Area to maximise retention and survival of YOY in the region.</w:t>
      </w:r>
    </w:p>
    <w:tbl>
      <w:tblPr>
        <w:tblStyle w:val="TableGrid"/>
        <w:tblW w:w="9150" w:type="dxa"/>
        <w:tblLook w:val="04A0" w:firstRow="1" w:lastRow="0" w:firstColumn="1" w:lastColumn="0" w:noHBand="0" w:noVBand="1"/>
      </w:tblPr>
      <w:tblGrid>
        <w:gridCol w:w="9150"/>
      </w:tblGrid>
      <w:tr w:rsidR="00D70F5D" w14:paraId="4AD14043" w14:textId="77777777" w:rsidTr="007B43AD">
        <w:tc>
          <w:tcPr>
            <w:tcW w:w="9150" w:type="dxa"/>
          </w:tcPr>
          <w:p w14:paraId="09DBA839" w14:textId="051155BE" w:rsidR="00D70F5D" w:rsidRPr="009A7608" w:rsidRDefault="00D70F5D" w:rsidP="000F7D4D">
            <w:pPr>
              <w:spacing w:after="120" w:line="259" w:lineRule="auto"/>
              <w:ind w:left="-71" w:right="-108"/>
              <w:contextualSpacing/>
              <w:jc w:val="left"/>
              <w:rPr>
                <w:rFonts w:cs="Calibri"/>
              </w:rPr>
            </w:pPr>
            <w:r w:rsidRPr="00E2075F">
              <w:rPr>
                <w:b/>
                <w:bCs/>
                <w:szCs w:val="22"/>
              </w:rPr>
              <w:t>CEWO Adaptive Management Response</w:t>
            </w:r>
            <w:r w:rsidRPr="00E2075F">
              <w:rPr>
                <w:szCs w:val="22"/>
              </w:rPr>
              <w:t>:</w:t>
            </w:r>
            <w:r w:rsidR="006E65C5">
              <w:rPr>
                <w:szCs w:val="22"/>
              </w:rPr>
              <w:t xml:space="preserve"> </w:t>
            </w:r>
            <w:r w:rsidRPr="00E2075F">
              <w:rPr>
                <w:rFonts w:cs="Calibri"/>
                <w:szCs w:val="22"/>
              </w:rPr>
              <w:t>The CEWO increased flows into the upper Wakool River system during summer and autumn 2021, primarily to improve water quality in this reach. The CEWO is interested to see if the monitoring also shows any change in vegetation and fish outcomes as a result of these increased flows.</w:t>
            </w:r>
          </w:p>
        </w:tc>
      </w:tr>
    </w:tbl>
    <w:p w14:paraId="589B34F6" w14:textId="77777777" w:rsidR="00D70F5D" w:rsidRDefault="00D70F5D" w:rsidP="007B43AD">
      <w:pPr>
        <w:spacing w:after="120" w:line="259" w:lineRule="auto"/>
        <w:ind w:right="-284"/>
        <w:contextualSpacing/>
        <w:jc w:val="left"/>
        <w:rPr>
          <w:b/>
          <w:bCs/>
        </w:rPr>
      </w:pPr>
    </w:p>
    <w:p w14:paraId="53489280" w14:textId="05131200" w:rsidR="00D70F5D" w:rsidRDefault="00D70F5D" w:rsidP="007B43AD">
      <w:pPr>
        <w:pBdr>
          <w:top w:val="single" w:sz="4" w:space="1" w:color="auto"/>
          <w:left w:val="single" w:sz="4" w:space="0" w:color="auto"/>
          <w:bottom w:val="single" w:sz="4" w:space="1" w:color="auto"/>
          <w:right w:val="single" w:sz="4" w:space="4" w:color="auto"/>
        </w:pBdr>
        <w:spacing w:after="120" w:line="259" w:lineRule="auto"/>
        <w:ind w:right="-567"/>
        <w:contextualSpacing/>
        <w:jc w:val="left"/>
      </w:pPr>
      <w:r w:rsidRPr="00E2075F">
        <w:rPr>
          <w:b/>
        </w:rPr>
        <w:t>CEWO Adaptive Management Response</w:t>
      </w:r>
      <w:r>
        <w:rPr>
          <w:b/>
        </w:rPr>
        <w:t>:</w:t>
      </w:r>
      <w:r w:rsidR="006E65C5">
        <w:rPr>
          <w:b/>
        </w:rPr>
        <w:t xml:space="preserve"> </w:t>
      </w:r>
      <w:r w:rsidRPr="001B5621">
        <w:t xml:space="preserve">A number of the recommendations above are linked to recommendations </w:t>
      </w:r>
      <w:r>
        <w:t xml:space="preserve">for </w:t>
      </w:r>
      <w:r w:rsidRPr="00CB0980">
        <w:t>aquatic and riverbank vegetation outcomes</w:t>
      </w:r>
      <w:r w:rsidRPr="001B5621">
        <w:t>. The CEWO will seek to implement these recommendations via multi-objective watering actions, as it has done so in the past.</w:t>
      </w:r>
    </w:p>
    <w:p w14:paraId="22290DEC" w14:textId="77777777" w:rsidR="00D70F5D" w:rsidRDefault="00D70F5D" w:rsidP="007B43AD">
      <w:pPr>
        <w:spacing w:after="120" w:line="259" w:lineRule="auto"/>
        <w:ind w:right="-284"/>
        <w:contextualSpacing/>
        <w:jc w:val="left"/>
        <w:rPr>
          <w:rFonts w:asciiTheme="minorHAnsi" w:eastAsia="Times New Roman" w:hAnsiTheme="minorHAnsi"/>
          <w:b/>
          <w:i/>
          <w:color w:val="31849B"/>
          <w:sz w:val="24"/>
          <w:szCs w:val="24"/>
          <w:lang w:eastAsia="en-AU"/>
        </w:rPr>
      </w:pPr>
    </w:p>
    <w:p w14:paraId="1AF18A69" w14:textId="041AE9D2" w:rsidR="004B07DD" w:rsidRPr="00C94C42" w:rsidRDefault="004B07DD" w:rsidP="004B07DD">
      <w:pPr>
        <w:spacing w:after="120" w:line="320" w:lineRule="exact"/>
        <w:ind w:right="-569"/>
        <w:jc w:val="left"/>
        <w:rPr>
          <w:i/>
          <w:color w:val="31849B"/>
          <w:szCs w:val="22"/>
          <w:lang w:val="en-US"/>
        </w:rPr>
      </w:pPr>
      <w:r w:rsidRPr="00C94C42">
        <w:rPr>
          <w:i/>
          <w:color w:val="31849B"/>
          <w:szCs w:val="22"/>
          <w:lang w:val="en-US"/>
        </w:rPr>
        <w:t xml:space="preserve">Flow recommendations for </w:t>
      </w:r>
      <w:r>
        <w:rPr>
          <w:i/>
          <w:color w:val="31849B"/>
          <w:szCs w:val="22"/>
          <w:lang w:val="en-US"/>
        </w:rPr>
        <w:t>Edward</w:t>
      </w:r>
      <w:r w:rsidR="00913A23">
        <w:rPr>
          <w:i/>
          <w:color w:val="31849B"/>
          <w:szCs w:val="22"/>
          <w:lang w:val="en-US"/>
        </w:rPr>
        <w:t>/Kolety</w:t>
      </w:r>
      <w:r>
        <w:rPr>
          <w:i/>
          <w:color w:val="31849B"/>
          <w:szCs w:val="22"/>
          <w:lang w:val="en-US"/>
        </w:rPr>
        <w:t xml:space="preserve"> River downstream of Stevens Weir</w:t>
      </w:r>
    </w:p>
    <w:p w14:paraId="3F57AB9F" w14:textId="722ACDC5" w:rsidR="004B07DD" w:rsidRDefault="004B07DD" w:rsidP="004B07DD">
      <w:pPr>
        <w:spacing w:after="120" w:line="259" w:lineRule="auto"/>
        <w:ind w:right="-567"/>
        <w:jc w:val="left"/>
      </w:pPr>
      <w:r w:rsidRPr="00B75695">
        <w:rPr>
          <w:b/>
        </w:rPr>
        <w:t>Recommendation</w:t>
      </w:r>
      <w:r>
        <w:rPr>
          <w:b/>
        </w:rPr>
        <w:t xml:space="preserve"> 11</w:t>
      </w:r>
      <w:r w:rsidRPr="00B75695">
        <w:rPr>
          <w:b/>
        </w:rPr>
        <w:t>:</w:t>
      </w:r>
      <w:r>
        <w:t xml:space="preserve"> We recommend that options for a high flow event downstream of Stevens Weir (&gt;2700 ML/day) that inundates low lying part of Werai forest and is likely to return flows to either Colligen Creek or the Edward/Kolety River are explored. </w:t>
      </w:r>
    </w:p>
    <w:p w14:paraId="215FC58F" w14:textId="77777777" w:rsidR="004B07DD" w:rsidRDefault="004B07DD" w:rsidP="004B07DD">
      <w:pPr>
        <w:pBdr>
          <w:top w:val="single" w:sz="4" w:space="1" w:color="auto"/>
          <w:left w:val="single" w:sz="4" w:space="0" w:color="auto"/>
          <w:bottom w:val="single" w:sz="4" w:space="1" w:color="auto"/>
          <w:right w:val="single" w:sz="4" w:space="0" w:color="auto"/>
        </w:pBdr>
        <w:spacing w:after="120" w:line="259" w:lineRule="auto"/>
        <w:ind w:left="28" w:right="-569"/>
        <w:contextualSpacing/>
        <w:jc w:val="left"/>
      </w:pPr>
      <w:r w:rsidRPr="00E2075F">
        <w:rPr>
          <w:b/>
        </w:rPr>
        <w:t>CEWO Adaptive Management Response</w:t>
      </w:r>
      <w:r>
        <w:rPr>
          <w:b/>
        </w:rPr>
        <w:t xml:space="preserve">: </w:t>
      </w:r>
      <w:r>
        <w:t>Options for delivering environmental water to Werai</w:t>
      </w:r>
      <w:r w:rsidRPr="001B5621">
        <w:t xml:space="preserve"> </w:t>
      </w:r>
      <w:r>
        <w:t>Forest are being explored. There are issues around delivery and gauging of water that need to be resolved.</w:t>
      </w:r>
    </w:p>
    <w:p w14:paraId="27705174" w14:textId="77777777" w:rsidR="004B07DD" w:rsidRDefault="004B07DD" w:rsidP="007B43AD">
      <w:pPr>
        <w:spacing w:after="120" w:line="259" w:lineRule="auto"/>
        <w:ind w:right="-284"/>
        <w:contextualSpacing/>
        <w:jc w:val="left"/>
        <w:rPr>
          <w:rFonts w:asciiTheme="minorHAnsi" w:eastAsia="Times New Roman" w:hAnsiTheme="minorHAnsi"/>
          <w:b/>
          <w:i/>
          <w:color w:val="31849B"/>
          <w:sz w:val="24"/>
          <w:szCs w:val="24"/>
          <w:lang w:eastAsia="en-AU"/>
        </w:rPr>
      </w:pPr>
    </w:p>
    <w:p w14:paraId="79CD179F" w14:textId="77777777" w:rsidR="004B07DD" w:rsidRDefault="004B07DD">
      <w:pPr>
        <w:spacing w:after="0" w:line="240" w:lineRule="auto"/>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br w:type="page"/>
      </w:r>
    </w:p>
    <w:p w14:paraId="1C07CCE9" w14:textId="6F250210" w:rsidR="00D70F5D" w:rsidRPr="00F34F25" w:rsidRDefault="00D70F5D" w:rsidP="008D7AAA">
      <w:pPr>
        <w:spacing w:after="240" w:line="259" w:lineRule="auto"/>
        <w:ind w:right="-284"/>
        <w:jc w:val="left"/>
        <w:rPr>
          <w:rFonts w:asciiTheme="minorHAnsi" w:eastAsia="Times New Roman" w:hAnsiTheme="minorHAnsi"/>
          <w:b/>
          <w:i/>
          <w:color w:val="31849B"/>
          <w:sz w:val="24"/>
          <w:szCs w:val="24"/>
          <w:lang w:eastAsia="en-AU"/>
        </w:rPr>
      </w:pPr>
      <w:r w:rsidRPr="00F34F25">
        <w:rPr>
          <w:rFonts w:asciiTheme="minorHAnsi" w:eastAsia="Times New Roman" w:hAnsiTheme="minorHAnsi"/>
          <w:b/>
          <w:i/>
          <w:color w:val="31849B"/>
          <w:sz w:val="24"/>
          <w:szCs w:val="24"/>
          <w:lang w:eastAsia="en-AU"/>
        </w:rPr>
        <w:t>Recommendations for monitoring and research</w:t>
      </w:r>
    </w:p>
    <w:p w14:paraId="724CC6A1" w14:textId="06618EBC" w:rsidR="00D70F5D" w:rsidRDefault="00D70F5D" w:rsidP="007B43AD">
      <w:pPr>
        <w:spacing w:after="120" w:line="259" w:lineRule="auto"/>
        <w:ind w:right="-425"/>
        <w:jc w:val="left"/>
      </w:pPr>
      <w:r w:rsidRPr="006165AA">
        <w:rPr>
          <w:b/>
        </w:rPr>
        <w:t>Recommendation</w:t>
      </w:r>
      <w:r>
        <w:rPr>
          <w:b/>
        </w:rPr>
        <w:t xml:space="preserve"> 1</w:t>
      </w:r>
      <w:r w:rsidR="000F20B5">
        <w:rPr>
          <w:b/>
        </w:rPr>
        <w:t>2</w:t>
      </w:r>
      <w:r w:rsidRPr="006165AA">
        <w:rPr>
          <w:b/>
        </w:rPr>
        <w:t>:</w:t>
      </w:r>
      <w:r>
        <w:t xml:space="preserve"> We recommend that a campaign/intervention monitoring type of study be undertaken during a high flow event (&gt;2700 ML/day) that inundates low lying part of Werai forest and is likely to return flows to either Colligen Creek or the Edward/Kolety River. The evaluation of primary productivity associated with the event would be enhanced by the installation of temporary gauges to collect data on the inflows to the forest. Analysis of Sentinel images would also quantify extent of inundation within Werai Forest.</w:t>
      </w:r>
    </w:p>
    <w:p w14:paraId="066D1357" w14:textId="02E5719E" w:rsidR="00D70F5D" w:rsidRPr="001E49D3" w:rsidRDefault="00D70F5D" w:rsidP="007B43AD">
      <w:pPr>
        <w:spacing w:after="120" w:line="259" w:lineRule="auto"/>
        <w:ind w:right="-425"/>
        <w:jc w:val="left"/>
      </w:pPr>
      <w:r w:rsidRPr="006165AA">
        <w:rPr>
          <w:b/>
        </w:rPr>
        <w:t>Recommendation</w:t>
      </w:r>
      <w:r>
        <w:rPr>
          <w:b/>
        </w:rPr>
        <w:t xml:space="preserve"> 1</w:t>
      </w:r>
      <w:r w:rsidR="000F20B5">
        <w:rPr>
          <w:b/>
        </w:rPr>
        <w:t>3</w:t>
      </w:r>
      <w:r w:rsidRPr="006165AA">
        <w:rPr>
          <w:b/>
        </w:rPr>
        <w:t>:</w:t>
      </w:r>
      <w:r>
        <w:t xml:space="preserve"> Targeted eDNA methods are most suitable when the objective is to document the distribution of species inefficiently sampled by other methods. This research has shown that eDNA is an effective method to detect the presence of rare and threatened species in the Edward/Kolety-Wakool system. We recommend future work explores occupancy modelling to enable detection probabilities to be estimated.</w:t>
      </w:r>
    </w:p>
    <w:p w14:paraId="218BA608" w14:textId="55F32AA9" w:rsidR="00D70F5D" w:rsidRDefault="00D70F5D" w:rsidP="007B43AD">
      <w:pPr>
        <w:spacing w:after="120" w:line="259" w:lineRule="auto"/>
        <w:ind w:right="-425"/>
        <w:jc w:val="left"/>
        <w:rPr>
          <w:color w:val="000000" w:themeColor="text1"/>
        </w:rPr>
      </w:pPr>
      <w:r w:rsidRPr="003F214C">
        <w:rPr>
          <w:b/>
        </w:rPr>
        <w:t>Recommendation</w:t>
      </w:r>
      <w:r>
        <w:rPr>
          <w:b/>
        </w:rPr>
        <w:t xml:space="preserve"> 1</w:t>
      </w:r>
      <w:r w:rsidR="000F20B5">
        <w:rPr>
          <w:b/>
        </w:rPr>
        <w:t>4</w:t>
      </w:r>
      <w:r w:rsidRPr="003F214C">
        <w:rPr>
          <w:b/>
        </w:rPr>
        <w:t>:</w:t>
      </w:r>
      <w:r>
        <w:t xml:space="preserve"> </w:t>
      </w:r>
      <w:r>
        <w:rPr>
          <w:color w:val="000000" w:themeColor="text1"/>
        </w:rPr>
        <w:t>Although</w:t>
      </w:r>
      <w:r w:rsidRPr="008B0AA5">
        <w:rPr>
          <w:color w:val="000000" w:themeColor="text1"/>
        </w:rPr>
        <w:t xml:space="preserve"> the</w:t>
      </w:r>
      <w:r>
        <w:rPr>
          <w:color w:val="000000" w:themeColor="text1"/>
        </w:rPr>
        <w:t>re</w:t>
      </w:r>
      <w:r w:rsidRPr="008B0AA5">
        <w:rPr>
          <w:color w:val="000000" w:themeColor="text1"/>
        </w:rPr>
        <w:t xml:space="preserve"> were no golden or silver perch eggs or larvae detected in the Edward/Kolety River in 2019-20, further monitoring over a longer period of time is warranted.</w:t>
      </w:r>
      <w:r>
        <w:rPr>
          <w:color w:val="000000" w:themeColor="text1"/>
        </w:rPr>
        <w:t xml:space="preserve"> T</w:t>
      </w:r>
      <w:r w:rsidRPr="008B0AA5">
        <w:rPr>
          <w:color w:val="000000" w:themeColor="text1"/>
        </w:rPr>
        <w:t xml:space="preserve">he growing appreciation of large spatial scales </w:t>
      </w:r>
      <w:r>
        <w:rPr>
          <w:color w:val="000000" w:themeColor="text1"/>
        </w:rPr>
        <w:t xml:space="preserve">at which these species operate </w:t>
      </w:r>
      <w:r w:rsidRPr="008B0AA5">
        <w:rPr>
          <w:color w:val="000000" w:themeColor="text1"/>
        </w:rPr>
        <w:t xml:space="preserve">highlights the need for continued monitoring of spawning and recruitment indicators across key main channel </w:t>
      </w:r>
      <w:r>
        <w:rPr>
          <w:color w:val="000000" w:themeColor="text1"/>
        </w:rPr>
        <w:t>and off-channel environments in both the s</w:t>
      </w:r>
      <w:r w:rsidRPr="008B0AA5">
        <w:rPr>
          <w:color w:val="000000" w:themeColor="text1"/>
        </w:rPr>
        <w:t xml:space="preserve">outhern and </w:t>
      </w:r>
      <w:r>
        <w:rPr>
          <w:color w:val="000000" w:themeColor="text1"/>
        </w:rPr>
        <w:t>n</w:t>
      </w:r>
      <w:r w:rsidRPr="008B0AA5">
        <w:rPr>
          <w:color w:val="000000" w:themeColor="text1"/>
        </w:rPr>
        <w:t>orthern Murray-Darling Basin.</w:t>
      </w:r>
      <w:r>
        <w:rPr>
          <w:color w:val="000000" w:themeColor="text1"/>
        </w:rPr>
        <w:t xml:space="preserve"> Ongoing monitoring and analysis of the pattern of flow delivery and water velocities across multiple years will be able to better inform a discussion about spawning of silver perch and golden perch in the Edward/Kolety River.</w:t>
      </w:r>
    </w:p>
    <w:p w14:paraId="056D47F1" w14:textId="37F00D64" w:rsidR="00D70F5D" w:rsidRPr="00F34F25" w:rsidRDefault="00D70F5D" w:rsidP="008D7AAA">
      <w:pPr>
        <w:spacing w:after="240" w:line="259" w:lineRule="auto"/>
        <w:ind w:right="-425"/>
        <w:contextualSpacing/>
        <w:jc w:val="left"/>
        <w:rPr>
          <w:rFonts w:asciiTheme="minorHAnsi" w:eastAsia="Times New Roman" w:hAnsiTheme="minorHAnsi"/>
          <w:b/>
          <w:i/>
          <w:color w:val="31849B"/>
          <w:sz w:val="24"/>
          <w:szCs w:val="24"/>
          <w:lang w:eastAsia="en-AU"/>
        </w:rPr>
      </w:pPr>
      <w:r w:rsidRPr="00F34F25">
        <w:rPr>
          <w:rFonts w:asciiTheme="minorHAnsi" w:eastAsia="Times New Roman" w:hAnsiTheme="minorHAnsi"/>
          <w:b/>
          <w:i/>
          <w:color w:val="31849B"/>
          <w:sz w:val="24"/>
          <w:szCs w:val="24"/>
          <w:lang w:eastAsia="en-AU"/>
        </w:rPr>
        <w:t>Recommendation for communication</w:t>
      </w:r>
      <w:r w:rsidR="007B43AD">
        <w:rPr>
          <w:rFonts w:asciiTheme="minorHAnsi" w:eastAsia="Times New Roman" w:hAnsiTheme="minorHAnsi"/>
          <w:b/>
          <w:i/>
          <w:color w:val="31849B"/>
          <w:sz w:val="24"/>
          <w:szCs w:val="24"/>
          <w:lang w:eastAsia="en-AU"/>
        </w:rPr>
        <w:t xml:space="preserve"> and engagement</w:t>
      </w:r>
    </w:p>
    <w:p w14:paraId="3B53E032" w14:textId="7EBD725B" w:rsidR="00D70F5D" w:rsidRPr="00F06B95" w:rsidRDefault="00D70F5D" w:rsidP="007B43AD">
      <w:pPr>
        <w:spacing w:after="120" w:line="259" w:lineRule="auto"/>
        <w:ind w:right="-426"/>
        <w:contextualSpacing/>
        <w:jc w:val="left"/>
        <w:rPr>
          <w:rFonts w:asciiTheme="minorHAnsi" w:eastAsia="Times New Roman" w:hAnsiTheme="minorHAnsi"/>
          <w:b/>
          <w:i/>
          <w:color w:val="31849B"/>
          <w:sz w:val="24"/>
          <w:szCs w:val="24"/>
          <w:lang w:eastAsia="en-AU"/>
        </w:rPr>
      </w:pPr>
      <w:r w:rsidRPr="003F214C">
        <w:rPr>
          <w:b/>
        </w:rPr>
        <w:t>Recommendation</w:t>
      </w:r>
      <w:r>
        <w:rPr>
          <w:b/>
        </w:rPr>
        <w:t xml:space="preserve"> 1</w:t>
      </w:r>
      <w:r w:rsidR="000F20B5">
        <w:rPr>
          <w:b/>
        </w:rPr>
        <w:t>5</w:t>
      </w:r>
      <w:r w:rsidRPr="003F214C">
        <w:rPr>
          <w:b/>
        </w:rPr>
        <w:t>:</w:t>
      </w:r>
      <w:r>
        <w:t xml:space="preserve"> Consider developing communication products and contribute to engagement programs in collaboration with other agencies (e.g. Local Land Services) to </w:t>
      </w:r>
      <w:r>
        <w:rPr>
          <w:rFonts w:cs="Calibri"/>
        </w:rPr>
        <w:t>support projects that reduce</w:t>
      </w:r>
      <w:r w:rsidRPr="0006441C">
        <w:rPr>
          <w:rFonts w:cs="Calibri"/>
        </w:rPr>
        <w:t xml:space="preserve"> risks to recovery </w:t>
      </w:r>
      <w:r>
        <w:rPr>
          <w:rFonts w:cs="Calibri"/>
        </w:rPr>
        <w:t>and maintenance of</w:t>
      </w:r>
      <w:r w:rsidRPr="0006441C">
        <w:rPr>
          <w:rFonts w:cs="Calibri"/>
        </w:rPr>
        <w:t xml:space="preserve"> </w:t>
      </w:r>
      <w:r>
        <w:rPr>
          <w:rFonts w:cs="Calibri"/>
        </w:rPr>
        <w:t>aquatic and</w:t>
      </w:r>
      <w:r w:rsidRPr="0006441C">
        <w:rPr>
          <w:rFonts w:cs="Calibri"/>
        </w:rPr>
        <w:t xml:space="preserve"> riverbank plants </w:t>
      </w:r>
      <w:r>
        <w:rPr>
          <w:rFonts w:cs="Calibri"/>
        </w:rPr>
        <w:t>by</w:t>
      </w:r>
      <w:r w:rsidRPr="0006441C">
        <w:rPr>
          <w:rFonts w:cs="Calibri"/>
        </w:rPr>
        <w:t xml:space="preserve"> carp, pigs </w:t>
      </w:r>
      <w:r>
        <w:rPr>
          <w:rFonts w:cs="Calibri"/>
        </w:rPr>
        <w:t xml:space="preserve">and livestock. Disturbance of the riverbank caused by carp, pigs and livestock has a high potential to undo the positive outcomes of environmental watering actions. </w:t>
      </w:r>
    </w:p>
    <w:p w14:paraId="78FFDD35" w14:textId="77777777" w:rsidR="00041B44" w:rsidRPr="00995192" w:rsidRDefault="00041B44" w:rsidP="00995192">
      <w:pPr>
        <w:rPr>
          <w:lang w:val="en-US" w:eastAsia="en-AU"/>
        </w:rPr>
        <w:sectPr w:rsidR="00041B44" w:rsidRPr="00995192" w:rsidSect="00D31D04">
          <w:pgSz w:w="11906" w:h="16838"/>
          <w:pgMar w:top="1440" w:right="1700" w:bottom="1440" w:left="1701" w:header="709" w:footer="709" w:gutter="0"/>
          <w:cols w:space="708"/>
          <w:titlePg/>
          <w:docGrid w:linePitch="360"/>
        </w:sectPr>
      </w:pPr>
    </w:p>
    <w:p w14:paraId="3B4F8585" w14:textId="182EF542" w:rsidR="00887F53" w:rsidRPr="00523069" w:rsidRDefault="00E66145" w:rsidP="00836CDD">
      <w:pPr>
        <w:pStyle w:val="Heading1"/>
      </w:pPr>
      <w:bookmarkStart w:id="3" w:name="_Toc69846013"/>
      <w:r w:rsidRPr="00523069">
        <w:t>1</w:t>
      </w:r>
      <w:r w:rsidRPr="00523069">
        <w:tab/>
      </w:r>
      <w:r w:rsidR="004D403B" w:rsidRPr="00523069">
        <w:t>I</w:t>
      </w:r>
      <w:r w:rsidR="00887F53" w:rsidRPr="00523069">
        <w:t>ntroduction</w:t>
      </w:r>
      <w:bookmarkEnd w:id="3"/>
    </w:p>
    <w:p w14:paraId="3B4F8586" w14:textId="02CEAF29" w:rsidR="00A93118" w:rsidRPr="001E3F80" w:rsidRDefault="00A93118" w:rsidP="0040642F">
      <w:pPr>
        <w:pStyle w:val="Para0"/>
        <w:numPr>
          <w:ilvl w:val="1"/>
          <w:numId w:val="23"/>
        </w:numPr>
        <w:spacing w:before="0" w:after="240" w:line="320" w:lineRule="exact"/>
        <w:rPr>
          <w:rFonts w:ascii="Calibri" w:eastAsia="Calibri" w:hAnsi="Calibri" w:cs="Times New Roman"/>
          <w:b/>
          <w:color w:val="31849B" w:themeColor="accent5" w:themeShade="BF"/>
          <w:sz w:val="28"/>
          <w:szCs w:val="28"/>
          <w:lang w:val="en-AU"/>
        </w:rPr>
      </w:pPr>
      <w:r w:rsidRPr="001E3F80">
        <w:rPr>
          <w:rFonts w:ascii="Calibri" w:eastAsia="Calibri" w:hAnsi="Calibri" w:cs="Times New Roman"/>
          <w:b/>
          <w:color w:val="31849B" w:themeColor="accent5" w:themeShade="BF"/>
          <w:sz w:val="28"/>
          <w:szCs w:val="28"/>
          <w:lang w:val="en-AU"/>
        </w:rPr>
        <w:t>Purpose of this report</w:t>
      </w:r>
    </w:p>
    <w:p w14:paraId="1B8E7357" w14:textId="00BEC15B" w:rsidR="006D6FBF" w:rsidRDefault="00FF725E" w:rsidP="007E61A6">
      <w:pPr>
        <w:pStyle w:val="Para0"/>
        <w:spacing w:before="0" w:line="320" w:lineRule="exact"/>
        <w:ind w:right="-142"/>
        <w:rPr>
          <w:rFonts w:asciiTheme="minorHAnsi" w:hAnsiTheme="minorHAnsi"/>
          <w:sz w:val="22"/>
          <w:szCs w:val="22"/>
        </w:rPr>
      </w:pPr>
      <w:r w:rsidRPr="00FF725E">
        <w:rPr>
          <w:rFonts w:asciiTheme="minorHAnsi" w:hAnsiTheme="minorHAnsi"/>
          <w:sz w:val="22"/>
          <w:szCs w:val="22"/>
        </w:rPr>
        <w:t xml:space="preserve">The </w:t>
      </w:r>
      <w:r w:rsidRPr="001E3C65">
        <w:rPr>
          <w:rFonts w:asciiTheme="minorHAnsi" w:hAnsiTheme="minorHAnsi"/>
          <w:sz w:val="22"/>
          <w:szCs w:val="22"/>
        </w:rPr>
        <w:t>Commonwealth Envi</w:t>
      </w:r>
      <w:r>
        <w:rPr>
          <w:rFonts w:asciiTheme="minorHAnsi" w:hAnsiTheme="minorHAnsi"/>
          <w:sz w:val="22"/>
          <w:szCs w:val="22"/>
        </w:rPr>
        <w:t>ronmental Water Office (</w:t>
      </w:r>
      <w:r w:rsidRPr="00FF725E">
        <w:rPr>
          <w:rFonts w:asciiTheme="minorHAnsi" w:hAnsiTheme="minorHAnsi"/>
          <w:sz w:val="22"/>
          <w:szCs w:val="22"/>
        </w:rPr>
        <w:t>CEWO</w:t>
      </w:r>
      <w:r>
        <w:rPr>
          <w:rFonts w:asciiTheme="minorHAnsi" w:hAnsiTheme="minorHAnsi"/>
          <w:sz w:val="22"/>
          <w:szCs w:val="22"/>
        </w:rPr>
        <w:t xml:space="preserve">) </w:t>
      </w:r>
      <w:r w:rsidR="00E71C01">
        <w:rPr>
          <w:rFonts w:asciiTheme="minorHAnsi" w:hAnsiTheme="minorHAnsi"/>
          <w:sz w:val="22"/>
          <w:szCs w:val="22"/>
        </w:rPr>
        <w:t>Monitoring, Evaluation and Research (</w:t>
      </w:r>
      <w:r w:rsidRPr="00FF725E">
        <w:rPr>
          <w:rFonts w:asciiTheme="minorHAnsi" w:hAnsiTheme="minorHAnsi"/>
          <w:sz w:val="22"/>
          <w:szCs w:val="22"/>
        </w:rPr>
        <w:t>MER</w:t>
      </w:r>
      <w:r w:rsidR="00E71C01">
        <w:rPr>
          <w:rFonts w:asciiTheme="minorHAnsi" w:hAnsiTheme="minorHAnsi"/>
          <w:sz w:val="22"/>
          <w:szCs w:val="22"/>
        </w:rPr>
        <w:t>)</w:t>
      </w:r>
      <w:r w:rsidRPr="00FF725E">
        <w:rPr>
          <w:rFonts w:asciiTheme="minorHAnsi" w:hAnsiTheme="minorHAnsi"/>
          <w:sz w:val="22"/>
          <w:szCs w:val="22"/>
        </w:rPr>
        <w:t xml:space="preserve"> Program (2019 to 2022) is an extension of the </w:t>
      </w:r>
      <w:r w:rsidRPr="001E3C65">
        <w:rPr>
          <w:rFonts w:asciiTheme="minorHAnsi" w:hAnsiTheme="minorHAnsi"/>
          <w:sz w:val="22"/>
          <w:szCs w:val="22"/>
        </w:rPr>
        <w:t xml:space="preserve">Long-Term Intervention Monitoring (LTIM) </w:t>
      </w:r>
      <w:r w:rsidRPr="00FF725E">
        <w:rPr>
          <w:rFonts w:asciiTheme="minorHAnsi" w:hAnsiTheme="minorHAnsi"/>
          <w:sz w:val="22"/>
          <w:szCs w:val="22"/>
        </w:rPr>
        <w:t xml:space="preserve">and </w:t>
      </w:r>
      <w:hyperlink r:id="rId23" w:history="1">
        <w:r w:rsidRPr="00FF725E">
          <w:rPr>
            <w:rFonts w:asciiTheme="minorHAnsi" w:hAnsiTheme="minorHAnsi"/>
            <w:sz w:val="22"/>
            <w:szCs w:val="22"/>
          </w:rPr>
          <w:t>Murray-Darling Basin Environmental Water Knowledge and Research Project</w:t>
        </w:r>
      </w:hyperlink>
      <w:r w:rsidRPr="00FF725E">
        <w:rPr>
          <w:rFonts w:asciiTheme="minorHAnsi" w:hAnsiTheme="minorHAnsi"/>
          <w:sz w:val="22"/>
          <w:szCs w:val="22"/>
        </w:rPr>
        <w:t xml:space="preserve"> (EWKR) projects, with monitoring, evaluation and research activities undertaken within a single integrated program.</w:t>
      </w:r>
    </w:p>
    <w:p w14:paraId="6D026C8E" w14:textId="42EB8A3A" w:rsidR="00FA721B" w:rsidRPr="001E3C65" w:rsidRDefault="00A93118" w:rsidP="00CB22E9">
      <w:pPr>
        <w:pStyle w:val="Para0"/>
        <w:spacing w:before="0" w:line="320" w:lineRule="exact"/>
        <w:ind w:right="-142"/>
        <w:contextualSpacing/>
        <w:rPr>
          <w:rFonts w:asciiTheme="minorHAnsi" w:hAnsiTheme="minorHAnsi"/>
          <w:sz w:val="22"/>
          <w:szCs w:val="22"/>
        </w:rPr>
      </w:pPr>
      <w:r w:rsidRPr="001E3C65">
        <w:rPr>
          <w:rFonts w:asciiTheme="minorHAnsi" w:hAnsiTheme="minorHAnsi"/>
          <w:sz w:val="22"/>
          <w:szCs w:val="22"/>
        </w:rPr>
        <w:t xml:space="preserve">The LTIM Project </w:t>
      </w:r>
      <w:r w:rsidR="00CB22E9">
        <w:rPr>
          <w:rFonts w:asciiTheme="minorHAnsi" w:hAnsiTheme="minorHAnsi"/>
          <w:sz w:val="22"/>
          <w:szCs w:val="22"/>
        </w:rPr>
        <w:t>was</w:t>
      </w:r>
      <w:r w:rsidRPr="001E3C65">
        <w:rPr>
          <w:rFonts w:asciiTheme="minorHAnsi" w:hAnsiTheme="minorHAnsi"/>
          <w:sz w:val="22"/>
          <w:szCs w:val="22"/>
        </w:rPr>
        <w:t xml:space="preserve"> implemented over five years from 2014-15 to 2018-19 to deliver five outcomes:</w:t>
      </w:r>
    </w:p>
    <w:p w14:paraId="3B4F8588" w14:textId="7DBC926B" w:rsidR="00A93118" w:rsidRPr="001E3C65" w:rsidRDefault="00A93118" w:rsidP="0040642F">
      <w:pPr>
        <w:pStyle w:val="Para0"/>
        <w:numPr>
          <w:ilvl w:val="0"/>
          <w:numId w:val="22"/>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Evaluate the contribution of Commonwealth environmental watering to the objectives of the Murray-Darling Basin Authorities (MDBA) Environmental Watering Plan</w:t>
      </w:r>
      <w:r w:rsidR="003B2951">
        <w:rPr>
          <w:rFonts w:asciiTheme="minorHAnsi" w:hAnsiTheme="minorHAnsi"/>
          <w:sz w:val="22"/>
          <w:szCs w:val="22"/>
        </w:rPr>
        <w:t>.</w:t>
      </w:r>
    </w:p>
    <w:p w14:paraId="3B4F8589" w14:textId="228594C1" w:rsidR="00A93118" w:rsidRPr="001E3C65" w:rsidRDefault="00A93118" w:rsidP="0040642F">
      <w:pPr>
        <w:pStyle w:val="Para0"/>
        <w:numPr>
          <w:ilvl w:val="0"/>
          <w:numId w:val="22"/>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 xml:space="preserve">Evaluate the ecological outcomes of Commonwealth environmental watering in each of the seven Selected </w:t>
      </w:r>
      <w:r w:rsidR="003B2951" w:rsidRPr="001E3C65">
        <w:rPr>
          <w:rFonts w:asciiTheme="minorHAnsi" w:hAnsiTheme="minorHAnsi"/>
          <w:sz w:val="22"/>
          <w:szCs w:val="22"/>
        </w:rPr>
        <w:t>Areas.</w:t>
      </w:r>
    </w:p>
    <w:p w14:paraId="3B4F858A" w14:textId="504E57FF" w:rsidR="00A93118" w:rsidRPr="001E3C65" w:rsidRDefault="00A93118" w:rsidP="0040642F">
      <w:pPr>
        <w:pStyle w:val="Para0"/>
        <w:numPr>
          <w:ilvl w:val="0"/>
          <w:numId w:val="22"/>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 xml:space="preserve">Infer ecological outcomes of Commonwealth environmental watering in areas of the </w:t>
      </w:r>
      <w:r w:rsidR="00F8180E">
        <w:rPr>
          <w:rFonts w:asciiTheme="minorHAnsi" w:hAnsiTheme="minorHAnsi"/>
          <w:sz w:val="22"/>
          <w:szCs w:val="22"/>
        </w:rPr>
        <w:t>MDB that are</w:t>
      </w:r>
      <w:r w:rsidRPr="001E3C65">
        <w:rPr>
          <w:rFonts w:asciiTheme="minorHAnsi" w:hAnsiTheme="minorHAnsi"/>
          <w:sz w:val="22"/>
          <w:szCs w:val="22"/>
        </w:rPr>
        <w:t xml:space="preserve"> not </w:t>
      </w:r>
      <w:r w:rsidR="003B2951" w:rsidRPr="001E3C65">
        <w:rPr>
          <w:rFonts w:asciiTheme="minorHAnsi" w:hAnsiTheme="minorHAnsi"/>
          <w:sz w:val="22"/>
          <w:szCs w:val="22"/>
        </w:rPr>
        <w:t>monitored.</w:t>
      </w:r>
    </w:p>
    <w:p w14:paraId="42BA7D6E" w14:textId="77777777" w:rsidR="00FF725E" w:rsidRDefault="00A93118" w:rsidP="0040642F">
      <w:pPr>
        <w:pStyle w:val="Para0"/>
        <w:numPr>
          <w:ilvl w:val="0"/>
          <w:numId w:val="22"/>
        </w:numPr>
        <w:spacing w:before="0" w:line="320" w:lineRule="exact"/>
        <w:ind w:left="714" w:hanging="357"/>
        <w:contextualSpacing/>
        <w:rPr>
          <w:rFonts w:asciiTheme="minorHAnsi" w:hAnsiTheme="minorHAnsi"/>
          <w:sz w:val="22"/>
          <w:szCs w:val="22"/>
        </w:rPr>
      </w:pPr>
      <w:r w:rsidRPr="001E3C65">
        <w:rPr>
          <w:rFonts w:asciiTheme="minorHAnsi" w:hAnsiTheme="minorHAnsi"/>
          <w:sz w:val="22"/>
          <w:szCs w:val="22"/>
        </w:rPr>
        <w:t xml:space="preserve">Support the adaptive management of Commonwealth environmental water; and </w:t>
      </w:r>
    </w:p>
    <w:p w14:paraId="7A96247B" w14:textId="076ABF7A" w:rsidR="00FA721B" w:rsidRPr="00FF725E" w:rsidRDefault="00A93118" w:rsidP="0040642F">
      <w:pPr>
        <w:pStyle w:val="Para0"/>
        <w:numPr>
          <w:ilvl w:val="0"/>
          <w:numId w:val="22"/>
        </w:numPr>
        <w:spacing w:before="0" w:line="320" w:lineRule="exact"/>
        <w:ind w:left="714" w:hanging="357"/>
        <w:contextualSpacing/>
        <w:rPr>
          <w:rFonts w:asciiTheme="minorHAnsi" w:hAnsiTheme="minorHAnsi"/>
          <w:sz w:val="22"/>
          <w:szCs w:val="22"/>
        </w:rPr>
      </w:pPr>
      <w:r w:rsidRPr="00FF725E">
        <w:rPr>
          <w:rFonts w:asciiTheme="minorHAnsi" w:hAnsiTheme="minorHAnsi"/>
          <w:sz w:val="22"/>
          <w:szCs w:val="22"/>
        </w:rPr>
        <w:t>Monitor the ecological response to Commonwealth environmental watering at each of the seven Selected Areas.</w:t>
      </w:r>
    </w:p>
    <w:p w14:paraId="721B9399" w14:textId="4617FC2D" w:rsidR="006D6FBF" w:rsidRPr="006D6FBF" w:rsidRDefault="00E71C01" w:rsidP="00E015F1">
      <w:pPr>
        <w:spacing w:after="120" w:line="320" w:lineRule="exact"/>
        <w:jc w:val="left"/>
      </w:pPr>
      <w:r>
        <w:t xml:space="preserve">The </w:t>
      </w:r>
      <w:r w:rsidR="006D6FBF" w:rsidRPr="006D6FBF">
        <w:t>MER Program consists of evaluation, research and engagement at a Basin-scale and on ground monitoring, evaluation, research and engagement across seven Selected Areas</w:t>
      </w:r>
      <w:r w:rsidR="006D6FBF">
        <w:t>, one of which is the Edward/Kolety-Wakool system.</w:t>
      </w:r>
      <w:r>
        <w:t xml:space="preserve"> The </w:t>
      </w:r>
      <w:r w:rsidR="006D6FBF" w:rsidRPr="006D6FBF">
        <w:t xml:space="preserve">MER Program </w:t>
      </w:r>
      <w:r w:rsidR="006D6FBF">
        <w:t xml:space="preserve">aims to </w:t>
      </w:r>
      <w:r w:rsidR="001216F6">
        <w:t>provide</w:t>
      </w:r>
      <w:r w:rsidR="006D6FBF" w:rsidRPr="006D6FBF">
        <w:t xml:space="preserve"> the critical evidence </w:t>
      </w:r>
      <w:r w:rsidR="006D6FBF">
        <w:t>that is needed</w:t>
      </w:r>
      <w:r w:rsidR="006D6FBF" w:rsidRPr="006D6FBF">
        <w:t xml:space="preserve"> to understand how water for the environment is helping maintain, protect, and restore the ecosystems and native species across the Murray–Darling Basin. The program </w:t>
      </w:r>
      <w:r w:rsidR="006D6FBF">
        <w:t>will demonstrate</w:t>
      </w:r>
      <w:r w:rsidR="006D6FBF" w:rsidRPr="006D6FBF">
        <w:t xml:space="preserve"> outcomes</w:t>
      </w:r>
      <w:r w:rsidR="006D6FBF">
        <w:t xml:space="preserve"> of environmental watering actions, inform</w:t>
      </w:r>
      <w:r w:rsidR="006D6FBF" w:rsidRPr="006D6FBF">
        <w:t xml:space="preserve"> management of Commonwealth wat</w:t>
      </w:r>
      <w:r w:rsidR="006D6FBF">
        <w:t>er for the environment and will help</w:t>
      </w:r>
      <w:r w:rsidR="006D6FBF" w:rsidRPr="006D6FBF">
        <w:t xml:space="preserve"> meet </w:t>
      </w:r>
      <w:r w:rsidR="006D6FBF">
        <w:t>the CEWO’s</w:t>
      </w:r>
      <w:r w:rsidR="006D6FBF" w:rsidRPr="006D6FBF">
        <w:t xml:space="preserve"> legislative reporting requirements through to June 2022.</w:t>
      </w:r>
    </w:p>
    <w:p w14:paraId="3B4F858D" w14:textId="0C26B2BB" w:rsidR="001E3C65" w:rsidRDefault="00FF725E" w:rsidP="00E015F1">
      <w:pPr>
        <w:spacing w:after="120" w:line="320" w:lineRule="exact"/>
        <w:jc w:val="left"/>
      </w:pPr>
      <w:r w:rsidRPr="00FF725E">
        <w:t xml:space="preserve">This </w:t>
      </w:r>
      <w:r>
        <w:t>report</w:t>
      </w:r>
      <w:r w:rsidRPr="00FF725E">
        <w:t xml:space="preserve"> describes the monitoring, evaluation and research activities that </w:t>
      </w:r>
      <w:r>
        <w:t>were</w:t>
      </w:r>
      <w:r w:rsidRPr="00FF725E">
        <w:t xml:space="preserve"> undertaken </w:t>
      </w:r>
      <w:r>
        <w:t xml:space="preserve">in the Edward/Kolety-Wakool system </w:t>
      </w:r>
      <w:r w:rsidRPr="00FF725E">
        <w:t xml:space="preserve">as part of the CEWO MER Program from July 2019 to </w:t>
      </w:r>
      <w:r>
        <w:t>June 2020</w:t>
      </w:r>
      <w:r w:rsidRPr="00FF725E">
        <w:t xml:space="preserve">. This project </w:t>
      </w:r>
      <w:r>
        <w:t>was</w:t>
      </w:r>
      <w:r w:rsidRPr="00FF725E">
        <w:t xml:space="preserve"> undertaken as a collaboration between Charles Sturt University, NSW DPI (Fisheries), NSW </w:t>
      </w:r>
      <w:r>
        <w:t>Department of Planning, Industry and Environment</w:t>
      </w:r>
      <w:r w:rsidRPr="00FF725E">
        <w:t>, La Trobe University and Streamology</w:t>
      </w:r>
      <w:r>
        <w:t>.</w:t>
      </w:r>
      <w:r w:rsidR="006D6FBF">
        <w:t xml:space="preserve"> </w:t>
      </w:r>
      <w:r w:rsidR="00912683">
        <w:t xml:space="preserve">The fish spawning research was undertaken in partnership with the Edward-Wakool Angling Association. </w:t>
      </w:r>
      <w:r w:rsidR="00E015F1">
        <w:t xml:space="preserve">The monitoring and research described in this report is undertaken using methods and </w:t>
      </w:r>
      <w:r w:rsidR="00CC2321">
        <w:t xml:space="preserve">approaches </w:t>
      </w:r>
      <w:r w:rsidR="00E015F1">
        <w:t>described in the Edward/Kolety-Wakool MER Plan (Watts et al 2019a).</w:t>
      </w:r>
      <w:r w:rsidR="00E015F1" w:rsidRPr="00E015F1">
        <w:t xml:space="preserve"> </w:t>
      </w:r>
      <w:r w:rsidR="00E015F1">
        <w:t>As the MER project is a continuation of the LTIM</w:t>
      </w:r>
      <w:r w:rsidR="00E015F1" w:rsidRPr="00737E17">
        <w:t xml:space="preserve"> Project</w:t>
      </w:r>
      <w:r w:rsidR="00E015F1">
        <w:t>, for some of the monitoring indicators we will evaluate long-term trends across the six years of the LTIM/MER project.</w:t>
      </w:r>
    </w:p>
    <w:p w14:paraId="39B93745" w14:textId="44ACBEA9" w:rsidR="00C62753" w:rsidRDefault="00AC4337" w:rsidP="00E015F1">
      <w:pPr>
        <w:pStyle w:val="CommentText"/>
        <w:spacing w:after="240" w:line="320" w:lineRule="exact"/>
        <w:jc w:val="left"/>
        <w:rPr>
          <w:b/>
          <w:color w:val="31849B" w:themeColor="accent5" w:themeShade="BF"/>
          <w:sz w:val="28"/>
          <w:szCs w:val="28"/>
        </w:rPr>
      </w:pPr>
      <w:r w:rsidRPr="00254299">
        <w:rPr>
          <w:rFonts w:asciiTheme="minorHAnsi" w:hAnsiTheme="minorHAnsi" w:cstheme="minorHAnsi"/>
          <w:sz w:val="22"/>
          <w:szCs w:val="22"/>
        </w:rPr>
        <w:t>T</w:t>
      </w:r>
      <w:r w:rsidR="00597AFA" w:rsidRPr="00254299">
        <w:rPr>
          <w:rFonts w:asciiTheme="minorHAnsi" w:hAnsiTheme="minorHAnsi" w:cstheme="minorHAnsi"/>
          <w:sz w:val="22"/>
          <w:szCs w:val="22"/>
        </w:rPr>
        <w:t xml:space="preserve">his report has </w:t>
      </w:r>
      <w:r w:rsidR="008D7AAA">
        <w:rPr>
          <w:rFonts w:asciiTheme="minorHAnsi" w:hAnsiTheme="minorHAnsi" w:cstheme="minorHAnsi"/>
          <w:sz w:val="22"/>
          <w:szCs w:val="22"/>
        </w:rPr>
        <w:t>thirteen</w:t>
      </w:r>
      <w:r w:rsidRPr="00254299">
        <w:rPr>
          <w:rFonts w:asciiTheme="minorHAnsi" w:hAnsiTheme="minorHAnsi" w:cstheme="minorHAnsi"/>
          <w:sz w:val="22"/>
          <w:szCs w:val="22"/>
        </w:rPr>
        <w:t xml:space="preserve"> sections. </w:t>
      </w:r>
      <w:r w:rsidR="00956AE4" w:rsidRPr="00254299">
        <w:rPr>
          <w:rFonts w:asciiTheme="minorHAnsi" w:hAnsiTheme="minorHAnsi" w:cstheme="minorHAnsi"/>
          <w:sz w:val="22"/>
          <w:szCs w:val="22"/>
        </w:rPr>
        <w:t>This introduction</w:t>
      </w:r>
      <w:r w:rsidR="001E3C65" w:rsidRPr="00254299">
        <w:rPr>
          <w:rFonts w:asciiTheme="minorHAnsi" w:hAnsiTheme="minorHAnsi" w:cstheme="minorHAnsi"/>
          <w:sz w:val="22"/>
          <w:szCs w:val="22"/>
        </w:rPr>
        <w:t xml:space="preserve"> </w:t>
      </w:r>
      <w:r w:rsidR="00956AE4" w:rsidRPr="00254299">
        <w:rPr>
          <w:rFonts w:asciiTheme="minorHAnsi" w:hAnsiTheme="minorHAnsi" w:cstheme="minorHAnsi"/>
          <w:sz w:val="22"/>
          <w:szCs w:val="22"/>
        </w:rPr>
        <w:t>(s</w:t>
      </w:r>
      <w:r w:rsidR="001E3C65" w:rsidRPr="00254299">
        <w:rPr>
          <w:rFonts w:asciiTheme="minorHAnsi" w:hAnsiTheme="minorHAnsi" w:cstheme="minorHAnsi"/>
          <w:sz w:val="22"/>
          <w:szCs w:val="22"/>
        </w:rPr>
        <w:t xml:space="preserve">ection 1) </w:t>
      </w:r>
      <w:r w:rsidR="00407EDC" w:rsidRPr="00254299">
        <w:rPr>
          <w:rFonts w:asciiTheme="minorHAnsi" w:hAnsiTheme="minorHAnsi" w:cstheme="minorHAnsi"/>
          <w:sz w:val="22"/>
          <w:szCs w:val="22"/>
        </w:rPr>
        <w:t xml:space="preserve">is </w:t>
      </w:r>
      <w:r w:rsidR="001E3C65" w:rsidRPr="00254299">
        <w:rPr>
          <w:rFonts w:asciiTheme="minorHAnsi" w:hAnsiTheme="minorHAnsi" w:cstheme="minorHAnsi"/>
          <w:sz w:val="22"/>
          <w:szCs w:val="22"/>
        </w:rPr>
        <w:t xml:space="preserve">followed by a description of the Commonwealth environmental water use objectives and watering actions for this system for </w:t>
      </w:r>
      <w:r w:rsidR="00172EA9" w:rsidRPr="00254299">
        <w:rPr>
          <w:rFonts w:asciiTheme="minorHAnsi" w:hAnsiTheme="minorHAnsi" w:cstheme="minorHAnsi"/>
          <w:sz w:val="22"/>
          <w:szCs w:val="22"/>
        </w:rPr>
        <w:t>201</w:t>
      </w:r>
      <w:r w:rsidR="00FF725E">
        <w:rPr>
          <w:rFonts w:asciiTheme="minorHAnsi" w:hAnsiTheme="minorHAnsi" w:cstheme="minorHAnsi"/>
          <w:sz w:val="22"/>
          <w:szCs w:val="22"/>
        </w:rPr>
        <w:t>9-20</w:t>
      </w:r>
      <w:r w:rsidR="001E3C65" w:rsidRPr="00254299">
        <w:rPr>
          <w:rFonts w:asciiTheme="minorHAnsi" w:hAnsiTheme="minorHAnsi" w:cstheme="minorHAnsi"/>
          <w:sz w:val="22"/>
          <w:szCs w:val="22"/>
        </w:rPr>
        <w:t xml:space="preserve"> </w:t>
      </w:r>
      <w:r w:rsidR="00FF725E">
        <w:rPr>
          <w:rFonts w:asciiTheme="minorHAnsi" w:hAnsiTheme="minorHAnsi" w:cstheme="minorHAnsi"/>
          <w:sz w:val="22"/>
          <w:szCs w:val="22"/>
        </w:rPr>
        <w:t xml:space="preserve">(section 2). An overview of the monitoring, </w:t>
      </w:r>
      <w:r w:rsidR="001E3C65" w:rsidRPr="00254299">
        <w:rPr>
          <w:rFonts w:asciiTheme="minorHAnsi" w:hAnsiTheme="minorHAnsi" w:cstheme="minorHAnsi"/>
          <w:sz w:val="22"/>
          <w:szCs w:val="22"/>
        </w:rPr>
        <w:t xml:space="preserve">evaluation </w:t>
      </w:r>
      <w:r w:rsidR="00FF725E">
        <w:rPr>
          <w:rFonts w:asciiTheme="minorHAnsi" w:hAnsiTheme="minorHAnsi" w:cstheme="minorHAnsi"/>
          <w:sz w:val="22"/>
          <w:szCs w:val="22"/>
        </w:rPr>
        <w:t xml:space="preserve">and research </w:t>
      </w:r>
      <w:r w:rsidR="001E3C65" w:rsidRPr="00254299">
        <w:rPr>
          <w:rFonts w:asciiTheme="minorHAnsi" w:hAnsiTheme="minorHAnsi" w:cstheme="minorHAnsi"/>
          <w:sz w:val="22"/>
          <w:szCs w:val="22"/>
        </w:rPr>
        <w:t xml:space="preserve">undertaken in this system for the </w:t>
      </w:r>
      <w:r w:rsidR="00FF725E">
        <w:rPr>
          <w:rFonts w:asciiTheme="minorHAnsi" w:hAnsiTheme="minorHAnsi" w:cstheme="minorHAnsi"/>
          <w:sz w:val="22"/>
          <w:szCs w:val="22"/>
        </w:rPr>
        <w:t>MER</w:t>
      </w:r>
      <w:r w:rsidR="001E3C65" w:rsidRPr="00254299">
        <w:rPr>
          <w:rFonts w:asciiTheme="minorHAnsi" w:hAnsiTheme="minorHAnsi" w:cstheme="minorHAnsi"/>
          <w:sz w:val="22"/>
          <w:szCs w:val="22"/>
        </w:rPr>
        <w:t xml:space="preserve"> project </w:t>
      </w:r>
      <w:r w:rsidR="00FF725E">
        <w:rPr>
          <w:rFonts w:asciiTheme="minorHAnsi" w:hAnsiTheme="minorHAnsi" w:cstheme="minorHAnsi"/>
          <w:sz w:val="22"/>
          <w:szCs w:val="22"/>
        </w:rPr>
        <w:t xml:space="preserve">and its relationship to LTIM monitoring is described in </w:t>
      </w:r>
      <w:r w:rsidR="00956AE4" w:rsidRPr="00254299">
        <w:rPr>
          <w:rFonts w:asciiTheme="minorHAnsi" w:hAnsiTheme="minorHAnsi" w:cstheme="minorHAnsi"/>
          <w:sz w:val="22"/>
          <w:szCs w:val="22"/>
        </w:rPr>
        <w:t>s</w:t>
      </w:r>
      <w:r w:rsidR="00C73735" w:rsidRPr="00254299">
        <w:rPr>
          <w:rFonts w:asciiTheme="minorHAnsi" w:hAnsiTheme="minorHAnsi" w:cstheme="minorHAnsi"/>
          <w:sz w:val="22"/>
          <w:szCs w:val="22"/>
        </w:rPr>
        <w:t>ection 3</w:t>
      </w:r>
      <w:r w:rsidR="001E3C65" w:rsidRPr="00254299">
        <w:rPr>
          <w:rFonts w:asciiTheme="minorHAnsi" w:hAnsiTheme="minorHAnsi" w:cstheme="minorHAnsi"/>
          <w:sz w:val="22"/>
          <w:szCs w:val="22"/>
        </w:rPr>
        <w:t xml:space="preserve">. </w:t>
      </w:r>
      <w:r w:rsidR="00175C68" w:rsidRPr="00254299">
        <w:rPr>
          <w:rFonts w:asciiTheme="minorHAnsi" w:hAnsiTheme="minorHAnsi" w:cstheme="minorHAnsi"/>
          <w:sz w:val="22"/>
          <w:szCs w:val="22"/>
        </w:rPr>
        <w:t>Summaries of the e</w:t>
      </w:r>
      <w:r w:rsidR="00407EDC" w:rsidRPr="00254299">
        <w:rPr>
          <w:rFonts w:asciiTheme="minorHAnsi" w:hAnsiTheme="minorHAnsi" w:cstheme="minorHAnsi"/>
          <w:sz w:val="22"/>
          <w:szCs w:val="22"/>
        </w:rPr>
        <w:t>valuation of</w:t>
      </w:r>
      <w:r w:rsidR="001E3C65" w:rsidRPr="00254299">
        <w:rPr>
          <w:rFonts w:asciiTheme="minorHAnsi" w:hAnsiTheme="minorHAnsi" w:cstheme="minorHAnsi"/>
          <w:sz w:val="22"/>
          <w:szCs w:val="22"/>
        </w:rPr>
        <w:t xml:space="preserve"> responses of each indicator to Commonwealt</w:t>
      </w:r>
      <w:r w:rsidR="00172EA9" w:rsidRPr="00254299">
        <w:rPr>
          <w:rFonts w:asciiTheme="minorHAnsi" w:hAnsiTheme="minorHAnsi" w:cstheme="minorHAnsi"/>
          <w:sz w:val="22"/>
          <w:szCs w:val="22"/>
        </w:rPr>
        <w:t xml:space="preserve">h environmental watering </w:t>
      </w:r>
      <w:r w:rsidR="001961EF">
        <w:rPr>
          <w:rFonts w:asciiTheme="minorHAnsi" w:hAnsiTheme="minorHAnsi" w:cstheme="minorHAnsi"/>
          <w:sz w:val="22"/>
          <w:szCs w:val="22"/>
        </w:rPr>
        <w:t xml:space="preserve">and unregulated flow events </w:t>
      </w:r>
      <w:r w:rsidR="001E3C65" w:rsidRPr="00254299">
        <w:rPr>
          <w:rFonts w:asciiTheme="minorHAnsi" w:hAnsiTheme="minorHAnsi" w:cstheme="minorHAnsi"/>
          <w:sz w:val="22"/>
          <w:szCs w:val="22"/>
        </w:rPr>
        <w:t xml:space="preserve">are presented in sections four to </w:t>
      </w:r>
      <w:r w:rsidR="00597AFA" w:rsidRPr="00254299">
        <w:rPr>
          <w:rFonts w:asciiTheme="minorHAnsi" w:hAnsiTheme="minorHAnsi" w:cstheme="minorHAnsi"/>
          <w:sz w:val="22"/>
          <w:szCs w:val="22"/>
        </w:rPr>
        <w:t>eight</w:t>
      </w:r>
      <w:r w:rsidR="00C73735" w:rsidRPr="00254299">
        <w:rPr>
          <w:rFonts w:asciiTheme="minorHAnsi" w:hAnsiTheme="minorHAnsi" w:cstheme="minorHAnsi"/>
          <w:sz w:val="22"/>
          <w:szCs w:val="22"/>
        </w:rPr>
        <w:t xml:space="preserve">; </w:t>
      </w:r>
      <w:r w:rsidR="00344D82" w:rsidRPr="00254299">
        <w:rPr>
          <w:rFonts w:asciiTheme="minorHAnsi" w:hAnsiTheme="minorHAnsi" w:cstheme="minorHAnsi"/>
          <w:sz w:val="22"/>
          <w:szCs w:val="22"/>
        </w:rPr>
        <w:t>h</w:t>
      </w:r>
      <w:r w:rsidR="006C0327" w:rsidRPr="00254299">
        <w:rPr>
          <w:rFonts w:asciiTheme="minorHAnsi" w:hAnsiTheme="minorHAnsi" w:cstheme="minorHAnsi"/>
          <w:sz w:val="22"/>
          <w:szCs w:val="22"/>
        </w:rPr>
        <w:t xml:space="preserve">ydrology (section 4), </w:t>
      </w:r>
      <w:r w:rsidR="001E3C65" w:rsidRPr="00254299">
        <w:rPr>
          <w:rFonts w:asciiTheme="minorHAnsi" w:hAnsiTheme="minorHAnsi" w:cstheme="minorHAnsi"/>
          <w:sz w:val="22"/>
          <w:szCs w:val="22"/>
        </w:rPr>
        <w:t>wat</w:t>
      </w:r>
      <w:r w:rsidR="006C0327" w:rsidRPr="00254299">
        <w:rPr>
          <w:rFonts w:asciiTheme="minorHAnsi" w:hAnsiTheme="minorHAnsi" w:cstheme="minorHAnsi"/>
          <w:sz w:val="22"/>
          <w:szCs w:val="22"/>
        </w:rPr>
        <w:t xml:space="preserve">er quality and carbon (section 5), </w:t>
      </w:r>
      <w:r w:rsidR="00C73735" w:rsidRPr="00254299">
        <w:rPr>
          <w:rFonts w:asciiTheme="minorHAnsi" w:hAnsiTheme="minorHAnsi" w:cstheme="minorHAnsi"/>
          <w:sz w:val="22"/>
          <w:szCs w:val="22"/>
        </w:rPr>
        <w:t xml:space="preserve">stream metabolism </w:t>
      </w:r>
      <w:r w:rsidR="006C0327" w:rsidRPr="00254299">
        <w:rPr>
          <w:rFonts w:asciiTheme="minorHAnsi" w:hAnsiTheme="minorHAnsi" w:cstheme="minorHAnsi"/>
          <w:sz w:val="22"/>
          <w:szCs w:val="22"/>
        </w:rPr>
        <w:t>(section 6</w:t>
      </w:r>
      <w:r w:rsidR="00C73735" w:rsidRPr="00254299">
        <w:rPr>
          <w:rFonts w:asciiTheme="minorHAnsi" w:hAnsiTheme="minorHAnsi" w:cstheme="minorHAnsi"/>
          <w:sz w:val="22"/>
          <w:szCs w:val="22"/>
        </w:rPr>
        <w:t xml:space="preserve">), </w:t>
      </w:r>
      <w:r w:rsidR="001E3C65" w:rsidRPr="00254299">
        <w:rPr>
          <w:rFonts w:asciiTheme="minorHAnsi" w:hAnsiTheme="minorHAnsi" w:cstheme="minorHAnsi"/>
          <w:sz w:val="22"/>
          <w:szCs w:val="22"/>
        </w:rPr>
        <w:t>riverbank and</w:t>
      </w:r>
      <w:r w:rsidR="006C0327" w:rsidRPr="00254299">
        <w:rPr>
          <w:rFonts w:asciiTheme="minorHAnsi" w:hAnsiTheme="minorHAnsi" w:cstheme="minorHAnsi"/>
          <w:sz w:val="22"/>
          <w:szCs w:val="22"/>
        </w:rPr>
        <w:t xml:space="preserve"> aquatic vegetation (section 7</w:t>
      </w:r>
      <w:r w:rsidR="001E3C65" w:rsidRPr="00254299">
        <w:rPr>
          <w:rFonts w:asciiTheme="minorHAnsi" w:hAnsiTheme="minorHAnsi" w:cstheme="minorHAnsi"/>
          <w:sz w:val="22"/>
          <w:szCs w:val="22"/>
        </w:rPr>
        <w:t xml:space="preserve">), </w:t>
      </w:r>
      <w:r w:rsidR="00597AFA" w:rsidRPr="00254299">
        <w:rPr>
          <w:rFonts w:asciiTheme="minorHAnsi" w:hAnsiTheme="minorHAnsi" w:cstheme="minorHAnsi"/>
          <w:sz w:val="22"/>
          <w:szCs w:val="22"/>
        </w:rPr>
        <w:t xml:space="preserve">and </w:t>
      </w:r>
      <w:r w:rsidR="001E3C65" w:rsidRPr="00254299">
        <w:rPr>
          <w:rFonts w:asciiTheme="minorHAnsi" w:hAnsiTheme="minorHAnsi" w:cstheme="minorHAnsi"/>
          <w:sz w:val="22"/>
          <w:szCs w:val="22"/>
        </w:rPr>
        <w:t xml:space="preserve">fish </w:t>
      </w:r>
      <w:r w:rsidR="00597AFA" w:rsidRPr="00254299">
        <w:rPr>
          <w:rFonts w:asciiTheme="minorHAnsi" w:hAnsiTheme="minorHAnsi" w:cstheme="minorHAnsi"/>
          <w:sz w:val="22"/>
          <w:szCs w:val="22"/>
        </w:rPr>
        <w:t>movement, fish spawning</w:t>
      </w:r>
      <w:r w:rsidR="00C73735" w:rsidRPr="00254299">
        <w:rPr>
          <w:rFonts w:asciiTheme="minorHAnsi" w:hAnsiTheme="minorHAnsi" w:cstheme="minorHAnsi"/>
          <w:sz w:val="22"/>
          <w:szCs w:val="22"/>
        </w:rPr>
        <w:t xml:space="preserve">, </w:t>
      </w:r>
      <w:r w:rsidR="00344D82" w:rsidRPr="00254299">
        <w:rPr>
          <w:rFonts w:asciiTheme="minorHAnsi" w:hAnsiTheme="minorHAnsi" w:cstheme="minorHAnsi"/>
          <w:sz w:val="22"/>
          <w:szCs w:val="22"/>
        </w:rPr>
        <w:t>fish</w:t>
      </w:r>
      <w:r w:rsidR="00597AFA" w:rsidRPr="00254299">
        <w:rPr>
          <w:rFonts w:asciiTheme="minorHAnsi" w:hAnsiTheme="minorHAnsi" w:cstheme="minorHAnsi"/>
          <w:sz w:val="22"/>
          <w:szCs w:val="22"/>
        </w:rPr>
        <w:t xml:space="preserve"> recruitment and fish community (section 8</w:t>
      </w:r>
      <w:r w:rsidR="001E3C65" w:rsidRPr="00254299">
        <w:rPr>
          <w:rFonts w:asciiTheme="minorHAnsi" w:hAnsiTheme="minorHAnsi" w:cstheme="minorHAnsi"/>
          <w:sz w:val="22"/>
          <w:szCs w:val="22"/>
        </w:rPr>
        <w:t xml:space="preserve">). </w:t>
      </w:r>
      <w:r w:rsidR="001363CE" w:rsidRPr="00254299">
        <w:rPr>
          <w:rFonts w:asciiTheme="minorHAnsi" w:hAnsiTheme="minorHAnsi" w:cstheme="minorHAnsi"/>
          <w:sz w:val="22"/>
          <w:szCs w:val="22"/>
        </w:rPr>
        <w:t>Section</w:t>
      </w:r>
      <w:r w:rsidR="001961EF">
        <w:rPr>
          <w:rFonts w:asciiTheme="minorHAnsi" w:hAnsiTheme="minorHAnsi" w:cstheme="minorHAnsi"/>
          <w:sz w:val="22"/>
          <w:szCs w:val="22"/>
        </w:rPr>
        <w:t xml:space="preserve">s nine to twelve report on the outcomes of several components of an integrated research program </w:t>
      </w:r>
      <w:r w:rsidR="00E015F1">
        <w:rPr>
          <w:rFonts w:asciiTheme="minorHAnsi" w:hAnsiTheme="minorHAnsi" w:cstheme="minorHAnsi"/>
          <w:sz w:val="22"/>
          <w:szCs w:val="22"/>
        </w:rPr>
        <w:t>focused on the</w:t>
      </w:r>
      <w:r w:rsidR="001961EF">
        <w:rPr>
          <w:rFonts w:asciiTheme="minorHAnsi" w:hAnsiTheme="minorHAnsi" w:cstheme="minorHAnsi"/>
          <w:sz w:val="22"/>
          <w:szCs w:val="22"/>
        </w:rPr>
        <w:t xml:space="preserve"> Edward/Kolety River. Section </w:t>
      </w:r>
      <w:r w:rsidR="001363CE" w:rsidRPr="00254299">
        <w:rPr>
          <w:rFonts w:asciiTheme="minorHAnsi" w:hAnsiTheme="minorHAnsi" w:cstheme="minorHAnsi"/>
          <w:sz w:val="22"/>
          <w:szCs w:val="22"/>
        </w:rPr>
        <w:t xml:space="preserve">9 reports on </w:t>
      </w:r>
      <w:r w:rsidR="001961EF">
        <w:rPr>
          <w:rFonts w:asciiTheme="minorHAnsi" w:hAnsiTheme="minorHAnsi" w:cstheme="minorHAnsi"/>
          <w:sz w:val="22"/>
          <w:szCs w:val="22"/>
        </w:rPr>
        <w:t xml:space="preserve">physical habitat research, section 10 on </w:t>
      </w:r>
      <w:r w:rsidR="00E015F1">
        <w:rPr>
          <w:rFonts w:asciiTheme="minorHAnsi" w:hAnsiTheme="minorHAnsi" w:cstheme="minorHAnsi"/>
          <w:sz w:val="22"/>
          <w:szCs w:val="22"/>
        </w:rPr>
        <w:t>primary</w:t>
      </w:r>
      <w:r w:rsidR="001961EF">
        <w:rPr>
          <w:rFonts w:asciiTheme="minorHAnsi" w:hAnsiTheme="minorHAnsi" w:cstheme="minorHAnsi"/>
          <w:sz w:val="22"/>
          <w:szCs w:val="22"/>
        </w:rPr>
        <w:t xml:space="preserve"> productivity research, section 11 on fish spawning research and section 12 on eDNA biodiversity research. </w:t>
      </w:r>
      <w:r w:rsidR="00597AFA" w:rsidRPr="00254299">
        <w:rPr>
          <w:rFonts w:asciiTheme="minorHAnsi" w:hAnsiTheme="minorHAnsi" w:cstheme="minorHAnsi"/>
          <w:sz w:val="22"/>
          <w:szCs w:val="22"/>
        </w:rPr>
        <w:t>R</w:t>
      </w:r>
      <w:r w:rsidR="001E3C65" w:rsidRPr="00254299">
        <w:rPr>
          <w:rFonts w:asciiTheme="minorHAnsi" w:hAnsiTheme="minorHAnsi" w:cstheme="minorHAnsi"/>
          <w:sz w:val="22"/>
          <w:szCs w:val="22"/>
        </w:rPr>
        <w:t xml:space="preserve">ecommendations </w:t>
      </w:r>
      <w:r w:rsidR="00C73735" w:rsidRPr="00254299">
        <w:rPr>
          <w:rFonts w:asciiTheme="minorHAnsi" w:hAnsiTheme="minorHAnsi" w:cstheme="minorHAnsi"/>
          <w:sz w:val="22"/>
          <w:szCs w:val="22"/>
        </w:rPr>
        <w:t>to help inform</w:t>
      </w:r>
      <w:r w:rsidR="001E3C65" w:rsidRPr="00254299">
        <w:rPr>
          <w:rFonts w:asciiTheme="minorHAnsi" w:hAnsiTheme="minorHAnsi" w:cstheme="minorHAnsi"/>
          <w:sz w:val="22"/>
          <w:szCs w:val="22"/>
        </w:rPr>
        <w:t xml:space="preserve"> adaptive management </w:t>
      </w:r>
      <w:r w:rsidR="00C73735" w:rsidRPr="00254299">
        <w:rPr>
          <w:rFonts w:asciiTheme="minorHAnsi" w:hAnsiTheme="minorHAnsi" w:cstheme="minorHAnsi"/>
          <w:sz w:val="22"/>
          <w:szCs w:val="22"/>
        </w:rPr>
        <w:t xml:space="preserve">of environmental water in </w:t>
      </w:r>
      <w:r w:rsidR="006D6FBF">
        <w:rPr>
          <w:rFonts w:asciiTheme="minorHAnsi" w:hAnsiTheme="minorHAnsi" w:cstheme="minorHAnsi"/>
          <w:sz w:val="22"/>
          <w:szCs w:val="22"/>
        </w:rPr>
        <w:t>the Edward/Kolety-Wakool</w:t>
      </w:r>
      <w:r w:rsidR="00C73735" w:rsidRPr="00254299">
        <w:rPr>
          <w:rFonts w:asciiTheme="minorHAnsi" w:hAnsiTheme="minorHAnsi" w:cstheme="minorHAnsi"/>
          <w:sz w:val="22"/>
          <w:szCs w:val="22"/>
        </w:rPr>
        <w:t xml:space="preserve"> system</w:t>
      </w:r>
      <w:r w:rsidR="001E3C65" w:rsidRPr="00254299">
        <w:rPr>
          <w:rFonts w:asciiTheme="minorHAnsi" w:hAnsiTheme="minorHAnsi" w:cstheme="minorHAnsi"/>
          <w:sz w:val="22"/>
          <w:szCs w:val="22"/>
        </w:rPr>
        <w:t xml:space="preserve"> </w:t>
      </w:r>
      <w:r w:rsidR="006C0327" w:rsidRPr="00254299">
        <w:rPr>
          <w:rFonts w:asciiTheme="minorHAnsi" w:hAnsiTheme="minorHAnsi" w:cstheme="minorHAnsi"/>
          <w:sz w:val="22"/>
          <w:szCs w:val="22"/>
        </w:rPr>
        <w:t xml:space="preserve">in the future </w:t>
      </w:r>
      <w:r w:rsidR="00597AFA" w:rsidRPr="00254299">
        <w:rPr>
          <w:rFonts w:asciiTheme="minorHAnsi" w:hAnsiTheme="minorHAnsi" w:cstheme="minorHAnsi"/>
          <w:sz w:val="22"/>
          <w:szCs w:val="22"/>
        </w:rPr>
        <w:t xml:space="preserve">is presented in section </w:t>
      </w:r>
      <w:r w:rsidR="001363CE" w:rsidRPr="00254299">
        <w:rPr>
          <w:rFonts w:asciiTheme="minorHAnsi" w:hAnsiTheme="minorHAnsi" w:cstheme="minorHAnsi"/>
          <w:sz w:val="22"/>
          <w:szCs w:val="22"/>
        </w:rPr>
        <w:t>1</w:t>
      </w:r>
      <w:r w:rsidR="00912683">
        <w:rPr>
          <w:rFonts w:asciiTheme="minorHAnsi" w:hAnsiTheme="minorHAnsi" w:cstheme="minorHAnsi"/>
          <w:sz w:val="22"/>
          <w:szCs w:val="22"/>
        </w:rPr>
        <w:t>3</w:t>
      </w:r>
      <w:r w:rsidR="001E3C65" w:rsidRPr="00254299">
        <w:rPr>
          <w:rFonts w:asciiTheme="minorHAnsi" w:hAnsiTheme="minorHAnsi" w:cstheme="minorHAnsi"/>
          <w:sz w:val="22"/>
          <w:szCs w:val="22"/>
        </w:rPr>
        <w:t>.</w:t>
      </w:r>
      <w:r w:rsidR="00175C68" w:rsidRPr="00254299">
        <w:rPr>
          <w:rFonts w:asciiTheme="minorHAnsi" w:hAnsiTheme="minorHAnsi" w:cstheme="minorHAnsi"/>
          <w:sz w:val="22"/>
          <w:szCs w:val="22"/>
        </w:rPr>
        <w:t xml:space="preserve"> </w:t>
      </w:r>
      <w:r w:rsidR="00597AFA" w:rsidRPr="00254299">
        <w:rPr>
          <w:rFonts w:asciiTheme="minorHAnsi" w:hAnsiTheme="minorHAnsi" w:cstheme="minorHAnsi"/>
          <w:sz w:val="22"/>
          <w:szCs w:val="22"/>
        </w:rPr>
        <w:t>A s</w:t>
      </w:r>
      <w:r w:rsidR="001363CE" w:rsidRPr="00254299">
        <w:rPr>
          <w:rFonts w:asciiTheme="minorHAnsi" w:hAnsiTheme="minorHAnsi" w:cstheme="minorHAnsi"/>
          <w:sz w:val="22"/>
          <w:szCs w:val="22"/>
        </w:rPr>
        <w:t>ummary report (Watts et</w:t>
      </w:r>
      <w:r w:rsidR="001961EF">
        <w:rPr>
          <w:rFonts w:asciiTheme="minorHAnsi" w:hAnsiTheme="minorHAnsi" w:cstheme="minorHAnsi"/>
          <w:sz w:val="22"/>
          <w:szCs w:val="22"/>
        </w:rPr>
        <w:t xml:space="preserve"> al. 2020</w:t>
      </w:r>
      <w:r w:rsidR="00597AFA" w:rsidRPr="00254299">
        <w:rPr>
          <w:rFonts w:asciiTheme="minorHAnsi" w:hAnsiTheme="minorHAnsi" w:cstheme="minorHAnsi"/>
          <w:sz w:val="22"/>
          <w:szCs w:val="22"/>
        </w:rPr>
        <w:t xml:space="preserve">) provides an overview of the </w:t>
      </w:r>
      <w:r w:rsidR="00C0047F" w:rsidRPr="00254299">
        <w:rPr>
          <w:rFonts w:asciiTheme="minorHAnsi" w:hAnsiTheme="minorHAnsi" w:cstheme="minorHAnsi"/>
          <w:sz w:val="22"/>
          <w:szCs w:val="22"/>
        </w:rPr>
        <w:t xml:space="preserve">monitoring and key findings of the ecosystem responses to environmental watering actions in the </w:t>
      </w:r>
      <w:r w:rsidR="008E27F6" w:rsidRPr="00254299">
        <w:rPr>
          <w:rFonts w:asciiTheme="minorHAnsi" w:hAnsiTheme="minorHAnsi" w:cstheme="minorHAnsi"/>
          <w:sz w:val="22"/>
          <w:szCs w:val="22"/>
        </w:rPr>
        <w:t>Edward/Kolety-Wakool</w:t>
      </w:r>
      <w:r w:rsidR="00C0047F" w:rsidRPr="00254299">
        <w:rPr>
          <w:rFonts w:asciiTheme="minorHAnsi" w:hAnsiTheme="minorHAnsi" w:cstheme="minorHAnsi"/>
          <w:sz w:val="22"/>
          <w:szCs w:val="22"/>
        </w:rPr>
        <w:t xml:space="preserve"> system in 201</w:t>
      </w:r>
      <w:r w:rsidR="001961EF">
        <w:rPr>
          <w:rFonts w:asciiTheme="minorHAnsi" w:hAnsiTheme="minorHAnsi" w:cstheme="minorHAnsi"/>
          <w:sz w:val="22"/>
          <w:szCs w:val="22"/>
        </w:rPr>
        <w:t>9-20</w:t>
      </w:r>
      <w:r w:rsidR="00DE014C" w:rsidRPr="00254299">
        <w:rPr>
          <w:rFonts w:asciiTheme="minorHAnsi" w:hAnsiTheme="minorHAnsi" w:cstheme="minorHAnsi"/>
          <w:sz w:val="22"/>
          <w:szCs w:val="22"/>
        </w:rPr>
        <w:t xml:space="preserve"> </w:t>
      </w:r>
      <w:r w:rsidR="001961EF">
        <w:rPr>
          <w:rFonts w:asciiTheme="minorHAnsi" w:hAnsiTheme="minorHAnsi" w:cstheme="minorHAnsi"/>
          <w:sz w:val="22"/>
          <w:szCs w:val="22"/>
        </w:rPr>
        <w:t>including findings</w:t>
      </w:r>
      <w:r w:rsidR="00DE014C" w:rsidRPr="00254299">
        <w:rPr>
          <w:rFonts w:asciiTheme="minorHAnsi" w:hAnsiTheme="minorHAnsi" w:cstheme="minorHAnsi"/>
          <w:sz w:val="22"/>
          <w:szCs w:val="22"/>
        </w:rPr>
        <w:t xml:space="preserve"> across the </w:t>
      </w:r>
      <w:r w:rsidR="001961EF">
        <w:rPr>
          <w:rFonts w:asciiTheme="minorHAnsi" w:hAnsiTheme="minorHAnsi" w:cstheme="minorHAnsi"/>
          <w:sz w:val="22"/>
          <w:szCs w:val="22"/>
        </w:rPr>
        <w:t>six</w:t>
      </w:r>
      <w:r w:rsidR="00C96EC6" w:rsidRPr="00254299">
        <w:rPr>
          <w:rFonts w:asciiTheme="minorHAnsi" w:hAnsiTheme="minorHAnsi" w:cstheme="minorHAnsi"/>
          <w:sz w:val="22"/>
          <w:szCs w:val="22"/>
        </w:rPr>
        <w:t xml:space="preserve"> years of the </w:t>
      </w:r>
      <w:r w:rsidR="001961EF">
        <w:rPr>
          <w:rFonts w:asciiTheme="minorHAnsi" w:hAnsiTheme="minorHAnsi" w:cstheme="minorHAnsi"/>
          <w:sz w:val="22"/>
          <w:szCs w:val="22"/>
        </w:rPr>
        <w:t xml:space="preserve">combined </w:t>
      </w:r>
      <w:r w:rsidR="00C96EC6" w:rsidRPr="00254299">
        <w:rPr>
          <w:rFonts w:asciiTheme="minorHAnsi" w:hAnsiTheme="minorHAnsi" w:cstheme="minorHAnsi"/>
          <w:sz w:val="22"/>
          <w:szCs w:val="22"/>
        </w:rPr>
        <w:t>LTIM</w:t>
      </w:r>
      <w:r w:rsidR="001961EF">
        <w:rPr>
          <w:rFonts w:asciiTheme="minorHAnsi" w:hAnsiTheme="minorHAnsi" w:cstheme="minorHAnsi"/>
          <w:sz w:val="22"/>
          <w:szCs w:val="22"/>
        </w:rPr>
        <w:t>/MER</w:t>
      </w:r>
      <w:r w:rsidR="00C96EC6" w:rsidRPr="00254299">
        <w:rPr>
          <w:rFonts w:asciiTheme="minorHAnsi" w:hAnsiTheme="minorHAnsi" w:cstheme="minorHAnsi"/>
          <w:sz w:val="22"/>
          <w:szCs w:val="22"/>
        </w:rPr>
        <w:t xml:space="preserve"> program</w:t>
      </w:r>
      <w:r w:rsidR="00C0047F" w:rsidRPr="00254299">
        <w:rPr>
          <w:rFonts w:asciiTheme="minorHAnsi" w:hAnsiTheme="minorHAnsi" w:cstheme="minorHAnsi"/>
          <w:sz w:val="22"/>
          <w:szCs w:val="22"/>
        </w:rPr>
        <w:t>.</w:t>
      </w:r>
    </w:p>
    <w:p w14:paraId="3B4F8591" w14:textId="1C4FBAAD" w:rsidR="00A93118" w:rsidRPr="00E232EA" w:rsidRDefault="008E27F6" w:rsidP="0040642F">
      <w:pPr>
        <w:pStyle w:val="Para0"/>
        <w:numPr>
          <w:ilvl w:val="1"/>
          <w:numId w:val="23"/>
        </w:numPr>
        <w:spacing w:before="0" w:line="320" w:lineRule="exact"/>
        <w:ind w:left="709" w:hanging="709"/>
        <w:rPr>
          <w:b/>
          <w:color w:val="31849B" w:themeColor="accent5" w:themeShade="BF"/>
          <w:sz w:val="28"/>
          <w:szCs w:val="28"/>
        </w:rPr>
      </w:pPr>
      <w:r>
        <w:rPr>
          <w:rFonts w:ascii="Calibri" w:eastAsia="Calibri" w:hAnsi="Calibri" w:cs="Times New Roman"/>
          <w:b/>
          <w:color w:val="31849B" w:themeColor="accent5" w:themeShade="BF"/>
          <w:sz w:val="28"/>
          <w:szCs w:val="28"/>
          <w:lang w:val="en-AU"/>
        </w:rPr>
        <w:t>Edward/Kolety-Wakool</w:t>
      </w:r>
      <w:r w:rsidR="00A93118" w:rsidRPr="00E232EA">
        <w:rPr>
          <w:rFonts w:ascii="Calibri" w:eastAsia="Calibri" w:hAnsi="Calibri" w:cs="Times New Roman"/>
          <w:b/>
          <w:color w:val="31849B" w:themeColor="accent5" w:themeShade="BF"/>
          <w:sz w:val="28"/>
          <w:szCs w:val="28"/>
          <w:lang w:val="en-AU"/>
        </w:rPr>
        <w:t xml:space="preserve"> Selected Area</w:t>
      </w:r>
    </w:p>
    <w:p w14:paraId="6FF67CCA" w14:textId="773E5188" w:rsidR="006D6FBF" w:rsidRDefault="001E3C65" w:rsidP="006D6FBF">
      <w:pPr>
        <w:spacing w:after="120" w:line="320" w:lineRule="exact"/>
        <w:jc w:val="left"/>
      </w:pPr>
      <w:r w:rsidRPr="00D81765">
        <w:t xml:space="preserve">The </w:t>
      </w:r>
      <w:r w:rsidR="008E27F6">
        <w:t>Edward/Kolety-Wakool</w:t>
      </w:r>
      <w:r w:rsidRPr="00D81765">
        <w:t xml:space="preserve"> system is a large anabranch system of the Murray </w:t>
      </w:r>
      <w:r w:rsidR="003960AD" w:rsidRPr="00D81765">
        <w:t xml:space="preserve">River </w:t>
      </w:r>
      <w:r w:rsidRPr="00D81765">
        <w:t xml:space="preserve">in the southern </w:t>
      </w:r>
      <w:r w:rsidR="00F8180E">
        <w:t>MDB</w:t>
      </w:r>
      <w:r w:rsidRPr="00D81765">
        <w:t xml:space="preserve">, Australia. The system begins </w:t>
      </w:r>
      <w:r w:rsidR="00735FC8" w:rsidRPr="00D81765">
        <w:t>in the</w:t>
      </w:r>
      <w:r w:rsidRPr="00D81765">
        <w:t xml:space="preserve"> </w:t>
      </w:r>
      <w:r w:rsidR="00666AD9" w:rsidRPr="00D81765">
        <w:t>Millewa F</w:t>
      </w:r>
      <w:r w:rsidR="00735FC8" w:rsidRPr="00D81765">
        <w:t>orest</w:t>
      </w:r>
      <w:r w:rsidRPr="00D81765">
        <w:t xml:space="preserve"> and travels </w:t>
      </w:r>
      <w:r w:rsidR="004B7F17" w:rsidRPr="00D81765">
        <w:t xml:space="preserve">north and then </w:t>
      </w:r>
      <w:r w:rsidRPr="00D81765">
        <w:t xml:space="preserve">northwest before discharging back into the Murray </w:t>
      </w:r>
      <w:r w:rsidR="00175C68" w:rsidRPr="00D81765">
        <w:t xml:space="preserve">River </w:t>
      </w:r>
      <w:r w:rsidRPr="00D81765">
        <w:t>(Figure 1.1). It is a complex network of interconnected streams, ephemeral creeks, flood-runners and wetlands including the Edward</w:t>
      </w:r>
      <w:r w:rsidR="006D6FBF">
        <w:t>/Kolety</w:t>
      </w:r>
      <w:r w:rsidRPr="00D81765">
        <w:t xml:space="preserve"> River, Wakool River, Yallakool Creek, Colligen-Niemur Creek and Merran Creek. </w:t>
      </w:r>
      <w:r w:rsidR="006D6FBF" w:rsidRPr="006D6FBF">
        <w:t>There are also several small intermittent and ephemeral creeks of ecological significance</w:t>
      </w:r>
      <w:r w:rsidR="006D6FBF">
        <w:t xml:space="preserve">. Under regulated conditions flows in the Edward/Kolety River and tributaries remain within the channel, whereas during </w:t>
      </w:r>
      <w:r w:rsidR="006D6FBF" w:rsidRPr="00C966BA">
        <w:t xml:space="preserve">high flows </w:t>
      </w:r>
      <w:r w:rsidR="006D6FBF">
        <w:t xml:space="preserve">there is connectivity between the river channels, floodplains and </w:t>
      </w:r>
      <w:r w:rsidR="006D6FBF" w:rsidRPr="001C0430">
        <w:t xml:space="preserve">several large forests including the Barmah-Millewa Forest, Koondrook-Perricoota Forest and Werai Forest (Figure </w:t>
      </w:r>
      <w:r w:rsidR="007E61A6">
        <w:t>1</w:t>
      </w:r>
      <w:r w:rsidR="006D6FBF" w:rsidRPr="001C0430">
        <w:t>).</w:t>
      </w:r>
      <w:r w:rsidR="006D6FBF">
        <w:t xml:space="preserve"> These three forests make up the NSW Central Murray Forests Ramsar site (NSW Office of Environment and Heritage 2018), being one of the matters of national environmental significance to which the EPBC Act applies. </w:t>
      </w:r>
    </w:p>
    <w:p w14:paraId="681C699E" w14:textId="1BFF17B2" w:rsidR="006D6FBF" w:rsidRPr="00DB354E" w:rsidRDefault="008D7AAA" w:rsidP="00210F73">
      <w:pPr>
        <w:tabs>
          <w:tab w:val="left" w:pos="9071"/>
        </w:tabs>
        <w:spacing w:after="0" w:line="240" w:lineRule="auto"/>
        <w:jc w:val="center"/>
        <w:rPr>
          <w:noProof/>
          <w:lang w:eastAsia="en-AU"/>
        </w:rPr>
      </w:pPr>
      <w:r>
        <w:rPr>
          <w:noProof/>
          <w:lang w:eastAsia="en-AU"/>
        </w:rPr>
        <w:drawing>
          <wp:inline distT="0" distB="0" distL="0" distR="0" wp14:anchorId="350FC533" wp14:editId="3ADF1A42">
            <wp:extent cx="5053965" cy="2700655"/>
            <wp:effectExtent l="0" t="0" r="0" b="4445"/>
            <wp:docPr id="22642" name="Picture 2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053965" cy="2700655"/>
                    </a:xfrm>
                    <a:prstGeom prst="rect">
                      <a:avLst/>
                    </a:prstGeom>
                    <a:noFill/>
                  </pic:spPr>
                </pic:pic>
              </a:graphicData>
            </a:graphic>
          </wp:inline>
        </w:drawing>
      </w:r>
    </w:p>
    <w:p w14:paraId="250CB561" w14:textId="77777777" w:rsidR="006D6FBF" w:rsidRDefault="006D6FBF" w:rsidP="006D6FBF">
      <w:pPr>
        <w:tabs>
          <w:tab w:val="left" w:pos="9071"/>
        </w:tabs>
        <w:spacing w:after="120" w:line="240" w:lineRule="auto"/>
        <w:jc w:val="left"/>
        <w:rPr>
          <w:b/>
          <w:color w:val="4F6228" w:themeColor="accent3" w:themeShade="80"/>
          <w:sz w:val="24"/>
          <w:szCs w:val="24"/>
        </w:rPr>
      </w:pPr>
      <w:bookmarkStart w:id="4" w:name="_Toc450162978"/>
      <w:bookmarkStart w:id="5" w:name="_Toc450164281"/>
      <w:bookmarkStart w:id="6" w:name="_Toc450165275"/>
      <w:bookmarkStart w:id="7" w:name="_Toc450165506"/>
      <w:bookmarkStart w:id="8" w:name="_Toc450165926"/>
      <w:r w:rsidRPr="00735FC8">
        <w:rPr>
          <w:b/>
          <w:sz w:val="20"/>
        </w:rPr>
        <w:t xml:space="preserve">Figure </w:t>
      </w:r>
      <w:r w:rsidRPr="00735FC8">
        <w:rPr>
          <w:b/>
          <w:sz w:val="20"/>
        </w:rPr>
        <w:fldChar w:fldCharType="begin"/>
      </w:r>
      <w:r w:rsidRPr="00735FC8">
        <w:rPr>
          <w:b/>
          <w:sz w:val="20"/>
        </w:rPr>
        <w:instrText xml:space="preserve"> SEQ Figure \* ARABIC </w:instrText>
      </w:r>
      <w:r w:rsidRPr="00735FC8">
        <w:rPr>
          <w:b/>
          <w:sz w:val="20"/>
        </w:rPr>
        <w:fldChar w:fldCharType="separate"/>
      </w:r>
      <w:r w:rsidR="000A6D80">
        <w:rPr>
          <w:b/>
          <w:noProof/>
          <w:sz w:val="20"/>
        </w:rPr>
        <w:t>1</w:t>
      </w:r>
      <w:r w:rsidRPr="00735FC8">
        <w:rPr>
          <w:b/>
          <w:noProof/>
          <w:sz w:val="20"/>
        </w:rPr>
        <w:fldChar w:fldCharType="end"/>
      </w:r>
      <w:r w:rsidRPr="00735FC8">
        <w:rPr>
          <w:b/>
          <w:sz w:val="20"/>
        </w:rPr>
        <w:t>.1</w:t>
      </w:r>
      <w:r w:rsidRPr="00735FC8">
        <w:rPr>
          <w:sz w:val="20"/>
        </w:rPr>
        <w:t xml:space="preserve"> Map showing the main rivers in the </w:t>
      </w:r>
      <w:r>
        <w:rPr>
          <w:sz w:val="20"/>
        </w:rPr>
        <w:t>Edward/Kolety-Wakool</w:t>
      </w:r>
      <w:r w:rsidRPr="00735FC8">
        <w:rPr>
          <w:sz w:val="20"/>
        </w:rPr>
        <w:t xml:space="preserve"> system. (Source: Watts et al. 2013)</w:t>
      </w:r>
      <w:bookmarkEnd w:id="4"/>
      <w:bookmarkEnd w:id="5"/>
      <w:bookmarkEnd w:id="6"/>
      <w:bookmarkEnd w:id="7"/>
      <w:bookmarkEnd w:id="8"/>
    </w:p>
    <w:p w14:paraId="3B4F8594" w14:textId="412200B7" w:rsidR="001E3C65" w:rsidRDefault="006D6FBF" w:rsidP="006D6FBF">
      <w:pPr>
        <w:tabs>
          <w:tab w:val="left" w:pos="9071"/>
        </w:tabs>
        <w:spacing w:after="240" w:line="320" w:lineRule="exact"/>
        <w:ind w:right="-1"/>
        <w:jc w:val="left"/>
        <w:rPr>
          <w:rFonts w:cs="Calibri"/>
          <w:szCs w:val="22"/>
        </w:rPr>
      </w:pPr>
      <w:r>
        <w:rPr>
          <w:rFonts w:cs="Calibri"/>
          <w:szCs w:val="22"/>
        </w:rPr>
        <w:t>T</w:t>
      </w:r>
      <w:r w:rsidRPr="005B2FA0">
        <w:rPr>
          <w:rFonts w:cs="Calibri"/>
          <w:szCs w:val="22"/>
        </w:rPr>
        <w:t>he Edward</w:t>
      </w:r>
      <w:r>
        <w:rPr>
          <w:rFonts w:cs="Calibri"/>
          <w:szCs w:val="22"/>
        </w:rPr>
        <w:t>/Kolety</w:t>
      </w:r>
      <w:r w:rsidRPr="005B2FA0">
        <w:rPr>
          <w:rFonts w:cs="Calibri"/>
          <w:szCs w:val="22"/>
        </w:rPr>
        <w:t>-Wakool Selected Area can be bro</w:t>
      </w:r>
      <w:r>
        <w:rPr>
          <w:rFonts w:cs="Calibri"/>
          <w:szCs w:val="22"/>
        </w:rPr>
        <w:t xml:space="preserve">adly divided into three </w:t>
      </w:r>
      <w:r w:rsidRPr="005B2FA0">
        <w:rPr>
          <w:rFonts w:cs="Calibri"/>
          <w:szCs w:val="22"/>
        </w:rPr>
        <w:t xml:space="preserve">aquatic ecosystem types: </w:t>
      </w:r>
      <w:r>
        <w:rPr>
          <w:rFonts w:cs="Calibri"/>
          <w:szCs w:val="22"/>
        </w:rPr>
        <w:t>1) T</w:t>
      </w:r>
      <w:r w:rsidRPr="005B2FA0">
        <w:rPr>
          <w:rFonts w:cs="Calibri"/>
          <w:szCs w:val="22"/>
        </w:rPr>
        <w:t xml:space="preserve">he main </w:t>
      </w:r>
      <w:r>
        <w:rPr>
          <w:rFonts w:cs="Calibri"/>
          <w:szCs w:val="22"/>
        </w:rPr>
        <w:t>semi-</w:t>
      </w:r>
      <w:r w:rsidRPr="005B2FA0">
        <w:rPr>
          <w:rFonts w:cs="Calibri"/>
          <w:szCs w:val="22"/>
        </w:rPr>
        <w:t>permanent flowing rivers in</w:t>
      </w:r>
      <w:r>
        <w:rPr>
          <w:rFonts w:cs="Calibri"/>
          <w:szCs w:val="22"/>
        </w:rPr>
        <w:t>cluding Yallakool and Colligen c</w:t>
      </w:r>
      <w:r w:rsidRPr="005B2FA0">
        <w:rPr>
          <w:rFonts w:cs="Calibri"/>
          <w:szCs w:val="22"/>
        </w:rPr>
        <w:t xml:space="preserve">reeks and </w:t>
      </w:r>
      <w:r>
        <w:rPr>
          <w:rFonts w:cs="Calibri"/>
          <w:szCs w:val="22"/>
        </w:rPr>
        <w:t xml:space="preserve">the </w:t>
      </w:r>
      <w:r w:rsidRPr="005B2FA0">
        <w:rPr>
          <w:rFonts w:cs="Calibri"/>
          <w:szCs w:val="22"/>
        </w:rPr>
        <w:t>Wakool, Niemu</w:t>
      </w:r>
      <w:r>
        <w:rPr>
          <w:rFonts w:cs="Calibri"/>
          <w:szCs w:val="22"/>
        </w:rPr>
        <w:t>r and Edward/Kolety rivers, 2) T</w:t>
      </w:r>
      <w:r w:rsidRPr="005B2FA0">
        <w:rPr>
          <w:rFonts w:cs="Calibri"/>
          <w:szCs w:val="22"/>
        </w:rPr>
        <w:t>he floodplain forests and woodlands includi</w:t>
      </w:r>
      <w:r>
        <w:rPr>
          <w:rFonts w:cs="Calibri"/>
          <w:szCs w:val="22"/>
        </w:rPr>
        <w:t>ng the Niemur and Werai Forests, and 3) S</w:t>
      </w:r>
      <w:r w:rsidRPr="005B2FA0">
        <w:rPr>
          <w:rFonts w:cs="Calibri"/>
          <w:szCs w:val="22"/>
        </w:rPr>
        <w:t>everal small intermittent and ephemeral creeks of ecological significance</w:t>
      </w:r>
      <w:r>
        <w:rPr>
          <w:rFonts w:cs="Calibri"/>
          <w:szCs w:val="22"/>
        </w:rPr>
        <w:t xml:space="preserve"> including Tuppal</w:t>
      </w:r>
      <w:r w:rsidRPr="005B2FA0">
        <w:rPr>
          <w:rFonts w:cs="Calibri"/>
          <w:szCs w:val="22"/>
        </w:rPr>
        <w:t>, Jimaringle, Cockran and Gwynne</w:t>
      </w:r>
      <w:r>
        <w:rPr>
          <w:rFonts w:cs="Calibri"/>
          <w:szCs w:val="22"/>
        </w:rPr>
        <w:t>’</w:t>
      </w:r>
      <w:r w:rsidRPr="005B2FA0">
        <w:rPr>
          <w:rFonts w:cs="Calibri"/>
          <w:szCs w:val="22"/>
        </w:rPr>
        <w:t>s</w:t>
      </w:r>
      <w:r>
        <w:rPr>
          <w:rFonts w:cs="Calibri"/>
          <w:szCs w:val="22"/>
        </w:rPr>
        <w:t xml:space="preserve"> Creeks</w:t>
      </w:r>
      <w:r w:rsidRPr="005B2FA0">
        <w:rPr>
          <w:rFonts w:cs="Calibri"/>
          <w:szCs w:val="22"/>
        </w:rPr>
        <w:t>.</w:t>
      </w:r>
    </w:p>
    <w:p w14:paraId="2D0418C7" w14:textId="68D12EEC" w:rsidR="006D6FBF" w:rsidRDefault="006D6FBF" w:rsidP="001216F6">
      <w:pPr>
        <w:pStyle w:val="Default"/>
        <w:spacing w:after="120" w:line="259" w:lineRule="auto"/>
        <w:ind w:left="709" w:right="255" w:hanging="709"/>
        <w:contextualSpacing/>
        <w:rPr>
          <w:rFonts w:asciiTheme="minorHAnsi" w:hAnsiTheme="minorHAnsi" w:cstheme="minorHAnsi"/>
          <w:bCs/>
          <w:i/>
          <w:iCs/>
          <w:sz w:val="22"/>
          <w:szCs w:val="22"/>
        </w:rPr>
      </w:pPr>
      <w:r w:rsidRPr="00A23A35">
        <w:rPr>
          <w:rFonts w:asciiTheme="minorHAnsi" w:hAnsiTheme="minorHAnsi" w:cstheme="minorHAnsi"/>
          <w:bCs/>
          <w:i/>
          <w:iCs/>
          <w:sz w:val="22"/>
          <w:szCs w:val="22"/>
        </w:rPr>
        <w:t>Edward</w:t>
      </w:r>
      <w:r w:rsidR="001216F6">
        <w:rPr>
          <w:rFonts w:asciiTheme="minorHAnsi" w:hAnsiTheme="minorHAnsi" w:cstheme="minorHAnsi"/>
          <w:bCs/>
          <w:i/>
          <w:iCs/>
          <w:sz w:val="22"/>
          <w:szCs w:val="22"/>
        </w:rPr>
        <w:t>/Kolety</w:t>
      </w:r>
      <w:r w:rsidRPr="00A23A35">
        <w:rPr>
          <w:rFonts w:asciiTheme="minorHAnsi" w:hAnsiTheme="minorHAnsi" w:cstheme="minorHAnsi"/>
          <w:bCs/>
          <w:i/>
          <w:iCs/>
          <w:sz w:val="22"/>
          <w:szCs w:val="22"/>
        </w:rPr>
        <w:t xml:space="preserve"> River, Colligen- Niemur, Yallakool Creek and Wakool River </w:t>
      </w:r>
    </w:p>
    <w:p w14:paraId="113756F3" w14:textId="620084DE" w:rsidR="006D6FBF" w:rsidRDefault="006D6FBF" w:rsidP="00E71C01">
      <w:pPr>
        <w:pStyle w:val="Default"/>
        <w:spacing w:line="259" w:lineRule="auto"/>
        <w:ind w:left="567"/>
        <w:rPr>
          <w:rFonts w:asciiTheme="minorHAnsi" w:hAnsiTheme="minorHAnsi" w:cstheme="minorHAnsi"/>
          <w:sz w:val="22"/>
          <w:szCs w:val="22"/>
        </w:rPr>
      </w:pPr>
      <w:r w:rsidRPr="005B2FA0">
        <w:rPr>
          <w:rFonts w:asciiTheme="minorHAnsi" w:hAnsiTheme="minorHAnsi" w:cstheme="minorHAnsi"/>
          <w:sz w:val="22"/>
          <w:szCs w:val="22"/>
        </w:rPr>
        <w:t xml:space="preserve">These rivers and creeks support high regional biodiversity values and have significant value as drought refugia </w:t>
      </w:r>
      <w:r>
        <w:rPr>
          <w:rFonts w:asciiTheme="minorHAnsi" w:hAnsiTheme="minorHAnsi" w:cstheme="minorHAnsi"/>
          <w:sz w:val="22"/>
          <w:szCs w:val="22"/>
        </w:rPr>
        <w:t>for native fish and other biota</w:t>
      </w:r>
      <w:r w:rsidRPr="005B2FA0">
        <w:rPr>
          <w:rFonts w:asciiTheme="minorHAnsi" w:hAnsiTheme="minorHAnsi" w:cstheme="minorHAnsi"/>
          <w:sz w:val="22"/>
          <w:szCs w:val="22"/>
        </w:rPr>
        <w:t>. The dominant vegetation is river red gum (</w:t>
      </w:r>
      <w:r w:rsidRPr="00DC7E20">
        <w:rPr>
          <w:rFonts w:asciiTheme="minorHAnsi" w:hAnsiTheme="minorHAnsi" w:cstheme="minorHAnsi"/>
          <w:i/>
          <w:sz w:val="22"/>
          <w:szCs w:val="22"/>
        </w:rPr>
        <w:t>Eucalyptus camaldulensis</w:t>
      </w:r>
      <w:r w:rsidRPr="005B2FA0">
        <w:rPr>
          <w:rFonts w:asciiTheme="minorHAnsi" w:hAnsiTheme="minorHAnsi" w:cstheme="minorHAnsi"/>
          <w:sz w:val="22"/>
          <w:szCs w:val="22"/>
        </w:rPr>
        <w:t xml:space="preserve">) with areas providing habitat for </w:t>
      </w:r>
      <w:r w:rsidR="001216F6">
        <w:rPr>
          <w:rFonts w:asciiTheme="minorHAnsi" w:hAnsiTheme="minorHAnsi" w:cstheme="minorHAnsi"/>
          <w:sz w:val="22"/>
          <w:szCs w:val="22"/>
        </w:rPr>
        <w:t>a number of threatened species.</w:t>
      </w:r>
    </w:p>
    <w:p w14:paraId="130F54CA" w14:textId="77777777" w:rsidR="006D6FBF" w:rsidRDefault="006D6FBF" w:rsidP="001216F6">
      <w:pPr>
        <w:pStyle w:val="Default"/>
        <w:spacing w:after="120" w:line="259" w:lineRule="auto"/>
        <w:ind w:left="709" w:right="-2" w:hanging="709"/>
        <w:contextualSpacing/>
        <w:rPr>
          <w:rFonts w:asciiTheme="minorHAnsi" w:hAnsiTheme="minorHAnsi" w:cstheme="minorHAnsi"/>
          <w:bCs/>
          <w:i/>
          <w:iCs/>
          <w:sz w:val="22"/>
          <w:szCs w:val="22"/>
        </w:rPr>
      </w:pPr>
      <w:r w:rsidRPr="00A23A35">
        <w:rPr>
          <w:rFonts w:asciiTheme="minorHAnsi" w:hAnsiTheme="minorHAnsi" w:cstheme="minorHAnsi"/>
          <w:bCs/>
          <w:i/>
          <w:iCs/>
          <w:sz w:val="22"/>
          <w:szCs w:val="22"/>
        </w:rPr>
        <w:t xml:space="preserve">Floodplain – Werai and Niemur Forest </w:t>
      </w:r>
    </w:p>
    <w:p w14:paraId="4E3478D0" w14:textId="78BD073E" w:rsidR="006D6FBF" w:rsidRDefault="006D6FBF" w:rsidP="00E71C01">
      <w:pPr>
        <w:pStyle w:val="Default"/>
        <w:spacing w:line="259" w:lineRule="auto"/>
        <w:ind w:left="567"/>
        <w:rPr>
          <w:rFonts w:asciiTheme="minorHAnsi" w:hAnsiTheme="minorHAnsi" w:cstheme="minorHAnsi"/>
          <w:sz w:val="22"/>
          <w:szCs w:val="22"/>
        </w:rPr>
      </w:pPr>
      <w:r w:rsidRPr="005B2FA0">
        <w:rPr>
          <w:rFonts w:asciiTheme="minorHAnsi" w:hAnsiTheme="minorHAnsi" w:cstheme="minorHAnsi"/>
          <w:sz w:val="22"/>
          <w:szCs w:val="22"/>
        </w:rPr>
        <w:t>Werai Forest is of special significance to the Aboriginal community</w:t>
      </w:r>
      <w:r>
        <w:rPr>
          <w:rFonts w:asciiTheme="minorHAnsi" w:hAnsiTheme="minorHAnsi" w:cstheme="minorHAnsi"/>
          <w:sz w:val="22"/>
          <w:szCs w:val="22"/>
        </w:rPr>
        <w:t xml:space="preserve">. </w:t>
      </w:r>
      <w:r w:rsidRPr="007E61A6">
        <w:rPr>
          <w:rFonts w:asciiTheme="minorHAnsi" w:hAnsiTheme="minorHAnsi" w:cstheme="minorHAnsi"/>
          <w:sz w:val="22"/>
          <w:szCs w:val="22"/>
        </w:rPr>
        <w:t>The Werai Forest is a culturally significant area of land identified as a potential future Indigenous Protected Area, the first in the Murray region of NSW</w:t>
      </w:r>
      <w:r w:rsidRPr="005B2FA0">
        <w:rPr>
          <w:rFonts w:asciiTheme="minorHAnsi" w:hAnsiTheme="minorHAnsi" w:cstheme="minorHAnsi"/>
          <w:sz w:val="22"/>
          <w:szCs w:val="22"/>
        </w:rPr>
        <w:t xml:space="preserve">. The higher floodplain areas are dominated by river red gum with lower lying areas typically dominated by giant rush. </w:t>
      </w:r>
      <w:r>
        <w:rPr>
          <w:rFonts w:asciiTheme="minorHAnsi" w:hAnsiTheme="minorHAnsi" w:cstheme="minorHAnsi"/>
          <w:sz w:val="22"/>
          <w:szCs w:val="22"/>
        </w:rPr>
        <w:t xml:space="preserve">The low lying areas, floodrunners and backwaters in Werai Forest may be important habitat for larval and juvenile fish </w:t>
      </w:r>
      <w:r w:rsidRPr="007E61A6">
        <w:rPr>
          <w:rFonts w:asciiTheme="minorHAnsi" w:hAnsiTheme="minorHAnsi" w:cstheme="minorHAnsi"/>
          <w:sz w:val="22"/>
          <w:szCs w:val="22"/>
        </w:rPr>
        <w:t>and is a potential source of carbon to feed the lower Edward</w:t>
      </w:r>
      <w:r w:rsidR="001216F6">
        <w:rPr>
          <w:rFonts w:asciiTheme="minorHAnsi" w:hAnsiTheme="minorHAnsi" w:cstheme="minorHAnsi"/>
          <w:sz w:val="22"/>
          <w:szCs w:val="22"/>
        </w:rPr>
        <w:t>/Kolety</w:t>
      </w:r>
      <w:r w:rsidRPr="007E61A6">
        <w:rPr>
          <w:rFonts w:asciiTheme="minorHAnsi" w:hAnsiTheme="minorHAnsi" w:cstheme="minorHAnsi"/>
          <w:sz w:val="22"/>
          <w:szCs w:val="22"/>
        </w:rPr>
        <w:t xml:space="preserve"> River and Niemur River systems.</w:t>
      </w:r>
      <w:r>
        <w:rPr>
          <w:rFonts w:asciiTheme="minorHAnsi" w:hAnsiTheme="minorHAnsi" w:cstheme="minorHAnsi"/>
          <w:sz w:val="22"/>
          <w:szCs w:val="22"/>
        </w:rPr>
        <w:t xml:space="preserve"> T</w:t>
      </w:r>
      <w:r w:rsidRPr="005B2FA0">
        <w:rPr>
          <w:rFonts w:asciiTheme="minorHAnsi" w:hAnsiTheme="minorHAnsi" w:cstheme="minorHAnsi"/>
          <w:sz w:val="22"/>
          <w:szCs w:val="22"/>
        </w:rPr>
        <w:t>he Werai Forest supports significant breeding colonies of several species of cormorants</w:t>
      </w:r>
      <w:r>
        <w:rPr>
          <w:rFonts w:asciiTheme="minorHAnsi" w:hAnsiTheme="minorHAnsi" w:cstheme="minorHAnsi"/>
          <w:sz w:val="22"/>
          <w:szCs w:val="22"/>
        </w:rPr>
        <w:t>, whilst t</w:t>
      </w:r>
      <w:r w:rsidRPr="005B2FA0">
        <w:rPr>
          <w:rFonts w:asciiTheme="minorHAnsi" w:hAnsiTheme="minorHAnsi" w:cstheme="minorHAnsi"/>
          <w:sz w:val="22"/>
          <w:szCs w:val="22"/>
        </w:rPr>
        <w:t>he Niemur Forest supports egrets and nankeen</w:t>
      </w:r>
      <w:r>
        <w:rPr>
          <w:rFonts w:asciiTheme="minorHAnsi" w:hAnsiTheme="minorHAnsi" w:cstheme="minorHAnsi"/>
          <w:sz w:val="22"/>
          <w:szCs w:val="22"/>
        </w:rPr>
        <w:t xml:space="preserve"> knight heron breeding colonies</w:t>
      </w:r>
      <w:r w:rsidRPr="005B2FA0">
        <w:rPr>
          <w:rFonts w:asciiTheme="minorHAnsi" w:hAnsiTheme="minorHAnsi" w:cstheme="minorHAnsi"/>
          <w:sz w:val="22"/>
          <w:szCs w:val="22"/>
        </w:rPr>
        <w:t xml:space="preserve">. Both </w:t>
      </w:r>
      <w:r>
        <w:rPr>
          <w:rFonts w:asciiTheme="minorHAnsi" w:hAnsiTheme="minorHAnsi" w:cstheme="minorHAnsi"/>
          <w:sz w:val="22"/>
          <w:szCs w:val="22"/>
        </w:rPr>
        <w:t>forests</w:t>
      </w:r>
      <w:r w:rsidRPr="005B2FA0">
        <w:rPr>
          <w:rFonts w:asciiTheme="minorHAnsi" w:hAnsiTheme="minorHAnsi" w:cstheme="minorHAnsi"/>
          <w:sz w:val="22"/>
          <w:szCs w:val="22"/>
        </w:rPr>
        <w:t xml:space="preserve"> support a number of listed species and migratory species. Werai Forest is part of the Ramsar listed NSW Central Murray State Forests</w:t>
      </w:r>
      <w:r>
        <w:rPr>
          <w:rFonts w:asciiTheme="minorHAnsi" w:hAnsiTheme="minorHAnsi" w:cstheme="minorHAnsi"/>
          <w:sz w:val="22"/>
          <w:szCs w:val="22"/>
        </w:rPr>
        <w:t xml:space="preserve"> (NSW OEH 2018)</w:t>
      </w:r>
      <w:r w:rsidRPr="005B2FA0">
        <w:rPr>
          <w:rFonts w:asciiTheme="minorHAnsi" w:hAnsiTheme="minorHAnsi" w:cstheme="minorHAnsi"/>
          <w:sz w:val="22"/>
          <w:szCs w:val="22"/>
        </w:rPr>
        <w:t xml:space="preserve"> </w:t>
      </w:r>
      <w:r>
        <w:rPr>
          <w:rFonts w:asciiTheme="minorHAnsi" w:hAnsiTheme="minorHAnsi" w:cstheme="minorHAnsi"/>
          <w:sz w:val="22"/>
          <w:szCs w:val="22"/>
        </w:rPr>
        <w:t xml:space="preserve">and </w:t>
      </w:r>
      <w:r w:rsidRPr="005B2FA0">
        <w:rPr>
          <w:rFonts w:asciiTheme="minorHAnsi" w:hAnsiTheme="minorHAnsi" w:cstheme="minorHAnsi"/>
          <w:sz w:val="22"/>
          <w:szCs w:val="22"/>
        </w:rPr>
        <w:t>Niemur Forest</w:t>
      </w:r>
      <w:r>
        <w:rPr>
          <w:rFonts w:asciiTheme="minorHAnsi" w:hAnsiTheme="minorHAnsi" w:cstheme="minorHAnsi"/>
          <w:sz w:val="22"/>
          <w:szCs w:val="22"/>
        </w:rPr>
        <w:t xml:space="preserve"> is located in a National Park (CEWO 2012c). </w:t>
      </w:r>
    </w:p>
    <w:p w14:paraId="4E0B9C94" w14:textId="77777777" w:rsidR="006D6FBF" w:rsidRDefault="006D6FBF" w:rsidP="001216F6">
      <w:pPr>
        <w:pStyle w:val="Default"/>
        <w:spacing w:after="120" w:line="259" w:lineRule="auto"/>
        <w:ind w:left="709" w:right="-2" w:hanging="709"/>
        <w:contextualSpacing/>
        <w:jc w:val="both"/>
        <w:rPr>
          <w:rFonts w:asciiTheme="minorHAnsi" w:hAnsiTheme="minorHAnsi" w:cstheme="minorHAnsi"/>
          <w:bCs/>
          <w:i/>
          <w:iCs/>
          <w:sz w:val="22"/>
          <w:szCs w:val="22"/>
        </w:rPr>
      </w:pPr>
      <w:r w:rsidRPr="00A23A35">
        <w:rPr>
          <w:rFonts w:asciiTheme="minorHAnsi" w:hAnsiTheme="minorHAnsi" w:cstheme="minorHAnsi"/>
          <w:bCs/>
          <w:i/>
          <w:iCs/>
          <w:sz w:val="22"/>
          <w:szCs w:val="22"/>
        </w:rPr>
        <w:t xml:space="preserve">Ephemeral and intermittent creeks - Tuppal, Jimaringle, Cockran and Gwynnes </w:t>
      </w:r>
    </w:p>
    <w:p w14:paraId="2E82AB84" w14:textId="06CBCB04" w:rsidR="006D6FBF" w:rsidRDefault="006D6FBF" w:rsidP="00E71C01">
      <w:pPr>
        <w:pStyle w:val="Default"/>
        <w:spacing w:after="120" w:line="259" w:lineRule="auto"/>
        <w:ind w:left="567" w:right="-2"/>
        <w:rPr>
          <w:rFonts w:asciiTheme="minorHAnsi" w:hAnsiTheme="minorHAnsi" w:cstheme="minorHAnsi"/>
          <w:sz w:val="22"/>
          <w:szCs w:val="22"/>
        </w:rPr>
      </w:pPr>
      <w:r w:rsidRPr="005B2FA0">
        <w:rPr>
          <w:rFonts w:asciiTheme="minorHAnsi" w:hAnsiTheme="minorHAnsi" w:cstheme="minorHAnsi"/>
          <w:sz w:val="22"/>
          <w:szCs w:val="22"/>
        </w:rPr>
        <w:t xml:space="preserve">Tuppal Creek is an intermittent flood runner connecting the Murray River to </w:t>
      </w:r>
      <w:r>
        <w:rPr>
          <w:rFonts w:asciiTheme="minorHAnsi" w:hAnsiTheme="minorHAnsi" w:cstheme="minorHAnsi"/>
          <w:sz w:val="22"/>
          <w:szCs w:val="22"/>
        </w:rPr>
        <w:t>the Edward</w:t>
      </w:r>
      <w:r w:rsidR="001216F6">
        <w:rPr>
          <w:rFonts w:asciiTheme="minorHAnsi" w:hAnsiTheme="minorHAnsi" w:cstheme="minorHAnsi"/>
          <w:sz w:val="22"/>
          <w:szCs w:val="22"/>
        </w:rPr>
        <w:t>/Kolety</w:t>
      </w:r>
      <w:r>
        <w:rPr>
          <w:rFonts w:asciiTheme="minorHAnsi" w:hAnsiTheme="minorHAnsi" w:cstheme="minorHAnsi"/>
          <w:sz w:val="22"/>
          <w:szCs w:val="22"/>
        </w:rPr>
        <w:t xml:space="preserve"> River and </w:t>
      </w:r>
      <w:r w:rsidRPr="005B2FA0">
        <w:rPr>
          <w:rFonts w:asciiTheme="minorHAnsi" w:hAnsiTheme="minorHAnsi" w:cstheme="minorHAnsi"/>
          <w:sz w:val="22"/>
          <w:szCs w:val="22"/>
        </w:rPr>
        <w:t xml:space="preserve">has a largely continuous riparian corridor which provides habitat connectivity for over 120 terrestrial native species and supports a number of state listed threatened and vulnerable species (Brownbill and Warne 2010; CEWO 2012c). Jimaringle, Cockran and Gwynnes Creeks are all ephemeral creeks and considered a biodiversity hotspot of significant regional value. </w:t>
      </w:r>
    </w:p>
    <w:p w14:paraId="4F243EC7" w14:textId="533804BC" w:rsidR="007E61A6" w:rsidRDefault="007E61A6" w:rsidP="001216F6">
      <w:pPr>
        <w:tabs>
          <w:tab w:val="left" w:pos="9071"/>
        </w:tabs>
        <w:spacing w:after="120" w:line="259" w:lineRule="auto"/>
        <w:ind w:right="-2"/>
        <w:jc w:val="left"/>
      </w:pPr>
      <w:r w:rsidRPr="007E61A6">
        <w:t>The Edward</w:t>
      </w:r>
      <w:r w:rsidR="001216F6">
        <w:t>/Kolety</w:t>
      </w:r>
      <w:r w:rsidRPr="007E61A6">
        <w:t xml:space="preserve">-Wakool system is considered to be important for its high native species richness and diversity including threatened and endangered fish, frogs, mammals, and riparian plants. It is listed as an endangered ecosystem, as part of the ‘aquatic ecological community in the natural drainage system of the lower Murray River catchment’ in New South Wales (NSW Fisheries Management Act 1994). </w:t>
      </w:r>
      <w:r>
        <w:t>This system</w:t>
      </w:r>
      <w:r w:rsidRPr="0095520C">
        <w:t xml:space="preserve"> </w:t>
      </w:r>
      <w:r>
        <w:t>has</w:t>
      </w:r>
      <w:r w:rsidRPr="0095520C">
        <w:t xml:space="preserve"> abundant areas of fish habitat, and historically had diverse fish communities which supported both commercial and recreational fisheries.</w:t>
      </w:r>
      <w:r w:rsidRPr="007E61A6">
        <w:t xml:space="preserve"> </w:t>
      </w:r>
      <w:r>
        <w:t>Threatened species include the Trout Cod, Murray Hardyhead, Murray Cod, Australian Bittern, Australian Painted Snipe, Superb Parrot, and Swamp Wallaby Grass (Department of Environment and Energy 2019).</w:t>
      </w:r>
    </w:p>
    <w:p w14:paraId="21B918A7" w14:textId="77777777" w:rsidR="001216F6" w:rsidRDefault="001216F6" w:rsidP="001216F6">
      <w:pPr>
        <w:tabs>
          <w:tab w:val="left" w:pos="9071"/>
        </w:tabs>
        <w:spacing w:after="120" w:line="259" w:lineRule="auto"/>
        <w:jc w:val="left"/>
      </w:pPr>
      <w:r>
        <w:t>The area supports a productive agricultural community, has a rich and diverse Indigenous history, and supports both active and passive recreational uses such as fishing, bird-watching and bush-walking. Many Aboriginal nations maintain strong connections to the country, including the Wamba Wamba or Wemba Wemba, Perrepa Perrepa or Barapa Barapa, and Yorta Yorta. The Werai Forest is in the process of conversion to an Indigenous Protected Area.</w:t>
      </w:r>
    </w:p>
    <w:p w14:paraId="3B4F859C" w14:textId="25B221A1" w:rsidR="00F36647" w:rsidRPr="00C0047F" w:rsidRDefault="007E61A6" w:rsidP="00E71C01">
      <w:pPr>
        <w:tabs>
          <w:tab w:val="left" w:pos="9072"/>
        </w:tabs>
        <w:spacing w:after="120" w:line="320" w:lineRule="exact"/>
        <w:ind w:right="-286"/>
        <w:jc w:val="left"/>
      </w:pPr>
      <w:r w:rsidRPr="00520E7D">
        <w:t>The Edward</w:t>
      </w:r>
      <w:r w:rsidR="00E30D62">
        <w:t>/Kolety</w:t>
      </w:r>
      <w:r w:rsidRPr="00520E7D">
        <w:t xml:space="preserve">-Wakool system </w:t>
      </w:r>
      <w:r w:rsidR="001216F6">
        <w:t xml:space="preserve">plays a key role </w:t>
      </w:r>
      <w:r w:rsidRPr="00520E7D">
        <w:t xml:space="preserve">in </w:t>
      </w:r>
      <w:r w:rsidR="001216F6">
        <w:t xml:space="preserve">the operations and ecosystem function of the Murray River and the southern MDB, </w:t>
      </w:r>
      <w:r w:rsidRPr="00520E7D">
        <w:t>connecting upstream and downstream ecosystems in the mid-Murray River. The multiple streams and creeks in this system provide important refuge and nursery areas for fish and other aquatic organisms, and adult fish regularly move between this system and the Murray River. As some of the rivers in the Edward</w:t>
      </w:r>
      <w:r w:rsidR="00E30D62">
        <w:t>/Kolety</w:t>
      </w:r>
      <w:r w:rsidRPr="00520E7D">
        <w:t>-Wakool system have low discharge (compared to the Murray River) there is a risk of poor water quality developing in this system, particularly during warm periods or from floodplain return flows. Ma</w:t>
      </w:r>
      <w:r w:rsidR="001216F6">
        <w:t xml:space="preserve">intaining good water quality </w:t>
      </w:r>
      <w:r w:rsidRPr="00520E7D">
        <w:t xml:space="preserve">is crucial for both the river ecosystem, the communities that rely on water from this system, and downstream communities </w:t>
      </w:r>
      <w:r w:rsidR="00E71C01">
        <w:t>along</w:t>
      </w:r>
      <w:r w:rsidRPr="00520E7D">
        <w:t xml:space="preserve"> the Murray River that are influenced by the water quality in this system.</w:t>
      </w:r>
      <w:r w:rsidR="00F36647" w:rsidRPr="00172EA9">
        <w:rPr>
          <w:rFonts w:asciiTheme="minorHAnsi" w:hAnsiTheme="minorHAnsi"/>
          <w:szCs w:val="22"/>
          <w:highlight w:val="yellow"/>
        </w:rPr>
        <w:br w:type="page"/>
      </w:r>
    </w:p>
    <w:p w14:paraId="7E9E5739" w14:textId="2288F091" w:rsidR="00FA721B" w:rsidRPr="00C959D7" w:rsidRDefault="00523069" w:rsidP="00836CDD">
      <w:pPr>
        <w:pStyle w:val="Heading1"/>
      </w:pPr>
      <w:bookmarkStart w:id="9" w:name="_Toc450199547"/>
      <w:bookmarkStart w:id="10" w:name="_Toc69846014"/>
      <w:r w:rsidRPr="00E7454E">
        <w:t>2</w:t>
      </w:r>
      <w:r w:rsidRPr="00E7454E">
        <w:tab/>
      </w:r>
      <w:r w:rsidR="00876A67" w:rsidRPr="00E7454E">
        <w:t>E</w:t>
      </w:r>
      <w:r w:rsidR="001E3C65" w:rsidRPr="00E7454E">
        <w:t xml:space="preserve">nvironmental water use objectives </w:t>
      </w:r>
      <w:r w:rsidR="00417F7C" w:rsidRPr="00E7454E">
        <w:t xml:space="preserve">and watering actions in </w:t>
      </w:r>
      <w:bookmarkEnd w:id="9"/>
      <w:r w:rsidR="00D63EC6" w:rsidRPr="00E7454E">
        <w:t>201</w:t>
      </w:r>
      <w:r w:rsidR="00F81562">
        <w:t>9-20</w:t>
      </w:r>
      <w:bookmarkEnd w:id="10"/>
    </w:p>
    <w:p w14:paraId="41F98648" w14:textId="3421CB66" w:rsidR="00EE14FF" w:rsidRPr="00C959D7" w:rsidRDefault="00FD279A" w:rsidP="00A54B31">
      <w:pPr>
        <w:pStyle w:val="Para0"/>
        <w:spacing w:before="0" w:line="320" w:lineRule="exact"/>
        <w:ind w:left="709" w:hanging="709"/>
        <w:rPr>
          <w:b/>
          <w:color w:val="31849B" w:themeColor="accent5" w:themeShade="BF"/>
          <w:sz w:val="28"/>
          <w:szCs w:val="28"/>
        </w:rPr>
      </w:pPr>
      <w:bookmarkStart w:id="11" w:name="_Ref324953812"/>
      <w:bookmarkStart w:id="12" w:name="_Toc324953403"/>
      <w:bookmarkStart w:id="13" w:name="_Ref324953806"/>
      <w:bookmarkStart w:id="14" w:name="_Toc398112756"/>
      <w:bookmarkStart w:id="15" w:name="_Toc450164282"/>
      <w:r w:rsidRPr="00C959D7">
        <w:rPr>
          <w:rFonts w:ascii="Calibri" w:eastAsia="Calibri" w:hAnsi="Calibri" w:cs="Times New Roman"/>
          <w:b/>
          <w:color w:val="31849B" w:themeColor="accent5" w:themeShade="BF"/>
          <w:sz w:val="28"/>
          <w:szCs w:val="28"/>
          <w:lang w:val="en-AU"/>
        </w:rPr>
        <w:t>2.1</w:t>
      </w:r>
      <w:r w:rsidR="0040502A" w:rsidRPr="00C959D7">
        <w:rPr>
          <w:rFonts w:ascii="Calibri" w:eastAsia="Calibri" w:hAnsi="Calibri" w:cs="Times New Roman"/>
          <w:b/>
          <w:color w:val="31849B" w:themeColor="accent5" w:themeShade="BF"/>
          <w:sz w:val="28"/>
          <w:szCs w:val="28"/>
          <w:lang w:val="en-AU"/>
        </w:rPr>
        <w:tab/>
      </w:r>
      <w:r w:rsidR="00EE14FF" w:rsidRPr="00C959D7">
        <w:rPr>
          <w:rFonts w:ascii="Calibri" w:eastAsia="Calibri" w:hAnsi="Calibri" w:cs="Times New Roman"/>
          <w:b/>
          <w:color w:val="31849B" w:themeColor="accent5" w:themeShade="BF"/>
          <w:sz w:val="28"/>
          <w:szCs w:val="28"/>
          <w:lang w:val="en-AU"/>
        </w:rPr>
        <w:t>Expected outcomes from Basin-wide Environmental Watering Strategy relevant to the Mid-Murray Region</w:t>
      </w:r>
    </w:p>
    <w:p w14:paraId="1CA15F7C" w14:textId="7B16C604" w:rsidR="00EE14FF" w:rsidRPr="00186538" w:rsidRDefault="00EE14FF" w:rsidP="003B02E5">
      <w:pPr>
        <w:pStyle w:val="BodyText"/>
        <w:spacing w:after="120" w:line="300" w:lineRule="exact"/>
        <w:ind w:right="227"/>
        <w:contextualSpacing/>
        <w:rPr>
          <w:rFonts w:asciiTheme="minorHAnsi" w:hAnsiTheme="minorHAnsi" w:cstheme="minorHAnsi"/>
          <w:sz w:val="22"/>
          <w:szCs w:val="22"/>
        </w:rPr>
      </w:pPr>
      <w:r w:rsidRPr="00186538">
        <w:rPr>
          <w:rFonts w:asciiTheme="minorHAnsi" w:hAnsiTheme="minorHAnsi" w:cstheme="minorHAnsi"/>
          <w:sz w:val="22"/>
          <w:szCs w:val="22"/>
        </w:rPr>
        <w:t>Expected</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outcomes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from</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Basin-wide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Environmental</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Watering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Strategy</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(MDBA</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2014)</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ar</w:t>
      </w:r>
      <w:r>
        <w:rPr>
          <w:rFonts w:asciiTheme="minorHAnsi" w:hAnsiTheme="minorHAnsi" w:cstheme="minorHAnsi"/>
          <w:sz w:val="22"/>
          <w:szCs w:val="22"/>
        </w:rPr>
        <w:t xml:space="preserve">e </w:t>
      </w:r>
      <w:r w:rsidRPr="00186538">
        <w:rPr>
          <w:rFonts w:asciiTheme="minorHAnsi" w:hAnsiTheme="minorHAnsi" w:cstheme="minorHAnsi"/>
          <w:sz w:val="22"/>
          <w:szCs w:val="22"/>
        </w:rPr>
        <w:t>relevant</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Mid</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Murray</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Region</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7"/>
          <w:sz w:val="22"/>
          <w:szCs w:val="22"/>
        </w:rPr>
        <w:t xml:space="preserve"> </w:t>
      </w:r>
      <w:r w:rsidR="00FD279A">
        <w:rPr>
          <w:rFonts w:asciiTheme="minorHAnsi" w:hAnsiTheme="minorHAnsi" w:cstheme="minorHAnsi"/>
          <w:spacing w:val="-1"/>
          <w:sz w:val="22"/>
          <w:szCs w:val="22"/>
        </w:rPr>
        <w:t>listed</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below</w:t>
      </w:r>
      <w:r w:rsidR="00FF24D3">
        <w:rPr>
          <w:rFonts w:asciiTheme="minorHAnsi" w:hAnsiTheme="minorHAnsi" w:cstheme="minorHAnsi"/>
          <w:sz w:val="22"/>
          <w:szCs w:val="22"/>
        </w:rPr>
        <w:t xml:space="preserve"> and in Table 2.1 and </w:t>
      </w:r>
      <w:r w:rsidR="003B02E5">
        <w:rPr>
          <w:rFonts w:asciiTheme="minorHAnsi" w:hAnsiTheme="minorHAnsi" w:cstheme="minorHAnsi"/>
          <w:sz w:val="22"/>
          <w:szCs w:val="22"/>
        </w:rPr>
        <w:t xml:space="preserve">Table </w:t>
      </w:r>
      <w:r w:rsidR="00FF24D3">
        <w:rPr>
          <w:rFonts w:asciiTheme="minorHAnsi" w:hAnsiTheme="minorHAnsi" w:cstheme="minorHAnsi"/>
          <w:sz w:val="22"/>
          <w:szCs w:val="22"/>
        </w:rPr>
        <w:t>2.2</w:t>
      </w:r>
      <w:r w:rsidRPr="00186538">
        <w:rPr>
          <w:rFonts w:asciiTheme="minorHAnsi" w:hAnsiTheme="minorHAnsi" w:cstheme="minorHAnsi"/>
          <w:sz w:val="22"/>
          <w:szCs w:val="22"/>
        </w:rPr>
        <w:t>.</w:t>
      </w:r>
    </w:p>
    <w:p w14:paraId="75D8DE07" w14:textId="4B6CAFAE" w:rsidR="00EE14FF" w:rsidRPr="00EE14FF" w:rsidRDefault="00EE14FF" w:rsidP="00FD279A">
      <w:pPr>
        <w:spacing w:after="0" w:line="300" w:lineRule="exact"/>
        <w:contextualSpacing/>
        <w:rPr>
          <w:b/>
          <w:bCs/>
          <w:color w:val="31849B" w:themeColor="accent5" w:themeShade="BF"/>
        </w:rPr>
      </w:pPr>
      <w:r w:rsidRPr="00EE14FF">
        <w:rPr>
          <w:color w:val="31849B" w:themeColor="accent5" w:themeShade="BF"/>
          <w:spacing w:val="-1"/>
        </w:rPr>
        <w:t>River flows and connectivity</w:t>
      </w:r>
    </w:p>
    <w:p w14:paraId="1BCAA569" w14:textId="6DA4B5FE" w:rsidR="00EE14FF" w:rsidRPr="00186538" w:rsidRDefault="00EE14FF" w:rsidP="0040642F">
      <w:pPr>
        <w:pStyle w:val="BodyText"/>
        <w:numPr>
          <w:ilvl w:val="0"/>
          <w:numId w:val="18"/>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Base</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flows</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60</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2"/>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natural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level</w:t>
      </w:r>
    </w:p>
    <w:p w14:paraId="48387227" w14:textId="62E6C09D" w:rsidR="00EE14FF" w:rsidRDefault="00EE14FF" w:rsidP="0040642F">
      <w:pPr>
        <w:pStyle w:val="BodyText"/>
        <w:numPr>
          <w:ilvl w:val="0"/>
          <w:numId w:val="18"/>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Contributing</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30</w:t>
      </w:r>
      <w:r w:rsidRPr="00186538">
        <w:rPr>
          <w:rFonts w:asciiTheme="minorHAnsi" w:hAnsiTheme="minorHAnsi" w:cstheme="minorHAnsi"/>
          <w:spacing w:val="-3"/>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overall</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increase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flows</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in</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Murray</w:t>
      </w:r>
    </w:p>
    <w:p w14:paraId="3880272C" w14:textId="327E8F9D" w:rsidR="00EE14FF" w:rsidRPr="00EE14FF" w:rsidRDefault="00EE14FF" w:rsidP="0040642F">
      <w:pPr>
        <w:pStyle w:val="BodyText"/>
        <w:numPr>
          <w:ilvl w:val="0"/>
          <w:numId w:val="18"/>
        </w:numPr>
        <w:spacing w:after="120" w:line="300" w:lineRule="exact"/>
        <w:ind w:left="357" w:hanging="357"/>
        <w:contextualSpacing/>
        <w:rPr>
          <w:rFonts w:asciiTheme="minorHAnsi" w:hAnsiTheme="minorHAnsi" w:cstheme="minorHAnsi"/>
          <w:sz w:val="22"/>
          <w:szCs w:val="22"/>
        </w:rPr>
      </w:pPr>
      <w:r w:rsidRPr="00EE14FF">
        <w:rPr>
          <w:rFonts w:asciiTheme="minorHAnsi" w:hAnsiTheme="minorHAnsi" w:cstheme="minorHAnsi"/>
          <w:sz w:val="22"/>
          <w:szCs w:val="22"/>
        </w:rPr>
        <w:t>A</w:t>
      </w:r>
      <w:r w:rsidRPr="00EE14FF">
        <w:rPr>
          <w:rFonts w:asciiTheme="minorHAnsi" w:hAnsiTheme="minorHAnsi" w:cstheme="minorHAnsi"/>
          <w:spacing w:val="-8"/>
          <w:sz w:val="22"/>
          <w:szCs w:val="22"/>
        </w:rPr>
        <w:t xml:space="preserve"> </w:t>
      </w:r>
      <w:r w:rsidRPr="00EE14FF">
        <w:rPr>
          <w:rFonts w:asciiTheme="minorHAnsi" w:hAnsiTheme="minorHAnsi" w:cstheme="minorHAnsi"/>
          <w:sz w:val="22"/>
          <w:szCs w:val="22"/>
        </w:rPr>
        <w:t>30</w:t>
      </w:r>
      <w:r w:rsidR="007B0347">
        <w:rPr>
          <w:rFonts w:asciiTheme="minorHAnsi" w:hAnsiTheme="minorHAnsi" w:cstheme="minorHAnsi"/>
          <w:sz w:val="22"/>
          <w:szCs w:val="22"/>
        </w:rPr>
        <w:t xml:space="preserve"> to </w:t>
      </w:r>
      <w:r w:rsidRPr="00EE14FF">
        <w:rPr>
          <w:rFonts w:asciiTheme="minorHAnsi" w:hAnsiTheme="minorHAnsi" w:cstheme="minorHAnsi"/>
          <w:sz w:val="22"/>
          <w:szCs w:val="22"/>
        </w:rPr>
        <w:t>60</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per</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cent</w:t>
      </w:r>
      <w:r w:rsidRPr="00EE14FF">
        <w:rPr>
          <w:rFonts w:asciiTheme="minorHAnsi" w:hAnsiTheme="minorHAnsi" w:cstheme="minorHAnsi"/>
          <w:spacing w:val="-4"/>
          <w:sz w:val="22"/>
          <w:szCs w:val="22"/>
        </w:rPr>
        <w:t xml:space="preserve"> </w:t>
      </w:r>
      <w:r w:rsidRPr="00EE14FF">
        <w:rPr>
          <w:rFonts w:asciiTheme="minorHAnsi" w:hAnsiTheme="minorHAnsi" w:cstheme="minorHAnsi"/>
          <w:sz w:val="22"/>
          <w:szCs w:val="22"/>
        </w:rPr>
        <w:t>increase</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in</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the</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frequency</w:t>
      </w:r>
      <w:r w:rsidRPr="00EE14FF">
        <w:rPr>
          <w:rFonts w:asciiTheme="minorHAnsi" w:hAnsiTheme="minorHAnsi" w:cstheme="minorHAnsi"/>
          <w:spacing w:val="-8"/>
          <w:sz w:val="22"/>
          <w:szCs w:val="22"/>
        </w:rPr>
        <w:t xml:space="preserve"> </w:t>
      </w:r>
      <w:r w:rsidRPr="00EE14FF">
        <w:rPr>
          <w:rFonts w:asciiTheme="minorHAnsi" w:hAnsiTheme="minorHAnsi" w:cstheme="minorHAnsi"/>
          <w:spacing w:val="-1"/>
          <w:sz w:val="22"/>
          <w:szCs w:val="22"/>
        </w:rPr>
        <w:t>of</w:t>
      </w:r>
      <w:r w:rsidRPr="00EE14FF">
        <w:rPr>
          <w:rFonts w:asciiTheme="minorHAnsi" w:hAnsiTheme="minorHAnsi" w:cstheme="minorHAnsi"/>
          <w:spacing w:val="-5"/>
          <w:sz w:val="22"/>
          <w:szCs w:val="22"/>
        </w:rPr>
        <w:t xml:space="preserve"> </w:t>
      </w:r>
      <w:r w:rsidRPr="00EE14FF">
        <w:rPr>
          <w:rFonts w:asciiTheme="minorHAnsi" w:hAnsiTheme="minorHAnsi" w:cstheme="minorHAnsi"/>
          <w:sz w:val="22"/>
          <w:szCs w:val="22"/>
        </w:rPr>
        <w:t>freshes,</w:t>
      </w:r>
      <w:r w:rsidRPr="00EE14FF">
        <w:rPr>
          <w:rFonts w:asciiTheme="minorHAnsi" w:hAnsiTheme="minorHAnsi" w:cstheme="minorHAnsi"/>
          <w:spacing w:val="-9"/>
          <w:sz w:val="22"/>
          <w:szCs w:val="22"/>
        </w:rPr>
        <w:t xml:space="preserve"> </w:t>
      </w:r>
      <w:r w:rsidRPr="00EE14FF">
        <w:rPr>
          <w:rFonts w:asciiTheme="minorHAnsi" w:hAnsiTheme="minorHAnsi" w:cstheme="minorHAnsi"/>
          <w:sz w:val="22"/>
          <w:szCs w:val="22"/>
        </w:rPr>
        <w:t>bankfull</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and</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lowland</w:t>
      </w:r>
      <w:r w:rsidRPr="00EE14FF">
        <w:rPr>
          <w:rFonts w:asciiTheme="minorHAnsi" w:hAnsiTheme="minorHAnsi" w:cstheme="minorHAnsi"/>
          <w:spacing w:val="-7"/>
          <w:sz w:val="22"/>
          <w:szCs w:val="22"/>
        </w:rPr>
        <w:t xml:space="preserve"> </w:t>
      </w:r>
      <w:r w:rsidRPr="00EE14FF">
        <w:rPr>
          <w:rFonts w:asciiTheme="minorHAnsi" w:hAnsiTheme="minorHAnsi" w:cstheme="minorHAnsi"/>
          <w:spacing w:val="-1"/>
          <w:sz w:val="22"/>
          <w:szCs w:val="22"/>
        </w:rPr>
        <w:t>floodplain</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flows</w:t>
      </w:r>
    </w:p>
    <w:p w14:paraId="276B9721" w14:textId="239C92EF" w:rsidR="00EE14FF" w:rsidRPr="00EE14FF" w:rsidRDefault="00EE14FF" w:rsidP="00FD279A">
      <w:pPr>
        <w:spacing w:after="0" w:line="300" w:lineRule="exact"/>
        <w:contextualSpacing/>
        <w:rPr>
          <w:color w:val="31849B" w:themeColor="accent5" w:themeShade="BF"/>
          <w:spacing w:val="-1"/>
        </w:rPr>
      </w:pPr>
      <w:r w:rsidRPr="00EE14FF">
        <w:rPr>
          <w:color w:val="31849B" w:themeColor="accent5" w:themeShade="BF"/>
          <w:spacing w:val="-1"/>
        </w:rPr>
        <w:t>Vegetation</w:t>
      </w:r>
    </w:p>
    <w:p w14:paraId="6591A627" w14:textId="5DC7E976" w:rsidR="00EE14FF" w:rsidRPr="00186538" w:rsidRDefault="00EE14FF" w:rsidP="0040642F">
      <w:pPr>
        <w:pStyle w:val="BodyText"/>
        <w:numPr>
          <w:ilvl w:val="0"/>
          <w:numId w:val="19"/>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Maintain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current</w:t>
      </w:r>
      <w:r w:rsidRPr="00186538">
        <w:rPr>
          <w:rFonts w:asciiTheme="minorHAnsi" w:hAnsiTheme="minorHAnsi" w:cstheme="minorHAnsi"/>
          <w:spacing w:val="28"/>
          <w:sz w:val="22"/>
          <w:szCs w:val="22"/>
        </w:rPr>
        <w:t xml:space="preserve"> </w:t>
      </w:r>
      <w:r w:rsidRPr="00186538">
        <w:rPr>
          <w:rFonts w:asciiTheme="minorHAnsi" w:hAnsiTheme="minorHAnsi" w:cstheme="minorHAnsi"/>
          <w:spacing w:val="-1"/>
          <w:sz w:val="22"/>
          <w:szCs w:val="22"/>
        </w:rPr>
        <w:t>extent</w:t>
      </w:r>
      <w:r w:rsidRPr="00186538">
        <w:rPr>
          <w:rFonts w:asciiTheme="minorHAnsi" w:hAnsiTheme="minorHAnsi" w:cstheme="minorHAnsi"/>
          <w:spacing w:val="27"/>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water-dependent</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vegetation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near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low-lying</w:t>
      </w:r>
      <w:r w:rsidRPr="00186538">
        <w:rPr>
          <w:rFonts w:asciiTheme="minorHAnsi" w:hAnsiTheme="minorHAnsi" w:cstheme="minorHAnsi"/>
          <w:spacing w:val="65"/>
          <w:w w:val="99"/>
          <w:sz w:val="22"/>
          <w:szCs w:val="22"/>
        </w:rPr>
        <w:t xml:space="preserve"> </w:t>
      </w:r>
      <w:r w:rsidRPr="00186538">
        <w:rPr>
          <w:rFonts w:asciiTheme="minorHAnsi" w:hAnsiTheme="minorHAnsi" w:cstheme="minorHAnsi"/>
          <w:sz w:val="22"/>
          <w:szCs w:val="22"/>
        </w:rPr>
        <w:t>areas</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floodplain</w:t>
      </w:r>
    </w:p>
    <w:p w14:paraId="1B851175" w14:textId="321BD6F4" w:rsidR="00FA721B" w:rsidRPr="003E0419" w:rsidRDefault="00EE14FF" w:rsidP="0040642F">
      <w:pPr>
        <w:pStyle w:val="BodyText"/>
        <w:numPr>
          <w:ilvl w:val="0"/>
          <w:numId w:val="19"/>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condition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river</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lignum</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shrublands</w:t>
      </w:r>
    </w:p>
    <w:p w14:paraId="1FA005DB" w14:textId="103EA9D7" w:rsidR="00EE14FF" w:rsidRPr="00186538" w:rsidRDefault="00EE14FF" w:rsidP="0040642F">
      <w:pPr>
        <w:pStyle w:val="BodyText"/>
        <w:numPr>
          <w:ilvl w:val="0"/>
          <w:numId w:val="19"/>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trees</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within</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communities</w:t>
      </w:r>
    </w:p>
    <w:p w14:paraId="590D544F" w14:textId="4F064D6F" w:rsidR="00EE14FF" w:rsidRPr="00186538" w:rsidRDefault="00EE14FF" w:rsidP="0040642F">
      <w:pPr>
        <w:pStyle w:val="BodyText"/>
        <w:numPr>
          <w:ilvl w:val="0"/>
          <w:numId w:val="19"/>
        </w:numPr>
        <w:spacing w:after="120" w:line="300" w:lineRule="exact"/>
        <w:ind w:left="357"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periods</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growth</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for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non-woody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vegetation</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communities</w:t>
      </w:r>
      <w:r w:rsidRPr="00186538">
        <w:rPr>
          <w:rFonts w:asciiTheme="minorHAnsi" w:hAnsiTheme="minorHAnsi" w:cstheme="minorHAnsi"/>
          <w:spacing w:val="-16"/>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closely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fringe</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or</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occur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withi</w:t>
      </w:r>
      <w:r w:rsidR="00244493">
        <w:rPr>
          <w:rFonts w:asciiTheme="minorHAnsi" w:hAnsiTheme="minorHAnsi" w:cstheme="minorHAnsi"/>
          <w:sz w:val="22"/>
          <w:szCs w:val="22"/>
        </w:rPr>
        <w:t xml:space="preserve">n </w:t>
      </w:r>
      <w:r w:rsidRPr="00186538">
        <w:rPr>
          <w:rFonts w:asciiTheme="minorHAnsi" w:hAnsiTheme="minorHAnsi" w:cstheme="minorHAnsi"/>
          <w:sz w:val="22"/>
          <w:szCs w:val="22"/>
        </w:rPr>
        <w:t>the</w:t>
      </w:r>
      <w:r w:rsidRPr="00186538">
        <w:rPr>
          <w:rFonts w:asciiTheme="minorHAnsi" w:hAnsiTheme="minorHAnsi" w:cstheme="minorHAnsi"/>
          <w:spacing w:val="24"/>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an</w:t>
      </w:r>
      <w:r w:rsidR="00244493">
        <w:rPr>
          <w:rFonts w:asciiTheme="minorHAnsi" w:hAnsiTheme="minorHAnsi" w:cstheme="minorHAnsi"/>
          <w:spacing w:val="-1"/>
          <w:sz w:val="22"/>
          <w:szCs w:val="22"/>
        </w:rPr>
        <w:t xml:space="preserve">d </w:t>
      </w:r>
      <w:r w:rsidRPr="00186538">
        <w:rPr>
          <w:rFonts w:asciiTheme="minorHAnsi" w:hAnsiTheme="minorHAnsi" w:cstheme="minorHAnsi"/>
          <w:sz w:val="22"/>
          <w:szCs w:val="22"/>
        </w:rPr>
        <w:t>creek</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00244493">
        <w:rPr>
          <w:rFonts w:asciiTheme="minorHAnsi" w:hAnsiTheme="minorHAnsi" w:cstheme="minorHAnsi"/>
          <w:spacing w:val="-1"/>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thos</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that</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for</w:t>
      </w:r>
      <w:r w:rsidR="00244493">
        <w:rPr>
          <w:rFonts w:asciiTheme="minorHAnsi" w:hAnsiTheme="minorHAnsi" w:cstheme="minorHAnsi"/>
          <w:spacing w:val="-1"/>
          <w:sz w:val="22"/>
          <w:szCs w:val="22"/>
        </w:rPr>
        <w:t xml:space="preserve">m </w:t>
      </w:r>
      <w:r w:rsidRPr="00186538">
        <w:rPr>
          <w:rFonts w:asciiTheme="minorHAnsi" w:hAnsiTheme="minorHAnsi" w:cstheme="minorHAnsi"/>
          <w:spacing w:val="-1"/>
          <w:sz w:val="22"/>
          <w:szCs w:val="22"/>
        </w:rPr>
        <w:t>extensiv</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stand</w:t>
      </w:r>
      <w:r w:rsidR="00244493">
        <w:rPr>
          <w:rFonts w:asciiTheme="minorHAnsi" w:hAnsiTheme="minorHAnsi" w:cstheme="minorHAnsi"/>
          <w:spacing w:val="-1"/>
          <w:sz w:val="22"/>
          <w:szCs w:val="22"/>
        </w:rPr>
        <w:t xml:space="preserve">s </w:t>
      </w:r>
      <w:r w:rsidRPr="00186538">
        <w:rPr>
          <w:rFonts w:asciiTheme="minorHAnsi" w:hAnsiTheme="minorHAnsi" w:cstheme="minorHAnsi"/>
          <w:spacing w:val="-1"/>
          <w:sz w:val="22"/>
          <w:szCs w:val="22"/>
        </w:rPr>
        <w:t>within</w:t>
      </w:r>
      <w:r w:rsidRPr="00186538">
        <w:rPr>
          <w:rFonts w:asciiTheme="minorHAnsi" w:hAnsiTheme="minorHAnsi" w:cstheme="minorHAnsi"/>
          <w:spacing w:val="23"/>
          <w:sz w:val="22"/>
          <w:szCs w:val="22"/>
        </w:rPr>
        <w:t xml:space="preserve"> </w:t>
      </w:r>
      <w:r w:rsidRPr="00186538">
        <w:rPr>
          <w:rFonts w:asciiTheme="minorHAnsi" w:hAnsiTheme="minorHAnsi" w:cstheme="minorHAnsi"/>
          <w:sz w:val="22"/>
          <w:szCs w:val="22"/>
        </w:rPr>
        <w:t>wetland</w:t>
      </w:r>
      <w:r w:rsidR="00244493">
        <w:rPr>
          <w:rFonts w:asciiTheme="minorHAnsi" w:hAnsiTheme="minorHAnsi" w:cstheme="minorHAnsi"/>
          <w:sz w:val="22"/>
          <w:szCs w:val="22"/>
        </w:rPr>
        <w:t xml:space="preserve">s </w:t>
      </w:r>
      <w:r w:rsidRPr="00186538">
        <w:rPr>
          <w:rFonts w:asciiTheme="minorHAnsi" w:hAnsiTheme="minorHAnsi" w:cstheme="minorHAnsi"/>
          <w:sz w:val="22"/>
          <w:szCs w:val="22"/>
        </w:rPr>
        <w:t>an</w:t>
      </w:r>
      <w:r w:rsidR="00244493">
        <w:rPr>
          <w:rFonts w:asciiTheme="minorHAnsi" w:hAnsiTheme="minorHAnsi" w:cstheme="minorHAnsi"/>
          <w:sz w:val="22"/>
          <w:szCs w:val="22"/>
        </w:rPr>
        <w:t xml:space="preserve">d </w:t>
      </w:r>
      <w:r w:rsidRPr="00186538">
        <w:rPr>
          <w:rFonts w:asciiTheme="minorHAnsi" w:hAnsiTheme="minorHAnsi" w:cstheme="minorHAnsi"/>
          <w:spacing w:val="1"/>
          <w:sz w:val="22"/>
          <w:szCs w:val="22"/>
        </w:rPr>
        <w:t>low-lyin</w:t>
      </w:r>
      <w:r w:rsidR="00244493">
        <w:rPr>
          <w:rFonts w:asciiTheme="minorHAnsi" w:hAnsiTheme="minorHAnsi" w:cstheme="minorHAnsi"/>
          <w:spacing w:val="1"/>
          <w:sz w:val="22"/>
          <w:szCs w:val="22"/>
        </w:rPr>
        <w:t xml:space="preserve">g </w:t>
      </w:r>
      <w:r w:rsidRPr="00186538">
        <w:rPr>
          <w:rFonts w:asciiTheme="minorHAnsi" w:hAnsiTheme="minorHAnsi" w:cstheme="minorHAnsi"/>
          <w:spacing w:val="-1"/>
          <w:sz w:val="22"/>
          <w:szCs w:val="22"/>
        </w:rPr>
        <w:t>floodplains</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including</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Moira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grasslands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Barmah–Millewa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Forest</w:t>
      </w:r>
    </w:p>
    <w:p w14:paraId="6F684BEA" w14:textId="48BDA3CE" w:rsidR="00EE14FF" w:rsidRPr="00EE14FF" w:rsidRDefault="00EE14FF" w:rsidP="00EE14FF">
      <w:pPr>
        <w:spacing w:after="0" w:line="320" w:lineRule="exact"/>
        <w:contextualSpacing/>
        <w:rPr>
          <w:color w:val="31849B" w:themeColor="accent5" w:themeShade="BF"/>
          <w:spacing w:val="-1"/>
        </w:rPr>
      </w:pPr>
      <w:r w:rsidRPr="00EE14FF">
        <w:rPr>
          <w:color w:val="31849B" w:themeColor="accent5" w:themeShade="BF"/>
          <w:spacing w:val="-1"/>
        </w:rPr>
        <w:t>Fish</w:t>
      </w:r>
      <w:r w:rsidR="00FF24D3">
        <w:rPr>
          <w:color w:val="31849B" w:themeColor="accent5" w:themeShade="BF"/>
          <w:spacing w:val="-1"/>
        </w:rPr>
        <w:t xml:space="preserve"> </w:t>
      </w:r>
    </w:p>
    <w:p w14:paraId="0F353B75" w14:textId="77777777" w:rsidR="00EE14FF" w:rsidRPr="00186538" w:rsidRDefault="00EE14FF" w:rsidP="0040642F">
      <w:pPr>
        <w:pStyle w:val="BodyText"/>
        <w:numPr>
          <w:ilvl w:val="0"/>
          <w:numId w:val="19"/>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pacing w:val="-1"/>
          <w:sz w:val="22"/>
          <w:szCs w:val="22"/>
        </w:rPr>
        <w:t>No</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loss</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native</w:t>
      </w:r>
      <w:r w:rsidRPr="00186538">
        <w:rPr>
          <w:rFonts w:asciiTheme="minorHAnsi" w:hAnsiTheme="minorHAnsi" w:cstheme="minorHAnsi"/>
          <w:spacing w:val="-6"/>
          <w:sz w:val="22"/>
          <w:szCs w:val="22"/>
        </w:rPr>
        <w:t xml:space="preserve"> </w:t>
      </w:r>
      <w:r>
        <w:rPr>
          <w:rFonts w:asciiTheme="minorHAnsi" w:hAnsiTheme="minorHAnsi" w:cstheme="minorHAnsi"/>
          <w:sz w:val="22"/>
          <w:szCs w:val="22"/>
        </w:rPr>
        <w:t>species</w:t>
      </w:r>
    </w:p>
    <w:p w14:paraId="0836BD44" w14:textId="77777777" w:rsidR="00EE14FF" w:rsidRPr="00186538" w:rsidRDefault="00EE14FF" w:rsidP="0040642F">
      <w:pPr>
        <w:pStyle w:val="BodyText"/>
        <w:numPr>
          <w:ilvl w:val="0"/>
          <w:numId w:val="19"/>
        </w:numPr>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Improved</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population</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structure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through</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regular</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including:</w:t>
      </w:r>
    </w:p>
    <w:p w14:paraId="3707914D" w14:textId="6D6C6BCC" w:rsidR="00EE14FF" w:rsidRPr="00186538" w:rsidRDefault="00EE14FF" w:rsidP="0040642F">
      <w:pPr>
        <w:pStyle w:val="BodyText"/>
        <w:widowControl w:val="0"/>
        <w:numPr>
          <w:ilvl w:val="1"/>
          <w:numId w:val="19"/>
        </w:numPr>
        <w:tabs>
          <w:tab w:val="left" w:pos="518"/>
        </w:tabs>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pacing w:val="-1"/>
          <w:sz w:val="22"/>
          <w:szCs w:val="22"/>
        </w:rPr>
        <w:t>Short-lived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distribution</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abundance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pre-2007</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levels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breeding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succes</w:t>
      </w:r>
      <w:r w:rsidR="00244493">
        <w:rPr>
          <w:rFonts w:asciiTheme="minorHAnsi" w:hAnsiTheme="minorHAnsi" w:cstheme="minorHAnsi"/>
          <w:spacing w:val="-1"/>
          <w:sz w:val="22"/>
          <w:szCs w:val="22"/>
        </w:rPr>
        <w:t xml:space="preserve">s </w:t>
      </w:r>
      <w:r w:rsidRPr="00186538">
        <w:rPr>
          <w:rFonts w:asciiTheme="minorHAnsi" w:hAnsiTheme="minorHAnsi" w:cstheme="minorHAnsi"/>
          <w:sz w:val="22"/>
          <w:szCs w:val="22"/>
        </w:rPr>
        <w:t>every</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1–2</w:t>
      </w:r>
      <w:r w:rsidRPr="00186538">
        <w:rPr>
          <w:rFonts w:asciiTheme="minorHAnsi" w:hAnsiTheme="minorHAnsi" w:cstheme="minorHAnsi"/>
          <w:spacing w:val="-8"/>
          <w:sz w:val="22"/>
          <w:szCs w:val="22"/>
        </w:rPr>
        <w:t xml:space="preserve"> </w:t>
      </w:r>
      <w:r>
        <w:rPr>
          <w:rFonts w:asciiTheme="minorHAnsi" w:hAnsiTheme="minorHAnsi" w:cstheme="minorHAnsi"/>
          <w:sz w:val="22"/>
          <w:szCs w:val="22"/>
        </w:rPr>
        <w:t>years</w:t>
      </w:r>
    </w:p>
    <w:p w14:paraId="385E0845" w14:textId="26677E37" w:rsidR="00EE14FF" w:rsidRPr="00186538" w:rsidRDefault="00EE14FF" w:rsidP="0040642F">
      <w:pPr>
        <w:pStyle w:val="BodyText"/>
        <w:widowControl w:val="0"/>
        <w:numPr>
          <w:ilvl w:val="1"/>
          <w:numId w:val="19"/>
        </w:numPr>
        <w:tabs>
          <w:tab w:val="left" w:pos="518"/>
        </w:tabs>
        <w:spacing w:after="240" w:line="300" w:lineRule="exact"/>
        <w:ind w:right="-142"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Moderate</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long-lived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spread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of</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age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classes</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annual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80</w:t>
      </w:r>
      <w:r w:rsidR="00FD279A">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Pr>
          <w:rFonts w:asciiTheme="minorHAnsi" w:hAnsiTheme="minorHAnsi" w:cstheme="minorHAnsi"/>
          <w:sz w:val="22"/>
          <w:szCs w:val="22"/>
        </w:rPr>
        <w:t>years</w:t>
      </w:r>
    </w:p>
    <w:p w14:paraId="0A701BFB" w14:textId="77777777" w:rsidR="00EE14FF" w:rsidRPr="00186538" w:rsidRDefault="00EE14FF" w:rsidP="0040642F">
      <w:pPr>
        <w:pStyle w:val="BodyText"/>
        <w:numPr>
          <w:ilvl w:val="0"/>
          <w:numId w:val="19"/>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movements</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1"/>
          <w:sz w:val="22"/>
          <w:szCs w:val="22"/>
        </w:rPr>
        <w:t xml:space="preserve"> </w:t>
      </w:r>
      <w:r>
        <w:rPr>
          <w:rFonts w:asciiTheme="minorHAnsi" w:hAnsiTheme="minorHAnsi" w:cstheme="minorHAnsi"/>
          <w:sz w:val="22"/>
          <w:szCs w:val="22"/>
        </w:rPr>
        <w:t>species</w:t>
      </w:r>
    </w:p>
    <w:p w14:paraId="2C8B0DFF" w14:textId="77224B4B" w:rsidR="003E0419" w:rsidRPr="00C959D7" w:rsidRDefault="00EE14FF" w:rsidP="0040642F">
      <w:pPr>
        <w:pStyle w:val="BodyText"/>
        <w:numPr>
          <w:ilvl w:val="0"/>
          <w:numId w:val="19"/>
        </w:numPr>
        <w:spacing w:after="240" w:line="300" w:lineRule="exact"/>
        <w:ind w:hanging="357"/>
        <w:contextualSpacing/>
        <w:rPr>
          <w:rFonts w:asciiTheme="minorHAnsi" w:hAnsiTheme="minorHAnsi" w:cstheme="minorHAnsi"/>
          <w:sz w:val="22"/>
          <w:szCs w:val="22"/>
        </w:rPr>
      </w:pPr>
      <w:r w:rsidRPr="00EE14FF">
        <w:rPr>
          <w:rFonts w:asciiTheme="minorHAnsi" w:hAnsiTheme="minorHAnsi" w:cstheme="minorHAnsi"/>
          <w:sz w:val="22"/>
          <w:szCs w:val="22"/>
        </w:rPr>
        <w:t>Expanded</w:t>
      </w:r>
      <w:r w:rsidRPr="00C959D7">
        <w:rPr>
          <w:rFonts w:asciiTheme="minorHAnsi" w:hAnsiTheme="minorHAnsi" w:cstheme="minorHAnsi"/>
          <w:sz w:val="22"/>
          <w:szCs w:val="22"/>
        </w:rPr>
        <w:t xml:space="preserve"> distribution of </w:t>
      </w:r>
      <w:r w:rsidRPr="00EE14FF">
        <w:rPr>
          <w:rFonts w:asciiTheme="minorHAnsi" w:hAnsiTheme="minorHAnsi" w:cstheme="minorHAnsi"/>
          <w:sz w:val="22"/>
          <w:szCs w:val="22"/>
        </w:rPr>
        <w:t>key</w:t>
      </w:r>
      <w:r w:rsidRPr="00C959D7">
        <w:rPr>
          <w:rFonts w:asciiTheme="minorHAnsi" w:hAnsiTheme="minorHAnsi" w:cstheme="minorHAnsi"/>
          <w:sz w:val="22"/>
          <w:szCs w:val="22"/>
        </w:rPr>
        <w:t xml:space="preserve"> species </w:t>
      </w:r>
      <w:r w:rsidRPr="00EE14FF">
        <w:rPr>
          <w:rFonts w:asciiTheme="minorHAnsi" w:hAnsiTheme="minorHAnsi" w:cstheme="minorHAnsi"/>
          <w:sz w:val="22"/>
          <w:szCs w:val="22"/>
        </w:rPr>
        <w:t>and</w:t>
      </w:r>
      <w:r w:rsidRPr="00C959D7">
        <w:rPr>
          <w:rFonts w:asciiTheme="minorHAnsi" w:hAnsiTheme="minorHAnsi" w:cstheme="minorHAnsi"/>
          <w:sz w:val="22"/>
          <w:szCs w:val="22"/>
        </w:rPr>
        <w:t xml:space="preserve"> </w:t>
      </w:r>
      <w:r w:rsidRPr="00EE14FF">
        <w:rPr>
          <w:rFonts w:asciiTheme="minorHAnsi" w:hAnsiTheme="minorHAnsi" w:cstheme="minorHAnsi"/>
          <w:sz w:val="22"/>
          <w:szCs w:val="22"/>
        </w:rPr>
        <w:t xml:space="preserve">populations </w:t>
      </w:r>
    </w:p>
    <w:p w14:paraId="1AD000DF" w14:textId="12535945" w:rsidR="00EE14FF" w:rsidRPr="00FF24D3" w:rsidRDefault="00FF24D3" w:rsidP="00C959D7">
      <w:pPr>
        <w:spacing w:after="120" w:line="240" w:lineRule="exact"/>
        <w:ind w:right="-425"/>
        <w:contextualSpacing/>
        <w:rPr>
          <w:rFonts w:asciiTheme="minorHAnsi" w:eastAsia="Century Gothic" w:hAnsiTheme="minorHAnsi" w:cstheme="minorHAnsi"/>
          <w:sz w:val="20"/>
        </w:rPr>
      </w:pPr>
      <w:r w:rsidRPr="00FF24D3">
        <w:rPr>
          <w:rFonts w:asciiTheme="minorHAnsi" w:hAnsiTheme="minorHAnsi" w:cstheme="minorHAnsi"/>
          <w:b/>
          <w:spacing w:val="-1"/>
          <w:sz w:val="20"/>
        </w:rPr>
        <w:t>Table 2.1</w:t>
      </w:r>
      <w:r w:rsidRPr="00FF24D3">
        <w:rPr>
          <w:rFonts w:asciiTheme="minorHAnsi" w:hAnsiTheme="minorHAnsi" w:cstheme="minorHAnsi"/>
          <w:spacing w:val="-1"/>
          <w:sz w:val="20"/>
        </w:rPr>
        <w:t xml:space="preserve"> </w:t>
      </w:r>
      <w:r w:rsidR="00EE14FF" w:rsidRPr="00FF24D3">
        <w:rPr>
          <w:rFonts w:asciiTheme="minorHAnsi" w:hAnsiTheme="minorHAnsi" w:cstheme="minorHAnsi"/>
          <w:spacing w:val="-1"/>
          <w:sz w:val="20"/>
        </w:rPr>
        <w:t>Important</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Basin</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pacing w:val="-1"/>
          <w:sz w:val="20"/>
        </w:rPr>
        <w:t>environmental</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assets</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pacing w:val="-1"/>
          <w:sz w:val="20"/>
        </w:rPr>
        <w:t>for</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z w:val="20"/>
        </w:rPr>
        <w:t>native</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z w:val="20"/>
        </w:rPr>
        <w:t>fish</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in</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the</w:t>
      </w:r>
      <w:r w:rsidR="00EE14FF" w:rsidRPr="00FF24D3">
        <w:rPr>
          <w:rFonts w:asciiTheme="minorHAnsi" w:hAnsiTheme="minorHAnsi" w:cstheme="minorHAnsi"/>
          <w:spacing w:val="-8"/>
          <w:sz w:val="20"/>
        </w:rPr>
        <w:t xml:space="preserve"> </w:t>
      </w:r>
      <w:r w:rsidR="00EE14FF" w:rsidRPr="00FF24D3">
        <w:rPr>
          <w:rFonts w:asciiTheme="minorHAnsi" w:hAnsiTheme="minorHAnsi" w:cstheme="minorHAnsi"/>
          <w:sz w:val="20"/>
        </w:rPr>
        <w:t>Mid</w:t>
      </w:r>
      <w:r w:rsidR="00EE14FF" w:rsidRPr="00FF24D3">
        <w:rPr>
          <w:rFonts w:asciiTheme="minorHAnsi" w:hAnsiTheme="minorHAnsi" w:cstheme="minorHAnsi"/>
          <w:spacing w:val="-2"/>
          <w:sz w:val="20"/>
        </w:rPr>
        <w:t xml:space="preserve"> </w:t>
      </w:r>
      <w:r w:rsidR="00EE14FF" w:rsidRPr="00FF24D3">
        <w:rPr>
          <w:rFonts w:asciiTheme="minorHAnsi" w:hAnsiTheme="minorHAnsi" w:cstheme="minorHAnsi"/>
          <w:spacing w:val="-1"/>
          <w:sz w:val="20"/>
        </w:rPr>
        <w:t>Murray (from MDBA 2014)</w:t>
      </w:r>
    </w:p>
    <w:tbl>
      <w:tblPr>
        <w:tblW w:w="8777" w:type="dxa"/>
        <w:tblLayout w:type="fixed"/>
        <w:tblCellMar>
          <w:left w:w="0" w:type="dxa"/>
          <w:right w:w="0" w:type="dxa"/>
        </w:tblCellMar>
        <w:tblLook w:val="01E0" w:firstRow="1" w:lastRow="1" w:firstColumn="1" w:lastColumn="1" w:noHBand="0" w:noVBand="0"/>
      </w:tblPr>
      <w:tblGrid>
        <w:gridCol w:w="3696"/>
        <w:gridCol w:w="672"/>
        <w:gridCol w:w="532"/>
        <w:gridCol w:w="825"/>
        <w:gridCol w:w="868"/>
        <w:gridCol w:w="672"/>
        <w:gridCol w:w="700"/>
        <w:gridCol w:w="812"/>
      </w:tblGrid>
      <w:tr w:rsidR="00EE14FF" w:rsidRPr="00186538" w14:paraId="361FCE73" w14:textId="77777777" w:rsidTr="00C959D7">
        <w:trPr>
          <w:trHeight w:val="1698"/>
        </w:trPr>
        <w:tc>
          <w:tcPr>
            <w:tcW w:w="3696" w:type="dxa"/>
            <w:tcBorders>
              <w:top w:val="nil"/>
              <w:left w:val="nil"/>
              <w:bottom w:val="single" w:sz="8" w:space="0" w:color="A6A6A6"/>
              <w:right w:val="single" w:sz="3" w:space="0" w:color="ACE0DB"/>
            </w:tcBorders>
            <w:shd w:val="clear" w:color="auto" w:fill="31849B" w:themeFill="accent5" w:themeFillShade="BF"/>
            <w:vAlign w:val="center"/>
          </w:tcPr>
          <w:p w14:paraId="3E0AF0C3" w14:textId="77777777" w:rsidR="00EE14FF" w:rsidRPr="00FF24D3" w:rsidRDefault="00EE14FF" w:rsidP="00C959D7">
            <w:pPr>
              <w:pStyle w:val="TableParagraph"/>
              <w:tabs>
                <w:tab w:val="left" w:pos="1120"/>
              </w:tabs>
              <w:spacing w:line="720" w:lineRule="auto"/>
              <w:ind w:left="142"/>
              <w:contextualSpacing/>
              <w:jc w:val="center"/>
              <w:rPr>
                <w:rFonts w:eastAsia="Century Gothic" w:cstheme="minorHAnsi"/>
                <w:b/>
                <w:sz w:val="24"/>
                <w:szCs w:val="24"/>
              </w:rPr>
            </w:pPr>
            <w:r w:rsidRPr="00FF24D3">
              <w:rPr>
                <w:rFonts w:cstheme="minorHAnsi"/>
                <w:b/>
                <w:color w:val="FFFFFF"/>
                <w:sz w:val="24"/>
                <w:szCs w:val="24"/>
              </w:rPr>
              <w:t>Environmental</w:t>
            </w:r>
            <w:r w:rsidRPr="00FF24D3">
              <w:rPr>
                <w:rFonts w:cstheme="minorHAnsi"/>
                <w:b/>
                <w:color w:val="FFFFFF"/>
                <w:spacing w:val="-19"/>
                <w:sz w:val="24"/>
                <w:szCs w:val="24"/>
              </w:rPr>
              <w:t xml:space="preserve"> </w:t>
            </w:r>
            <w:r w:rsidRPr="00FF24D3">
              <w:rPr>
                <w:rFonts w:cstheme="minorHAnsi"/>
                <w:b/>
                <w:color w:val="FFFFFF"/>
                <w:spacing w:val="-1"/>
                <w:sz w:val="24"/>
                <w:szCs w:val="24"/>
              </w:rPr>
              <w:t>asset</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44C340F5" w14:textId="77777777" w:rsidR="00EE14FF" w:rsidRPr="00244493" w:rsidRDefault="00EE14FF" w:rsidP="008C79A9">
            <w:pPr>
              <w:pStyle w:val="TableParagraph"/>
              <w:ind w:firstLine="57"/>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15"/>
                <w:sz w:val="20"/>
                <w:szCs w:val="20"/>
              </w:rPr>
              <w:t xml:space="preserve"> </w:t>
            </w:r>
            <w:r w:rsidRPr="00244493">
              <w:rPr>
                <w:rFonts w:cstheme="minorHAnsi"/>
                <w:color w:val="FFFFFF"/>
                <w:sz w:val="20"/>
                <w:szCs w:val="20"/>
              </w:rPr>
              <w:t>movement</w:t>
            </w:r>
            <w:r w:rsidRPr="00244493">
              <w:rPr>
                <w:rFonts w:cstheme="minorHAnsi"/>
                <w:color w:val="FFFFFF"/>
                <w:spacing w:val="22"/>
                <w:w w:val="99"/>
                <w:sz w:val="20"/>
                <w:szCs w:val="20"/>
              </w:rPr>
              <w:t xml:space="preserve"> </w:t>
            </w:r>
            <w:r w:rsidRPr="00244493">
              <w:rPr>
                <w:rFonts w:cstheme="minorHAnsi"/>
                <w:color w:val="FFFFFF"/>
                <w:spacing w:val="-1"/>
                <w:sz w:val="20"/>
                <w:szCs w:val="20"/>
              </w:rPr>
              <w:t>corridors</w:t>
            </w:r>
          </w:p>
        </w:tc>
        <w:tc>
          <w:tcPr>
            <w:tcW w:w="53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119FC1DC"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z w:val="20"/>
                <w:szCs w:val="20"/>
              </w:rPr>
              <w:t>High</w:t>
            </w:r>
            <w:r w:rsidRPr="00244493">
              <w:rPr>
                <w:rFonts w:cstheme="minorHAnsi"/>
                <w:color w:val="FFFFFF"/>
                <w:spacing w:val="-15"/>
                <w:sz w:val="20"/>
                <w:szCs w:val="20"/>
              </w:rPr>
              <w:t xml:space="preserve"> </w:t>
            </w:r>
            <w:r w:rsidRPr="00244493">
              <w:rPr>
                <w:rFonts w:cstheme="minorHAnsi"/>
                <w:color w:val="FFFFFF"/>
                <w:spacing w:val="-1"/>
                <w:sz w:val="20"/>
                <w:szCs w:val="20"/>
              </w:rPr>
              <w:t>Biodiversity</w:t>
            </w:r>
          </w:p>
        </w:tc>
        <w:tc>
          <w:tcPr>
            <w:tcW w:w="825"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38DCDA02" w14:textId="79AF84C4" w:rsidR="00EE14FF" w:rsidRPr="00244493" w:rsidRDefault="00EE14FF" w:rsidP="008C79A9">
            <w:pPr>
              <w:pStyle w:val="TableParagraph"/>
              <w:contextualSpacing/>
              <w:rPr>
                <w:rFonts w:eastAsia="Century Gothic" w:cstheme="minorHAnsi"/>
                <w:sz w:val="20"/>
                <w:szCs w:val="20"/>
              </w:rPr>
            </w:pPr>
            <w:r w:rsidRPr="008C79A9">
              <w:rPr>
                <w:rFonts w:cstheme="minorHAnsi"/>
                <w:color w:val="FFFFFF"/>
                <w:sz w:val="20"/>
                <w:szCs w:val="20"/>
              </w:rPr>
              <w:t xml:space="preserve">Site of </w:t>
            </w:r>
            <w:r w:rsidR="008C79A9">
              <w:rPr>
                <w:rFonts w:cstheme="minorHAnsi"/>
                <w:color w:val="FFFFFF"/>
                <w:sz w:val="20"/>
                <w:szCs w:val="20"/>
              </w:rPr>
              <w:t>o</w:t>
            </w:r>
            <w:r w:rsidRPr="008C79A9">
              <w:rPr>
                <w:rFonts w:cstheme="minorHAnsi"/>
                <w:color w:val="FFFFFF"/>
                <w:sz w:val="20"/>
                <w:szCs w:val="20"/>
              </w:rPr>
              <w:t>ther Significan</w:t>
            </w:r>
            <w:r w:rsidR="008C79A9" w:rsidRPr="008C79A9">
              <w:rPr>
                <w:rFonts w:cstheme="minorHAnsi"/>
                <w:color w:val="FFFFFF"/>
                <w:sz w:val="20"/>
                <w:szCs w:val="20"/>
              </w:rPr>
              <w:t>c</w:t>
            </w:r>
            <w:r w:rsidR="008C79A9">
              <w:rPr>
                <w:rFonts w:cstheme="minorHAnsi"/>
                <w:color w:val="FFFFFF"/>
                <w:w w:val="95"/>
                <w:sz w:val="20"/>
                <w:szCs w:val="20"/>
              </w:rPr>
              <w:t>e</w:t>
            </w:r>
          </w:p>
        </w:tc>
        <w:tc>
          <w:tcPr>
            <w:tcW w:w="868"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0BA44457" w14:textId="77777777" w:rsidR="00EE14FF" w:rsidRPr="00244493" w:rsidRDefault="00EE14FF" w:rsidP="00FD279A">
            <w:pPr>
              <w:pStyle w:val="TableParagraph"/>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5"/>
                <w:sz w:val="20"/>
                <w:szCs w:val="20"/>
              </w:rPr>
              <w:t xml:space="preserve"> </w:t>
            </w:r>
            <w:r w:rsidRPr="00244493">
              <w:rPr>
                <w:rFonts w:cstheme="minorHAnsi"/>
                <w:color w:val="FFFFFF"/>
                <w:spacing w:val="-1"/>
                <w:sz w:val="20"/>
                <w:szCs w:val="20"/>
              </w:rPr>
              <w:t>site</w:t>
            </w:r>
            <w:r w:rsidRPr="00244493">
              <w:rPr>
                <w:rFonts w:cstheme="minorHAnsi"/>
                <w:color w:val="FFFFFF"/>
                <w:spacing w:val="-5"/>
                <w:sz w:val="20"/>
                <w:szCs w:val="20"/>
              </w:rPr>
              <w:t xml:space="preserve"> </w:t>
            </w:r>
            <w:r w:rsidRPr="00244493">
              <w:rPr>
                <w:rFonts w:cstheme="minorHAnsi"/>
                <w:color w:val="FFFFFF"/>
                <w:sz w:val="20"/>
                <w:szCs w:val="20"/>
              </w:rPr>
              <w:t>of</w:t>
            </w:r>
            <w:r w:rsidRPr="00244493">
              <w:rPr>
                <w:rFonts w:cstheme="minorHAnsi"/>
                <w:color w:val="FFFFFF"/>
                <w:spacing w:val="21"/>
                <w:w w:val="99"/>
                <w:sz w:val="20"/>
                <w:szCs w:val="20"/>
              </w:rPr>
              <w:t xml:space="preserve"> </w:t>
            </w:r>
            <w:r w:rsidRPr="00244493">
              <w:rPr>
                <w:rFonts w:cstheme="minorHAnsi"/>
                <w:color w:val="FFFFFF"/>
                <w:w w:val="95"/>
                <w:sz w:val="20"/>
                <w:szCs w:val="20"/>
              </w:rPr>
              <w:t>hydrodynamic</w:t>
            </w:r>
            <w:r w:rsidRPr="00244493">
              <w:rPr>
                <w:rFonts w:cstheme="minorHAnsi"/>
                <w:color w:val="FFFFFF"/>
                <w:spacing w:val="21"/>
                <w:w w:val="99"/>
                <w:sz w:val="20"/>
                <w:szCs w:val="20"/>
              </w:rPr>
              <w:t xml:space="preserve"> </w:t>
            </w:r>
            <w:r w:rsidRPr="00244493">
              <w:rPr>
                <w:rFonts w:cstheme="minorHAnsi"/>
                <w:color w:val="FFFFFF"/>
                <w:spacing w:val="-1"/>
                <w:sz w:val="20"/>
                <w:szCs w:val="20"/>
              </w:rPr>
              <w:t>diversity</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71C79DFD" w14:textId="77777777" w:rsidR="007B0347" w:rsidRDefault="00EE14FF" w:rsidP="008C79A9">
            <w:pPr>
              <w:pStyle w:val="TableParagraph"/>
              <w:contextualSpacing/>
              <w:rPr>
                <w:rFonts w:cstheme="minorHAnsi"/>
                <w:color w:val="FFFFFF"/>
                <w:spacing w:val="-20"/>
                <w:sz w:val="20"/>
                <w:szCs w:val="20"/>
              </w:rPr>
            </w:pPr>
            <w:r w:rsidRPr="00244493">
              <w:rPr>
                <w:rFonts w:cstheme="minorHAnsi"/>
                <w:color w:val="FFFFFF"/>
                <w:spacing w:val="-1"/>
                <w:sz w:val="20"/>
                <w:szCs w:val="20"/>
              </w:rPr>
              <w:t>Threatened</w:t>
            </w:r>
            <w:r w:rsidRPr="00244493">
              <w:rPr>
                <w:rFonts w:cstheme="minorHAnsi"/>
                <w:color w:val="FFFFFF"/>
                <w:spacing w:val="-20"/>
                <w:sz w:val="20"/>
                <w:szCs w:val="20"/>
              </w:rPr>
              <w:t xml:space="preserve"> </w:t>
            </w:r>
          </w:p>
          <w:p w14:paraId="37DE6744" w14:textId="1204EF4B"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z w:val="20"/>
                <w:szCs w:val="20"/>
              </w:rPr>
              <w:t>species</w:t>
            </w:r>
          </w:p>
        </w:tc>
        <w:tc>
          <w:tcPr>
            <w:tcW w:w="700" w:type="dxa"/>
            <w:tcBorders>
              <w:top w:val="nil"/>
              <w:left w:val="single" w:sz="3" w:space="0" w:color="ACE0DB"/>
              <w:bottom w:val="single" w:sz="8" w:space="0" w:color="A6A6A6"/>
              <w:right w:val="single" w:sz="3" w:space="0" w:color="ACE0DB"/>
            </w:tcBorders>
            <w:shd w:val="clear" w:color="auto" w:fill="31849B" w:themeFill="accent5" w:themeFillShade="BF"/>
            <w:textDirection w:val="btLr"/>
            <w:vAlign w:val="center"/>
          </w:tcPr>
          <w:p w14:paraId="6A2C753D"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pacing w:val="-1"/>
                <w:sz w:val="20"/>
                <w:szCs w:val="20"/>
              </w:rPr>
              <w:t>Dry</w:t>
            </w:r>
            <w:r w:rsidRPr="00244493">
              <w:rPr>
                <w:rFonts w:cstheme="minorHAnsi"/>
                <w:color w:val="FFFFFF"/>
                <w:spacing w:val="-6"/>
                <w:sz w:val="20"/>
                <w:szCs w:val="20"/>
              </w:rPr>
              <w:t xml:space="preserve"> </w:t>
            </w:r>
            <w:r w:rsidRPr="00244493">
              <w:rPr>
                <w:rFonts w:cstheme="minorHAnsi"/>
                <w:color w:val="FFFFFF"/>
                <w:sz w:val="20"/>
                <w:szCs w:val="20"/>
              </w:rPr>
              <w:t>period</w:t>
            </w:r>
            <w:r w:rsidRPr="00244493">
              <w:rPr>
                <w:rFonts w:cstheme="minorHAnsi"/>
                <w:color w:val="FFFFFF"/>
                <w:spacing w:val="-6"/>
                <w:sz w:val="20"/>
                <w:szCs w:val="20"/>
              </w:rPr>
              <w:t xml:space="preserve"> </w:t>
            </w:r>
            <w:r w:rsidRPr="00244493">
              <w:rPr>
                <w:rFonts w:cstheme="minorHAnsi"/>
                <w:color w:val="FFFFFF"/>
                <w:sz w:val="20"/>
                <w:szCs w:val="20"/>
              </w:rPr>
              <w:t>/</w:t>
            </w:r>
            <w:r w:rsidRPr="00244493">
              <w:rPr>
                <w:rFonts w:cstheme="minorHAnsi"/>
                <w:color w:val="FFFFFF"/>
                <w:spacing w:val="22"/>
                <w:w w:val="99"/>
                <w:sz w:val="20"/>
                <w:szCs w:val="20"/>
              </w:rPr>
              <w:t xml:space="preserve"> </w:t>
            </w:r>
            <w:r w:rsidRPr="00244493">
              <w:rPr>
                <w:rFonts w:cstheme="minorHAnsi"/>
                <w:color w:val="FFFFFF"/>
                <w:sz w:val="20"/>
                <w:szCs w:val="20"/>
              </w:rPr>
              <w:t>drought</w:t>
            </w:r>
            <w:r w:rsidRPr="00244493">
              <w:rPr>
                <w:rFonts w:cstheme="minorHAnsi"/>
                <w:color w:val="FFFFFF"/>
                <w:spacing w:val="-16"/>
                <w:sz w:val="20"/>
                <w:szCs w:val="20"/>
              </w:rPr>
              <w:t xml:space="preserve"> </w:t>
            </w:r>
            <w:r w:rsidRPr="00244493">
              <w:rPr>
                <w:rFonts w:cstheme="minorHAnsi"/>
                <w:color w:val="FFFFFF"/>
                <w:spacing w:val="-1"/>
                <w:sz w:val="20"/>
                <w:szCs w:val="20"/>
              </w:rPr>
              <w:t>refuge</w:t>
            </w:r>
          </w:p>
        </w:tc>
        <w:tc>
          <w:tcPr>
            <w:tcW w:w="812" w:type="dxa"/>
            <w:tcBorders>
              <w:top w:val="nil"/>
              <w:left w:val="single" w:sz="3" w:space="0" w:color="ACE0DB"/>
              <w:bottom w:val="single" w:sz="8" w:space="0" w:color="A6A6A6"/>
              <w:right w:val="nil"/>
            </w:tcBorders>
            <w:shd w:val="clear" w:color="auto" w:fill="31849B" w:themeFill="accent5" w:themeFillShade="BF"/>
            <w:textDirection w:val="btLr"/>
            <w:vAlign w:val="center"/>
          </w:tcPr>
          <w:p w14:paraId="469AA7AF" w14:textId="695F77E2" w:rsidR="00EE14FF" w:rsidRPr="00244493" w:rsidRDefault="00EE14FF" w:rsidP="007B0347">
            <w:pPr>
              <w:pStyle w:val="TableParagraph"/>
              <w:ind w:right="282"/>
              <w:contextualSpacing/>
              <w:rPr>
                <w:rFonts w:eastAsia="Century Gothic" w:cstheme="minorHAnsi"/>
                <w:sz w:val="20"/>
                <w:szCs w:val="20"/>
              </w:rPr>
            </w:pPr>
            <w:r w:rsidRPr="00244493">
              <w:rPr>
                <w:rFonts w:eastAsia="Century Gothic" w:cstheme="minorHAnsi"/>
                <w:color w:val="FFFFFF"/>
                <w:sz w:val="20"/>
                <w:szCs w:val="20"/>
              </w:rPr>
              <w:t>In-scope</w:t>
            </w:r>
            <w:r w:rsidRPr="00244493">
              <w:rPr>
                <w:rFonts w:eastAsia="Century Gothic" w:cstheme="minorHAnsi"/>
                <w:color w:val="FFFFFF"/>
                <w:spacing w:val="-9"/>
                <w:sz w:val="20"/>
                <w:szCs w:val="20"/>
              </w:rPr>
              <w:t xml:space="preserve"> </w:t>
            </w:r>
            <w:r w:rsidRPr="00244493">
              <w:rPr>
                <w:rFonts w:eastAsia="Century Gothic" w:cstheme="minorHAnsi"/>
                <w:color w:val="FFFFFF"/>
                <w:spacing w:val="-1"/>
                <w:sz w:val="20"/>
                <w:szCs w:val="20"/>
              </w:rPr>
              <w:t>fo</w:t>
            </w:r>
            <w:r w:rsidR="003B02E5">
              <w:rPr>
                <w:rFonts w:eastAsia="Century Gothic" w:cstheme="minorHAnsi"/>
                <w:color w:val="FFFFFF"/>
                <w:spacing w:val="-1"/>
                <w:sz w:val="20"/>
                <w:szCs w:val="20"/>
              </w:rPr>
              <w:t xml:space="preserve">r </w:t>
            </w:r>
            <w:r w:rsidR="007B0347">
              <w:rPr>
                <w:rFonts w:eastAsia="Century Gothic" w:cstheme="minorHAnsi"/>
                <w:color w:val="FFFFFF"/>
                <w:spacing w:val="-9"/>
                <w:sz w:val="20"/>
                <w:szCs w:val="20"/>
              </w:rPr>
              <w:t>Common</w:t>
            </w:r>
            <w:r w:rsidR="008C79A9">
              <w:rPr>
                <w:rFonts w:eastAsia="Century Gothic" w:cstheme="minorHAnsi"/>
                <w:color w:val="FFFFFF"/>
                <w:sz w:val="20"/>
                <w:szCs w:val="20"/>
              </w:rPr>
              <w:t xml:space="preserve">wealth </w:t>
            </w:r>
            <w:r w:rsidRPr="00244493">
              <w:rPr>
                <w:rFonts w:eastAsia="Century Gothic" w:cstheme="minorHAnsi"/>
                <w:color w:val="FFFFFF"/>
                <w:sz w:val="20"/>
                <w:szCs w:val="20"/>
              </w:rPr>
              <w:t>water</w:t>
            </w:r>
          </w:p>
        </w:tc>
      </w:tr>
      <w:tr w:rsidR="00EE14FF" w:rsidRPr="00186538" w14:paraId="018CEC54" w14:textId="77777777" w:rsidTr="00FD279A">
        <w:trPr>
          <w:trHeight w:val="314"/>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7D3FDE80"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Koondrook–Perricoota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647D4B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CB7CF2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1292521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12636D02"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0B59B1DB"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B08E70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6F9350BA"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46CDEC4F" w14:textId="77777777" w:rsidTr="00FD279A">
        <w:trPr>
          <w:trHeight w:val="301"/>
        </w:trPr>
        <w:tc>
          <w:tcPr>
            <w:tcW w:w="3696" w:type="dxa"/>
            <w:tcBorders>
              <w:top w:val="single" w:sz="8" w:space="0" w:color="A6A6A6"/>
              <w:left w:val="single" w:sz="8" w:space="0" w:color="A6A6A6"/>
              <w:bottom w:val="single" w:sz="8" w:space="0" w:color="A6A6A6"/>
              <w:right w:val="single" w:sz="8" w:space="0" w:color="A6A6A6"/>
            </w:tcBorders>
          </w:tcPr>
          <w:p w14:paraId="165316A1"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Gunbower</w:t>
            </w:r>
          </w:p>
        </w:tc>
        <w:tc>
          <w:tcPr>
            <w:tcW w:w="672" w:type="dxa"/>
            <w:tcBorders>
              <w:top w:val="single" w:sz="8" w:space="0" w:color="A6A6A6"/>
              <w:left w:val="single" w:sz="8" w:space="0" w:color="A6A6A6"/>
              <w:bottom w:val="single" w:sz="8" w:space="0" w:color="A6A6A6"/>
              <w:right w:val="single" w:sz="8" w:space="0" w:color="A6A6A6"/>
            </w:tcBorders>
          </w:tcPr>
          <w:p w14:paraId="0C97D63D"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tcPr>
          <w:p w14:paraId="3802A688"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8BB92B9"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2EF8A72A"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1431B593"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520F8E89"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tcPr>
          <w:p w14:paraId="39DBF83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3361649D" w14:textId="77777777" w:rsidTr="008C79A9">
        <w:trPr>
          <w:trHeight w:val="328"/>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64EF717B"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Barmah–Millewa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50E17345"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40FF402"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2310D7A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82EF7DD"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CE7C855"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2FD1FB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43B5E00E"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5ADA7E66" w14:textId="77777777" w:rsidTr="00836B01">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A5D9841"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Edward–Wakool</w:t>
            </w:r>
            <w:r w:rsidRPr="0091614E">
              <w:rPr>
                <w:rFonts w:eastAsia="Century Gothic" w:cstheme="minorHAnsi"/>
                <w:spacing w:val="-23"/>
                <w:sz w:val="20"/>
                <w:szCs w:val="20"/>
              </w:rPr>
              <w:t xml:space="preserve"> </w:t>
            </w:r>
            <w:r w:rsidRPr="0091614E">
              <w:rPr>
                <w:rFonts w:eastAsia="Century Gothic" w:cstheme="minorHAnsi"/>
                <w:spacing w:val="-1"/>
                <w:sz w:val="20"/>
                <w:szCs w:val="20"/>
              </w:rPr>
              <w:t>system</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3A6B873"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1DFEEE8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811168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2299BA9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7E99121E" w14:textId="52A7E4BE" w:rsidR="00EE14FF" w:rsidRPr="0091614E" w:rsidRDefault="005D4598" w:rsidP="00C959D7">
            <w:pPr>
              <w:pStyle w:val="TableParagraph"/>
              <w:ind w:left="97"/>
              <w:contextualSpacing/>
              <w:jc w:val="center"/>
              <w:rPr>
                <w:rFonts w:cstheme="minorHAnsi"/>
                <w:sz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158F71E"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D0D1B3B"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21481D95" w14:textId="77777777" w:rsidTr="008C79A9">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B2FF257"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Werai</w:t>
            </w:r>
            <w:r w:rsidRPr="0091614E">
              <w:rPr>
                <w:rFonts w:cstheme="minorHAnsi"/>
                <w:spacing w:val="-12"/>
                <w:sz w:val="20"/>
                <w:szCs w:val="20"/>
              </w:rPr>
              <w:t xml:space="preserve"> </w:t>
            </w:r>
            <w:r w:rsidRPr="0091614E">
              <w:rPr>
                <w:rFonts w:cstheme="minorHAnsi"/>
                <w:spacing w:val="-1"/>
                <w:sz w:val="20"/>
                <w:szCs w:val="20"/>
              </w:rPr>
              <w:t>Forest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9709A91"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FE697E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4C5E299F"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36F954C"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7ABF6AF5"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C773DDB"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58CAFFC"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0C1B2190" w14:textId="77777777" w:rsidTr="008C79A9">
        <w:trPr>
          <w:trHeight w:val="329"/>
        </w:trPr>
        <w:tc>
          <w:tcPr>
            <w:tcW w:w="3696" w:type="dxa"/>
            <w:tcBorders>
              <w:top w:val="single" w:sz="8" w:space="0" w:color="A6A6A6"/>
              <w:left w:val="single" w:sz="8" w:space="0" w:color="A6A6A6"/>
              <w:bottom w:val="single" w:sz="8" w:space="0" w:color="A6A6A6"/>
              <w:right w:val="single" w:sz="8" w:space="0" w:color="A6A6A6"/>
            </w:tcBorders>
          </w:tcPr>
          <w:p w14:paraId="66A39818"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pacing w:val="-1"/>
                <w:sz w:val="20"/>
                <w:szCs w:val="20"/>
              </w:rPr>
              <w:t>Billabong–Yanco–Columbo</w:t>
            </w:r>
            <w:r w:rsidRPr="0091614E">
              <w:rPr>
                <w:rFonts w:eastAsia="Century Gothic" w:cstheme="minorHAnsi"/>
                <w:spacing w:val="-35"/>
                <w:sz w:val="20"/>
                <w:szCs w:val="20"/>
              </w:rPr>
              <w:t xml:space="preserve"> </w:t>
            </w:r>
            <w:r w:rsidRPr="0091614E">
              <w:rPr>
                <w:rFonts w:eastAsia="Century Gothic" w:cstheme="minorHAnsi"/>
                <w:sz w:val="20"/>
                <w:szCs w:val="20"/>
              </w:rPr>
              <w:t>Creeks</w:t>
            </w:r>
          </w:p>
        </w:tc>
        <w:tc>
          <w:tcPr>
            <w:tcW w:w="672" w:type="dxa"/>
            <w:tcBorders>
              <w:top w:val="single" w:sz="8" w:space="0" w:color="A6A6A6"/>
              <w:left w:val="single" w:sz="8" w:space="0" w:color="A6A6A6"/>
              <w:bottom w:val="single" w:sz="8" w:space="0" w:color="A6A6A6"/>
              <w:right w:val="single" w:sz="8" w:space="0" w:color="A6A6A6"/>
            </w:tcBorders>
          </w:tcPr>
          <w:p w14:paraId="2D0ECF0D"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tcPr>
          <w:p w14:paraId="2C29E2A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DE87AE7"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3ABFDB2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6D46CB2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4FEC26D4"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tcPr>
          <w:p w14:paraId="319A6B82"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r w:rsidR="00EE14FF" w:rsidRPr="00186538" w14:paraId="37B98F8D" w14:textId="77777777" w:rsidTr="008C79A9">
        <w:trPr>
          <w:trHeight w:val="301"/>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7E341CB"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pacing w:val="-1"/>
                <w:sz w:val="20"/>
                <w:szCs w:val="20"/>
              </w:rPr>
              <w:t>Lake</w:t>
            </w:r>
            <w:r w:rsidRPr="0091614E">
              <w:rPr>
                <w:rFonts w:cstheme="minorHAnsi"/>
                <w:spacing w:val="-14"/>
                <w:sz w:val="20"/>
                <w:szCs w:val="20"/>
              </w:rPr>
              <w:t xml:space="preserve"> </w:t>
            </w:r>
            <w:r w:rsidRPr="0091614E">
              <w:rPr>
                <w:rFonts w:cstheme="minorHAnsi"/>
                <w:sz w:val="20"/>
                <w:szCs w:val="20"/>
              </w:rPr>
              <w:t>Mulwala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345FD03B"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AC425D9" w14:textId="77777777" w:rsidR="00EE14FF" w:rsidRPr="0091614E" w:rsidRDefault="00EE14FF" w:rsidP="00C959D7">
            <w:pPr>
              <w:spacing w:after="0" w:line="240" w:lineRule="auto"/>
              <w:contextualSpacing/>
              <w:jc w:val="center"/>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31ECDB70"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66AB16DA"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C9887C1"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29CD9CC" w14:textId="77777777" w:rsidR="00EE14FF" w:rsidRPr="0091614E" w:rsidRDefault="00EE14FF" w:rsidP="00C959D7">
            <w:pPr>
              <w:pStyle w:val="TableParagraph"/>
              <w:ind w:left="97"/>
              <w:contextualSpacing/>
              <w:jc w:val="center"/>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65C230E" w14:textId="77777777" w:rsidR="00EE14FF" w:rsidRPr="0091614E" w:rsidRDefault="00EE14FF" w:rsidP="00C959D7">
            <w:pPr>
              <w:pStyle w:val="TableParagraph"/>
              <w:ind w:left="99"/>
              <w:contextualSpacing/>
              <w:jc w:val="center"/>
              <w:rPr>
                <w:rFonts w:eastAsia="Century Gothic" w:cstheme="minorHAnsi"/>
                <w:sz w:val="20"/>
                <w:szCs w:val="20"/>
              </w:rPr>
            </w:pPr>
            <w:r w:rsidRPr="0091614E">
              <w:rPr>
                <w:rFonts w:cstheme="minorHAnsi"/>
                <w:sz w:val="20"/>
                <w:szCs w:val="20"/>
              </w:rPr>
              <w:t>Yes</w:t>
            </w:r>
          </w:p>
        </w:tc>
      </w:tr>
    </w:tbl>
    <w:p w14:paraId="109A588D" w14:textId="0AB75761" w:rsidR="00EE14FF" w:rsidRPr="00FF24D3" w:rsidRDefault="00FF24D3" w:rsidP="00C959D7">
      <w:pPr>
        <w:spacing w:after="120" w:line="240" w:lineRule="auto"/>
        <w:rPr>
          <w:b/>
          <w:bCs/>
          <w:sz w:val="20"/>
        </w:rPr>
      </w:pPr>
      <w:r w:rsidRPr="00FF24D3">
        <w:rPr>
          <w:b/>
          <w:sz w:val="20"/>
        </w:rPr>
        <w:t>Table 2.2</w:t>
      </w:r>
      <w:r w:rsidRPr="00FF24D3">
        <w:rPr>
          <w:sz w:val="20"/>
        </w:rPr>
        <w:t xml:space="preserve"> </w:t>
      </w:r>
      <w:r w:rsidR="00EE14FF" w:rsidRPr="00FF24D3">
        <w:rPr>
          <w:sz w:val="20"/>
        </w:rPr>
        <w:t>Key</w:t>
      </w:r>
      <w:r w:rsidR="00EE14FF" w:rsidRPr="00FF24D3">
        <w:rPr>
          <w:spacing w:val="-5"/>
          <w:sz w:val="20"/>
        </w:rPr>
        <w:t xml:space="preserve"> </w:t>
      </w:r>
      <w:r w:rsidR="00EE14FF" w:rsidRPr="00FF24D3">
        <w:rPr>
          <w:sz w:val="20"/>
        </w:rPr>
        <w:t>species</w:t>
      </w:r>
      <w:r w:rsidR="00EE14FF" w:rsidRPr="00FF24D3">
        <w:rPr>
          <w:spacing w:val="-3"/>
          <w:sz w:val="20"/>
        </w:rPr>
        <w:t xml:space="preserve"> </w:t>
      </w:r>
      <w:r w:rsidR="00EE14FF" w:rsidRPr="00FF24D3">
        <w:rPr>
          <w:sz w:val="20"/>
        </w:rPr>
        <w:t>for</w:t>
      </w:r>
      <w:r w:rsidR="00EE14FF" w:rsidRPr="00FF24D3">
        <w:rPr>
          <w:spacing w:val="-6"/>
          <w:sz w:val="20"/>
        </w:rPr>
        <w:t xml:space="preserve"> </w:t>
      </w:r>
      <w:r w:rsidR="00EE14FF" w:rsidRPr="00FF24D3">
        <w:rPr>
          <w:sz w:val="20"/>
        </w:rPr>
        <w:t>the</w:t>
      </w:r>
      <w:r w:rsidR="00EE14FF" w:rsidRPr="00FF24D3">
        <w:rPr>
          <w:spacing w:val="-4"/>
          <w:sz w:val="20"/>
        </w:rPr>
        <w:t xml:space="preserve"> </w:t>
      </w:r>
      <w:r w:rsidR="00EE14FF" w:rsidRPr="00FF24D3">
        <w:rPr>
          <w:sz w:val="20"/>
        </w:rPr>
        <w:t>Mid Murray (Source: MDBA 2014)</w:t>
      </w:r>
    </w:p>
    <w:tbl>
      <w:tblPr>
        <w:tblW w:w="8803" w:type="dxa"/>
        <w:tblInd w:w="-14" w:type="dxa"/>
        <w:tblLayout w:type="fixed"/>
        <w:tblCellMar>
          <w:left w:w="0" w:type="dxa"/>
          <w:right w:w="0" w:type="dxa"/>
        </w:tblCellMar>
        <w:tblLook w:val="01E0" w:firstRow="1" w:lastRow="1" w:firstColumn="1" w:lastColumn="1" w:noHBand="0" w:noVBand="0"/>
      </w:tblPr>
      <w:tblGrid>
        <w:gridCol w:w="2772"/>
        <w:gridCol w:w="4188"/>
        <w:gridCol w:w="1843"/>
      </w:tblGrid>
      <w:tr w:rsidR="00EE14FF" w:rsidRPr="00186538" w14:paraId="4BDCBD3C" w14:textId="77777777" w:rsidTr="00C959D7">
        <w:trPr>
          <w:trHeight w:hRule="exact" w:val="1057"/>
        </w:trPr>
        <w:tc>
          <w:tcPr>
            <w:tcW w:w="2772" w:type="dxa"/>
            <w:tcBorders>
              <w:top w:val="nil"/>
              <w:left w:val="nil"/>
              <w:bottom w:val="single" w:sz="8" w:space="0" w:color="A6A6A6"/>
              <w:right w:val="single" w:sz="3" w:space="0" w:color="ACE0DB"/>
            </w:tcBorders>
            <w:shd w:val="clear" w:color="auto" w:fill="31849B" w:themeFill="accent5" w:themeFillShade="BF"/>
            <w:vAlign w:val="center"/>
          </w:tcPr>
          <w:p w14:paraId="0C43D073" w14:textId="77777777" w:rsidR="00EE14FF" w:rsidRPr="008F692D" w:rsidRDefault="00EE14FF" w:rsidP="00C959D7">
            <w:pPr>
              <w:pStyle w:val="TableParagraph"/>
              <w:ind w:left="107"/>
              <w:jc w:val="center"/>
              <w:rPr>
                <w:rFonts w:eastAsia="Century Gothic" w:cstheme="minorHAnsi"/>
                <w:b/>
              </w:rPr>
            </w:pPr>
            <w:r w:rsidRPr="008F692D">
              <w:rPr>
                <w:rFonts w:cstheme="minorHAnsi"/>
                <w:b/>
                <w:color w:val="FFFFFF"/>
                <w:spacing w:val="-1"/>
              </w:rPr>
              <w:t>Species</w:t>
            </w:r>
          </w:p>
        </w:tc>
        <w:tc>
          <w:tcPr>
            <w:tcW w:w="4188" w:type="dxa"/>
            <w:tcBorders>
              <w:top w:val="nil"/>
              <w:left w:val="single" w:sz="3" w:space="0" w:color="ACE0DB"/>
              <w:bottom w:val="single" w:sz="8" w:space="0" w:color="A6A6A6"/>
              <w:right w:val="single" w:sz="3" w:space="0" w:color="ACE0DB"/>
            </w:tcBorders>
            <w:shd w:val="clear" w:color="auto" w:fill="31849B" w:themeFill="accent5" w:themeFillShade="BF"/>
            <w:vAlign w:val="center"/>
          </w:tcPr>
          <w:p w14:paraId="20A07A3C" w14:textId="77777777" w:rsidR="00EE14FF" w:rsidRPr="008F692D" w:rsidRDefault="00EE14FF" w:rsidP="00C959D7">
            <w:pPr>
              <w:pStyle w:val="TableParagraph"/>
              <w:ind w:left="106"/>
              <w:jc w:val="center"/>
              <w:rPr>
                <w:rFonts w:eastAsia="Century Gothic" w:cstheme="minorHAnsi"/>
                <w:b/>
              </w:rPr>
            </w:pPr>
            <w:r w:rsidRPr="008F692D">
              <w:rPr>
                <w:rFonts w:cstheme="minorHAnsi"/>
                <w:b/>
                <w:color w:val="FFFFFF"/>
                <w:spacing w:val="-1"/>
              </w:rPr>
              <w:t>Specific</w:t>
            </w:r>
            <w:r w:rsidRPr="008F692D">
              <w:rPr>
                <w:rFonts w:cstheme="minorHAnsi"/>
                <w:b/>
                <w:color w:val="FFFFFF"/>
                <w:spacing w:val="-18"/>
              </w:rPr>
              <w:t xml:space="preserve"> </w:t>
            </w:r>
            <w:r w:rsidRPr="008F692D">
              <w:rPr>
                <w:rFonts w:cstheme="minorHAnsi"/>
                <w:b/>
                <w:color w:val="FFFFFF"/>
                <w:spacing w:val="-1"/>
              </w:rPr>
              <w:t>outcomes</w:t>
            </w:r>
          </w:p>
        </w:tc>
        <w:tc>
          <w:tcPr>
            <w:tcW w:w="1843" w:type="dxa"/>
            <w:tcBorders>
              <w:top w:val="nil"/>
              <w:left w:val="single" w:sz="3" w:space="0" w:color="ACE0DB"/>
              <w:bottom w:val="single" w:sz="8" w:space="0" w:color="A6A6A6"/>
              <w:right w:val="nil"/>
            </w:tcBorders>
            <w:shd w:val="clear" w:color="auto" w:fill="31849B" w:themeFill="accent5" w:themeFillShade="BF"/>
          </w:tcPr>
          <w:p w14:paraId="477E1AF3" w14:textId="1506B586" w:rsidR="00EE14FF" w:rsidRPr="008F692D" w:rsidRDefault="00EE14FF" w:rsidP="00936EE0">
            <w:pPr>
              <w:pStyle w:val="TableParagraph"/>
              <w:ind w:left="104" w:right="249"/>
              <w:rPr>
                <w:rFonts w:eastAsia="Century Gothic" w:cstheme="minorHAnsi"/>
                <w:b/>
              </w:rPr>
            </w:pPr>
            <w:r w:rsidRPr="008F692D">
              <w:rPr>
                <w:rFonts w:eastAsia="Century Gothic" w:cstheme="minorHAnsi"/>
                <w:b/>
                <w:color w:val="FFFFFF"/>
              </w:rPr>
              <w:t>In-scope</w:t>
            </w:r>
            <w:r w:rsidRPr="008F692D">
              <w:rPr>
                <w:rFonts w:eastAsia="Century Gothic" w:cstheme="minorHAnsi"/>
                <w:b/>
                <w:color w:val="FFFFFF"/>
                <w:spacing w:val="-8"/>
              </w:rPr>
              <w:t xml:space="preserve"> </w:t>
            </w:r>
            <w:r w:rsidRPr="008F692D">
              <w:rPr>
                <w:rFonts w:eastAsia="Century Gothic" w:cstheme="minorHAnsi"/>
                <w:b/>
                <w:color w:val="FFFFFF"/>
                <w:spacing w:val="-1"/>
              </w:rPr>
              <w:t>for</w:t>
            </w:r>
            <w:r w:rsidRPr="008F692D">
              <w:rPr>
                <w:rFonts w:eastAsia="Century Gothic" w:cstheme="minorHAnsi"/>
                <w:b/>
                <w:color w:val="FFFFFF"/>
                <w:spacing w:val="-5"/>
              </w:rPr>
              <w:t xml:space="preserve"> </w:t>
            </w:r>
            <w:r w:rsidR="00936EE0" w:rsidRPr="008F692D">
              <w:rPr>
                <w:rFonts w:eastAsia="Century Gothic" w:cstheme="minorHAnsi"/>
                <w:b/>
                <w:color w:val="FFFFFF"/>
                <w:spacing w:val="-1"/>
              </w:rPr>
              <w:t>C</w:t>
            </w:r>
            <w:r w:rsidR="00936EE0">
              <w:rPr>
                <w:rFonts w:eastAsia="Century Gothic" w:cstheme="minorHAnsi"/>
                <w:b/>
                <w:color w:val="FFFFFF"/>
                <w:spacing w:val="-1"/>
              </w:rPr>
              <w:t>ommonweal</w:t>
            </w:r>
            <w:r w:rsidR="00936EE0" w:rsidRPr="008F692D">
              <w:rPr>
                <w:rFonts w:eastAsia="Century Gothic" w:cstheme="minorHAnsi"/>
                <w:b/>
                <w:color w:val="FFFFFF"/>
                <w:spacing w:val="-1"/>
              </w:rPr>
              <w:t>th</w:t>
            </w:r>
            <w:r w:rsidR="00936EE0" w:rsidRPr="008F692D">
              <w:rPr>
                <w:rFonts w:eastAsia="Century Gothic" w:cstheme="minorHAnsi"/>
                <w:b/>
                <w:color w:val="FFFFFF"/>
                <w:spacing w:val="25"/>
                <w:w w:val="99"/>
              </w:rPr>
              <w:t xml:space="preserve"> </w:t>
            </w:r>
            <w:r w:rsidRPr="008F692D">
              <w:rPr>
                <w:rFonts w:eastAsia="Century Gothic" w:cstheme="minorHAnsi"/>
                <w:b/>
                <w:color w:val="FFFFFF"/>
              </w:rPr>
              <w:t>water</w:t>
            </w:r>
            <w:r w:rsidRPr="008F692D">
              <w:rPr>
                <w:rFonts w:eastAsia="Century Gothic" w:cstheme="minorHAnsi"/>
                <w:b/>
                <w:color w:val="FFFFFF"/>
                <w:spacing w:val="-5"/>
              </w:rPr>
              <w:t xml:space="preserve"> </w:t>
            </w:r>
            <w:r w:rsidRPr="008F692D">
              <w:rPr>
                <w:rFonts w:eastAsia="Century Gothic" w:cstheme="minorHAnsi"/>
                <w:b/>
                <w:color w:val="FFFFFF"/>
              </w:rPr>
              <w:t>in</w:t>
            </w:r>
            <w:r w:rsidRPr="008F692D">
              <w:rPr>
                <w:rFonts w:eastAsia="Century Gothic" w:cstheme="minorHAnsi"/>
                <w:b/>
                <w:color w:val="FFFFFF"/>
                <w:spacing w:val="-3"/>
              </w:rPr>
              <w:t xml:space="preserve"> </w:t>
            </w:r>
            <w:r w:rsidRPr="008F692D">
              <w:rPr>
                <w:rFonts w:eastAsia="Century Gothic" w:cstheme="minorHAnsi"/>
                <w:b/>
                <w:color w:val="FFFFFF"/>
              </w:rPr>
              <w:t>the</w:t>
            </w:r>
            <w:r w:rsidRPr="008F692D">
              <w:rPr>
                <w:rFonts w:eastAsia="Century Gothic" w:cstheme="minorHAnsi"/>
                <w:b/>
                <w:color w:val="FFFFFF"/>
                <w:spacing w:val="-3"/>
              </w:rPr>
              <w:t xml:space="preserve"> </w:t>
            </w:r>
            <w:r w:rsidRPr="008F692D">
              <w:rPr>
                <w:rFonts w:eastAsia="Century Gothic" w:cstheme="minorHAnsi"/>
                <w:b/>
                <w:color w:val="FFFFFF"/>
              </w:rPr>
              <w:t>Mid</w:t>
            </w:r>
            <w:r w:rsidRPr="008F692D">
              <w:rPr>
                <w:rFonts w:eastAsia="Century Gothic" w:cstheme="minorHAnsi"/>
                <w:b/>
                <w:color w:val="FFFFFF"/>
                <w:spacing w:val="22"/>
                <w:w w:val="99"/>
              </w:rPr>
              <w:t xml:space="preserve"> </w:t>
            </w:r>
            <w:r w:rsidRPr="008F692D">
              <w:rPr>
                <w:rFonts w:eastAsia="Century Gothic" w:cstheme="minorHAnsi"/>
                <w:b/>
                <w:color w:val="FFFFFF"/>
                <w:spacing w:val="-1"/>
              </w:rPr>
              <w:t>Murray?</w:t>
            </w:r>
          </w:p>
        </w:tc>
      </w:tr>
      <w:tr w:rsidR="00EE14FF" w:rsidRPr="00186538" w14:paraId="72C56B09" w14:textId="77777777" w:rsidTr="00FF24D3">
        <w:trPr>
          <w:trHeight w:val="581"/>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6E548248" w14:textId="77777777" w:rsidR="00EE14FF" w:rsidRPr="008F692D" w:rsidRDefault="00EE14FF" w:rsidP="00E60CCC">
            <w:pPr>
              <w:pStyle w:val="TableParagraph"/>
              <w:ind w:left="97" w:right="165"/>
              <w:rPr>
                <w:rFonts w:cstheme="minorHAnsi"/>
                <w:spacing w:val="-14"/>
              </w:rPr>
            </w:pPr>
            <w:r w:rsidRPr="008F692D">
              <w:rPr>
                <w:rFonts w:cstheme="minorHAnsi"/>
              </w:rPr>
              <w:t>Flathead</w:t>
            </w:r>
            <w:r w:rsidRPr="008F692D">
              <w:rPr>
                <w:rFonts w:cstheme="minorHAnsi"/>
                <w:spacing w:val="-14"/>
              </w:rPr>
              <w:t xml:space="preserve"> </w:t>
            </w:r>
            <w:r w:rsidRPr="008F692D">
              <w:rPr>
                <w:rFonts w:cstheme="minorHAnsi"/>
              </w:rPr>
              <w:t>galaxias</w:t>
            </w:r>
            <w:r w:rsidRPr="008F692D">
              <w:rPr>
                <w:rFonts w:cstheme="minorHAnsi"/>
                <w:spacing w:val="-14"/>
              </w:rPr>
              <w:t xml:space="preserve"> </w:t>
            </w:r>
          </w:p>
          <w:p w14:paraId="3B16FC0B" w14:textId="77777777" w:rsidR="00EE14FF" w:rsidRPr="008F692D" w:rsidRDefault="00EE14FF" w:rsidP="00E60CCC">
            <w:pPr>
              <w:pStyle w:val="TableParagraph"/>
              <w:ind w:left="97" w:right="165"/>
              <w:rPr>
                <w:rFonts w:eastAsia="Century Gothic" w:cstheme="minorHAnsi"/>
              </w:rPr>
            </w:pPr>
            <w:r w:rsidRPr="008F692D">
              <w:rPr>
                <w:rFonts w:cstheme="minorHAnsi"/>
              </w:rPr>
              <w:t>(</w:t>
            </w:r>
            <w:r w:rsidRPr="008F692D">
              <w:rPr>
                <w:rFonts w:cstheme="minorHAnsi"/>
                <w:i/>
              </w:rPr>
              <w:t>Galaxias</w:t>
            </w:r>
            <w:r w:rsidRPr="008F692D">
              <w:rPr>
                <w:rFonts w:cstheme="minorHAnsi"/>
                <w:i/>
                <w:spacing w:val="23"/>
                <w:w w:val="99"/>
              </w:rPr>
              <w:t xml:space="preserve"> </w:t>
            </w:r>
            <w:r w:rsidRPr="008F692D">
              <w:rPr>
                <w:rFonts w:cstheme="minorHAnsi"/>
                <w:i/>
                <w:spacing w:val="-1"/>
              </w:rPr>
              <w:t>rostratus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7BCFFD72" w14:textId="77777777" w:rsidR="00EE14FF" w:rsidRPr="008F692D" w:rsidRDefault="00EE14FF" w:rsidP="00E60CCC">
            <w:pPr>
              <w:pStyle w:val="TableParagraph"/>
              <w:ind w:left="99" w:right="102"/>
              <w:rPr>
                <w:rFonts w:eastAsia="Century Gothic" w:cstheme="minorHAnsi"/>
              </w:rPr>
            </w:pPr>
            <w:r w:rsidRPr="008F692D">
              <w:rPr>
                <w:rFonts w:cstheme="minorHAnsi"/>
              </w:rPr>
              <w:t>Expand</w:t>
            </w:r>
            <w:r w:rsidRPr="008F692D">
              <w:rPr>
                <w:rFonts w:cstheme="minorHAnsi"/>
                <w:spacing w:val="18"/>
              </w:rPr>
              <w:t xml:space="preserve"> </w:t>
            </w:r>
            <w:r w:rsidRPr="008F692D">
              <w:rPr>
                <w:rFonts w:cstheme="minorHAnsi"/>
              </w:rPr>
              <w:t>the</w:t>
            </w:r>
            <w:r w:rsidRPr="008F692D">
              <w:rPr>
                <w:rFonts w:cstheme="minorHAnsi"/>
                <w:spacing w:val="18"/>
              </w:rPr>
              <w:t xml:space="preserve"> </w:t>
            </w:r>
            <w:r w:rsidRPr="008F692D">
              <w:rPr>
                <w:rFonts w:cstheme="minorHAnsi"/>
                <w:spacing w:val="-1"/>
              </w:rPr>
              <w:t>core</w:t>
            </w:r>
            <w:r w:rsidRPr="008F692D">
              <w:rPr>
                <w:rFonts w:cstheme="minorHAnsi"/>
                <w:spacing w:val="18"/>
              </w:rPr>
              <w:t xml:space="preserve"> </w:t>
            </w:r>
            <w:r w:rsidRPr="008F692D">
              <w:rPr>
                <w:rFonts w:cstheme="minorHAnsi"/>
              </w:rPr>
              <w:t>range</w:t>
            </w:r>
            <w:r w:rsidRPr="008F692D">
              <w:rPr>
                <w:rFonts w:cstheme="minorHAnsi"/>
                <w:spacing w:val="19"/>
              </w:rPr>
              <w:t xml:space="preserve"> </w:t>
            </w:r>
            <w:r w:rsidRPr="008F692D">
              <w:rPr>
                <w:rFonts w:cstheme="minorHAnsi"/>
                <w:spacing w:val="1"/>
              </w:rPr>
              <w:t>in</w:t>
            </w:r>
            <w:r w:rsidRPr="008F692D">
              <w:rPr>
                <w:rFonts w:cstheme="minorHAnsi"/>
                <w:spacing w:val="19"/>
              </w:rPr>
              <w:t xml:space="preserve"> </w:t>
            </w:r>
            <w:r w:rsidRPr="008F692D">
              <w:rPr>
                <w:rFonts w:cstheme="minorHAnsi"/>
              </w:rPr>
              <w:t>the</w:t>
            </w:r>
            <w:r w:rsidRPr="008F692D">
              <w:rPr>
                <w:rFonts w:cstheme="minorHAnsi"/>
                <w:spacing w:val="18"/>
              </w:rPr>
              <w:t xml:space="preserve"> </w:t>
            </w:r>
            <w:r w:rsidRPr="008F692D">
              <w:rPr>
                <w:rFonts w:cstheme="minorHAnsi"/>
              </w:rPr>
              <w:t>wetlands</w:t>
            </w:r>
            <w:r w:rsidRPr="008F692D">
              <w:rPr>
                <w:rFonts w:cstheme="minorHAnsi"/>
                <w:spacing w:val="18"/>
              </w:rPr>
              <w:t xml:space="preserve"> </w:t>
            </w:r>
            <w:r w:rsidRPr="008F692D">
              <w:rPr>
                <w:rFonts w:cstheme="minorHAnsi"/>
                <w:spacing w:val="-1"/>
              </w:rPr>
              <w:t>of</w:t>
            </w:r>
            <w:r w:rsidRPr="008F692D">
              <w:rPr>
                <w:rFonts w:cstheme="minorHAnsi"/>
                <w:spacing w:val="18"/>
              </w:rPr>
              <w:t xml:space="preserve"> </w:t>
            </w:r>
            <w:r w:rsidRPr="008F692D">
              <w:rPr>
                <w:rFonts w:cstheme="minorHAnsi"/>
              </w:rPr>
              <w:t>the</w:t>
            </w:r>
            <w:r w:rsidRPr="008F692D">
              <w:rPr>
                <w:rFonts w:cstheme="minorHAnsi"/>
                <w:spacing w:val="30"/>
                <w:w w:val="99"/>
              </w:rPr>
              <w:t xml:space="preserve"> </w:t>
            </w:r>
            <w:r w:rsidRPr="008F692D">
              <w:rPr>
                <w:rFonts w:cstheme="minorHAnsi"/>
                <w:spacing w:val="-1"/>
              </w:rPr>
              <w:t>River</w:t>
            </w:r>
            <w:r w:rsidRPr="008F692D">
              <w:rPr>
                <w:rFonts w:cstheme="minorHAnsi"/>
                <w:spacing w:val="-13"/>
              </w:rPr>
              <w:t xml:space="preserve"> </w:t>
            </w:r>
            <w:r w:rsidRPr="008F692D">
              <w:rPr>
                <w:rFonts w:cstheme="minorHAnsi"/>
              </w:rPr>
              <w:t>Murray</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753AFB3E"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2A345B52"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tcPr>
          <w:p w14:paraId="1AA83FAB" w14:textId="77777777" w:rsidR="00EE14FF" w:rsidRPr="008F692D" w:rsidRDefault="00EE14FF" w:rsidP="00E60CCC">
            <w:pPr>
              <w:pStyle w:val="TableParagraph"/>
              <w:ind w:left="97" w:right="406"/>
              <w:rPr>
                <w:rFonts w:eastAsia="Century Gothic" w:cstheme="minorHAnsi"/>
              </w:rPr>
            </w:pPr>
            <w:r w:rsidRPr="008F692D">
              <w:rPr>
                <w:rFonts w:cstheme="minorHAnsi"/>
              </w:rPr>
              <w:t>Freshwater</w:t>
            </w:r>
            <w:r w:rsidRPr="008F692D">
              <w:rPr>
                <w:rFonts w:cstheme="minorHAnsi"/>
                <w:spacing w:val="-18"/>
              </w:rPr>
              <w:t xml:space="preserve"> </w:t>
            </w:r>
            <w:r w:rsidRPr="008F692D">
              <w:rPr>
                <w:rFonts w:cstheme="minorHAnsi"/>
                <w:spacing w:val="-1"/>
              </w:rPr>
              <w:t>catfish</w:t>
            </w:r>
            <w:r w:rsidRPr="008F692D">
              <w:rPr>
                <w:rFonts w:cstheme="minorHAnsi"/>
                <w:spacing w:val="24"/>
                <w:w w:val="99"/>
              </w:rPr>
              <w:t xml:space="preserve"> </w:t>
            </w:r>
            <w:r w:rsidRPr="008F692D">
              <w:rPr>
                <w:rFonts w:cstheme="minorHAnsi"/>
                <w:spacing w:val="-1"/>
              </w:rPr>
              <w:t>(</w:t>
            </w:r>
            <w:r w:rsidRPr="008F692D">
              <w:rPr>
                <w:rFonts w:cstheme="minorHAnsi"/>
                <w:i/>
                <w:spacing w:val="-1"/>
              </w:rPr>
              <w:t>Tandanus</w:t>
            </w:r>
            <w:r w:rsidRPr="008F692D">
              <w:rPr>
                <w:rFonts w:cstheme="minorHAnsi"/>
                <w:i/>
                <w:spacing w:val="-22"/>
              </w:rPr>
              <w:t xml:space="preserve"> </w:t>
            </w:r>
            <w:r w:rsidRPr="008F692D">
              <w:rPr>
                <w:rFonts w:cstheme="minorHAnsi"/>
                <w:i/>
              </w:rPr>
              <w:t>tandanus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39F3F4A" w14:textId="77777777" w:rsidR="00EE14FF" w:rsidRPr="008F692D" w:rsidRDefault="00EE14FF" w:rsidP="00E60CCC">
            <w:pPr>
              <w:pStyle w:val="TableParagraph"/>
              <w:ind w:left="99" w:right="94"/>
              <w:rPr>
                <w:rFonts w:eastAsia="Century Gothic" w:cstheme="minorHAnsi"/>
              </w:rPr>
            </w:pPr>
            <w:r w:rsidRPr="008F692D">
              <w:rPr>
                <w:rFonts w:cstheme="minorHAnsi"/>
              </w:rPr>
              <w:t>Expand</w:t>
            </w:r>
            <w:r w:rsidRPr="008F692D">
              <w:rPr>
                <w:rFonts w:cstheme="minorHAnsi"/>
                <w:spacing w:val="32"/>
              </w:rPr>
              <w:t xml:space="preserve"> </w:t>
            </w:r>
            <w:r w:rsidRPr="008F692D">
              <w:rPr>
                <w:rFonts w:cstheme="minorHAnsi"/>
              </w:rPr>
              <w:t>the</w:t>
            </w:r>
            <w:r w:rsidRPr="008F692D">
              <w:rPr>
                <w:rFonts w:cstheme="minorHAnsi"/>
                <w:spacing w:val="32"/>
              </w:rPr>
              <w:t xml:space="preserve"> </w:t>
            </w:r>
            <w:r w:rsidRPr="008F692D">
              <w:rPr>
                <w:rFonts w:cstheme="minorHAnsi"/>
                <w:spacing w:val="-1"/>
              </w:rPr>
              <w:t>core</w:t>
            </w:r>
            <w:r w:rsidRPr="008F692D">
              <w:rPr>
                <w:rFonts w:cstheme="minorHAnsi"/>
                <w:spacing w:val="32"/>
              </w:rPr>
              <w:t xml:space="preserve"> </w:t>
            </w:r>
            <w:r w:rsidRPr="008F692D">
              <w:rPr>
                <w:rFonts w:cstheme="minorHAnsi"/>
              </w:rPr>
              <w:t>range</w:t>
            </w:r>
            <w:r w:rsidRPr="008F692D">
              <w:rPr>
                <w:rFonts w:cstheme="minorHAnsi"/>
                <w:spacing w:val="32"/>
              </w:rPr>
              <w:t xml:space="preserve"> </w:t>
            </w:r>
            <w:r w:rsidRPr="008F692D">
              <w:rPr>
                <w:rFonts w:cstheme="minorHAnsi"/>
              </w:rPr>
              <w:t>in</w:t>
            </w:r>
            <w:r w:rsidRPr="008F692D">
              <w:rPr>
                <w:rFonts w:cstheme="minorHAnsi"/>
                <w:spacing w:val="32"/>
              </w:rPr>
              <w:t xml:space="preserve"> </w:t>
            </w:r>
            <w:r w:rsidRPr="008F692D">
              <w:rPr>
                <w:rFonts w:cstheme="minorHAnsi"/>
              </w:rPr>
              <w:t>Columbo-Billabong</w:t>
            </w:r>
            <w:r w:rsidRPr="008F692D">
              <w:rPr>
                <w:rFonts w:cstheme="minorHAnsi"/>
                <w:spacing w:val="27"/>
                <w:w w:val="99"/>
              </w:rPr>
              <w:t xml:space="preserve"> </w:t>
            </w:r>
            <w:r w:rsidRPr="008F692D">
              <w:rPr>
                <w:rFonts w:cstheme="minorHAnsi"/>
                <w:spacing w:val="-1"/>
              </w:rPr>
              <w:t>Creek</w:t>
            </w:r>
            <w:r w:rsidRPr="008F692D">
              <w:rPr>
                <w:rFonts w:cstheme="minorHAnsi"/>
                <w:spacing w:val="-8"/>
              </w:rPr>
              <w:t xml:space="preserve"> </w:t>
            </w:r>
            <w:r w:rsidRPr="008F692D">
              <w:rPr>
                <w:rFonts w:cstheme="minorHAnsi"/>
              </w:rPr>
              <w:t>and</w:t>
            </w:r>
            <w:r w:rsidRPr="008F692D">
              <w:rPr>
                <w:rFonts w:cstheme="minorHAnsi"/>
                <w:spacing w:val="-9"/>
              </w:rPr>
              <w:t xml:space="preserve"> </w:t>
            </w:r>
            <w:r w:rsidRPr="008F692D">
              <w:rPr>
                <w:rFonts w:cstheme="minorHAnsi"/>
              </w:rPr>
              <w:t>Wakool</w:t>
            </w:r>
            <w:r w:rsidRPr="008F692D">
              <w:rPr>
                <w:rFonts w:cstheme="minorHAnsi"/>
                <w:spacing w:val="-8"/>
              </w:rPr>
              <w:t xml:space="preserve"> </w:t>
            </w:r>
            <w:r w:rsidRPr="008F692D">
              <w:rPr>
                <w:rFonts w:cstheme="minorHAnsi"/>
                <w:spacing w:val="-1"/>
              </w:rPr>
              <w:t>system</w:t>
            </w:r>
          </w:p>
        </w:tc>
        <w:tc>
          <w:tcPr>
            <w:tcW w:w="1843" w:type="dxa"/>
            <w:tcBorders>
              <w:top w:val="single" w:sz="8" w:space="0" w:color="A6A6A6"/>
              <w:left w:val="single" w:sz="8" w:space="0" w:color="A6A6A6"/>
              <w:bottom w:val="single" w:sz="8" w:space="0" w:color="A6A6A6"/>
              <w:right w:val="single" w:sz="8" w:space="0" w:color="A6A6A6"/>
            </w:tcBorders>
          </w:tcPr>
          <w:p w14:paraId="4F4BCE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8733A09" w14:textId="77777777" w:rsidTr="00FF24D3">
        <w:trPr>
          <w:trHeight w:val="622"/>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5A02C1C" w14:textId="77777777" w:rsidR="00EE14FF" w:rsidRPr="008F692D" w:rsidRDefault="00EE14FF" w:rsidP="00E60CCC">
            <w:pPr>
              <w:pStyle w:val="TableParagraph"/>
              <w:ind w:left="97" w:right="279"/>
              <w:rPr>
                <w:rFonts w:cstheme="minorHAnsi"/>
                <w:spacing w:val="-9"/>
              </w:rPr>
            </w:pPr>
            <w:r w:rsidRPr="008F692D">
              <w:rPr>
                <w:rFonts w:cstheme="minorHAnsi"/>
                <w:spacing w:val="-1"/>
              </w:rPr>
              <w:t>Golden</w:t>
            </w:r>
            <w:r w:rsidRPr="008F692D">
              <w:rPr>
                <w:rFonts w:cstheme="minorHAnsi"/>
                <w:spacing w:val="-12"/>
              </w:rPr>
              <w:t xml:space="preserve"> </w:t>
            </w:r>
            <w:r w:rsidRPr="008F692D">
              <w:rPr>
                <w:rFonts w:cstheme="minorHAnsi"/>
              </w:rPr>
              <w:t>perch</w:t>
            </w:r>
            <w:r w:rsidRPr="008F692D">
              <w:rPr>
                <w:rFonts w:cstheme="minorHAnsi"/>
                <w:spacing w:val="-9"/>
              </w:rPr>
              <w:t xml:space="preserve"> </w:t>
            </w:r>
          </w:p>
          <w:p w14:paraId="5CC90769" w14:textId="77777777" w:rsidR="00EE14FF" w:rsidRPr="008F692D" w:rsidRDefault="00EE14FF" w:rsidP="00E60CCC">
            <w:pPr>
              <w:pStyle w:val="TableParagraph"/>
              <w:ind w:left="97" w:right="279"/>
              <w:rPr>
                <w:rFonts w:eastAsia="Century Gothic" w:cstheme="minorHAnsi"/>
              </w:rPr>
            </w:pPr>
            <w:r w:rsidRPr="008F692D">
              <w:rPr>
                <w:rFonts w:cstheme="minorHAnsi"/>
                <w:spacing w:val="-1"/>
              </w:rPr>
              <w:t>(</w:t>
            </w:r>
            <w:r w:rsidRPr="008F692D">
              <w:rPr>
                <w:rFonts w:cstheme="minorHAnsi"/>
                <w:i/>
                <w:spacing w:val="-1"/>
              </w:rPr>
              <w:t>Macquaria</w:t>
            </w:r>
            <w:r w:rsidRPr="008F692D">
              <w:rPr>
                <w:rFonts w:cstheme="minorHAnsi"/>
                <w:i/>
                <w:spacing w:val="25"/>
                <w:w w:val="99"/>
              </w:rPr>
              <w:t xml:space="preserve"> </w:t>
            </w:r>
            <w:r w:rsidRPr="008F692D">
              <w:rPr>
                <w:rFonts w:cstheme="minorHAnsi"/>
                <w:i/>
              </w:rPr>
              <w:t>ambigua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272E2DCC" w14:textId="75E68705" w:rsidR="00EE14FF" w:rsidRPr="008F692D" w:rsidRDefault="00EE14FF" w:rsidP="00E60CCC">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19FBF1B"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A5F27EE" w14:textId="77777777" w:rsidTr="00FF24D3">
        <w:trPr>
          <w:trHeight w:val="636"/>
        </w:trPr>
        <w:tc>
          <w:tcPr>
            <w:tcW w:w="2772" w:type="dxa"/>
            <w:tcBorders>
              <w:top w:val="single" w:sz="8" w:space="0" w:color="A6A6A6"/>
              <w:left w:val="single" w:sz="8" w:space="0" w:color="A6A6A6"/>
              <w:bottom w:val="single" w:sz="8" w:space="0" w:color="A6A6A6"/>
              <w:right w:val="single" w:sz="8" w:space="0" w:color="A6A6A6"/>
            </w:tcBorders>
          </w:tcPr>
          <w:p w14:paraId="57865332" w14:textId="77777777" w:rsidR="00EE14FF" w:rsidRPr="008F692D" w:rsidRDefault="00EE14FF" w:rsidP="00E60CCC">
            <w:pPr>
              <w:pStyle w:val="TableParagraph"/>
              <w:ind w:left="97" w:right="102"/>
              <w:rPr>
                <w:rFonts w:cstheme="minorHAnsi"/>
                <w:spacing w:val="27"/>
                <w:w w:val="99"/>
              </w:rPr>
            </w:pPr>
            <w:r w:rsidRPr="008F692D">
              <w:rPr>
                <w:rFonts w:cstheme="minorHAnsi"/>
                <w:spacing w:val="-1"/>
              </w:rPr>
              <w:t>Murray</w:t>
            </w:r>
            <w:r w:rsidRPr="008F692D">
              <w:rPr>
                <w:rFonts w:cstheme="minorHAnsi"/>
                <w:spacing w:val="-13"/>
              </w:rPr>
              <w:t xml:space="preserve"> </w:t>
            </w:r>
            <w:r w:rsidRPr="008F692D">
              <w:rPr>
                <w:rFonts w:cstheme="minorHAnsi"/>
              </w:rPr>
              <w:t>cod</w:t>
            </w:r>
            <w:r w:rsidRPr="008F692D">
              <w:rPr>
                <w:rFonts w:cstheme="minorHAnsi"/>
                <w:spacing w:val="27"/>
                <w:w w:val="99"/>
              </w:rPr>
              <w:t xml:space="preserve"> </w:t>
            </w:r>
          </w:p>
          <w:p w14:paraId="57327C88" w14:textId="77777777" w:rsidR="00EE14FF" w:rsidRPr="008F692D" w:rsidRDefault="00EE14FF" w:rsidP="00E60CCC">
            <w:pPr>
              <w:pStyle w:val="TableParagraph"/>
              <w:ind w:left="97" w:right="102"/>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21"/>
              </w:rPr>
              <w:t xml:space="preserve"> </w:t>
            </w:r>
            <w:r w:rsidRPr="008F692D">
              <w:rPr>
                <w:rFonts w:cstheme="minorHAnsi"/>
                <w:i/>
              </w:rPr>
              <w:t>peelii</w:t>
            </w:r>
            <w:r w:rsidRPr="008F692D">
              <w:rPr>
                <w:rFonts w:cstheme="minorHAnsi"/>
                <w:i/>
                <w:spacing w:val="25"/>
                <w:w w:val="99"/>
              </w:rPr>
              <w:t xml:space="preserve"> </w:t>
            </w:r>
            <w:r w:rsidRPr="008F692D">
              <w:rPr>
                <w:rFonts w:cstheme="minorHAnsi"/>
                <w:i/>
              </w:rPr>
              <w:t>peelii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6E03F4E" w14:textId="27D6D37D" w:rsidR="00EE14FF" w:rsidRPr="008F692D" w:rsidRDefault="00EE14FF" w:rsidP="00097398">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tcPr>
          <w:p w14:paraId="23E95B45"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C09D07" w14:textId="77777777" w:rsidTr="00FF24D3">
        <w:trPr>
          <w:trHeight w:val="88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F8BA256" w14:textId="77777777" w:rsidR="00EE14FF" w:rsidRPr="008F692D" w:rsidRDefault="00EE14FF" w:rsidP="00E60CCC">
            <w:pPr>
              <w:pStyle w:val="TableParagraph"/>
              <w:ind w:left="97" w:right="230"/>
              <w:rPr>
                <w:rFonts w:eastAsia="Century Gothic" w:cstheme="minorHAnsi"/>
              </w:rPr>
            </w:pPr>
            <w:r w:rsidRPr="008F692D">
              <w:rPr>
                <w:rFonts w:cstheme="minorHAnsi"/>
                <w:spacing w:val="-1"/>
              </w:rPr>
              <w:t>Murray</w:t>
            </w:r>
            <w:r w:rsidRPr="008F692D">
              <w:rPr>
                <w:rFonts w:cstheme="minorHAnsi"/>
                <w:spacing w:val="-20"/>
              </w:rPr>
              <w:t xml:space="preserve"> </w:t>
            </w:r>
            <w:r w:rsidRPr="008F692D">
              <w:rPr>
                <w:rFonts w:cstheme="minorHAnsi"/>
              </w:rPr>
              <w:t>hardyhead</w:t>
            </w:r>
            <w:r w:rsidRPr="008F692D">
              <w:rPr>
                <w:rFonts w:cstheme="minorHAnsi"/>
                <w:spacing w:val="25"/>
                <w:w w:val="99"/>
              </w:rPr>
              <w:t xml:space="preserve"> </w:t>
            </w:r>
            <w:r w:rsidRPr="008F692D">
              <w:rPr>
                <w:rFonts w:cstheme="minorHAnsi"/>
                <w:spacing w:val="-1"/>
              </w:rPr>
              <w:t>(</w:t>
            </w:r>
            <w:r w:rsidRPr="008F692D">
              <w:rPr>
                <w:rFonts w:cstheme="minorHAnsi"/>
                <w:i/>
                <w:spacing w:val="-1"/>
              </w:rPr>
              <w:t>Craterocephalus</w:t>
            </w:r>
            <w:r w:rsidRPr="008F692D">
              <w:rPr>
                <w:rFonts w:cstheme="minorHAnsi"/>
                <w:i/>
                <w:spacing w:val="-27"/>
              </w:rPr>
              <w:t xml:space="preserve"> </w:t>
            </w:r>
            <w:r w:rsidRPr="008F692D">
              <w:rPr>
                <w:rFonts w:cstheme="minorHAnsi"/>
                <w:i/>
              </w:rPr>
              <w:t>fluviatilis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6ADFA504" w14:textId="77777777" w:rsidR="00EE14FF" w:rsidRPr="008F692D" w:rsidRDefault="00EE14FF" w:rsidP="00E60CCC">
            <w:pPr>
              <w:pStyle w:val="TableParagraph"/>
              <w:ind w:left="99" w:right="111"/>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at</w:t>
            </w:r>
            <w:r w:rsidRPr="008F692D">
              <w:rPr>
                <w:rFonts w:eastAsia="Century Gothic" w:cstheme="minorHAnsi"/>
                <w:spacing w:val="-4"/>
              </w:rPr>
              <w:t xml:space="preserve"> </w:t>
            </w:r>
            <w:r w:rsidRPr="008F692D">
              <w:rPr>
                <w:rFonts w:eastAsia="Century Gothic" w:cstheme="minorHAnsi"/>
                <w:spacing w:val="-1"/>
              </w:rPr>
              <w:t>least</w:t>
            </w:r>
            <w:r w:rsidRPr="008F692D">
              <w:rPr>
                <w:rFonts w:eastAsia="Century Gothic" w:cstheme="minorHAnsi"/>
                <w:spacing w:val="-4"/>
              </w:rPr>
              <w:t xml:space="preserve"> </w:t>
            </w:r>
            <w:r w:rsidRPr="008F692D">
              <w:rPr>
                <w:rFonts w:eastAsia="Century Gothic" w:cstheme="minorHAnsi"/>
              </w:rPr>
              <w:t>two</w:t>
            </w:r>
            <w:r w:rsidRPr="008F692D">
              <w:rPr>
                <w:rFonts w:eastAsia="Century Gothic" w:cstheme="minorHAnsi"/>
                <w:spacing w:val="-6"/>
              </w:rPr>
              <w:t xml:space="preserve"> </w:t>
            </w:r>
            <w:r w:rsidRPr="008F692D">
              <w:rPr>
                <w:rFonts w:eastAsia="Century Gothic" w:cstheme="minorHAnsi"/>
                <w:spacing w:val="-1"/>
              </w:rPr>
              <w:t>current</w:t>
            </w:r>
            <w:r w:rsidRPr="008F692D">
              <w:rPr>
                <w:rFonts w:eastAsia="Century Gothic" w:cstheme="minorHAnsi"/>
                <w:spacing w:val="26"/>
                <w:w w:val="99"/>
              </w:rPr>
              <w:t xml:space="preserve"> </w:t>
            </w:r>
            <w:r w:rsidRPr="008F692D">
              <w:rPr>
                <w:rFonts w:eastAsia="Century Gothic" w:cstheme="minorHAnsi"/>
                <w:spacing w:val="-1"/>
              </w:rPr>
              <w:t>populations.</w:t>
            </w:r>
            <w:r w:rsidRPr="008F692D">
              <w:rPr>
                <w:rFonts w:eastAsia="Century Gothic" w:cstheme="minorHAnsi"/>
                <w:spacing w:val="-14"/>
              </w:rPr>
              <w:t xml:space="preserve"> </w:t>
            </w:r>
            <w:r w:rsidRPr="008F692D">
              <w:rPr>
                <w:rFonts w:eastAsia="Century Gothic" w:cstheme="minorHAnsi"/>
                <w:spacing w:val="-1"/>
              </w:rPr>
              <w:t>Establish</w:t>
            </w:r>
            <w:r w:rsidRPr="008F692D">
              <w:rPr>
                <w:rFonts w:eastAsia="Century Gothic" w:cstheme="minorHAnsi"/>
                <w:spacing w:val="-12"/>
              </w:rPr>
              <w:t xml:space="preserve"> </w:t>
            </w:r>
            <w:r w:rsidRPr="008F692D">
              <w:rPr>
                <w:rFonts w:eastAsia="Century Gothic" w:cstheme="minorHAnsi"/>
                <w:spacing w:val="1"/>
              </w:rPr>
              <w:t>3–4</w:t>
            </w:r>
            <w:r w:rsidRPr="008F692D">
              <w:rPr>
                <w:rFonts w:eastAsia="Century Gothic" w:cstheme="minorHAnsi"/>
                <w:spacing w:val="-13"/>
              </w:rPr>
              <w:t xml:space="preserve"> </w:t>
            </w:r>
            <w:r w:rsidRPr="008F692D">
              <w:rPr>
                <w:rFonts w:eastAsia="Century Gothic" w:cstheme="minorHAnsi"/>
              </w:rPr>
              <w:t>additional</w:t>
            </w:r>
            <w:r w:rsidRPr="008F692D">
              <w:rPr>
                <w:rFonts w:eastAsia="Century Gothic" w:cstheme="minorHAnsi"/>
                <w:spacing w:val="34"/>
                <w:w w:val="99"/>
              </w:rPr>
              <w:t xml:space="preserve"> </w:t>
            </w:r>
            <w:r w:rsidRPr="008F692D">
              <w:rPr>
                <w:rFonts w:eastAsia="Century Gothic" w:cstheme="minorHAnsi"/>
                <w:spacing w:val="-1"/>
              </w:rPr>
              <w:t>populations,</w:t>
            </w:r>
            <w:r w:rsidRPr="008F692D">
              <w:rPr>
                <w:rFonts w:eastAsia="Century Gothic" w:cstheme="minorHAnsi"/>
                <w:spacing w:val="-8"/>
              </w:rPr>
              <w:t xml:space="preserve"> </w:t>
            </w:r>
            <w:r w:rsidRPr="008F692D">
              <w:rPr>
                <w:rFonts w:eastAsia="Century Gothic" w:cstheme="minorHAnsi"/>
              </w:rPr>
              <w:t>with</w:t>
            </w:r>
            <w:r w:rsidRPr="008F692D">
              <w:rPr>
                <w:rFonts w:eastAsia="Century Gothic" w:cstheme="minorHAnsi"/>
                <w:spacing w:val="-6"/>
              </w:rPr>
              <w:t xml:space="preserve"> </w:t>
            </w:r>
            <w:r w:rsidRPr="008F692D">
              <w:rPr>
                <w:rFonts w:eastAsia="Century Gothic" w:cstheme="minorHAnsi"/>
              </w:rPr>
              <w:t>at</w:t>
            </w:r>
            <w:r w:rsidRPr="008F692D">
              <w:rPr>
                <w:rFonts w:eastAsia="Century Gothic" w:cstheme="minorHAnsi"/>
                <w:spacing w:val="-6"/>
              </w:rPr>
              <w:t xml:space="preserve"> </w:t>
            </w:r>
            <w:r w:rsidRPr="008F692D">
              <w:rPr>
                <w:rFonts w:eastAsia="Century Gothic" w:cstheme="minorHAnsi"/>
                <w:spacing w:val="-1"/>
              </w:rPr>
              <w:t>least</w:t>
            </w:r>
            <w:r w:rsidRPr="008F692D">
              <w:rPr>
                <w:rFonts w:eastAsia="Century Gothic" w:cstheme="minorHAnsi"/>
                <w:spacing w:val="-6"/>
              </w:rPr>
              <w:t xml:space="preserve"> </w:t>
            </w:r>
            <w:r w:rsidRPr="008F692D">
              <w:rPr>
                <w:rFonts w:eastAsia="Century Gothic" w:cstheme="minorHAnsi"/>
                <w:spacing w:val="-1"/>
              </w:rPr>
              <w:t>one</w:t>
            </w:r>
            <w:r w:rsidRPr="008F692D">
              <w:rPr>
                <w:rFonts w:eastAsia="Century Gothic" w:cstheme="minorHAnsi"/>
                <w:spacing w:val="-6"/>
              </w:rPr>
              <w:t xml:space="preserve"> </w:t>
            </w:r>
            <w:r w:rsidRPr="008F692D">
              <w:rPr>
                <w:rFonts w:eastAsia="Century Gothic" w:cstheme="minorHAnsi"/>
              </w:rPr>
              <w:t>in</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1"/>
              </w:rPr>
              <w:t xml:space="preserve"> </w:t>
            </w:r>
            <w:r w:rsidRPr="008F692D">
              <w:rPr>
                <w:rFonts w:eastAsia="Century Gothic" w:cstheme="minorHAnsi"/>
              </w:rPr>
              <w:t>Mid</w:t>
            </w:r>
            <w:r w:rsidRPr="008F692D">
              <w:rPr>
                <w:rFonts w:eastAsia="Century Gothic" w:cstheme="minorHAnsi"/>
                <w:spacing w:val="-5"/>
              </w:rPr>
              <w:t xml:space="preserve"> </w:t>
            </w:r>
            <w:r w:rsidRPr="008F692D">
              <w:rPr>
                <w:rFonts w:eastAsia="Century Gothic" w:cstheme="minorHAnsi"/>
                <w:spacing w:val="-1"/>
              </w:rPr>
              <w:t>Murray</w:t>
            </w:r>
            <w:r w:rsidRPr="008F692D">
              <w:rPr>
                <w:rFonts w:eastAsia="Century Gothic" w:cstheme="minorHAnsi"/>
                <w:spacing w:val="50"/>
                <w:w w:val="99"/>
              </w:rPr>
              <w:t xml:space="preserve"> </w:t>
            </w:r>
            <w:r w:rsidRPr="008F692D">
              <w:rPr>
                <w:rFonts w:eastAsia="Century Gothic" w:cstheme="minorHAnsi"/>
                <w:spacing w:val="-1"/>
              </w:rPr>
              <w:t>conservation</w:t>
            </w:r>
            <w:r w:rsidRPr="008F692D">
              <w:rPr>
                <w:rFonts w:eastAsia="Century Gothic" w:cstheme="minorHAnsi"/>
                <w:spacing w:val="-17"/>
              </w:rPr>
              <w:t xml:space="preserve"> </w:t>
            </w:r>
            <w:r w:rsidRPr="008F692D">
              <w:rPr>
                <w:rFonts w:eastAsia="Century Gothic" w:cstheme="minorHAnsi"/>
              </w:rPr>
              <w:t>unit.</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20CA7A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3CCD27" w14:textId="77777777" w:rsidTr="00FF24D3">
        <w:trPr>
          <w:trHeight w:val="1629"/>
        </w:trPr>
        <w:tc>
          <w:tcPr>
            <w:tcW w:w="2772" w:type="dxa"/>
            <w:tcBorders>
              <w:top w:val="single" w:sz="8" w:space="0" w:color="A6A6A6"/>
              <w:left w:val="single" w:sz="8" w:space="0" w:color="A6A6A6"/>
              <w:bottom w:val="single" w:sz="8" w:space="0" w:color="A6A6A6"/>
              <w:right w:val="single" w:sz="8" w:space="0" w:color="A6A6A6"/>
            </w:tcBorders>
          </w:tcPr>
          <w:p w14:paraId="0254DCBB" w14:textId="77777777" w:rsidR="00EE14FF" w:rsidRPr="008F692D" w:rsidRDefault="00EE14FF" w:rsidP="00E60CCC">
            <w:pPr>
              <w:pStyle w:val="TableParagraph"/>
              <w:ind w:left="97" w:right="477"/>
              <w:rPr>
                <w:rFonts w:cstheme="minorHAnsi"/>
                <w:spacing w:val="-10"/>
              </w:rPr>
            </w:pPr>
            <w:r w:rsidRPr="008F692D">
              <w:rPr>
                <w:rFonts w:cstheme="minorHAnsi"/>
                <w:spacing w:val="-1"/>
              </w:rPr>
              <w:t>Olive</w:t>
            </w:r>
            <w:r w:rsidRPr="008F692D">
              <w:rPr>
                <w:rFonts w:cstheme="minorHAnsi"/>
                <w:spacing w:val="-13"/>
              </w:rPr>
              <w:t xml:space="preserve"> </w:t>
            </w:r>
            <w:r w:rsidRPr="008F692D">
              <w:rPr>
                <w:rFonts w:cstheme="minorHAnsi"/>
              </w:rPr>
              <w:t>perchlet</w:t>
            </w:r>
            <w:r w:rsidRPr="008F692D">
              <w:rPr>
                <w:rFonts w:cstheme="minorHAnsi"/>
                <w:spacing w:val="-10"/>
              </w:rPr>
              <w:t xml:space="preserve"> </w:t>
            </w:r>
          </w:p>
          <w:p w14:paraId="0CA4947B" w14:textId="77777777" w:rsidR="00EE14FF" w:rsidRPr="008F692D" w:rsidRDefault="00EE14FF" w:rsidP="00E60CCC">
            <w:pPr>
              <w:pStyle w:val="TableParagraph"/>
              <w:ind w:left="97" w:right="477"/>
              <w:rPr>
                <w:rFonts w:eastAsia="Century Gothic" w:cstheme="minorHAnsi"/>
              </w:rPr>
            </w:pPr>
            <w:r w:rsidRPr="008F692D">
              <w:rPr>
                <w:rFonts w:cstheme="minorHAnsi"/>
              </w:rPr>
              <w:t>(</w:t>
            </w:r>
            <w:r w:rsidRPr="008F692D">
              <w:rPr>
                <w:rFonts w:cstheme="minorHAnsi"/>
                <w:i/>
              </w:rPr>
              <w:t>Ambassis</w:t>
            </w:r>
            <w:r w:rsidRPr="008F692D">
              <w:rPr>
                <w:rFonts w:cstheme="minorHAnsi"/>
                <w:i/>
                <w:spacing w:val="24"/>
                <w:w w:val="99"/>
              </w:rPr>
              <w:t xml:space="preserve"> </w:t>
            </w:r>
            <w:r w:rsidRPr="008F692D">
              <w:rPr>
                <w:rFonts w:cstheme="minorHAnsi"/>
                <w:i/>
              </w:rPr>
              <w:t>agassizii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20E0DC0C" w14:textId="77777777" w:rsidR="00EE14FF" w:rsidRPr="008F692D" w:rsidRDefault="00EE14FF" w:rsidP="00E60CCC">
            <w:pPr>
              <w:pStyle w:val="TableParagraph"/>
              <w:ind w:left="99" w:right="207"/>
              <w:rPr>
                <w:rFonts w:eastAsia="Century Gothic" w:cstheme="minorHAnsi"/>
              </w:rPr>
            </w:pPr>
            <w:r w:rsidRPr="008F692D">
              <w:rPr>
                <w:rFonts w:cstheme="minorHAnsi"/>
                <w:spacing w:val="-1"/>
              </w:rPr>
              <w:t>Olive</w:t>
            </w:r>
            <w:r w:rsidRPr="008F692D">
              <w:rPr>
                <w:rFonts w:cstheme="minorHAnsi"/>
                <w:spacing w:val="-8"/>
              </w:rPr>
              <w:t xml:space="preserve"> </w:t>
            </w:r>
            <w:r w:rsidRPr="008F692D">
              <w:rPr>
                <w:rFonts w:cstheme="minorHAnsi"/>
              </w:rPr>
              <w:t>perchlet</w:t>
            </w:r>
            <w:r w:rsidRPr="008F692D">
              <w:rPr>
                <w:rFonts w:cstheme="minorHAnsi"/>
                <w:spacing w:val="-5"/>
              </w:rPr>
              <w:t xml:space="preserve"> </w:t>
            </w:r>
            <w:r w:rsidRPr="008F692D">
              <w:rPr>
                <w:rFonts w:cstheme="minorHAnsi"/>
              </w:rPr>
              <w:t>are</w:t>
            </w:r>
            <w:r w:rsidRPr="008F692D">
              <w:rPr>
                <w:rFonts w:cstheme="minorHAnsi"/>
                <w:spacing w:val="-8"/>
              </w:rPr>
              <w:t xml:space="preserve"> </w:t>
            </w:r>
            <w:r w:rsidRPr="008F692D">
              <w:rPr>
                <w:rFonts w:cstheme="minorHAnsi"/>
                <w:spacing w:val="-1"/>
              </w:rPr>
              <w:t>considered</w:t>
            </w:r>
            <w:r w:rsidRPr="008F692D">
              <w:rPr>
                <w:rFonts w:cstheme="minorHAnsi"/>
                <w:spacing w:val="-6"/>
              </w:rPr>
              <w:t xml:space="preserve"> </w:t>
            </w:r>
            <w:r w:rsidRPr="008F692D">
              <w:rPr>
                <w:rFonts w:cstheme="minorHAnsi"/>
              </w:rPr>
              <w:t>extinct</w:t>
            </w:r>
            <w:r w:rsidRPr="008F692D">
              <w:rPr>
                <w:rFonts w:cstheme="minorHAnsi"/>
                <w:spacing w:val="-8"/>
              </w:rPr>
              <w:t xml:space="preserve"> </w:t>
            </w:r>
            <w:r w:rsidRPr="008F692D">
              <w:rPr>
                <w:rFonts w:cstheme="minorHAnsi"/>
              </w:rPr>
              <w:t>in</w:t>
            </w:r>
            <w:r w:rsidRPr="008F692D">
              <w:rPr>
                <w:rFonts w:cstheme="minorHAnsi"/>
                <w:spacing w:val="-6"/>
              </w:rPr>
              <w:t xml:space="preserve"> </w:t>
            </w:r>
            <w:r w:rsidRPr="008F692D">
              <w:rPr>
                <w:rFonts w:cstheme="minorHAnsi"/>
              </w:rPr>
              <w:t>the</w:t>
            </w:r>
            <w:r w:rsidRPr="008F692D">
              <w:rPr>
                <w:rFonts w:cstheme="minorHAnsi"/>
                <w:spacing w:val="25"/>
                <w:w w:val="99"/>
              </w:rPr>
              <w:t xml:space="preserve"> </w:t>
            </w:r>
            <w:r w:rsidRPr="008F692D">
              <w:rPr>
                <w:rFonts w:cstheme="minorHAnsi"/>
                <w:spacing w:val="-1"/>
              </w:rPr>
              <w:t>southern</w:t>
            </w:r>
            <w:r w:rsidRPr="008F692D">
              <w:rPr>
                <w:rFonts w:cstheme="minorHAnsi"/>
                <w:spacing w:val="-11"/>
              </w:rPr>
              <w:t xml:space="preserve"> </w:t>
            </w:r>
            <w:r w:rsidRPr="008F692D">
              <w:rPr>
                <w:rFonts w:cstheme="minorHAnsi"/>
                <w:spacing w:val="-1"/>
              </w:rPr>
              <w:t>Basin.</w:t>
            </w:r>
            <w:r w:rsidRPr="008F692D">
              <w:rPr>
                <w:rFonts w:cstheme="minorHAnsi"/>
                <w:spacing w:val="-13"/>
              </w:rPr>
              <w:t xml:space="preserve"> </w:t>
            </w:r>
            <w:r w:rsidRPr="008F692D">
              <w:rPr>
                <w:rFonts w:cstheme="minorHAnsi"/>
              </w:rPr>
              <w:t>Reintroduction</w:t>
            </w:r>
            <w:r w:rsidRPr="008F692D">
              <w:rPr>
                <w:rFonts w:cstheme="minorHAnsi"/>
                <w:spacing w:val="-10"/>
              </w:rPr>
              <w:t xml:space="preserve"> </w:t>
            </w:r>
            <w:r w:rsidRPr="008F692D">
              <w:rPr>
                <w:rFonts w:cstheme="minorHAnsi"/>
                <w:spacing w:val="-1"/>
              </w:rPr>
              <w:t>using</w:t>
            </w:r>
            <w:r w:rsidRPr="008F692D">
              <w:rPr>
                <w:rFonts w:cstheme="minorHAnsi"/>
                <w:spacing w:val="-12"/>
              </w:rPr>
              <w:t xml:space="preserve"> </w:t>
            </w:r>
            <w:r w:rsidRPr="008F692D">
              <w:rPr>
                <w:rFonts w:cstheme="minorHAnsi"/>
              </w:rPr>
              <w:t>northern</w:t>
            </w:r>
            <w:r w:rsidRPr="008F692D">
              <w:rPr>
                <w:rFonts w:cstheme="minorHAnsi"/>
                <w:spacing w:val="33"/>
                <w:w w:val="99"/>
              </w:rPr>
              <w:t xml:space="preserve"> </w:t>
            </w:r>
            <w:r w:rsidRPr="008F692D">
              <w:rPr>
                <w:rFonts w:cstheme="minorHAnsi"/>
                <w:spacing w:val="-1"/>
              </w:rPr>
              <w:t>populations</w:t>
            </w:r>
            <w:r w:rsidRPr="008F692D">
              <w:rPr>
                <w:rFonts w:cstheme="minorHAnsi"/>
                <w:spacing w:val="-8"/>
              </w:rPr>
              <w:t xml:space="preserve"> </w:t>
            </w:r>
            <w:r w:rsidRPr="008F692D">
              <w:rPr>
                <w:rFonts w:cstheme="minorHAnsi"/>
                <w:spacing w:val="-1"/>
              </w:rPr>
              <w:t>is</w:t>
            </w:r>
            <w:r w:rsidRPr="008F692D">
              <w:rPr>
                <w:rFonts w:cstheme="minorHAnsi"/>
                <w:spacing w:val="-7"/>
              </w:rPr>
              <w:t xml:space="preserve"> </w:t>
            </w:r>
            <w:r w:rsidRPr="008F692D">
              <w:rPr>
                <w:rFonts w:cstheme="minorHAnsi"/>
              </w:rPr>
              <w:t>the</w:t>
            </w:r>
            <w:r w:rsidRPr="008F692D">
              <w:rPr>
                <w:rFonts w:cstheme="minorHAnsi"/>
                <w:spacing w:val="-8"/>
              </w:rPr>
              <w:t xml:space="preserve"> </w:t>
            </w:r>
            <w:r w:rsidRPr="008F692D">
              <w:rPr>
                <w:rFonts w:cstheme="minorHAnsi"/>
              </w:rPr>
              <w:t>main</w:t>
            </w:r>
            <w:r w:rsidRPr="008F692D">
              <w:rPr>
                <w:rFonts w:cstheme="minorHAnsi"/>
                <w:spacing w:val="-6"/>
              </w:rPr>
              <w:t xml:space="preserve"> </w:t>
            </w:r>
            <w:r w:rsidRPr="008F692D">
              <w:rPr>
                <w:rFonts w:cstheme="minorHAnsi"/>
                <w:spacing w:val="-1"/>
              </w:rPr>
              <w:t>option</w:t>
            </w:r>
            <w:r w:rsidRPr="008F692D">
              <w:rPr>
                <w:rFonts w:cstheme="minorHAnsi"/>
                <w:spacing w:val="-7"/>
              </w:rPr>
              <w:t xml:space="preserve"> </w:t>
            </w:r>
            <w:r w:rsidRPr="008F692D">
              <w:rPr>
                <w:rFonts w:cstheme="minorHAnsi"/>
                <w:spacing w:val="-1"/>
              </w:rPr>
              <w:t>for</w:t>
            </w:r>
            <w:r w:rsidRPr="008F692D">
              <w:rPr>
                <w:rFonts w:cstheme="minorHAnsi"/>
                <w:spacing w:val="-7"/>
              </w:rPr>
              <w:t xml:space="preserve"> </w:t>
            </w:r>
            <w:r w:rsidRPr="008F692D">
              <w:rPr>
                <w:rFonts w:cstheme="minorHAnsi"/>
                <w:spacing w:val="-1"/>
              </w:rPr>
              <w:t>recovery.</w:t>
            </w:r>
            <w:r w:rsidRPr="008F692D">
              <w:rPr>
                <w:rFonts w:cstheme="minorHAnsi"/>
                <w:spacing w:val="53"/>
                <w:w w:val="99"/>
              </w:rPr>
              <w:t xml:space="preserve"> </w:t>
            </w:r>
            <w:r w:rsidRPr="008F692D">
              <w:rPr>
                <w:rFonts w:cstheme="minorHAnsi"/>
              </w:rPr>
              <w:t>Candidate</w:t>
            </w:r>
            <w:r w:rsidRPr="008F692D">
              <w:rPr>
                <w:rFonts w:cstheme="minorHAnsi"/>
                <w:spacing w:val="-8"/>
              </w:rPr>
              <w:t xml:space="preserve"> </w:t>
            </w:r>
            <w:r w:rsidRPr="008F692D">
              <w:rPr>
                <w:rFonts w:cstheme="minorHAnsi"/>
              </w:rPr>
              <w:t>sites</w:t>
            </w:r>
            <w:r w:rsidRPr="008F692D">
              <w:rPr>
                <w:rFonts w:cstheme="minorHAnsi"/>
                <w:spacing w:val="-8"/>
              </w:rPr>
              <w:t xml:space="preserve"> </w:t>
            </w:r>
            <w:r w:rsidRPr="008F692D">
              <w:rPr>
                <w:rFonts w:cstheme="minorHAnsi"/>
              </w:rPr>
              <w:t>may</w:t>
            </w:r>
            <w:r w:rsidRPr="008F692D">
              <w:rPr>
                <w:rFonts w:cstheme="minorHAnsi"/>
                <w:spacing w:val="-9"/>
              </w:rPr>
              <w:t xml:space="preserve"> </w:t>
            </w:r>
            <w:r w:rsidRPr="008F692D">
              <w:rPr>
                <w:rFonts w:cstheme="minorHAnsi"/>
              </w:rPr>
              <w:t>result</w:t>
            </w:r>
            <w:r w:rsidRPr="008F692D">
              <w:rPr>
                <w:rFonts w:cstheme="minorHAnsi"/>
                <w:spacing w:val="-6"/>
              </w:rPr>
              <w:t xml:space="preserve"> </w:t>
            </w:r>
            <w:r w:rsidRPr="008F692D">
              <w:rPr>
                <w:rFonts w:cstheme="minorHAnsi"/>
                <w:spacing w:val="-1"/>
              </w:rPr>
              <w:t>from</w:t>
            </w:r>
            <w:r w:rsidRPr="008F692D">
              <w:rPr>
                <w:rFonts w:cstheme="minorHAnsi"/>
                <w:spacing w:val="-8"/>
              </w:rPr>
              <w:t xml:space="preserve"> </w:t>
            </w:r>
            <w:r w:rsidRPr="008F692D">
              <w:rPr>
                <w:rFonts w:cstheme="minorHAnsi"/>
                <w:spacing w:val="-1"/>
              </w:rPr>
              <w:t>improved</w:t>
            </w:r>
            <w:r w:rsidRPr="008F692D">
              <w:rPr>
                <w:rFonts w:cstheme="minorHAnsi"/>
                <w:spacing w:val="-8"/>
              </w:rPr>
              <w:t xml:space="preserve"> </w:t>
            </w:r>
            <w:r w:rsidRPr="008F692D">
              <w:rPr>
                <w:rFonts w:cstheme="minorHAnsi"/>
              </w:rPr>
              <w:t>flow</w:t>
            </w:r>
            <w:r w:rsidRPr="008F692D">
              <w:rPr>
                <w:rFonts w:cstheme="minorHAnsi"/>
                <w:spacing w:val="24"/>
                <w:w w:val="99"/>
              </w:rPr>
              <w:t xml:space="preserve"> </w:t>
            </w:r>
            <w:r w:rsidRPr="008F692D">
              <w:rPr>
                <w:rFonts w:cstheme="minorHAnsi"/>
                <w:spacing w:val="-1"/>
              </w:rPr>
              <w:t>that</w:t>
            </w:r>
            <w:r w:rsidRPr="008F692D">
              <w:rPr>
                <w:rFonts w:cstheme="minorHAnsi"/>
                <w:spacing w:val="-6"/>
              </w:rPr>
              <w:t xml:space="preserve"> </w:t>
            </w:r>
            <w:r w:rsidRPr="008F692D">
              <w:rPr>
                <w:rFonts w:cstheme="minorHAnsi"/>
                <w:spacing w:val="-1"/>
              </w:rPr>
              <w:t>reinstates</w:t>
            </w:r>
            <w:r w:rsidRPr="008F692D">
              <w:rPr>
                <w:rFonts w:cstheme="minorHAnsi"/>
                <w:spacing w:val="-7"/>
              </w:rPr>
              <w:t xml:space="preserve"> </w:t>
            </w:r>
            <w:r w:rsidRPr="008F692D">
              <w:rPr>
                <w:rFonts w:cstheme="minorHAnsi"/>
                <w:spacing w:val="-1"/>
              </w:rPr>
              <w:t>suitable</w:t>
            </w:r>
            <w:r w:rsidRPr="008F692D">
              <w:rPr>
                <w:rFonts w:cstheme="minorHAnsi"/>
                <w:spacing w:val="-7"/>
              </w:rPr>
              <w:t xml:space="preserve"> </w:t>
            </w:r>
            <w:r w:rsidRPr="008F692D">
              <w:rPr>
                <w:rFonts w:cstheme="minorHAnsi"/>
                <w:spacing w:val="-1"/>
              </w:rPr>
              <w:t>habitat</w:t>
            </w:r>
            <w:r w:rsidRPr="008F692D">
              <w:rPr>
                <w:rFonts w:cstheme="minorHAnsi"/>
                <w:spacing w:val="-5"/>
              </w:rPr>
              <w:t xml:space="preserve"> </w:t>
            </w:r>
            <w:r w:rsidRPr="008F692D">
              <w:rPr>
                <w:rFonts w:cstheme="minorHAnsi"/>
                <w:spacing w:val="-1"/>
              </w:rPr>
              <w:t>in</w:t>
            </w:r>
            <w:r w:rsidRPr="008F692D">
              <w:rPr>
                <w:rFonts w:cstheme="minorHAnsi"/>
                <w:spacing w:val="-6"/>
              </w:rPr>
              <w:t xml:space="preserve"> </w:t>
            </w:r>
            <w:r w:rsidRPr="008F692D">
              <w:rPr>
                <w:rFonts w:cstheme="minorHAnsi"/>
              </w:rPr>
              <w:t>the</w:t>
            </w:r>
            <w:r w:rsidRPr="008F692D">
              <w:rPr>
                <w:rFonts w:cstheme="minorHAnsi"/>
                <w:spacing w:val="-8"/>
              </w:rPr>
              <w:t xml:space="preserve"> </w:t>
            </w:r>
            <w:r w:rsidRPr="008F692D">
              <w:rPr>
                <w:rFonts w:cstheme="minorHAnsi"/>
                <w:spacing w:val="-1"/>
              </w:rPr>
              <w:t>River</w:t>
            </w:r>
            <w:r w:rsidRPr="008F692D">
              <w:rPr>
                <w:rFonts w:cstheme="minorHAnsi"/>
                <w:spacing w:val="50"/>
                <w:w w:val="99"/>
              </w:rPr>
              <w:t xml:space="preserve"> </w:t>
            </w:r>
            <w:r w:rsidRPr="008F692D">
              <w:rPr>
                <w:rFonts w:cstheme="minorHAnsi"/>
                <w:spacing w:val="-1"/>
              </w:rPr>
              <w:t>Murray.</w:t>
            </w:r>
          </w:p>
        </w:tc>
        <w:tc>
          <w:tcPr>
            <w:tcW w:w="1843" w:type="dxa"/>
            <w:tcBorders>
              <w:top w:val="single" w:sz="8" w:space="0" w:color="A6A6A6"/>
              <w:left w:val="single" w:sz="8" w:space="0" w:color="A6A6A6"/>
              <w:bottom w:val="single" w:sz="8" w:space="0" w:color="A6A6A6"/>
              <w:right w:val="single" w:sz="8" w:space="0" w:color="A6A6A6"/>
            </w:tcBorders>
          </w:tcPr>
          <w:p w14:paraId="6D668D04" w14:textId="75187721" w:rsidR="00EE14FF" w:rsidRPr="008F692D" w:rsidRDefault="00EE14FF" w:rsidP="00E60CCC">
            <w:pPr>
              <w:pStyle w:val="TableParagraph"/>
              <w:ind w:left="97" w:right="140"/>
              <w:rPr>
                <w:rFonts w:eastAsia="Century Gothic" w:cstheme="minorHAnsi"/>
              </w:rPr>
            </w:pPr>
            <w:r w:rsidRPr="008F692D">
              <w:rPr>
                <w:rFonts w:cstheme="minorHAnsi"/>
                <w:spacing w:val="-1"/>
              </w:rPr>
              <w:t>Restoration</w:t>
            </w:r>
            <w:r w:rsidRPr="008F692D">
              <w:rPr>
                <w:rFonts w:cstheme="minorHAnsi"/>
                <w:spacing w:val="-13"/>
              </w:rPr>
              <w:t xml:space="preserve"> </w:t>
            </w:r>
            <w:r w:rsidRPr="008F692D">
              <w:rPr>
                <w:rFonts w:cstheme="minorHAnsi"/>
                <w:spacing w:val="-1"/>
              </w:rPr>
              <w:t>of</w:t>
            </w:r>
            <w:r w:rsidRPr="008F692D">
              <w:rPr>
                <w:rFonts w:cstheme="minorHAnsi"/>
                <w:spacing w:val="22"/>
                <w:w w:val="99"/>
              </w:rPr>
              <w:t xml:space="preserve"> </w:t>
            </w:r>
            <w:r w:rsidRPr="008F692D">
              <w:rPr>
                <w:rFonts w:cstheme="minorHAnsi"/>
                <w:spacing w:val="-1"/>
              </w:rPr>
              <w:t>flow</w:t>
            </w:r>
            <w:r w:rsidRPr="008F692D">
              <w:rPr>
                <w:rFonts w:cstheme="minorHAnsi"/>
                <w:spacing w:val="-4"/>
              </w:rPr>
              <w:t xml:space="preserve"> </w:t>
            </w:r>
            <w:r w:rsidRPr="008F692D">
              <w:rPr>
                <w:rFonts w:cstheme="minorHAnsi"/>
              </w:rPr>
              <w:t>to</w:t>
            </w:r>
            <w:r w:rsidRPr="008F692D">
              <w:rPr>
                <w:rFonts w:cstheme="minorHAnsi"/>
                <w:spacing w:val="-6"/>
              </w:rPr>
              <w:t xml:space="preserve"> </w:t>
            </w:r>
            <w:r w:rsidRPr="008F692D">
              <w:rPr>
                <w:rFonts w:cstheme="minorHAnsi"/>
                <w:spacing w:val="-1"/>
              </w:rPr>
              <w:t>Murray</w:t>
            </w:r>
            <w:r w:rsidRPr="008F692D">
              <w:rPr>
                <w:rFonts w:cstheme="minorHAnsi"/>
                <w:spacing w:val="-15"/>
              </w:rPr>
              <w:t xml:space="preserve"> R</w:t>
            </w:r>
            <w:r w:rsidR="00936EE0">
              <w:rPr>
                <w:rFonts w:cstheme="minorHAnsi"/>
                <w:spacing w:val="-15"/>
              </w:rPr>
              <w:t>iver</w:t>
            </w:r>
            <w:r w:rsidRPr="008F692D">
              <w:rPr>
                <w:rFonts w:cstheme="minorHAnsi"/>
                <w:spacing w:val="-15"/>
              </w:rPr>
              <w:t xml:space="preserve"> </w:t>
            </w:r>
            <w:r w:rsidRPr="008F692D">
              <w:rPr>
                <w:rFonts w:cstheme="minorHAnsi"/>
              </w:rPr>
              <w:t>could</w:t>
            </w:r>
            <w:r w:rsidRPr="008F692D">
              <w:rPr>
                <w:rFonts w:cstheme="minorHAnsi"/>
                <w:spacing w:val="25"/>
                <w:w w:val="99"/>
              </w:rPr>
              <w:t xml:space="preserve"> </w:t>
            </w:r>
            <w:r w:rsidRPr="008F692D">
              <w:rPr>
                <w:rFonts w:cstheme="minorHAnsi"/>
                <w:spacing w:val="-1"/>
              </w:rPr>
              <w:t>support</w:t>
            </w:r>
            <w:r w:rsidRPr="008F692D">
              <w:rPr>
                <w:rFonts w:cstheme="minorHAnsi"/>
                <w:spacing w:val="-8"/>
              </w:rPr>
              <w:t xml:space="preserve"> </w:t>
            </w:r>
            <w:r w:rsidRPr="008F692D">
              <w:rPr>
                <w:rFonts w:cstheme="minorHAnsi"/>
                <w:spacing w:val="-1"/>
              </w:rPr>
              <w:t>future</w:t>
            </w:r>
            <w:r w:rsidRPr="008F692D">
              <w:rPr>
                <w:rFonts w:cstheme="minorHAnsi"/>
                <w:spacing w:val="28"/>
                <w:w w:val="99"/>
              </w:rPr>
              <w:t xml:space="preserve"> </w:t>
            </w:r>
            <w:r w:rsidRPr="008F692D">
              <w:rPr>
                <w:rFonts w:cstheme="minorHAnsi"/>
                <w:spacing w:val="-1"/>
              </w:rPr>
              <w:t>reintroduction</w:t>
            </w:r>
            <w:r w:rsidRPr="008F692D">
              <w:rPr>
                <w:rFonts w:cstheme="minorHAnsi"/>
                <w:spacing w:val="-16"/>
              </w:rPr>
              <w:t xml:space="preserve"> </w:t>
            </w:r>
            <w:r w:rsidRPr="008F692D">
              <w:rPr>
                <w:rFonts w:cstheme="minorHAnsi"/>
                <w:spacing w:val="-1"/>
              </w:rPr>
              <w:t>of</w:t>
            </w:r>
            <w:r w:rsidRPr="008F692D">
              <w:rPr>
                <w:rFonts w:cstheme="minorHAnsi"/>
                <w:spacing w:val="28"/>
                <w:w w:val="99"/>
              </w:rPr>
              <w:t xml:space="preserve"> </w:t>
            </w:r>
            <w:r w:rsidRPr="008F692D">
              <w:rPr>
                <w:rFonts w:cstheme="minorHAnsi"/>
              </w:rPr>
              <w:t>the</w:t>
            </w:r>
            <w:r w:rsidRPr="008F692D">
              <w:rPr>
                <w:rFonts w:cstheme="minorHAnsi"/>
                <w:spacing w:val="-12"/>
              </w:rPr>
              <w:t xml:space="preserve"> </w:t>
            </w:r>
            <w:r w:rsidRPr="008F692D">
              <w:rPr>
                <w:rFonts w:cstheme="minorHAnsi"/>
                <w:spacing w:val="-1"/>
              </w:rPr>
              <w:t>species</w:t>
            </w:r>
          </w:p>
        </w:tc>
      </w:tr>
      <w:tr w:rsidR="00EE14FF" w:rsidRPr="00186538" w14:paraId="40363456"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08010C4" w14:textId="77777777" w:rsidR="00FF24D3" w:rsidRPr="008F692D" w:rsidRDefault="00EE14FF" w:rsidP="00E60CCC">
            <w:pPr>
              <w:pStyle w:val="TableParagraph"/>
              <w:ind w:left="97" w:right="452"/>
              <w:rPr>
                <w:rFonts w:cstheme="minorHAnsi"/>
                <w:spacing w:val="-9"/>
              </w:rPr>
            </w:pPr>
            <w:r w:rsidRPr="008F692D">
              <w:rPr>
                <w:rFonts w:cstheme="minorHAnsi"/>
                <w:spacing w:val="-1"/>
              </w:rPr>
              <w:t>River</w:t>
            </w:r>
            <w:r w:rsidRPr="008F692D">
              <w:rPr>
                <w:rFonts w:cstheme="minorHAnsi"/>
                <w:spacing w:val="-13"/>
              </w:rPr>
              <w:t xml:space="preserve"> </w:t>
            </w:r>
            <w:r w:rsidRPr="008F692D">
              <w:rPr>
                <w:rFonts w:cstheme="minorHAnsi"/>
                <w:spacing w:val="-1"/>
              </w:rPr>
              <w:t>blackfish</w:t>
            </w:r>
            <w:r w:rsidRPr="008F692D">
              <w:rPr>
                <w:rFonts w:cstheme="minorHAnsi"/>
                <w:spacing w:val="-9"/>
              </w:rPr>
              <w:t xml:space="preserve"> </w:t>
            </w:r>
          </w:p>
          <w:p w14:paraId="4197023F" w14:textId="786F4AF8" w:rsidR="00EE14FF" w:rsidRPr="008F692D" w:rsidRDefault="00EE14FF" w:rsidP="00E60CCC">
            <w:pPr>
              <w:pStyle w:val="TableParagraph"/>
              <w:ind w:left="97" w:right="452"/>
              <w:rPr>
                <w:rFonts w:eastAsia="Century Gothic" w:cstheme="minorHAnsi"/>
              </w:rPr>
            </w:pPr>
            <w:r w:rsidRPr="008F692D">
              <w:rPr>
                <w:rFonts w:cstheme="minorHAnsi"/>
              </w:rPr>
              <w:t>(</w:t>
            </w:r>
            <w:r w:rsidRPr="008F692D">
              <w:rPr>
                <w:rFonts w:cstheme="minorHAnsi"/>
                <w:i/>
              </w:rPr>
              <w:t>Gadopsis</w:t>
            </w:r>
            <w:r w:rsidRPr="008F692D">
              <w:rPr>
                <w:rFonts w:cstheme="minorHAnsi"/>
                <w:i/>
                <w:spacing w:val="24"/>
                <w:w w:val="99"/>
              </w:rPr>
              <w:t xml:space="preserve"> </w:t>
            </w:r>
            <w:r w:rsidRPr="008F692D">
              <w:rPr>
                <w:rFonts w:cstheme="minorHAnsi"/>
                <w:i/>
                <w:spacing w:val="-1"/>
              </w:rPr>
              <w:t>marmoratus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593E03C0" w14:textId="1C670ACE" w:rsidR="00EE14FF" w:rsidRPr="008F692D" w:rsidRDefault="00EE14FF" w:rsidP="00E60CCC">
            <w:pPr>
              <w:pStyle w:val="TableParagraph"/>
              <w:ind w:left="99" w:right="101"/>
              <w:rPr>
                <w:rFonts w:eastAsia="Century Gothic" w:cstheme="minorHAnsi"/>
              </w:rPr>
            </w:pPr>
            <w:r w:rsidRPr="008F692D">
              <w:rPr>
                <w:rFonts w:cstheme="minorHAnsi"/>
              </w:rPr>
              <w:t>Expand</w:t>
            </w:r>
            <w:r w:rsidRPr="008F692D">
              <w:rPr>
                <w:rFonts w:cstheme="minorHAnsi"/>
                <w:spacing w:val="19"/>
              </w:rPr>
              <w:t xml:space="preserve"> </w:t>
            </w:r>
            <w:r w:rsidRPr="008F692D">
              <w:rPr>
                <w:rFonts w:cstheme="minorHAnsi"/>
              </w:rPr>
              <w:t>the</w:t>
            </w:r>
            <w:r w:rsidRPr="008F692D">
              <w:rPr>
                <w:rFonts w:cstheme="minorHAnsi"/>
                <w:spacing w:val="21"/>
              </w:rPr>
              <w:t xml:space="preserve"> </w:t>
            </w:r>
            <w:r w:rsidRPr="008F692D">
              <w:rPr>
                <w:rFonts w:cstheme="minorHAnsi"/>
              </w:rPr>
              <w:t>range</w:t>
            </w:r>
            <w:r w:rsidRPr="008F692D">
              <w:rPr>
                <w:rFonts w:cstheme="minorHAnsi"/>
                <w:spacing w:val="22"/>
              </w:rPr>
              <w:t xml:space="preserve"> </w:t>
            </w:r>
            <w:r w:rsidRPr="008F692D">
              <w:rPr>
                <w:rFonts w:cstheme="minorHAnsi"/>
                <w:spacing w:val="-1"/>
              </w:rPr>
              <w:t>of</w:t>
            </w:r>
            <w:r w:rsidRPr="008F692D">
              <w:rPr>
                <w:rFonts w:cstheme="minorHAnsi"/>
                <w:spacing w:val="20"/>
              </w:rPr>
              <w:t xml:space="preserve"> </w:t>
            </w:r>
            <w:r w:rsidRPr="008F692D">
              <w:rPr>
                <w:rFonts w:cstheme="minorHAnsi"/>
                <w:spacing w:val="-1"/>
              </w:rPr>
              <w:t>current</w:t>
            </w:r>
            <w:r w:rsidRPr="008F692D">
              <w:rPr>
                <w:rFonts w:cstheme="minorHAnsi"/>
                <w:spacing w:val="23"/>
              </w:rPr>
              <w:t xml:space="preserve"> </w:t>
            </w:r>
            <w:r w:rsidRPr="008F692D">
              <w:rPr>
                <w:rFonts w:cstheme="minorHAnsi"/>
                <w:spacing w:val="-1"/>
              </w:rPr>
              <w:t>populations</w:t>
            </w:r>
            <w:r w:rsidRPr="008F692D">
              <w:rPr>
                <w:rFonts w:cstheme="minorHAnsi"/>
                <w:spacing w:val="20"/>
              </w:rPr>
              <w:t xml:space="preserve"> </w:t>
            </w:r>
            <w:r w:rsidRPr="008F692D">
              <w:rPr>
                <w:rFonts w:cstheme="minorHAnsi"/>
                <w:spacing w:val="-1"/>
              </w:rPr>
              <w:t>fro</w:t>
            </w:r>
            <w:r w:rsidR="00244493" w:rsidRPr="008F692D">
              <w:rPr>
                <w:rFonts w:cstheme="minorHAnsi"/>
                <w:spacing w:val="-1"/>
              </w:rPr>
              <w:t xml:space="preserve">m </w:t>
            </w:r>
            <w:r w:rsidRPr="008F692D">
              <w:rPr>
                <w:rFonts w:cstheme="minorHAnsi"/>
              </w:rPr>
              <w:t>the</w:t>
            </w:r>
            <w:r w:rsidRPr="008F692D">
              <w:rPr>
                <w:rFonts w:cstheme="minorHAnsi"/>
                <w:spacing w:val="-10"/>
              </w:rPr>
              <w:t xml:space="preserve"> </w:t>
            </w:r>
            <w:r w:rsidRPr="008F692D">
              <w:rPr>
                <w:rFonts w:cstheme="minorHAnsi"/>
                <w:spacing w:val="-1"/>
              </w:rPr>
              <w:t>Mulwala</w:t>
            </w:r>
            <w:r w:rsidRPr="008F692D">
              <w:rPr>
                <w:rFonts w:cstheme="minorHAnsi"/>
                <w:spacing w:val="-9"/>
              </w:rPr>
              <w:t xml:space="preserve"> </w:t>
            </w:r>
            <w:r w:rsidRPr="008F692D">
              <w:rPr>
                <w:rFonts w:cstheme="minorHAnsi"/>
                <w:spacing w:val="-1"/>
              </w:rPr>
              <w:t>canal</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B22C6ED"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33FE252" w14:textId="77777777" w:rsidTr="00FF24D3">
        <w:trPr>
          <w:trHeight w:hRule="exact" w:val="640"/>
        </w:trPr>
        <w:tc>
          <w:tcPr>
            <w:tcW w:w="2772" w:type="dxa"/>
            <w:tcBorders>
              <w:top w:val="single" w:sz="8" w:space="0" w:color="A6A6A6"/>
              <w:left w:val="single" w:sz="8" w:space="0" w:color="A6A6A6"/>
              <w:bottom w:val="single" w:sz="8" w:space="0" w:color="A6A6A6"/>
              <w:right w:val="single" w:sz="8" w:space="0" w:color="A6A6A6"/>
            </w:tcBorders>
          </w:tcPr>
          <w:p w14:paraId="7A829098" w14:textId="77777777" w:rsidR="00EE14FF" w:rsidRPr="008F692D" w:rsidRDefault="00EE14FF" w:rsidP="00E60CCC">
            <w:pPr>
              <w:pStyle w:val="TableParagraph"/>
              <w:ind w:left="97" w:right="758"/>
              <w:rPr>
                <w:rFonts w:cstheme="minorHAnsi"/>
                <w:spacing w:val="-8"/>
              </w:rPr>
            </w:pPr>
            <w:r w:rsidRPr="008F692D">
              <w:rPr>
                <w:rFonts w:cstheme="minorHAnsi"/>
                <w:spacing w:val="-1"/>
              </w:rPr>
              <w:t>Silver</w:t>
            </w:r>
            <w:r w:rsidRPr="008F692D">
              <w:rPr>
                <w:rFonts w:cstheme="minorHAnsi"/>
                <w:spacing w:val="-11"/>
              </w:rPr>
              <w:t xml:space="preserve"> </w:t>
            </w:r>
            <w:r w:rsidRPr="008F692D">
              <w:rPr>
                <w:rFonts w:cstheme="minorHAnsi"/>
              </w:rPr>
              <w:t>perch</w:t>
            </w:r>
            <w:r w:rsidRPr="008F692D">
              <w:rPr>
                <w:rFonts w:cstheme="minorHAnsi"/>
                <w:spacing w:val="-8"/>
              </w:rPr>
              <w:t xml:space="preserve"> </w:t>
            </w:r>
          </w:p>
          <w:p w14:paraId="7DF210C0" w14:textId="77777777" w:rsidR="00EE14FF" w:rsidRPr="008F692D" w:rsidRDefault="00EE14FF" w:rsidP="00E60CCC">
            <w:pPr>
              <w:pStyle w:val="TableParagraph"/>
              <w:ind w:left="97" w:right="758"/>
              <w:rPr>
                <w:rFonts w:eastAsia="Century Gothic" w:cstheme="minorHAnsi"/>
              </w:rPr>
            </w:pPr>
            <w:r w:rsidRPr="008F692D">
              <w:rPr>
                <w:rFonts w:cstheme="minorHAnsi"/>
                <w:spacing w:val="-1"/>
              </w:rPr>
              <w:t>(</w:t>
            </w:r>
            <w:r w:rsidRPr="008F692D">
              <w:rPr>
                <w:rFonts w:cstheme="minorHAnsi"/>
                <w:i/>
                <w:spacing w:val="-1"/>
              </w:rPr>
              <w:t>Bidyanus</w:t>
            </w:r>
            <w:r w:rsidRPr="008F692D">
              <w:rPr>
                <w:rFonts w:cstheme="minorHAnsi"/>
                <w:i/>
                <w:spacing w:val="30"/>
                <w:w w:val="99"/>
              </w:rPr>
              <w:t xml:space="preserve"> </w:t>
            </w:r>
            <w:r w:rsidRPr="008F692D">
              <w:rPr>
                <w:rFonts w:cstheme="minorHAnsi"/>
                <w:i/>
              </w:rPr>
              <w:t>bidyanus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A798791" w14:textId="77777777" w:rsidR="00EE14FF" w:rsidRPr="008F692D" w:rsidRDefault="00EE14FF" w:rsidP="00E60CCC">
            <w:pPr>
              <w:pStyle w:val="TableParagraph"/>
              <w:ind w:left="99" w:right="212"/>
              <w:rPr>
                <w:rFonts w:eastAsia="Century Gothic" w:cstheme="minorHAnsi"/>
              </w:rPr>
            </w:pPr>
            <w:r w:rsidRPr="008F692D">
              <w:rPr>
                <w:rFonts w:eastAsia="Century Gothic" w:cstheme="minorHAnsi"/>
              </w:rPr>
              <w:t>Expand</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core</w:t>
            </w:r>
            <w:r w:rsidRPr="008F692D">
              <w:rPr>
                <w:rFonts w:eastAsia="Century Gothic" w:cstheme="minorHAnsi"/>
                <w:spacing w:val="-7"/>
              </w:rPr>
              <w:t xml:space="preserve"> </w:t>
            </w:r>
            <w:r w:rsidRPr="008F692D">
              <w:rPr>
                <w:rFonts w:eastAsia="Century Gothic" w:cstheme="minorHAnsi"/>
              </w:rPr>
              <w:t>range</w:t>
            </w:r>
            <w:r w:rsidRPr="008F692D">
              <w:rPr>
                <w:rFonts w:eastAsia="Century Gothic" w:cstheme="minorHAnsi"/>
                <w:spacing w:val="-7"/>
              </w:rPr>
              <w:t xml:space="preserve"> </w:t>
            </w:r>
            <w:r w:rsidRPr="008F692D">
              <w:rPr>
                <w:rFonts w:eastAsia="Century Gothic" w:cstheme="minorHAnsi"/>
              </w:rPr>
              <w:t>within</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River Murray</w:t>
            </w:r>
            <w:r w:rsidRPr="008F692D">
              <w:rPr>
                <w:rFonts w:eastAsia="Century Gothic" w:cstheme="minorHAnsi"/>
                <w:spacing w:val="30"/>
                <w:w w:val="99"/>
              </w:rPr>
              <w:t xml:space="preserve"> </w:t>
            </w:r>
            <w:r w:rsidRPr="008F692D">
              <w:rPr>
                <w:rFonts w:eastAsia="Century Gothic" w:cstheme="minorHAnsi"/>
              </w:rPr>
              <w:t>(Yarrawonga–Euston)</w:t>
            </w:r>
          </w:p>
        </w:tc>
        <w:tc>
          <w:tcPr>
            <w:tcW w:w="1843" w:type="dxa"/>
            <w:tcBorders>
              <w:top w:val="single" w:sz="8" w:space="0" w:color="A6A6A6"/>
              <w:left w:val="single" w:sz="8" w:space="0" w:color="A6A6A6"/>
              <w:bottom w:val="single" w:sz="8" w:space="0" w:color="A6A6A6"/>
              <w:right w:val="single" w:sz="8" w:space="0" w:color="A6A6A6"/>
            </w:tcBorders>
          </w:tcPr>
          <w:p w14:paraId="33529C3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76F99183" w14:textId="77777777" w:rsidTr="00FF24D3">
        <w:trPr>
          <w:trHeight w:val="804"/>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44DA0C53" w14:textId="77777777" w:rsidR="00EE14FF" w:rsidRPr="008F692D" w:rsidRDefault="00EE14FF" w:rsidP="00E60CCC">
            <w:pPr>
              <w:pStyle w:val="TableParagraph"/>
              <w:ind w:left="97"/>
              <w:rPr>
                <w:rFonts w:cstheme="minorHAnsi"/>
              </w:rPr>
            </w:pPr>
            <w:r w:rsidRPr="008F692D">
              <w:rPr>
                <w:rFonts w:cstheme="minorHAnsi"/>
                <w:spacing w:val="-1"/>
              </w:rPr>
              <w:t>Southern</w:t>
            </w:r>
            <w:r w:rsidRPr="008F692D">
              <w:rPr>
                <w:rFonts w:cstheme="minorHAnsi"/>
                <w:spacing w:val="-23"/>
              </w:rPr>
              <w:t xml:space="preserve"> </w:t>
            </w:r>
            <w:r w:rsidRPr="008F692D">
              <w:rPr>
                <w:rFonts w:cstheme="minorHAnsi"/>
              </w:rPr>
              <w:t>purple-spotted</w:t>
            </w:r>
            <w:r w:rsidRPr="008F692D">
              <w:rPr>
                <w:rFonts w:cstheme="minorHAnsi"/>
                <w:spacing w:val="27"/>
                <w:w w:val="99"/>
              </w:rPr>
              <w:t xml:space="preserve"> </w:t>
            </w:r>
            <w:r w:rsidRPr="008F692D">
              <w:rPr>
                <w:rFonts w:cstheme="minorHAnsi"/>
              </w:rPr>
              <w:t>gudgeon</w:t>
            </w:r>
          </w:p>
          <w:p w14:paraId="7C17B041" w14:textId="77777777" w:rsidR="00EE14FF" w:rsidRPr="008F692D" w:rsidRDefault="00EE14FF" w:rsidP="00E60CCC">
            <w:pPr>
              <w:pStyle w:val="TableParagraph"/>
              <w:ind w:left="97"/>
              <w:rPr>
                <w:rFonts w:eastAsia="Century Gothic" w:cstheme="minorHAnsi"/>
              </w:rPr>
            </w:pPr>
            <w:r w:rsidRPr="008F692D">
              <w:rPr>
                <w:rFonts w:cstheme="minorHAnsi"/>
                <w:spacing w:val="-1"/>
              </w:rPr>
              <w:t>(</w:t>
            </w:r>
            <w:r w:rsidRPr="008F692D">
              <w:rPr>
                <w:rFonts w:cstheme="minorHAnsi"/>
                <w:i/>
                <w:spacing w:val="-1"/>
              </w:rPr>
              <w:t>Mogurnda</w:t>
            </w:r>
            <w:r w:rsidRPr="008F692D">
              <w:rPr>
                <w:rFonts w:cstheme="minorHAnsi"/>
                <w:i/>
                <w:spacing w:val="27"/>
                <w:w w:val="99"/>
              </w:rPr>
              <w:t xml:space="preserve"> </w:t>
            </w:r>
            <w:r w:rsidRPr="008F692D">
              <w:rPr>
                <w:rFonts w:cstheme="minorHAnsi"/>
                <w:i/>
              </w:rPr>
              <w:t>adspersa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33D1B83B" w14:textId="777C21DF" w:rsidR="00EE14FF" w:rsidRPr="008F692D" w:rsidRDefault="00EE14FF" w:rsidP="00E60CCC">
            <w:pPr>
              <w:pStyle w:val="TableParagraph"/>
              <w:ind w:left="99"/>
              <w:rPr>
                <w:rFonts w:eastAsia="Century Gothic" w:cstheme="minorHAnsi"/>
              </w:rPr>
            </w:pP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0F958AC6"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57316D4" w14:textId="77777777" w:rsidTr="00FF24D3">
        <w:trPr>
          <w:trHeight w:val="776"/>
        </w:trPr>
        <w:tc>
          <w:tcPr>
            <w:tcW w:w="2772" w:type="dxa"/>
            <w:tcBorders>
              <w:top w:val="single" w:sz="8" w:space="0" w:color="A6A6A6"/>
              <w:left w:val="single" w:sz="8" w:space="0" w:color="A6A6A6"/>
              <w:bottom w:val="single" w:sz="9" w:space="0" w:color="A6A6A6"/>
              <w:right w:val="single" w:sz="8" w:space="0" w:color="A6A6A6"/>
            </w:tcBorders>
          </w:tcPr>
          <w:p w14:paraId="5F5048A5" w14:textId="77777777" w:rsidR="00EE14FF" w:rsidRPr="008F692D" w:rsidRDefault="00EE14FF" w:rsidP="00E60CCC">
            <w:pPr>
              <w:pStyle w:val="TableParagraph"/>
              <w:ind w:left="97" w:right="406"/>
              <w:rPr>
                <w:rFonts w:eastAsia="Century Gothic" w:cstheme="minorHAnsi"/>
              </w:rPr>
            </w:pPr>
            <w:r w:rsidRPr="008F692D">
              <w:rPr>
                <w:rFonts w:cstheme="minorHAnsi"/>
                <w:spacing w:val="-1"/>
              </w:rPr>
              <w:t>Southern</w:t>
            </w:r>
            <w:r w:rsidRPr="008F692D">
              <w:rPr>
                <w:rFonts w:cstheme="minorHAnsi"/>
                <w:spacing w:val="-11"/>
              </w:rPr>
              <w:t xml:space="preserve"> </w:t>
            </w:r>
            <w:r w:rsidRPr="008F692D">
              <w:rPr>
                <w:rFonts w:cstheme="minorHAnsi"/>
                <w:spacing w:val="-1"/>
              </w:rPr>
              <w:t>pygmy</w:t>
            </w:r>
            <w:r w:rsidRPr="008F692D">
              <w:rPr>
                <w:rFonts w:cstheme="minorHAnsi"/>
                <w:spacing w:val="-13"/>
              </w:rPr>
              <w:t xml:space="preserve"> </w:t>
            </w:r>
            <w:r w:rsidRPr="008F692D">
              <w:rPr>
                <w:rFonts w:cstheme="minorHAnsi"/>
              </w:rPr>
              <w:t>perch</w:t>
            </w:r>
            <w:r w:rsidRPr="008F692D">
              <w:rPr>
                <w:rFonts w:cstheme="minorHAnsi"/>
                <w:spacing w:val="24"/>
                <w:w w:val="99"/>
              </w:rPr>
              <w:t xml:space="preserve"> </w:t>
            </w:r>
            <w:r w:rsidRPr="008F692D">
              <w:rPr>
                <w:rFonts w:cstheme="minorHAnsi"/>
                <w:spacing w:val="-1"/>
              </w:rPr>
              <w:t>(</w:t>
            </w:r>
            <w:r w:rsidRPr="008F692D">
              <w:rPr>
                <w:rFonts w:cstheme="minorHAnsi"/>
                <w:i/>
                <w:spacing w:val="-1"/>
              </w:rPr>
              <w:t>Nannoperca</w:t>
            </w:r>
            <w:r w:rsidRPr="008F692D">
              <w:rPr>
                <w:rFonts w:cstheme="minorHAnsi"/>
                <w:i/>
                <w:spacing w:val="-22"/>
              </w:rPr>
              <w:t xml:space="preserve"> </w:t>
            </w:r>
            <w:r w:rsidRPr="008F692D">
              <w:rPr>
                <w:rFonts w:cstheme="minorHAnsi"/>
                <w:i/>
              </w:rPr>
              <w:t>australis</w:t>
            </w:r>
            <w:r w:rsidRPr="008F692D">
              <w:rPr>
                <w:rFonts w:cstheme="minorHAnsi"/>
              </w:rPr>
              <w:t>)</w:t>
            </w:r>
          </w:p>
        </w:tc>
        <w:tc>
          <w:tcPr>
            <w:tcW w:w="4188" w:type="dxa"/>
            <w:tcBorders>
              <w:top w:val="single" w:sz="8" w:space="0" w:color="A6A6A6"/>
              <w:left w:val="single" w:sz="8" w:space="0" w:color="A6A6A6"/>
              <w:bottom w:val="single" w:sz="9" w:space="0" w:color="A6A6A6"/>
              <w:right w:val="single" w:sz="8" w:space="0" w:color="A6A6A6"/>
            </w:tcBorders>
          </w:tcPr>
          <w:p w14:paraId="25FFDE19" w14:textId="77777777" w:rsidR="00EE14FF" w:rsidRPr="008F692D" w:rsidRDefault="00EE14FF" w:rsidP="00E60CCC">
            <w:pPr>
              <w:pStyle w:val="TableParagraph"/>
              <w:ind w:left="99" w:right="503"/>
              <w:rPr>
                <w:rFonts w:eastAsia="Century Gothic" w:cstheme="minorHAnsi"/>
              </w:rPr>
            </w:pPr>
            <w:r w:rsidRPr="008F692D">
              <w:rPr>
                <w:rFonts w:cstheme="minorHAnsi"/>
              </w:rPr>
              <w:t>Expand</w:t>
            </w:r>
            <w:r w:rsidRPr="008F692D">
              <w:rPr>
                <w:rFonts w:cstheme="minorHAnsi"/>
                <w:spacing w:val="-8"/>
              </w:rPr>
              <w:t xml:space="preserve"> </w:t>
            </w:r>
            <w:r w:rsidRPr="008F692D">
              <w:rPr>
                <w:rFonts w:cstheme="minorHAnsi"/>
              </w:rPr>
              <w:t>the</w:t>
            </w:r>
            <w:r w:rsidRPr="008F692D">
              <w:rPr>
                <w:rFonts w:cstheme="minorHAnsi"/>
                <w:spacing w:val="-7"/>
              </w:rPr>
              <w:t xml:space="preserve"> </w:t>
            </w:r>
            <w:r w:rsidRPr="008F692D">
              <w:rPr>
                <w:rFonts w:cstheme="minorHAnsi"/>
              </w:rPr>
              <w:t>range</w:t>
            </w:r>
            <w:r w:rsidRPr="008F692D">
              <w:rPr>
                <w:rFonts w:cstheme="minorHAnsi"/>
                <w:spacing w:val="-8"/>
              </w:rPr>
              <w:t xml:space="preserve"> </w:t>
            </w:r>
            <w:r w:rsidRPr="008F692D">
              <w:rPr>
                <w:rFonts w:cstheme="minorHAnsi"/>
              </w:rPr>
              <w:t>of</w:t>
            </w:r>
            <w:r w:rsidRPr="008F692D">
              <w:rPr>
                <w:rFonts w:cstheme="minorHAnsi"/>
                <w:spacing w:val="-7"/>
              </w:rPr>
              <w:t xml:space="preserve"> </w:t>
            </w:r>
            <w:r w:rsidRPr="008F692D">
              <w:rPr>
                <w:rFonts w:cstheme="minorHAnsi"/>
                <w:spacing w:val="-1"/>
              </w:rPr>
              <w:t>current</w:t>
            </w:r>
            <w:r w:rsidRPr="008F692D">
              <w:rPr>
                <w:rFonts w:cstheme="minorHAnsi"/>
                <w:spacing w:val="-6"/>
              </w:rPr>
              <w:t xml:space="preserve"> </w:t>
            </w:r>
            <w:r w:rsidRPr="008F692D">
              <w:rPr>
                <w:rFonts w:cstheme="minorHAnsi"/>
                <w:spacing w:val="-1"/>
              </w:rPr>
              <w:t>populations</w:t>
            </w:r>
            <w:r w:rsidRPr="008F692D">
              <w:rPr>
                <w:rFonts w:cstheme="minorHAnsi"/>
                <w:spacing w:val="-7"/>
              </w:rPr>
              <w:t xml:space="preserve"> </w:t>
            </w:r>
            <w:r w:rsidRPr="008F692D">
              <w:rPr>
                <w:rFonts w:cstheme="minorHAnsi"/>
                <w:spacing w:val="-1"/>
              </w:rPr>
              <w:t>at</w:t>
            </w:r>
            <w:r w:rsidRPr="008F692D">
              <w:rPr>
                <w:rFonts w:cstheme="minorHAnsi"/>
                <w:spacing w:val="34"/>
                <w:w w:val="99"/>
              </w:rPr>
              <w:t xml:space="preserve"> </w:t>
            </w:r>
            <w:r w:rsidRPr="008F692D">
              <w:rPr>
                <w:rFonts w:cstheme="minorHAnsi"/>
              </w:rPr>
              <w:t>Barmah-Millewa</w:t>
            </w:r>
            <w:r w:rsidRPr="008F692D">
              <w:rPr>
                <w:rFonts w:cstheme="minorHAnsi"/>
                <w:spacing w:val="-9"/>
              </w:rPr>
              <w:t xml:space="preserve"> </w:t>
            </w:r>
            <w:r w:rsidRPr="008F692D">
              <w:rPr>
                <w:rFonts w:cstheme="minorHAnsi"/>
              </w:rPr>
              <w:t>and</w:t>
            </w:r>
            <w:r w:rsidRPr="008F692D">
              <w:rPr>
                <w:rFonts w:cstheme="minorHAnsi"/>
                <w:spacing w:val="-10"/>
              </w:rPr>
              <w:t xml:space="preserve"> </w:t>
            </w:r>
            <w:r w:rsidRPr="008F692D">
              <w:rPr>
                <w:rFonts w:cstheme="minorHAnsi"/>
                <w:spacing w:val="-1"/>
              </w:rPr>
              <w:t>other</w:t>
            </w:r>
            <w:r w:rsidRPr="008F692D">
              <w:rPr>
                <w:rFonts w:cstheme="minorHAnsi"/>
                <w:spacing w:val="-8"/>
              </w:rPr>
              <w:t xml:space="preserve"> </w:t>
            </w:r>
            <w:r w:rsidRPr="008F692D">
              <w:rPr>
                <w:rFonts w:cstheme="minorHAnsi"/>
              </w:rPr>
              <w:t>Mid</w:t>
            </w:r>
            <w:r w:rsidRPr="008F692D">
              <w:rPr>
                <w:rFonts w:cstheme="minorHAnsi"/>
                <w:spacing w:val="-8"/>
              </w:rPr>
              <w:t xml:space="preserve"> </w:t>
            </w:r>
            <w:r w:rsidRPr="008F692D">
              <w:rPr>
                <w:rFonts w:cstheme="minorHAnsi"/>
                <w:spacing w:val="-1"/>
              </w:rPr>
              <w:t>Murray</w:t>
            </w:r>
            <w:r w:rsidRPr="008F692D">
              <w:rPr>
                <w:rFonts w:cstheme="minorHAnsi"/>
                <w:spacing w:val="24"/>
                <w:w w:val="99"/>
              </w:rPr>
              <w:t xml:space="preserve"> </w:t>
            </w:r>
            <w:r w:rsidRPr="008F692D">
              <w:rPr>
                <w:rFonts w:cstheme="minorHAnsi"/>
              </w:rPr>
              <w:t>wetlands</w:t>
            </w:r>
          </w:p>
        </w:tc>
        <w:tc>
          <w:tcPr>
            <w:tcW w:w="1843" w:type="dxa"/>
            <w:tcBorders>
              <w:top w:val="single" w:sz="8" w:space="0" w:color="A6A6A6"/>
              <w:left w:val="single" w:sz="8" w:space="0" w:color="A6A6A6"/>
              <w:bottom w:val="single" w:sz="9" w:space="0" w:color="A6A6A6"/>
              <w:right w:val="single" w:sz="8" w:space="0" w:color="A6A6A6"/>
            </w:tcBorders>
          </w:tcPr>
          <w:p w14:paraId="63F83E1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72F157D" w14:textId="77777777" w:rsidTr="00FF24D3">
        <w:trPr>
          <w:trHeight w:val="1389"/>
        </w:trPr>
        <w:tc>
          <w:tcPr>
            <w:tcW w:w="2772" w:type="dxa"/>
            <w:tcBorders>
              <w:top w:val="single" w:sz="9" w:space="0" w:color="A6A6A6"/>
              <w:left w:val="single" w:sz="8" w:space="0" w:color="A6A6A6"/>
              <w:bottom w:val="single" w:sz="8" w:space="0" w:color="A6A6A6"/>
              <w:right w:val="single" w:sz="8" w:space="0" w:color="A6A6A6"/>
            </w:tcBorders>
            <w:shd w:val="clear" w:color="auto" w:fill="EBEBEB"/>
          </w:tcPr>
          <w:p w14:paraId="6B3FA35F" w14:textId="77777777" w:rsidR="00EE14FF" w:rsidRPr="008F692D" w:rsidRDefault="00EE14FF" w:rsidP="00E60CCC">
            <w:pPr>
              <w:pStyle w:val="TableParagraph"/>
              <w:ind w:left="97" w:right="299"/>
              <w:rPr>
                <w:rFonts w:cstheme="minorHAnsi"/>
                <w:spacing w:val="-10"/>
              </w:rPr>
            </w:pPr>
            <w:r w:rsidRPr="008F692D">
              <w:rPr>
                <w:rFonts w:cstheme="minorHAnsi"/>
                <w:spacing w:val="-1"/>
              </w:rPr>
              <w:t>Trout</w:t>
            </w:r>
            <w:r w:rsidRPr="008F692D">
              <w:rPr>
                <w:rFonts w:cstheme="minorHAnsi"/>
                <w:spacing w:val="-12"/>
              </w:rPr>
              <w:t xml:space="preserve"> </w:t>
            </w:r>
            <w:r w:rsidRPr="008F692D">
              <w:rPr>
                <w:rFonts w:cstheme="minorHAnsi"/>
                <w:spacing w:val="-1"/>
              </w:rPr>
              <w:t>cod</w:t>
            </w:r>
            <w:r w:rsidRPr="008F692D">
              <w:rPr>
                <w:rFonts w:cstheme="minorHAnsi"/>
                <w:spacing w:val="-10"/>
              </w:rPr>
              <w:t xml:space="preserve"> </w:t>
            </w:r>
          </w:p>
          <w:p w14:paraId="036B63FC" w14:textId="77777777" w:rsidR="00EE14FF" w:rsidRPr="008F692D" w:rsidRDefault="00EE14FF" w:rsidP="00E60CCC">
            <w:pPr>
              <w:pStyle w:val="TableParagraph"/>
              <w:ind w:left="97" w:right="-28"/>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37"/>
                <w:w w:val="99"/>
              </w:rPr>
              <w:t xml:space="preserve"> </w:t>
            </w:r>
            <w:r w:rsidRPr="008F692D">
              <w:rPr>
                <w:rFonts w:cstheme="minorHAnsi"/>
                <w:i/>
              </w:rPr>
              <w:t>macquariensis</w:t>
            </w:r>
            <w:r w:rsidRPr="008F692D">
              <w:rPr>
                <w:rFonts w:cstheme="minorHAnsi"/>
              </w:rPr>
              <w:t>)</w:t>
            </w:r>
          </w:p>
        </w:tc>
        <w:tc>
          <w:tcPr>
            <w:tcW w:w="4188" w:type="dxa"/>
            <w:tcBorders>
              <w:top w:val="single" w:sz="9" w:space="0" w:color="A6A6A6"/>
              <w:left w:val="single" w:sz="8" w:space="0" w:color="A6A6A6"/>
              <w:bottom w:val="single" w:sz="8" w:space="0" w:color="A6A6A6"/>
              <w:right w:val="single" w:sz="8" w:space="0" w:color="A6A6A6"/>
            </w:tcBorders>
            <w:shd w:val="clear" w:color="auto" w:fill="EBEBEB"/>
          </w:tcPr>
          <w:p w14:paraId="49E76063" w14:textId="77777777" w:rsidR="00EE14FF" w:rsidRPr="008F692D" w:rsidRDefault="00EE14FF" w:rsidP="00E60CCC">
            <w:pPr>
              <w:pStyle w:val="TableParagraph"/>
              <w:ind w:left="99" w:right="249"/>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trout</w:t>
            </w:r>
            <w:r w:rsidRPr="008F692D">
              <w:rPr>
                <w:rFonts w:eastAsia="Century Gothic" w:cstheme="minorHAnsi"/>
                <w:spacing w:val="-4"/>
              </w:rPr>
              <w:t xml:space="preserve"> </w:t>
            </w:r>
            <w:r w:rsidRPr="008F692D">
              <w:rPr>
                <w:rFonts w:eastAsia="Century Gothic" w:cstheme="minorHAnsi"/>
                <w:spacing w:val="-1"/>
              </w:rPr>
              <w:t>cod</w:t>
            </w:r>
            <w:r w:rsidRPr="008F692D">
              <w:rPr>
                <w:rFonts w:eastAsia="Century Gothic" w:cstheme="minorHAnsi"/>
                <w:spacing w:val="-6"/>
              </w:rPr>
              <w:t xml:space="preserve"> </w:t>
            </w:r>
            <w:r w:rsidRPr="008F692D">
              <w:rPr>
                <w:rFonts w:eastAsia="Century Gothic" w:cstheme="minorHAnsi"/>
                <w:spacing w:val="-1"/>
              </w:rPr>
              <w:t>up</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spacing w:val="-1"/>
              </w:rPr>
              <w:t>Murray</w:t>
            </w:r>
            <w:r w:rsidRPr="008F692D">
              <w:rPr>
                <w:rFonts w:eastAsia="Century Gothic" w:cstheme="minorHAnsi"/>
                <w:spacing w:val="32"/>
                <w:w w:val="99"/>
              </w:rPr>
              <w:t xml:space="preserve"> </w:t>
            </w:r>
            <w:r w:rsidRPr="008F692D">
              <w:rPr>
                <w:rFonts w:eastAsia="Century Gothic" w:cstheme="minorHAnsi"/>
                <w:spacing w:val="-1"/>
              </w:rPr>
              <w:t>upstream</w:t>
            </w:r>
            <w:r w:rsidRPr="008F692D">
              <w:rPr>
                <w:rFonts w:eastAsia="Century Gothic" w:cstheme="minorHAnsi"/>
                <w:spacing w:val="-7"/>
              </w:rPr>
              <w:t xml:space="preserve"> </w:t>
            </w:r>
            <w:r w:rsidRPr="008F692D">
              <w:rPr>
                <w:rFonts w:eastAsia="Century Gothic" w:cstheme="minorHAnsi"/>
              </w:rPr>
              <w:t>of</w:t>
            </w:r>
            <w:r w:rsidRPr="008F692D">
              <w:rPr>
                <w:rFonts w:eastAsia="Century Gothic" w:cstheme="minorHAnsi"/>
                <w:spacing w:val="-5"/>
              </w:rPr>
              <w:t xml:space="preserve"> </w:t>
            </w:r>
            <w:r w:rsidRPr="008F692D">
              <w:rPr>
                <w:rFonts w:eastAsia="Century Gothic" w:cstheme="minorHAnsi"/>
                <w:spacing w:val="-1"/>
              </w:rPr>
              <w:t>Lake</w:t>
            </w:r>
            <w:r w:rsidRPr="008F692D">
              <w:rPr>
                <w:rFonts w:eastAsia="Century Gothic" w:cstheme="minorHAnsi"/>
                <w:spacing w:val="-7"/>
              </w:rPr>
              <w:t xml:space="preserve"> </w:t>
            </w:r>
            <w:r w:rsidRPr="008F692D">
              <w:rPr>
                <w:rFonts w:eastAsia="Century Gothic" w:cstheme="minorHAnsi"/>
              </w:rPr>
              <w:t>Mulwala</w:t>
            </w:r>
            <w:r w:rsidRPr="008F692D">
              <w:rPr>
                <w:rFonts w:eastAsia="Century Gothic" w:cstheme="minorHAnsi"/>
                <w:spacing w:val="-6"/>
              </w:rPr>
              <w:t xml:space="preserve"> </w:t>
            </w:r>
            <w:r w:rsidRPr="008F692D">
              <w:rPr>
                <w:rFonts w:eastAsia="Century Gothic" w:cstheme="minorHAnsi"/>
              </w:rPr>
              <w:t>and</w:t>
            </w:r>
            <w:r w:rsidRPr="008F692D">
              <w:rPr>
                <w:rFonts w:eastAsia="Century Gothic" w:cstheme="minorHAnsi"/>
                <w:spacing w:val="-7"/>
              </w:rPr>
              <w:t xml:space="preserve"> </w:t>
            </w:r>
            <w:r w:rsidRPr="008F692D">
              <w:rPr>
                <w:rFonts w:eastAsia="Century Gothic" w:cstheme="minorHAnsi"/>
              </w:rPr>
              <w:t>into</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Kiewa</w:t>
            </w:r>
            <w:r w:rsidRPr="008F692D">
              <w:rPr>
                <w:rFonts w:eastAsia="Century Gothic" w:cstheme="minorHAnsi"/>
                <w:spacing w:val="28"/>
                <w:w w:val="99"/>
              </w:rPr>
              <w:t xml:space="preserve"> </w:t>
            </w:r>
            <w:r w:rsidRPr="008F692D">
              <w:rPr>
                <w:rFonts w:eastAsia="Century Gothic" w:cstheme="minorHAnsi"/>
                <w:spacing w:val="-1"/>
              </w:rPr>
              <w:t>River.</w:t>
            </w:r>
            <w:r w:rsidRPr="008F692D">
              <w:rPr>
                <w:rFonts w:eastAsia="Century Gothic" w:cstheme="minorHAnsi"/>
                <w:spacing w:val="-10"/>
              </w:rPr>
              <w:t xml:space="preserve"> </w:t>
            </w:r>
            <w:r w:rsidRPr="008F692D">
              <w:rPr>
                <w:rFonts w:eastAsia="Century Gothic" w:cstheme="minorHAnsi"/>
              </w:rPr>
              <w:t>For</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rPr>
              <w:t>connected</w:t>
            </w:r>
            <w:r w:rsidRPr="008F692D">
              <w:rPr>
                <w:rFonts w:eastAsia="Century Gothic" w:cstheme="minorHAnsi"/>
                <w:spacing w:val="-8"/>
              </w:rPr>
              <w:t xml:space="preserve"> </w:t>
            </w:r>
            <w:r w:rsidRPr="008F692D">
              <w:rPr>
                <w:rFonts w:eastAsia="Century Gothic" w:cstheme="minorHAnsi"/>
                <w:spacing w:val="-1"/>
              </w:rPr>
              <w:t>population</w:t>
            </w:r>
            <w:r w:rsidRPr="008F692D">
              <w:rPr>
                <w:rFonts w:eastAsia="Century Gothic" w:cstheme="minorHAnsi"/>
                <w:spacing w:val="-6"/>
              </w:rPr>
              <w:t xml:space="preserve"> </w:t>
            </w:r>
            <w:r w:rsidRPr="008F692D">
              <w:rPr>
                <w:rFonts w:eastAsia="Century Gothic" w:cstheme="minorHAnsi"/>
                <w:spacing w:val="-1"/>
              </w:rPr>
              <w:t>of</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34"/>
                <w:w w:val="99"/>
              </w:rPr>
              <w:t xml:space="preserve"> </w:t>
            </w:r>
            <w:r w:rsidRPr="008F692D">
              <w:rPr>
                <w:rFonts w:eastAsia="Century Gothic" w:cstheme="minorHAnsi"/>
                <w:w w:val="95"/>
              </w:rPr>
              <w:t xml:space="preserve">Murrumbidgee–Murray–Edward: </w:t>
            </w:r>
            <w:r w:rsidRPr="008F692D">
              <w:rPr>
                <w:rFonts w:eastAsia="Century Gothic" w:cstheme="minorHAnsi"/>
                <w:spacing w:val="-1"/>
                <w:w w:val="95"/>
              </w:rPr>
              <w:t>continue</w:t>
            </w:r>
            <w:r w:rsidRPr="008F692D">
              <w:rPr>
                <w:rFonts w:eastAsia="Century Gothic" w:cstheme="minorHAnsi"/>
                <w:spacing w:val="30"/>
                <w:w w:val="99"/>
              </w:rPr>
              <w:t xml:space="preserve"> </w:t>
            </w:r>
            <w:r w:rsidRPr="008F692D">
              <w:rPr>
                <w:rFonts w:eastAsia="Century Gothic" w:cstheme="minorHAnsi"/>
              </w:rPr>
              <w:t>downstream</w:t>
            </w:r>
            <w:r w:rsidRPr="008F692D">
              <w:rPr>
                <w:rFonts w:eastAsia="Century Gothic" w:cstheme="minorHAnsi"/>
                <w:spacing w:val="-24"/>
              </w:rPr>
              <w:t xml:space="preserve"> </w:t>
            </w:r>
            <w:r w:rsidRPr="008F692D">
              <w:rPr>
                <w:rFonts w:eastAsia="Century Gothic" w:cstheme="minorHAnsi"/>
                <w:spacing w:val="-1"/>
              </w:rPr>
              <w:t>expansion.</w:t>
            </w:r>
          </w:p>
        </w:tc>
        <w:tc>
          <w:tcPr>
            <w:tcW w:w="1843" w:type="dxa"/>
            <w:tcBorders>
              <w:top w:val="single" w:sz="9" w:space="0" w:color="A6A6A6"/>
              <w:left w:val="single" w:sz="8" w:space="0" w:color="A6A6A6"/>
              <w:bottom w:val="single" w:sz="8" w:space="0" w:color="A6A6A6"/>
              <w:right w:val="single" w:sz="8" w:space="0" w:color="A6A6A6"/>
            </w:tcBorders>
            <w:shd w:val="clear" w:color="auto" w:fill="EBEBEB"/>
          </w:tcPr>
          <w:p w14:paraId="4C698563"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D2F0AB8" w14:textId="77777777" w:rsidTr="00FF24D3">
        <w:trPr>
          <w:trHeight w:val="566"/>
        </w:trPr>
        <w:tc>
          <w:tcPr>
            <w:tcW w:w="2772" w:type="dxa"/>
            <w:tcBorders>
              <w:top w:val="single" w:sz="8" w:space="0" w:color="A6A6A6"/>
              <w:left w:val="single" w:sz="8" w:space="0" w:color="A6A6A6"/>
              <w:bottom w:val="single" w:sz="8" w:space="0" w:color="A6A6A6"/>
              <w:right w:val="single" w:sz="8" w:space="0" w:color="A6A6A6"/>
            </w:tcBorders>
          </w:tcPr>
          <w:p w14:paraId="34580CD1" w14:textId="77777777" w:rsidR="00EE14FF" w:rsidRPr="008F692D" w:rsidRDefault="00EE14FF" w:rsidP="00FF24D3">
            <w:pPr>
              <w:pStyle w:val="TableParagraph"/>
              <w:tabs>
                <w:tab w:val="left" w:pos="1574"/>
              </w:tabs>
              <w:ind w:left="97" w:right="348"/>
              <w:rPr>
                <w:rFonts w:eastAsia="Century Gothic" w:cstheme="minorHAnsi"/>
              </w:rPr>
            </w:pPr>
            <w:r w:rsidRPr="008F692D">
              <w:rPr>
                <w:rFonts w:cstheme="minorHAnsi"/>
              </w:rPr>
              <w:t>Two-spined</w:t>
            </w:r>
            <w:r w:rsidRPr="008F692D">
              <w:rPr>
                <w:rFonts w:cstheme="minorHAnsi"/>
                <w:spacing w:val="-21"/>
              </w:rPr>
              <w:t xml:space="preserve"> </w:t>
            </w:r>
            <w:r w:rsidRPr="008F692D">
              <w:rPr>
                <w:rFonts w:cstheme="minorHAnsi"/>
                <w:spacing w:val="-1"/>
              </w:rPr>
              <w:t>blackfish</w:t>
            </w:r>
            <w:r w:rsidRPr="008F692D">
              <w:rPr>
                <w:rFonts w:cstheme="minorHAnsi"/>
                <w:spacing w:val="27"/>
                <w:w w:val="99"/>
              </w:rPr>
              <w:t xml:space="preserve"> </w:t>
            </w:r>
            <w:r w:rsidRPr="008F692D">
              <w:rPr>
                <w:rFonts w:cstheme="minorHAnsi"/>
                <w:spacing w:val="-1"/>
              </w:rPr>
              <w:t>(</w:t>
            </w:r>
            <w:r w:rsidRPr="008F692D">
              <w:rPr>
                <w:rFonts w:cstheme="minorHAnsi"/>
                <w:i/>
                <w:spacing w:val="-1"/>
              </w:rPr>
              <w:t>Gadopsis</w:t>
            </w:r>
            <w:r w:rsidRPr="008F692D">
              <w:rPr>
                <w:rFonts w:cstheme="minorHAnsi"/>
                <w:i/>
                <w:spacing w:val="-22"/>
              </w:rPr>
              <w:t xml:space="preserve"> </w:t>
            </w:r>
            <w:r w:rsidRPr="008F692D">
              <w:rPr>
                <w:rFonts w:cstheme="minorHAnsi"/>
                <w:i/>
                <w:spacing w:val="-1"/>
              </w:rPr>
              <w:t>bispinosus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tcPr>
          <w:p w14:paraId="30F06E71" w14:textId="0D3E8566" w:rsidR="00EE14FF" w:rsidRPr="008F692D" w:rsidRDefault="00EE14FF" w:rsidP="00E60CCC">
            <w:pPr>
              <w:pStyle w:val="TableParagraph"/>
              <w:ind w:left="99" w:right="102"/>
              <w:rPr>
                <w:rFonts w:eastAsia="Century Gothic" w:cstheme="minorHAnsi"/>
              </w:rPr>
            </w:pPr>
            <w:r w:rsidRPr="008F692D">
              <w:rPr>
                <w:rFonts w:cstheme="minorHAnsi"/>
                <w:spacing w:val="-1"/>
              </w:rPr>
              <w:t>Establish</w:t>
            </w:r>
            <w:r w:rsidRPr="008F692D">
              <w:rPr>
                <w:rFonts w:cstheme="minorHAnsi"/>
              </w:rPr>
              <w:t xml:space="preserve"> additional </w:t>
            </w:r>
            <w:r w:rsidRPr="008F692D">
              <w:rPr>
                <w:rFonts w:cstheme="minorHAnsi"/>
                <w:spacing w:val="-1"/>
              </w:rPr>
              <w:t>populations</w:t>
            </w:r>
            <w:r w:rsidRPr="008F692D">
              <w:rPr>
                <w:rFonts w:cstheme="minorHAnsi"/>
              </w:rPr>
              <w:t xml:space="preserve"> </w:t>
            </w:r>
            <w:r w:rsidRPr="008F692D">
              <w:rPr>
                <w:rFonts w:cstheme="minorHAnsi"/>
                <w:spacing w:val="-2"/>
              </w:rPr>
              <w:t>(no</w:t>
            </w:r>
            <w:r w:rsidRPr="008F692D">
              <w:rPr>
                <w:rFonts w:cstheme="minorHAnsi"/>
                <w:spacing w:val="29"/>
              </w:rPr>
              <w:t xml:space="preserve"> </w:t>
            </w:r>
            <w:r w:rsidRPr="008F692D">
              <w:rPr>
                <w:rFonts w:cstheme="minorHAnsi"/>
                <w:spacing w:val="-1"/>
              </w:rPr>
              <w:t>specific</w:t>
            </w:r>
            <w:r w:rsidRPr="008F692D">
              <w:rPr>
                <w:rFonts w:cstheme="minorHAnsi"/>
                <w:spacing w:val="41"/>
                <w:w w:val="99"/>
              </w:rPr>
              <w:t xml:space="preserve"> </w:t>
            </w:r>
            <w:r w:rsidRPr="008F692D">
              <w:rPr>
                <w:rFonts w:cstheme="minorHAnsi"/>
                <w:spacing w:val="-1"/>
              </w:rPr>
              <w:t>locations</w:t>
            </w:r>
            <w:r w:rsidRPr="008F692D">
              <w:rPr>
                <w:rFonts w:cstheme="minorHAnsi"/>
                <w:spacing w:val="-20"/>
              </w:rPr>
              <w:t xml:space="preserve"> </w:t>
            </w:r>
            <w:r w:rsidRPr="008F692D">
              <w:rPr>
                <w:rFonts w:cstheme="minorHAnsi"/>
                <w:spacing w:val="-1"/>
              </w:rPr>
              <w:t>identified)</w:t>
            </w:r>
          </w:p>
        </w:tc>
        <w:tc>
          <w:tcPr>
            <w:tcW w:w="1843" w:type="dxa"/>
            <w:tcBorders>
              <w:top w:val="single" w:sz="8" w:space="0" w:color="A6A6A6"/>
              <w:left w:val="single" w:sz="8" w:space="0" w:color="A6A6A6"/>
              <w:bottom w:val="single" w:sz="8" w:space="0" w:color="A6A6A6"/>
              <w:right w:val="single" w:sz="8" w:space="0" w:color="A6A6A6"/>
            </w:tcBorders>
          </w:tcPr>
          <w:p w14:paraId="12C9A797"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bl>
    <w:p w14:paraId="70BB1DE4" w14:textId="77777777" w:rsidR="00EE14FF" w:rsidRDefault="00EE14FF" w:rsidP="00EE14FF">
      <w:pPr>
        <w:spacing w:after="0" w:line="240" w:lineRule="auto"/>
        <w:jc w:val="left"/>
        <w:rPr>
          <w:rFonts w:asciiTheme="minorHAnsi" w:hAnsiTheme="minorHAnsi" w:cstheme="minorHAnsi"/>
          <w:b/>
          <w:spacing w:val="-1"/>
          <w:szCs w:val="22"/>
        </w:rPr>
      </w:pPr>
    </w:p>
    <w:p w14:paraId="74E194A4" w14:textId="77777777" w:rsidR="00AB37ED" w:rsidRDefault="00AB37ED">
      <w:pPr>
        <w:spacing w:after="0" w:line="240" w:lineRule="auto"/>
        <w:jc w:val="left"/>
        <w:rPr>
          <w:b/>
          <w:color w:val="31849B" w:themeColor="accent5" w:themeShade="BF"/>
          <w:sz w:val="28"/>
          <w:szCs w:val="28"/>
        </w:rPr>
      </w:pPr>
      <w:r>
        <w:rPr>
          <w:b/>
          <w:color w:val="31849B" w:themeColor="accent5" w:themeShade="BF"/>
          <w:sz w:val="28"/>
          <w:szCs w:val="28"/>
        </w:rPr>
        <w:br w:type="page"/>
      </w:r>
    </w:p>
    <w:p w14:paraId="1AC57F9B" w14:textId="738FF61C" w:rsidR="002C6CD1" w:rsidRPr="00C959D7" w:rsidRDefault="002C6CD1" w:rsidP="00E232EA">
      <w:pPr>
        <w:spacing w:after="120" w:line="240" w:lineRule="auto"/>
        <w:jc w:val="left"/>
        <w:rPr>
          <w:b/>
          <w:color w:val="31849B" w:themeColor="accent5" w:themeShade="BF"/>
          <w:sz w:val="28"/>
          <w:szCs w:val="28"/>
        </w:rPr>
      </w:pPr>
      <w:r w:rsidRPr="00C959D7">
        <w:rPr>
          <w:b/>
          <w:color w:val="31849B" w:themeColor="accent5" w:themeShade="BF"/>
          <w:sz w:val="28"/>
          <w:szCs w:val="28"/>
        </w:rPr>
        <w:t>2.2   Water Quality targets</w:t>
      </w:r>
    </w:p>
    <w:p w14:paraId="361A348C" w14:textId="068117DE" w:rsidR="002C6CD1" w:rsidRDefault="002C6CD1" w:rsidP="00B65AD9">
      <w:pPr>
        <w:spacing w:after="240" w:line="320" w:lineRule="exact"/>
        <w:jc w:val="left"/>
      </w:pPr>
      <w:r w:rsidRPr="00897533">
        <w:t>The water quality targets of the Basin Plan</w:t>
      </w:r>
      <w:r w:rsidRPr="00B86015">
        <w:t xml:space="preserve"> (2012) are outlined in Chapter 9, Part 4, sub-section 9.14(5)</w:t>
      </w:r>
      <w:r w:rsidRPr="001B2785">
        <w:t xml:space="preserve"> of the Plan. The targets for recreational</w:t>
      </w:r>
      <w:r w:rsidRPr="00E64FD8">
        <w:t xml:space="preserve"> water quality in Section 9.18 contains </w:t>
      </w:r>
      <w:hyperlink r:id="rId25" w:history="1">
        <w:r w:rsidRPr="00E64FD8">
          <w:t>Guidelines for Managing Risks in Recreational Water</w:t>
        </w:r>
      </w:hyperlink>
      <w:r w:rsidRPr="00E64FD8">
        <w:t>.</w:t>
      </w:r>
      <w:r>
        <w:t xml:space="preserve"> The </w:t>
      </w:r>
      <w:r w:rsidRPr="00E64FD8">
        <w:t xml:space="preserve">target </w:t>
      </w:r>
      <w:r>
        <w:t xml:space="preserve">for </w:t>
      </w:r>
      <w:r w:rsidR="00E20E6F">
        <w:t>DO</w:t>
      </w:r>
      <w:r>
        <w:t xml:space="preserve"> in the Plan is </w:t>
      </w:r>
      <w:r w:rsidRPr="00E64FD8">
        <w:t xml:space="preserve">to maintain </w:t>
      </w:r>
      <w:r w:rsidR="00E20E6F">
        <w:t>DO</w:t>
      </w:r>
      <w:r w:rsidRPr="00E64FD8">
        <w:t xml:space="preserve"> at a value of at least 50% saturation</w:t>
      </w:r>
      <w:r>
        <w:t xml:space="preserve"> and suggests this be determined at</w:t>
      </w:r>
      <w:r w:rsidRPr="00E64FD8">
        <w:t xml:space="preserve"> 25°C </w:t>
      </w:r>
      <w:r>
        <w:t>and</w:t>
      </w:r>
      <w:r w:rsidRPr="00E64FD8">
        <w:t xml:space="preserve"> 1 atmosphere of pressure (sea level). This equates to a </w:t>
      </w:r>
      <w:r w:rsidR="00E20E6F">
        <w:t>DO</w:t>
      </w:r>
      <w:r w:rsidRPr="00E64FD8">
        <w:t xml:space="preserve"> </w:t>
      </w:r>
      <w:r>
        <w:t>concentration</w:t>
      </w:r>
      <w:r w:rsidRPr="00E64FD8">
        <w:t xml:space="preserve"> of approximately </w:t>
      </w:r>
      <w:r>
        <w:t>4</w:t>
      </w:r>
      <w:r w:rsidRPr="00E64FD8">
        <w:t xml:space="preserve"> mg/</w:t>
      </w:r>
      <w:r>
        <w:t>L</w:t>
      </w:r>
      <w:r w:rsidRPr="00E64FD8">
        <w:t>. The CEW</w:t>
      </w:r>
      <w:r>
        <w:t>O has used a trigger of 4.0 mg/L</w:t>
      </w:r>
      <w:r w:rsidRPr="00E64FD8">
        <w:t xml:space="preserve"> for the potential provision of refuge flows into catchments like the </w:t>
      </w:r>
      <w:r w:rsidR="008E27F6">
        <w:t>Edward/Kolety-Wakool</w:t>
      </w:r>
      <w:r w:rsidRPr="00E64FD8">
        <w:t xml:space="preserve"> River system.</w:t>
      </w:r>
      <w:r w:rsidR="0079490A">
        <w:t xml:space="preserve"> </w:t>
      </w:r>
      <w:r w:rsidRPr="00E64FD8">
        <w:t xml:space="preserve">The </w:t>
      </w:r>
      <w:hyperlink r:id="rId26" w:history="1">
        <w:r w:rsidRPr="00E64FD8">
          <w:t>Guidelines for Managing Risks in Recreational Water</w:t>
        </w:r>
      </w:hyperlink>
      <w:r w:rsidRPr="00E64FD8">
        <w:t xml:space="preserve"> </w:t>
      </w:r>
      <w:r w:rsidR="0079490A">
        <w:t xml:space="preserve">also </w:t>
      </w:r>
      <w:r w:rsidRPr="00E64FD8">
        <w:t xml:space="preserve">guide the green, amber and red alert levels issued by relevant state management agencies (e.g. in NSW – the </w:t>
      </w:r>
      <w:hyperlink r:id="rId27" w:history="1">
        <w:r w:rsidRPr="00E64FD8">
          <w:t>Regional Algal Coordinating Committees</w:t>
        </w:r>
      </w:hyperlink>
      <w:r w:rsidRPr="00E64FD8">
        <w:t>) who are responsible for the catchment scale management of algal blooms. The CEWO has access to the alert advice issued by these state agencies and can adjust the use of Commonwealth environmental water accordingly.</w:t>
      </w:r>
      <w:r>
        <w:t xml:space="preserve"> </w:t>
      </w:r>
    </w:p>
    <w:p w14:paraId="4B674DF2" w14:textId="45C05C77" w:rsidR="00B65AD9" w:rsidRPr="0079490A" w:rsidRDefault="00B65AD9" w:rsidP="00B65AD9">
      <w:pPr>
        <w:tabs>
          <w:tab w:val="left" w:pos="9071"/>
        </w:tabs>
        <w:spacing w:after="240" w:line="320" w:lineRule="exact"/>
        <w:ind w:right="-142"/>
        <w:jc w:val="left"/>
        <w:rPr>
          <w:b/>
          <w:color w:val="31849B" w:themeColor="accent5" w:themeShade="BF"/>
          <w:sz w:val="28"/>
          <w:szCs w:val="28"/>
        </w:rPr>
      </w:pPr>
      <w:r>
        <w:rPr>
          <w:b/>
          <w:color w:val="31849B" w:themeColor="accent5" w:themeShade="BF"/>
          <w:sz w:val="28"/>
          <w:szCs w:val="28"/>
        </w:rPr>
        <w:t>2.5</w:t>
      </w:r>
      <w:r w:rsidRPr="0079490A">
        <w:rPr>
          <w:b/>
          <w:color w:val="31849B" w:themeColor="accent5" w:themeShade="BF"/>
          <w:sz w:val="28"/>
          <w:szCs w:val="28"/>
        </w:rPr>
        <w:t xml:space="preserve">   Commonwealth environmental watering actions 2009-201</w:t>
      </w:r>
      <w:r w:rsidR="00A54B31">
        <w:rPr>
          <w:b/>
          <w:color w:val="31849B" w:themeColor="accent5" w:themeShade="BF"/>
          <w:sz w:val="28"/>
          <w:szCs w:val="28"/>
        </w:rPr>
        <w:t>9</w:t>
      </w:r>
    </w:p>
    <w:p w14:paraId="5526134E" w14:textId="5B2E6AD7" w:rsidR="00B65AD9" w:rsidRDefault="00B65AD9" w:rsidP="00B65AD9">
      <w:pPr>
        <w:autoSpaceDE w:val="0"/>
        <w:autoSpaceDN w:val="0"/>
        <w:adjustRightInd w:val="0"/>
        <w:spacing w:after="120" w:line="320" w:lineRule="exact"/>
        <w:jc w:val="left"/>
        <w:rPr>
          <w:szCs w:val="22"/>
        </w:rPr>
      </w:pPr>
      <w:r w:rsidRPr="00490B24">
        <w:t>Commonwealth environmental watering actions have occurred in the</w:t>
      </w:r>
      <w:r>
        <w:t xml:space="preserve"> </w:t>
      </w:r>
      <w:r w:rsidR="008E27F6">
        <w:t>Edward/Kolety-Wakool</w:t>
      </w:r>
      <w:r>
        <w:t xml:space="preserve"> system since 2009</w:t>
      </w:r>
      <w:r w:rsidRPr="00490B24">
        <w:t xml:space="preserve"> (</w:t>
      </w:r>
      <w:r>
        <w:t>Table 2.3</w:t>
      </w:r>
      <w:r w:rsidRPr="00490B24">
        <w:t xml:space="preserve">). </w:t>
      </w:r>
      <w:r>
        <w:t>Between July 2009 and June 201</w:t>
      </w:r>
      <w:r w:rsidR="00A54B31">
        <w:t>9</w:t>
      </w:r>
      <w:r>
        <w:t xml:space="preserve"> Commonwealth environmental watering actions delivered base flows and freshes, contributed to the recession of flow events, delivered water from irrigation canal escapes to create local refuges during hypoxic blackwater events, and contributed to flows in ephemeral watercourses (Table 2.3). Many of the watering actions in ephemeral creeks were undertaken jointly with NSW </w:t>
      </w:r>
      <w:r w:rsidR="00A54B31">
        <w:t>DPIE</w:t>
      </w:r>
      <w:r>
        <w:t>. O</w:t>
      </w:r>
      <w:r>
        <w:rPr>
          <w:szCs w:val="22"/>
        </w:rPr>
        <w:t xml:space="preserve">ne Commonwealth watering action in 2009-10 for Werai State Forest (DEE 2017) was undertaken to deliver environmental water to </w:t>
      </w:r>
      <w:r w:rsidR="008E27F6">
        <w:rPr>
          <w:szCs w:val="22"/>
        </w:rPr>
        <w:t>Edward/Kolety-Wakool</w:t>
      </w:r>
      <w:r>
        <w:rPr>
          <w:szCs w:val="22"/>
        </w:rPr>
        <w:t xml:space="preserve"> forests (Table 2.3). </w:t>
      </w:r>
    </w:p>
    <w:p w14:paraId="30BF81BC" w14:textId="37226CF6" w:rsidR="00B65AD9" w:rsidRDefault="00B65AD9" w:rsidP="00B65AD9">
      <w:pPr>
        <w:spacing w:after="120" w:line="320" w:lineRule="exact"/>
        <w:jc w:val="left"/>
      </w:pPr>
      <w:r>
        <w:t xml:space="preserve">The winter of 2017 was the first time in which a watering action was undertaken to maintain winter base flows during the period when the regulators to some of the smaller streams are usually shutdown in winter (Table </w:t>
      </w:r>
      <w:r w:rsidR="00A121BB">
        <w:t>2.</w:t>
      </w:r>
      <w:r>
        <w:t>1).</w:t>
      </w:r>
      <w:r w:rsidRPr="00C24851">
        <w:t xml:space="preserve"> </w:t>
      </w:r>
    </w:p>
    <w:p w14:paraId="3DE0E070" w14:textId="0914D558" w:rsidR="00B65AD9" w:rsidRPr="00F03279" w:rsidRDefault="00B65AD9" w:rsidP="00B65AD9">
      <w:pPr>
        <w:autoSpaceDE w:val="0"/>
        <w:autoSpaceDN w:val="0"/>
        <w:adjustRightInd w:val="0"/>
        <w:spacing w:after="120" w:line="320" w:lineRule="exact"/>
        <w:jc w:val="left"/>
      </w:pPr>
      <w:r>
        <w:rPr>
          <w:szCs w:val="22"/>
        </w:rPr>
        <w:t xml:space="preserve">It has not been possible to deliver large within channel freshes or overbank flows due to operational constraints in this system (e.g. operational constraint of 600 ML/d at confluence of the Wakool River and Yallakool Creek). </w:t>
      </w:r>
      <w:r w:rsidR="00A54B31">
        <w:rPr>
          <w:szCs w:val="22"/>
        </w:rPr>
        <w:t>However, in 2018-19 a flow trial was undertaken to deliver 800 ML/day at the confluence of the Wakool River and Yallakool Creek.</w:t>
      </w:r>
    </w:p>
    <w:p w14:paraId="770F0C0A" w14:textId="2C78A2EE" w:rsidR="00B65AD9" w:rsidRDefault="00B65AD9" w:rsidP="00B65AD9">
      <w:pPr>
        <w:autoSpaceDE w:val="0"/>
        <w:autoSpaceDN w:val="0"/>
        <w:adjustRightInd w:val="0"/>
        <w:spacing w:after="120" w:line="320" w:lineRule="exact"/>
        <w:jc w:val="left"/>
        <w:rPr>
          <w:szCs w:val="22"/>
        </w:rPr>
      </w:pPr>
      <w:r w:rsidRPr="00490B24">
        <w:t xml:space="preserve">In addition to watering actions specifically targeted for the </w:t>
      </w:r>
      <w:r w:rsidR="008E27F6">
        <w:t>Edward/Kolety-Wakool</w:t>
      </w:r>
      <w:r w:rsidRPr="00490B24">
        <w:t xml:space="preserve"> system, water from upstream Commonwealth environmental watering actions </w:t>
      </w:r>
      <w:r>
        <w:t>and actions that are</w:t>
      </w:r>
      <w:r w:rsidRPr="00490B24">
        <w:t xml:space="preserve"> targeted for down</w:t>
      </w:r>
      <w:r>
        <w:t>stream watering actions transit</w:t>
      </w:r>
      <w:r w:rsidRPr="00490B24">
        <w:t xml:space="preserve"> through the </w:t>
      </w:r>
      <w:r w:rsidR="008E27F6">
        <w:t>Edward/Kolety-Wakool</w:t>
      </w:r>
      <w:r w:rsidRPr="00490B24">
        <w:t xml:space="preserve"> system in some years.</w:t>
      </w:r>
      <w:r>
        <w:t xml:space="preserve"> For example, in 2015-16 </w:t>
      </w:r>
      <w:r>
        <w:rPr>
          <w:color w:val="000000" w:themeColor="text1"/>
          <w:szCs w:val="22"/>
        </w:rPr>
        <w:t xml:space="preserve">environmental water </w:t>
      </w:r>
      <w:r w:rsidRPr="00BB47D7">
        <w:rPr>
          <w:szCs w:val="22"/>
        </w:rPr>
        <w:t>return</w:t>
      </w:r>
      <w:r>
        <w:rPr>
          <w:szCs w:val="22"/>
        </w:rPr>
        <w:t xml:space="preserve">ing from Barmah-Millewa Forest influenced the hydrograph in the </w:t>
      </w:r>
      <w:r w:rsidR="008E27F6">
        <w:rPr>
          <w:szCs w:val="22"/>
        </w:rPr>
        <w:t>Edward/Kolety-Wakool</w:t>
      </w:r>
      <w:r>
        <w:rPr>
          <w:szCs w:val="22"/>
        </w:rPr>
        <w:t xml:space="preserve"> system (Watts et al. 2016).</w:t>
      </w:r>
    </w:p>
    <w:p w14:paraId="30202FFC" w14:textId="77777777" w:rsidR="00B65AD9" w:rsidRDefault="00B65AD9">
      <w:pPr>
        <w:spacing w:after="0" w:line="240" w:lineRule="auto"/>
        <w:jc w:val="left"/>
        <w:rPr>
          <w:b/>
          <w:sz w:val="20"/>
        </w:rPr>
      </w:pPr>
      <w:r>
        <w:rPr>
          <w:b/>
          <w:sz w:val="20"/>
        </w:rPr>
        <w:br w:type="page"/>
      </w:r>
    </w:p>
    <w:p w14:paraId="174DD64B" w14:textId="1C5578BB" w:rsidR="00B65AD9" w:rsidRPr="00AA64D5" w:rsidRDefault="00B65AD9" w:rsidP="00B65AD9">
      <w:pPr>
        <w:autoSpaceDE w:val="0"/>
        <w:autoSpaceDN w:val="0"/>
        <w:adjustRightInd w:val="0"/>
        <w:spacing w:after="0" w:line="240" w:lineRule="auto"/>
        <w:jc w:val="left"/>
        <w:rPr>
          <w:sz w:val="20"/>
        </w:rPr>
      </w:pPr>
      <w:r>
        <w:rPr>
          <w:b/>
          <w:sz w:val="20"/>
        </w:rPr>
        <w:t>Table 2</w:t>
      </w:r>
      <w:r w:rsidRPr="00AA64D5">
        <w:rPr>
          <w:b/>
          <w:sz w:val="20"/>
        </w:rPr>
        <w:t>.</w:t>
      </w:r>
      <w:r>
        <w:rPr>
          <w:b/>
          <w:sz w:val="20"/>
        </w:rPr>
        <w:t>3</w:t>
      </w:r>
      <w:r w:rsidRPr="00AA64D5">
        <w:rPr>
          <w:sz w:val="20"/>
        </w:rPr>
        <w:t xml:space="preserve"> Summary of Commonwealth environmental watering actions </w:t>
      </w:r>
      <w:r>
        <w:rPr>
          <w:sz w:val="20"/>
        </w:rPr>
        <w:t xml:space="preserve">and unregulated overbank flows </w:t>
      </w:r>
      <w:r w:rsidRPr="00AA64D5">
        <w:rPr>
          <w:sz w:val="20"/>
        </w:rPr>
        <w:t xml:space="preserve">in the </w:t>
      </w:r>
      <w:r w:rsidR="008E27F6">
        <w:rPr>
          <w:sz w:val="20"/>
        </w:rPr>
        <w:t>Edward/Kolety-Wakool</w:t>
      </w:r>
      <w:r w:rsidRPr="00AA64D5">
        <w:rPr>
          <w:sz w:val="20"/>
        </w:rPr>
        <w:t xml:space="preserve"> system from </w:t>
      </w:r>
      <w:r>
        <w:rPr>
          <w:sz w:val="20"/>
        </w:rPr>
        <w:t xml:space="preserve">July </w:t>
      </w:r>
      <w:r w:rsidRPr="00AA64D5">
        <w:rPr>
          <w:sz w:val="20"/>
        </w:rPr>
        <w:t>2010 to</w:t>
      </w:r>
      <w:r>
        <w:rPr>
          <w:sz w:val="20"/>
        </w:rPr>
        <w:t xml:space="preserve"> June</w:t>
      </w:r>
      <w:r w:rsidRPr="00AA64D5">
        <w:rPr>
          <w:sz w:val="20"/>
        </w:rPr>
        <w:t xml:space="preserve"> 201</w:t>
      </w:r>
      <w:r w:rsidR="00A54B31">
        <w:rPr>
          <w:sz w:val="20"/>
        </w:rPr>
        <w:t>9</w:t>
      </w:r>
      <w:r>
        <w:rPr>
          <w:sz w:val="20"/>
        </w:rPr>
        <w:t xml:space="preserve">. More detailed information about environmental watering in the mid-Murray catchment is available from the </w:t>
      </w:r>
      <w:r w:rsidRPr="00E82577">
        <w:rPr>
          <w:sz w:val="20"/>
        </w:rPr>
        <w:t>CEWO website</w:t>
      </w:r>
      <w:r>
        <w:rPr>
          <w:sz w:val="20"/>
        </w:rPr>
        <w:t xml:space="preserve"> (Department of the Environment and Energy 2017)</w:t>
      </w:r>
    </w:p>
    <w:tbl>
      <w:tblPr>
        <w:tblStyle w:val="TableGrid"/>
        <w:tblW w:w="9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2"/>
        <w:gridCol w:w="936"/>
        <w:gridCol w:w="1008"/>
        <w:gridCol w:w="868"/>
        <w:gridCol w:w="828"/>
        <w:gridCol w:w="256"/>
        <w:gridCol w:w="262"/>
        <w:gridCol w:w="1051"/>
        <w:gridCol w:w="1132"/>
        <w:gridCol w:w="854"/>
        <w:gridCol w:w="236"/>
        <w:gridCol w:w="354"/>
        <w:gridCol w:w="686"/>
        <w:gridCol w:w="56"/>
      </w:tblGrid>
      <w:tr w:rsidR="00B65AD9" w14:paraId="33DC3395" w14:textId="77777777" w:rsidTr="00B65AD9">
        <w:tc>
          <w:tcPr>
            <w:tcW w:w="782" w:type="dxa"/>
            <w:tcBorders>
              <w:top w:val="single" w:sz="12" w:space="0" w:color="auto"/>
            </w:tcBorders>
            <w:shd w:val="clear" w:color="auto" w:fill="FFFFFF" w:themeFill="background1"/>
            <w:tcMar>
              <w:left w:w="57" w:type="dxa"/>
              <w:right w:w="57" w:type="dxa"/>
            </w:tcMar>
          </w:tcPr>
          <w:p w14:paraId="2022BC10" w14:textId="77777777" w:rsidR="00B65AD9" w:rsidRPr="001822F4" w:rsidRDefault="00B65AD9" w:rsidP="00ED6C2B">
            <w:pPr>
              <w:autoSpaceDE w:val="0"/>
              <w:autoSpaceDN w:val="0"/>
              <w:adjustRightInd w:val="0"/>
              <w:spacing w:after="0" w:line="240" w:lineRule="auto"/>
              <w:jc w:val="left"/>
            </w:pPr>
          </w:p>
        </w:tc>
        <w:tc>
          <w:tcPr>
            <w:tcW w:w="3640" w:type="dxa"/>
            <w:gridSpan w:val="4"/>
            <w:tcBorders>
              <w:top w:val="single" w:sz="12" w:space="0" w:color="auto"/>
              <w:bottom w:val="single" w:sz="12" w:space="0" w:color="auto"/>
            </w:tcBorders>
            <w:shd w:val="clear" w:color="auto" w:fill="FFFFFF" w:themeFill="background1"/>
            <w:tcMar>
              <w:left w:w="57" w:type="dxa"/>
              <w:right w:w="57" w:type="dxa"/>
            </w:tcMar>
          </w:tcPr>
          <w:p w14:paraId="6F9569DB" w14:textId="77777777" w:rsidR="00B65AD9" w:rsidRDefault="00B65AD9" w:rsidP="00ED6C2B">
            <w:pPr>
              <w:autoSpaceDE w:val="0"/>
              <w:autoSpaceDN w:val="0"/>
              <w:adjustRightInd w:val="0"/>
              <w:spacing w:after="0" w:line="240" w:lineRule="auto"/>
              <w:jc w:val="center"/>
              <w:rPr>
                <w:sz w:val="20"/>
              </w:rPr>
            </w:pPr>
            <w:r>
              <w:rPr>
                <w:sz w:val="20"/>
              </w:rPr>
              <w:t>In-channel environmental</w:t>
            </w:r>
          </w:p>
          <w:p w14:paraId="520AF1AA" w14:textId="77777777" w:rsidR="00B65AD9" w:rsidRPr="004C1814" w:rsidRDefault="00B65AD9" w:rsidP="00ED6C2B">
            <w:pPr>
              <w:autoSpaceDE w:val="0"/>
              <w:autoSpaceDN w:val="0"/>
              <w:adjustRightInd w:val="0"/>
              <w:spacing w:after="0" w:line="240" w:lineRule="auto"/>
              <w:jc w:val="center"/>
              <w:rPr>
                <w:sz w:val="20"/>
              </w:rPr>
            </w:pPr>
            <w:r w:rsidRPr="004C1814">
              <w:rPr>
                <w:sz w:val="20"/>
              </w:rPr>
              <w:t>watering actions</w:t>
            </w:r>
          </w:p>
        </w:tc>
        <w:tc>
          <w:tcPr>
            <w:tcW w:w="256" w:type="dxa"/>
            <w:tcBorders>
              <w:top w:val="single" w:sz="12" w:space="0" w:color="auto"/>
            </w:tcBorders>
            <w:shd w:val="clear" w:color="auto" w:fill="FFFFFF" w:themeFill="background1"/>
          </w:tcPr>
          <w:p w14:paraId="08E5F162" w14:textId="77777777" w:rsidR="00B65AD9" w:rsidRPr="004C1814" w:rsidRDefault="00B65AD9" w:rsidP="00ED6C2B">
            <w:pPr>
              <w:autoSpaceDE w:val="0"/>
              <w:autoSpaceDN w:val="0"/>
              <w:adjustRightInd w:val="0"/>
              <w:spacing w:after="0" w:line="240" w:lineRule="auto"/>
              <w:jc w:val="center"/>
              <w:rPr>
                <w:sz w:val="20"/>
              </w:rPr>
            </w:pPr>
          </w:p>
        </w:tc>
        <w:tc>
          <w:tcPr>
            <w:tcW w:w="262" w:type="dxa"/>
            <w:tcBorders>
              <w:top w:val="single" w:sz="12" w:space="0" w:color="auto"/>
            </w:tcBorders>
            <w:shd w:val="clear" w:color="auto" w:fill="FFFFFF" w:themeFill="background1"/>
          </w:tcPr>
          <w:p w14:paraId="786A0248" w14:textId="77777777" w:rsidR="00B65AD9" w:rsidRPr="004C1814" w:rsidRDefault="00B65AD9" w:rsidP="00ED6C2B">
            <w:pPr>
              <w:autoSpaceDE w:val="0"/>
              <w:autoSpaceDN w:val="0"/>
              <w:adjustRightInd w:val="0"/>
              <w:spacing w:after="0" w:line="240" w:lineRule="auto"/>
              <w:jc w:val="center"/>
              <w:rPr>
                <w:sz w:val="20"/>
              </w:rPr>
            </w:pPr>
          </w:p>
        </w:tc>
        <w:tc>
          <w:tcPr>
            <w:tcW w:w="3037" w:type="dxa"/>
            <w:gridSpan w:val="3"/>
            <w:tcBorders>
              <w:top w:val="single" w:sz="12" w:space="0" w:color="auto"/>
              <w:bottom w:val="single" w:sz="4" w:space="0" w:color="auto"/>
            </w:tcBorders>
            <w:shd w:val="clear" w:color="auto" w:fill="FFFFFF" w:themeFill="background1"/>
            <w:tcMar>
              <w:left w:w="57" w:type="dxa"/>
              <w:right w:w="57" w:type="dxa"/>
            </w:tcMar>
          </w:tcPr>
          <w:p w14:paraId="15E68184" w14:textId="77777777" w:rsidR="00B65AD9" w:rsidRPr="004C1814" w:rsidRDefault="00B65AD9" w:rsidP="00ED6C2B">
            <w:pPr>
              <w:autoSpaceDE w:val="0"/>
              <w:autoSpaceDN w:val="0"/>
              <w:adjustRightInd w:val="0"/>
              <w:spacing w:after="0" w:line="240" w:lineRule="auto"/>
              <w:jc w:val="left"/>
              <w:rPr>
                <w:sz w:val="20"/>
              </w:rPr>
            </w:pPr>
            <w:r w:rsidRPr="004C1814">
              <w:rPr>
                <w:sz w:val="20"/>
              </w:rPr>
              <w:t>Environmental watering actions using irrigation infrastructure</w:t>
            </w:r>
          </w:p>
        </w:tc>
        <w:tc>
          <w:tcPr>
            <w:tcW w:w="236" w:type="dxa"/>
            <w:tcBorders>
              <w:top w:val="single" w:sz="12" w:space="0" w:color="auto"/>
            </w:tcBorders>
            <w:shd w:val="clear" w:color="auto" w:fill="FFFFFF" w:themeFill="background1"/>
          </w:tcPr>
          <w:p w14:paraId="47035415" w14:textId="77777777" w:rsidR="00B65AD9" w:rsidRDefault="00B65AD9" w:rsidP="00ED6C2B">
            <w:pPr>
              <w:autoSpaceDE w:val="0"/>
              <w:autoSpaceDN w:val="0"/>
              <w:adjustRightInd w:val="0"/>
              <w:spacing w:after="0" w:line="240" w:lineRule="auto"/>
              <w:ind w:right="-183"/>
              <w:jc w:val="left"/>
            </w:pPr>
          </w:p>
        </w:tc>
        <w:tc>
          <w:tcPr>
            <w:tcW w:w="1096" w:type="dxa"/>
            <w:gridSpan w:val="3"/>
            <w:tcBorders>
              <w:top w:val="single" w:sz="12" w:space="0" w:color="auto"/>
              <w:bottom w:val="single" w:sz="12" w:space="0" w:color="auto"/>
            </w:tcBorders>
            <w:shd w:val="clear" w:color="auto" w:fill="FFFFFF" w:themeFill="background1"/>
            <w:tcMar>
              <w:left w:w="57" w:type="dxa"/>
              <w:right w:w="57" w:type="dxa"/>
            </w:tcMar>
          </w:tcPr>
          <w:p w14:paraId="65BD8D22" w14:textId="77777777" w:rsidR="00B65AD9" w:rsidRPr="00836B01" w:rsidRDefault="00B65AD9" w:rsidP="00ED6C2B">
            <w:pPr>
              <w:autoSpaceDE w:val="0"/>
              <w:autoSpaceDN w:val="0"/>
              <w:adjustRightInd w:val="0"/>
              <w:spacing w:after="0" w:line="240" w:lineRule="auto"/>
              <w:ind w:right="-183"/>
              <w:jc w:val="left"/>
              <w:rPr>
                <w:sz w:val="20"/>
              </w:rPr>
            </w:pPr>
            <w:r w:rsidRPr="00836B01">
              <w:rPr>
                <w:sz w:val="20"/>
              </w:rPr>
              <w:t xml:space="preserve">Unregulated </w:t>
            </w:r>
            <w:r>
              <w:rPr>
                <w:sz w:val="20"/>
              </w:rPr>
              <w:t>o</w:t>
            </w:r>
            <w:r w:rsidRPr="00836B01">
              <w:rPr>
                <w:sz w:val="20"/>
              </w:rPr>
              <w:t>verbank flows</w:t>
            </w:r>
          </w:p>
        </w:tc>
      </w:tr>
      <w:tr w:rsidR="00B65AD9" w14:paraId="488CBF62" w14:textId="77777777" w:rsidTr="00B65AD9">
        <w:trPr>
          <w:gridAfter w:val="1"/>
          <w:wAfter w:w="56" w:type="dxa"/>
        </w:trPr>
        <w:tc>
          <w:tcPr>
            <w:tcW w:w="782" w:type="dxa"/>
            <w:tcBorders>
              <w:bottom w:val="single" w:sz="12" w:space="0" w:color="auto"/>
            </w:tcBorders>
            <w:shd w:val="clear" w:color="auto" w:fill="FFFFFF" w:themeFill="background1"/>
            <w:tcMar>
              <w:left w:w="57" w:type="dxa"/>
              <w:right w:w="57" w:type="dxa"/>
            </w:tcMar>
          </w:tcPr>
          <w:p w14:paraId="21B3B9FE" w14:textId="77777777" w:rsidR="00B65AD9" w:rsidRPr="004C1814" w:rsidRDefault="00B65AD9" w:rsidP="00ED6C2B">
            <w:pPr>
              <w:autoSpaceDE w:val="0"/>
              <w:autoSpaceDN w:val="0"/>
              <w:adjustRightInd w:val="0"/>
              <w:spacing w:after="0" w:line="240" w:lineRule="auto"/>
              <w:jc w:val="left"/>
              <w:rPr>
                <w:sz w:val="20"/>
              </w:rPr>
            </w:pPr>
            <w:r w:rsidRPr="004C1814">
              <w:rPr>
                <w:sz w:val="20"/>
              </w:rPr>
              <w:t>Water  Year</w:t>
            </w:r>
          </w:p>
        </w:tc>
        <w:tc>
          <w:tcPr>
            <w:tcW w:w="936" w:type="dxa"/>
            <w:tcBorders>
              <w:top w:val="single" w:sz="12" w:space="0" w:color="auto"/>
              <w:bottom w:val="single" w:sz="12" w:space="0" w:color="auto"/>
            </w:tcBorders>
            <w:shd w:val="clear" w:color="auto" w:fill="FFFFFF" w:themeFill="background1"/>
            <w:tcMar>
              <w:left w:w="28" w:type="dxa"/>
              <w:right w:w="28" w:type="dxa"/>
            </w:tcMar>
          </w:tcPr>
          <w:p w14:paraId="06F2F71B" w14:textId="77777777" w:rsidR="00B65AD9" w:rsidRPr="00971B3B" w:rsidRDefault="00B65AD9" w:rsidP="00ED6C2B">
            <w:pPr>
              <w:autoSpaceDE w:val="0"/>
              <w:autoSpaceDN w:val="0"/>
              <w:adjustRightInd w:val="0"/>
              <w:spacing w:after="0" w:line="240" w:lineRule="auto"/>
              <w:jc w:val="center"/>
              <w:rPr>
                <w:sz w:val="20"/>
              </w:rPr>
            </w:pPr>
            <w:r w:rsidRPr="00971B3B">
              <w:rPr>
                <w:sz w:val="20"/>
              </w:rPr>
              <w:t>Base flows and small freshes</w:t>
            </w:r>
          </w:p>
        </w:tc>
        <w:tc>
          <w:tcPr>
            <w:tcW w:w="1008" w:type="dxa"/>
            <w:tcBorders>
              <w:top w:val="single" w:sz="12" w:space="0" w:color="auto"/>
              <w:bottom w:val="single" w:sz="12" w:space="0" w:color="auto"/>
            </w:tcBorders>
            <w:shd w:val="clear" w:color="auto" w:fill="FFFFFF" w:themeFill="background1"/>
            <w:tcMar>
              <w:left w:w="28" w:type="dxa"/>
              <w:right w:w="28" w:type="dxa"/>
            </w:tcMar>
          </w:tcPr>
          <w:p w14:paraId="31FE7245" w14:textId="77777777" w:rsidR="00B65AD9" w:rsidRPr="00971B3B" w:rsidRDefault="00B65AD9" w:rsidP="00ED6C2B">
            <w:pPr>
              <w:autoSpaceDE w:val="0"/>
              <w:autoSpaceDN w:val="0"/>
              <w:adjustRightInd w:val="0"/>
              <w:spacing w:after="0" w:line="240" w:lineRule="auto"/>
              <w:jc w:val="center"/>
              <w:rPr>
                <w:sz w:val="20"/>
              </w:rPr>
            </w:pPr>
            <w:r w:rsidRPr="00971B3B">
              <w:rPr>
                <w:sz w:val="20"/>
              </w:rPr>
              <w:t xml:space="preserve">Contribute to flow recession </w:t>
            </w:r>
          </w:p>
        </w:tc>
        <w:tc>
          <w:tcPr>
            <w:tcW w:w="868" w:type="dxa"/>
            <w:tcBorders>
              <w:top w:val="single" w:sz="12" w:space="0" w:color="auto"/>
              <w:bottom w:val="single" w:sz="12" w:space="0" w:color="auto"/>
            </w:tcBorders>
            <w:shd w:val="clear" w:color="auto" w:fill="FFFFFF" w:themeFill="background1"/>
            <w:tcMar>
              <w:left w:w="28" w:type="dxa"/>
              <w:right w:w="28" w:type="dxa"/>
            </w:tcMar>
          </w:tcPr>
          <w:p w14:paraId="09728208" w14:textId="77777777" w:rsidR="00B65AD9" w:rsidRPr="00971B3B" w:rsidRDefault="00B65AD9" w:rsidP="00ED6C2B">
            <w:pPr>
              <w:autoSpaceDE w:val="0"/>
              <w:autoSpaceDN w:val="0"/>
              <w:adjustRightInd w:val="0"/>
              <w:spacing w:after="0" w:line="240" w:lineRule="auto"/>
              <w:jc w:val="center"/>
              <w:rPr>
                <w:sz w:val="20"/>
              </w:rPr>
            </w:pPr>
            <w:r w:rsidRPr="00971B3B">
              <w:rPr>
                <w:sz w:val="20"/>
              </w:rPr>
              <w:t>Maintain winter base</w:t>
            </w:r>
            <w:r>
              <w:rPr>
                <w:sz w:val="20"/>
              </w:rPr>
              <w:t xml:space="preserve">  </w:t>
            </w:r>
            <w:r w:rsidRPr="00971B3B">
              <w:rPr>
                <w:sz w:val="20"/>
              </w:rPr>
              <w:t xml:space="preserve"> flows</w:t>
            </w:r>
          </w:p>
        </w:tc>
        <w:tc>
          <w:tcPr>
            <w:tcW w:w="828" w:type="dxa"/>
            <w:tcBorders>
              <w:top w:val="single" w:sz="12" w:space="0" w:color="auto"/>
              <w:bottom w:val="single" w:sz="12" w:space="0" w:color="auto"/>
            </w:tcBorders>
            <w:shd w:val="clear" w:color="auto" w:fill="FFFFFF" w:themeFill="background1"/>
            <w:tcMar>
              <w:left w:w="28" w:type="dxa"/>
              <w:right w:w="28" w:type="dxa"/>
            </w:tcMar>
          </w:tcPr>
          <w:p w14:paraId="08F332E5" w14:textId="77777777" w:rsidR="00B65AD9" w:rsidRPr="00971B3B" w:rsidRDefault="00B65AD9" w:rsidP="00ED6C2B">
            <w:pPr>
              <w:autoSpaceDE w:val="0"/>
              <w:autoSpaceDN w:val="0"/>
              <w:adjustRightInd w:val="0"/>
              <w:spacing w:after="0" w:line="240" w:lineRule="auto"/>
              <w:jc w:val="center"/>
              <w:rPr>
                <w:sz w:val="20"/>
              </w:rPr>
            </w:pPr>
            <w:r w:rsidRPr="00971B3B">
              <w:rPr>
                <w:sz w:val="20"/>
              </w:rPr>
              <w:t>Larger within channel freshes</w:t>
            </w:r>
            <w:r w:rsidRPr="00971B3B">
              <w:rPr>
                <w:sz w:val="20"/>
                <w:vertAlign w:val="superscript"/>
              </w:rPr>
              <w:t>1</w:t>
            </w:r>
          </w:p>
        </w:tc>
        <w:tc>
          <w:tcPr>
            <w:tcW w:w="256" w:type="dxa"/>
            <w:tcBorders>
              <w:bottom w:val="single" w:sz="12" w:space="0" w:color="auto"/>
            </w:tcBorders>
            <w:shd w:val="clear" w:color="auto" w:fill="FFFFFF" w:themeFill="background1"/>
            <w:tcMar>
              <w:left w:w="28" w:type="dxa"/>
              <w:right w:w="28" w:type="dxa"/>
            </w:tcMar>
          </w:tcPr>
          <w:p w14:paraId="74F42154" w14:textId="77777777" w:rsidR="00B65AD9" w:rsidRPr="00971B3B" w:rsidRDefault="00B65AD9" w:rsidP="00ED6C2B">
            <w:pPr>
              <w:autoSpaceDE w:val="0"/>
              <w:autoSpaceDN w:val="0"/>
              <w:adjustRightInd w:val="0"/>
              <w:spacing w:after="0" w:line="240" w:lineRule="auto"/>
              <w:jc w:val="center"/>
              <w:rPr>
                <w:sz w:val="20"/>
              </w:rPr>
            </w:pPr>
          </w:p>
        </w:tc>
        <w:tc>
          <w:tcPr>
            <w:tcW w:w="1313" w:type="dxa"/>
            <w:gridSpan w:val="2"/>
            <w:tcBorders>
              <w:top w:val="single" w:sz="12" w:space="0" w:color="auto"/>
              <w:bottom w:val="single" w:sz="12" w:space="0" w:color="auto"/>
            </w:tcBorders>
            <w:shd w:val="clear" w:color="auto" w:fill="FFFFFF" w:themeFill="background1"/>
            <w:tcMar>
              <w:left w:w="28" w:type="dxa"/>
              <w:right w:w="28" w:type="dxa"/>
            </w:tcMar>
          </w:tcPr>
          <w:p w14:paraId="54AF7ED0" w14:textId="77777777" w:rsidR="00B65AD9" w:rsidRPr="00971B3B" w:rsidRDefault="00B65AD9" w:rsidP="00ED6C2B">
            <w:pPr>
              <w:autoSpaceDE w:val="0"/>
              <w:autoSpaceDN w:val="0"/>
              <w:adjustRightInd w:val="0"/>
              <w:spacing w:after="0" w:line="240" w:lineRule="auto"/>
              <w:jc w:val="center"/>
              <w:rPr>
                <w:sz w:val="20"/>
              </w:rPr>
            </w:pPr>
            <w:r w:rsidRPr="00971B3B">
              <w:rPr>
                <w:sz w:val="20"/>
              </w:rPr>
              <w:t>Flows from canal escapes during hypoxic events</w:t>
            </w:r>
          </w:p>
        </w:tc>
        <w:tc>
          <w:tcPr>
            <w:tcW w:w="1132" w:type="dxa"/>
            <w:tcBorders>
              <w:top w:val="single" w:sz="12" w:space="0" w:color="auto"/>
              <w:bottom w:val="single" w:sz="12" w:space="0" w:color="auto"/>
            </w:tcBorders>
            <w:shd w:val="clear" w:color="auto" w:fill="FFFFFF" w:themeFill="background1"/>
            <w:tcMar>
              <w:left w:w="28" w:type="dxa"/>
              <w:right w:w="28" w:type="dxa"/>
            </w:tcMar>
          </w:tcPr>
          <w:p w14:paraId="6BA0CF98" w14:textId="77777777" w:rsidR="00B65AD9" w:rsidRPr="00971B3B" w:rsidRDefault="00B65AD9" w:rsidP="00ED6C2B">
            <w:pPr>
              <w:autoSpaceDE w:val="0"/>
              <w:autoSpaceDN w:val="0"/>
              <w:adjustRightInd w:val="0"/>
              <w:spacing w:after="0" w:line="240" w:lineRule="auto"/>
              <w:jc w:val="center"/>
              <w:rPr>
                <w:sz w:val="20"/>
              </w:rPr>
            </w:pPr>
            <w:r w:rsidRPr="00971B3B">
              <w:rPr>
                <w:sz w:val="20"/>
              </w:rPr>
              <w:t>Flows in ephemeral streams</w:t>
            </w:r>
            <w:r w:rsidRPr="00971B3B">
              <w:rPr>
                <w:sz w:val="20"/>
                <w:vertAlign w:val="superscript"/>
              </w:rPr>
              <w:t>2</w:t>
            </w:r>
          </w:p>
        </w:tc>
        <w:tc>
          <w:tcPr>
            <w:tcW w:w="854" w:type="dxa"/>
            <w:tcBorders>
              <w:top w:val="single" w:sz="12" w:space="0" w:color="auto"/>
              <w:bottom w:val="single" w:sz="12" w:space="0" w:color="auto"/>
            </w:tcBorders>
            <w:shd w:val="clear" w:color="auto" w:fill="FFFFFF" w:themeFill="background1"/>
            <w:tcMar>
              <w:left w:w="28" w:type="dxa"/>
              <w:right w:w="28" w:type="dxa"/>
            </w:tcMar>
          </w:tcPr>
          <w:p w14:paraId="1348F8DA" w14:textId="77777777" w:rsidR="00B65AD9" w:rsidRPr="00971B3B" w:rsidRDefault="00B65AD9" w:rsidP="00ED6C2B">
            <w:pPr>
              <w:autoSpaceDE w:val="0"/>
              <w:autoSpaceDN w:val="0"/>
              <w:adjustRightInd w:val="0"/>
              <w:spacing w:after="0" w:line="240" w:lineRule="auto"/>
              <w:jc w:val="center"/>
              <w:rPr>
                <w:sz w:val="20"/>
              </w:rPr>
            </w:pPr>
            <w:r>
              <w:rPr>
                <w:sz w:val="20"/>
              </w:rPr>
              <w:t>Watering forests</w:t>
            </w:r>
          </w:p>
        </w:tc>
        <w:tc>
          <w:tcPr>
            <w:tcW w:w="236" w:type="dxa"/>
            <w:tcBorders>
              <w:bottom w:val="single" w:sz="12" w:space="0" w:color="auto"/>
            </w:tcBorders>
            <w:shd w:val="clear" w:color="auto" w:fill="FFFFFF" w:themeFill="background1"/>
            <w:tcMar>
              <w:left w:w="28" w:type="dxa"/>
              <w:right w:w="28" w:type="dxa"/>
            </w:tcMar>
          </w:tcPr>
          <w:p w14:paraId="717F75C5" w14:textId="77777777" w:rsidR="00B65AD9" w:rsidRPr="00971B3B" w:rsidRDefault="00B65AD9" w:rsidP="00ED6C2B">
            <w:pPr>
              <w:autoSpaceDE w:val="0"/>
              <w:autoSpaceDN w:val="0"/>
              <w:adjustRightInd w:val="0"/>
              <w:spacing w:after="0" w:line="240" w:lineRule="auto"/>
              <w:ind w:right="-108"/>
              <w:jc w:val="left"/>
              <w:rPr>
                <w:sz w:val="20"/>
              </w:rPr>
            </w:pPr>
          </w:p>
        </w:tc>
        <w:tc>
          <w:tcPr>
            <w:tcW w:w="1040" w:type="dxa"/>
            <w:gridSpan w:val="2"/>
            <w:tcBorders>
              <w:top w:val="single" w:sz="12" w:space="0" w:color="auto"/>
              <w:bottom w:val="single" w:sz="12" w:space="0" w:color="auto"/>
            </w:tcBorders>
            <w:shd w:val="clear" w:color="auto" w:fill="FFFFFF" w:themeFill="background1"/>
            <w:tcMar>
              <w:left w:w="28" w:type="dxa"/>
              <w:right w:w="28" w:type="dxa"/>
            </w:tcMar>
          </w:tcPr>
          <w:p w14:paraId="41D5F7B5" w14:textId="77777777" w:rsidR="00B65AD9" w:rsidRPr="00971B3B" w:rsidRDefault="00B65AD9" w:rsidP="00ED6C2B">
            <w:pPr>
              <w:autoSpaceDE w:val="0"/>
              <w:autoSpaceDN w:val="0"/>
              <w:adjustRightInd w:val="0"/>
              <w:spacing w:after="0" w:line="240" w:lineRule="auto"/>
              <w:ind w:right="-108"/>
              <w:jc w:val="left"/>
              <w:rPr>
                <w:sz w:val="20"/>
              </w:rPr>
            </w:pPr>
            <w:r w:rsidRPr="00971B3B">
              <w:rPr>
                <w:sz w:val="20"/>
              </w:rPr>
              <w:t>F</w:t>
            </w:r>
            <w:r>
              <w:rPr>
                <w:sz w:val="20"/>
              </w:rPr>
              <w:t>looding f</w:t>
            </w:r>
            <w:r w:rsidRPr="00971B3B">
              <w:rPr>
                <w:sz w:val="20"/>
              </w:rPr>
              <w:t>orests</w:t>
            </w:r>
            <w:r>
              <w:rPr>
                <w:sz w:val="20"/>
              </w:rPr>
              <w:t xml:space="preserve"> and/or floodplains</w:t>
            </w:r>
          </w:p>
        </w:tc>
      </w:tr>
      <w:tr w:rsidR="00B65AD9" w14:paraId="5D6B4BE6" w14:textId="77777777" w:rsidTr="00B65AD9">
        <w:trPr>
          <w:gridAfter w:val="1"/>
          <w:wAfter w:w="56" w:type="dxa"/>
        </w:trPr>
        <w:tc>
          <w:tcPr>
            <w:tcW w:w="782" w:type="dxa"/>
            <w:shd w:val="clear" w:color="auto" w:fill="FFFFFF" w:themeFill="background1"/>
            <w:tcMar>
              <w:left w:w="85" w:type="dxa"/>
              <w:right w:w="85" w:type="dxa"/>
            </w:tcMar>
          </w:tcPr>
          <w:p w14:paraId="5A96EA44"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2009-10</w:t>
            </w:r>
          </w:p>
        </w:tc>
        <w:tc>
          <w:tcPr>
            <w:tcW w:w="936" w:type="dxa"/>
            <w:shd w:val="clear" w:color="auto" w:fill="FFFFFF" w:themeFill="background1"/>
          </w:tcPr>
          <w:p w14:paraId="6AA62079" w14:textId="77777777" w:rsidR="00B65AD9" w:rsidRPr="00207FF7" w:rsidRDefault="00B65AD9" w:rsidP="00ED6C2B">
            <w:pPr>
              <w:autoSpaceDE w:val="0"/>
              <w:autoSpaceDN w:val="0"/>
              <w:adjustRightInd w:val="0"/>
              <w:spacing w:after="0" w:line="240" w:lineRule="auto"/>
              <w:jc w:val="center"/>
              <w:rPr>
                <w:b/>
              </w:rPr>
            </w:pPr>
          </w:p>
        </w:tc>
        <w:tc>
          <w:tcPr>
            <w:tcW w:w="1008" w:type="dxa"/>
            <w:shd w:val="clear" w:color="auto" w:fill="FFFFFF" w:themeFill="background1"/>
          </w:tcPr>
          <w:p w14:paraId="02389FC5"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51560BED"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6D146840"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42F05856"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1979A31A"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6A72D756" w14:textId="77777777" w:rsidR="00B65AD9" w:rsidRDefault="00B65AD9" w:rsidP="00ED6C2B">
            <w:pPr>
              <w:autoSpaceDE w:val="0"/>
              <w:autoSpaceDN w:val="0"/>
              <w:adjustRightInd w:val="0"/>
              <w:spacing w:after="0" w:line="240" w:lineRule="auto"/>
              <w:jc w:val="center"/>
            </w:pPr>
          </w:p>
        </w:tc>
        <w:tc>
          <w:tcPr>
            <w:tcW w:w="1090" w:type="dxa"/>
            <w:gridSpan w:val="2"/>
            <w:shd w:val="clear" w:color="auto" w:fill="FFFFFF" w:themeFill="background1"/>
          </w:tcPr>
          <w:p w14:paraId="52BBF59A"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354" w:type="dxa"/>
            <w:shd w:val="clear" w:color="auto" w:fill="FFFFFF" w:themeFill="background1"/>
          </w:tcPr>
          <w:p w14:paraId="0FC9FC5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52E2AF48" w14:textId="77777777" w:rsidR="00B65AD9" w:rsidRDefault="00B65AD9" w:rsidP="00ED6C2B">
            <w:pPr>
              <w:autoSpaceDE w:val="0"/>
              <w:autoSpaceDN w:val="0"/>
              <w:adjustRightInd w:val="0"/>
              <w:spacing w:after="0" w:line="240" w:lineRule="auto"/>
              <w:ind w:right="-392"/>
              <w:jc w:val="left"/>
            </w:pPr>
          </w:p>
        </w:tc>
      </w:tr>
      <w:tr w:rsidR="00B65AD9" w14:paraId="3F4EFA75" w14:textId="77777777" w:rsidTr="00B65AD9">
        <w:trPr>
          <w:gridAfter w:val="1"/>
          <w:wAfter w:w="56" w:type="dxa"/>
        </w:trPr>
        <w:tc>
          <w:tcPr>
            <w:tcW w:w="782" w:type="dxa"/>
            <w:shd w:val="clear" w:color="auto" w:fill="FFFFFF" w:themeFill="background1"/>
            <w:tcMar>
              <w:left w:w="85" w:type="dxa"/>
              <w:right w:w="85" w:type="dxa"/>
            </w:tcMar>
          </w:tcPr>
          <w:p w14:paraId="784BA239"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2010-11</w:t>
            </w:r>
          </w:p>
        </w:tc>
        <w:tc>
          <w:tcPr>
            <w:tcW w:w="936" w:type="dxa"/>
            <w:shd w:val="clear" w:color="auto" w:fill="FFFFFF" w:themeFill="background1"/>
          </w:tcPr>
          <w:p w14:paraId="089B6596" w14:textId="77777777" w:rsidR="00B65AD9" w:rsidRPr="00207FF7" w:rsidRDefault="00B65AD9" w:rsidP="00ED6C2B">
            <w:pPr>
              <w:autoSpaceDE w:val="0"/>
              <w:autoSpaceDN w:val="0"/>
              <w:adjustRightInd w:val="0"/>
              <w:spacing w:after="0" w:line="240" w:lineRule="auto"/>
              <w:jc w:val="center"/>
              <w:rPr>
                <w:b/>
              </w:rPr>
            </w:pPr>
          </w:p>
        </w:tc>
        <w:tc>
          <w:tcPr>
            <w:tcW w:w="1008" w:type="dxa"/>
            <w:shd w:val="clear" w:color="auto" w:fill="FFFFFF" w:themeFill="background1"/>
          </w:tcPr>
          <w:p w14:paraId="4C94EF27"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08A785D6"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1DC60DFA"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5213023E"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3E49D6DF"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31C4F464"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6BE06FD3"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1C2EE724"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4E6622B9" w14:textId="77777777" w:rsidR="00B65AD9" w:rsidRDefault="00B65AD9" w:rsidP="00ED6C2B">
            <w:pPr>
              <w:autoSpaceDE w:val="0"/>
              <w:autoSpaceDN w:val="0"/>
              <w:adjustRightInd w:val="0"/>
              <w:spacing w:after="0" w:line="240" w:lineRule="auto"/>
              <w:ind w:right="-392"/>
              <w:jc w:val="left"/>
            </w:pPr>
            <w:r w:rsidRPr="00207FF7">
              <w:rPr>
                <w:b/>
              </w:rPr>
              <w:sym w:font="Wingdings" w:char="F0FC"/>
            </w:r>
          </w:p>
        </w:tc>
      </w:tr>
      <w:tr w:rsidR="00B65AD9" w14:paraId="1DB9219E" w14:textId="77777777" w:rsidTr="00B65AD9">
        <w:trPr>
          <w:gridAfter w:val="1"/>
          <w:wAfter w:w="56" w:type="dxa"/>
        </w:trPr>
        <w:tc>
          <w:tcPr>
            <w:tcW w:w="782" w:type="dxa"/>
            <w:shd w:val="clear" w:color="auto" w:fill="FFFFFF" w:themeFill="background1"/>
            <w:tcMar>
              <w:left w:w="85" w:type="dxa"/>
              <w:right w:w="85" w:type="dxa"/>
            </w:tcMar>
          </w:tcPr>
          <w:p w14:paraId="53EB3FE2"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2011-12</w:t>
            </w:r>
          </w:p>
        </w:tc>
        <w:tc>
          <w:tcPr>
            <w:tcW w:w="936" w:type="dxa"/>
            <w:shd w:val="clear" w:color="auto" w:fill="FFFFFF" w:themeFill="background1"/>
          </w:tcPr>
          <w:p w14:paraId="02FE91BA"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7B295120" w14:textId="77777777" w:rsidR="00B65AD9" w:rsidRPr="00207FF7" w:rsidRDefault="00B65AD9" w:rsidP="00ED6C2B">
            <w:pPr>
              <w:autoSpaceDE w:val="0"/>
              <w:autoSpaceDN w:val="0"/>
              <w:adjustRightInd w:val="0"/>
              <w:spacing w:after="0" w:line="240" w:lineRule="auto"/>
              <w:jc w:val="center"/>
              <w:rPr>
                <w:b/>
              </w:rPr>
            </w:pPr>
          </w:p>
        </w:tc>
        <w:tc>
          <w:tcPr>
            <w:tcW w:w="868" w:type="dxa"/>
            <w:shd w:val="clear" w:color="auto" w:fill="FFFFFF" w:themeFill="background1"/>
          </w:tcPr>
          <w:p w14:paraId="7B1A408B"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392B1872"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4555A24F"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014082D3"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22E78F21"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286A9A7D"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1CB586E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7B058480" w14:textId="77777777" w:rsidR="00B65AD9" w:rsidRDefault="00B65AD9" w:rsidP="00ED6C2B">
            <w:pPr>
              <w:autoSpaceDE w:val="0"/>
              <w:autoSpaceDN w:val="0"/>
              <w:adjustRightInd w:val="0"/>
              <w:spacing w:after="0" w:line="240" w:lineRule="auto"/>
              <w:ind w:right="-392"/>
              <w:jc w:val="left"/>
            </w:pPr>
          </w:p>
        </w:tc>
      </w:tr>
      <w:tr w:rsidR="00B65AD9" w14:paraId="00C0FB85" w14:textId="77777777" w:rsidTr="00B65AD9">
        <w:trPr>
          <w:gridAfter w:val="1"/>
          <w:wAfter w:w="56" w:type="dxa"/>
        </w:trPr>
        <w:tc>
          <w:tcPr>
            <w:tcW w:w="782" w:type="dxa"/>
            <w:shd w:val="clear" w:color="auto" w:fill="FFFFFF" w:themeFill="background1"/>
            <w:tcMar>
              <w:left w:w="85" w:type="dxa"/>
              <w:right w:w="85" w:type="dxa"/>
            </w:tcMar>
          </w:tcPr>
          <w:p w14:paraId="624B770C"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2012-13</w:t>
            </w:r>
          </w:p>
        </w:tc>
        <w:tc>
          <w:tcPr>
            <w:tcW w:w="936" w:type="dxa"/>
            <w:shd w:val="clear" w:color="auto" w:fill="FFFFFF" w:themeFill="background1"/>
          </w:tcPr>
          <w:p w14:paraId="04230099"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4DDA9D03" w14:textId="77777777" w:rsidR="00B65AD9" w:rsidRDefault="00B65AD9" w:rsidP="00ED6C2B">
            <w:pPr>
              <w:autoSpaceDE w:val="0"/>
              <w:autoSpaceDN w:val="0"/>
              <w:adjustRightInd w:val="0"/>
              <w:spacing w:after="0" w:line="240" w:lineRule="auto"/>
              <w:jc w:val="center"/>
            </w:pPr>
          </w:p>
        </w:tc>
        <w:tc>
          <w:tcPr>
            <w:tcW w:w="868" w:type="dxa"/>
            <w:shd w:val="clear" w:color="auto" w:fill="FFFFFF" w:themeFill="background1"/>
          </w:tcPr>
          <w:p w14:paraId="56C6551B"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11BBBE8F"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6A8A2DF1"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52116704"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00A9F6F3"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13736A5F"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4DC48ACA"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080D4948" w14:textId="77777777" w:rsidR="00B65AD9" w:rsidRDefault="00B65AD9" w:rsidP="00ED6C2B">
            <w:pPr>
              <w:autoSpaceDE w:val="0"/>
              <w:autoSpaceDN w:val="0"/>
              <w:adjustRightInd w:val="0"/>
              <w:spacing w:after="0" w:line="240" w:lineRule="auto"/>
              <w:ind w:right="-392"/>
              <w:jc w:val="left"/>
            </w:pPr>
          </w:p>
        </w:tc>
      </w:tr>
      <w:tr w:rsidR="00B65AD9" w14:paraId="6C6F8307" w14:textId="77777777" w:rsidTr="00B65AD9">
        <w:trPr>
          <w:gridAfter w:val="1"/>
          <w:wAfter w:w="56" w:type="dxa"/>
        </w:trPr>
        <w:tc>
          <w:tcPr>
            <w:tcW w:w="782" w:type="dxa"/>
            <w:shd w:val="clear" w:color="auto" w:fill="FFFFFF" w:themeFill="background1"/>
            <w:tcMar>
              <w:left w:w="85" w:type="dxa"/>
              <w:right w:w="85" w:type="dxa"/>
            </w:tcMar>
          </w:tcPr>
          <w:p w14:paraId="067DBED0"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2013-14</w:t>
            </w:r>
          </w:p>
        </w:tc>
        <w:tc>
          <w:tcPr>
            <w:tcW w:w="936" w:type="dxa"/>
            <w:shd w:val="clear" w:color="auto" w:fill="FFFFFF" w:themeFill="background1"/>
          </w:tcPr>
          <w:p w14:paraId="210DEC76"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2E352100"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473FC50B"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7477167D"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17A6B9B1"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722E6D93"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7A2E9C08"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6924D404"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44E69A0F"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5DB10DE9" w14:textId="77777777" w:rsidR="00B65AD9" w:rsidRDefault="00B65AD9" w:rsidP="00ED6C2B">
            <w:pPr>
              <w:autoSpaceDE w:val="0"/>
              <w:autoSpaceDN w:val="0"/>
              <w:adjustRightInd w:val="0"/>
              <w:spacing w:after="0" w:line="240" w:lineRule="auto"/>
              <w:ind w:right="-392"/>
              <w:jc w:val="left"/>
            </w:pPr>
          </w:p>
        </w:tc>
      </w:tr>
      <w:tr w:rsidR="00B65AD9" w14:paraId="24448194" w14:textId="77777777" w:rsidTr="00B65AD9">
        <w:trPr>
          <w:gridAfter w:val="1"/>
          <w:wAfter w:w="56" w:type="dxa"/>
        </w:trPr>
        <w:tc>
          <w:tcPr>
            <w:tcW w:w="782" w:type="dxa"/>
            <w:shd w:val="clear" w:color="auto" w:fill="FFFFFF" w:themeFill="background1"/>
            <w:tcMar>
              <w:left w:w="85" w:type="dxa"/>
              <w:right w:w="85" w:type="dxa"/>
            </w:tcMar>
          </w:tcPr>
          <w:p w14:paraId="0D028627"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2014-15</w:t>
            </w:r>
          </w:p>
        </w:tc>
        <w:tc>
          <w:tcPr>
            <w:tcW w:w="936" w:type="dxa"/>
            <w:shd w:val="clear" w:color="auto" w:fill="FFFFFF" w:themeFill="background1"/>
          </w:tcPr>
          <w:p w14:paraId="34E13B25"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3FA6BE07"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7AD4E63C"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549187E1"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6E1694C8"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7356B8E2"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60FFBC99"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4DF31538"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0181E4CE" w14:textId="77777777" w:rsidR="00B65AD9" w:rsidRDefault="00B65AD9" w:rsidP="00ED6C2B">
            <w:pPr>
              <w:autoSpaceDE w:val="0"/>
              <w:autoSpaceDN w:val="0"/>
              <w:adjustRightInd w:val="0"/>
              <w:spacing w:after="0" w:line="240" w:lineRule="auto"/>
              <w:ind w:right="-392"/>
              <w:jc w:val="left"/>
            </w:pPr>
          </w:p>
        </w:tc>
        <w:tc>
          <w:tcPr>
            <w:tcW w:w="686" w:type="dxa"/>
            <w:shd w:val="clear" w:color="auto" w:fill="FFFFFF" w:themeFill="background1"/>
          </w:tcPr>
          <w:p w14:paraId="6F33760B" w14:textId="77777777" w:rsidR="00B65AD9" w:rsidRDefault="00B65AD9" w:rsidP="00ED6C2B">
            <w:pPr>
              <w:autoSpaceDE w:val="0"/>
              <w:autoSpaceDN w:val="0"/>
              <w:adjustRightInd w:val="0"/>
              <w:spacing w:after="0" w:line="240" w:lineRule="auto"/>
              <w:ind w:right="-392"/>
              <w:jc w:val="left"/>
            </w:pPr>
          </w:p>
        </w:tc>
      </w:tr>
      <w:tr w:rsidR="00B65AD9" w:rsidRPr="001F0D31" w14:paraId="67333EC4" w14:textId="77777777" w:rsidTr="00B65AD9">
        <w:trPr>
          <w:gridAfter w:val="1"/>
          <w:wAfter w:w="56" w:type="dxa"/>
        </w:trPr>
        <w:tc>
          <w:tcPr>
            <w:tcW w:w="782" w:type="dxa"/>
            <w:shd w:val="clear" w:color="auto" w:fill="FFFFFF" w:themeFill="background1"/>
            <w:tcMar>
              <w:left w:w="85" w:type="dxa"/>
              <w:right w:w="85" w:type="dxa"/>
            </w:tcMar>
          </w:tcPr>
          <w:p w14:paraId="732BDA43"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2015-16</w:t>
            </w:r>
          </w:p>
        </w:tc>
        <w:tc>
          <w:tcPr>
            <w:tcW w:w="936" w:type="dxa"/>
            <w:shd w:val="clear" w:color="auto" w:fill="FFFFFF" w:themeFill="background1"/>
          </w:tcPr>
          <w:p w14:paraId="746131D3"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008" w:type="dxa"/>
            <w:shd w:val="clear" w:color="auto" w:fill="FFFFFF" w:themeFill="background1"/>
          </w:tcPr>
          <w:p w14:paraId="4FC164A9"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68" w:type="dxa"/>
            <w:shd w:val="clear" w:color="auto" w:fill="FFFFFF" w:themeFill="background1"/>
          </w:tcPr>
          <w:p w14:paraId="493F8EB8" w14:textId="77777777" w:rsidR="00B65AD9" w:rsidRDefault="00B65AD9" w:rsidP="00ED6C2B">
            <w:pPr>
              <w:autoSpaceDE w:val="0"/>
              <w:autoSpaceDN w:val="0"/>
              <w:adjustRightInd w:val="0"/>
              <w:spacing w:after="0" w:line="240" w:lineRule="auto"/>
              <w:jc w:val="center"/>
            </w:pPr>
          </w:p>
        </w:tc>
        <w:tc>
          <w:tcPr>
            <w:tcW w:w="828" w:type="dxa"/>
            <w:shd w:val="clear" w:color="auto" w:fill="FFFFFF" w:themeFill="background1"/>
          </w:tcPr>
          <w:p w14:paraId="26531531" w14:textId="77777777" w:rsidR="00B65AD9" w:rsidRDefault="00B65AD9" w:rsidP="00ED6C2B">
            <w:pPr>
              <w:autoSpaceDE w:val="0"/>
              <w:autoSpaceDN w:val="0"/>
              <w:adjustRightInd w:val="0"/>
              <w:spacing w:after="0" w:line="240" w:lineRule="auto"/>
              <w:jc w:val="center"/>
            </w:pPr>
          </w:p>
        </w:tc>
        <w:tc>
          <w:tcPr>
            <w:tcW w:w="518" w:type="dxa"/>
            <w:gridSpan w:val="2"/>
            <w:shd w:val="clear" w:color="auto" w:fill="FFFFFF" w:themeFill="background1"/>
          </w:tcPr>
          <w:p w14:paraId="5C60C54D" w14:textId="77777777" w:rsidR="00B65AD9" w:rsidRDefault="00B65AD9" w:rsidP="00ED6C2B">
            <w:pPr>
              <w:autoSpaceDE w:val="0"/>
              <w:autoSpaceDN w:val="0"/>
              <w:adjustRightInd w:val="0"/>
              <w:spacing w:after="0" w:line="240" w:lineRule="auto"/>
              <w:jc w:val="center"/>
            </w:pPr>
          </w:p>
        </w:tc>
        <w:tc>
          <w:tcPr>
            <w:tcW w:w="1051" w:type="dxa"/>
            <w:shd w:val="clear" w:color="auto" w:fill="FFFFFF" w:themeFill="background1"/>
          </w:tcPr>
          <w:p w14:paraId="077E0646" w14:textId="77777777" w:rsidR="00B65AD9" w:rsidRDefault="00B65AD9" w:rsidP="00ED6C2B">
            <w:pPr>
              <w:autoSpaceDE w:val="0"/>
              <w:autoSpaceDN w:val="0"/>
              <w:adjustRightInd w:val="0"/>
              <w:spacing w:after="0" w:line="240" w:lineRule="auto"/>
              <w:jc w:val="center"/>
            </w:pPr>
          </w:p>
        </w:tc>
        <w:tc>
          <w:tcPr>
            <w:tcW w:w="1132" w:type="dxa"/>
            <w:shd w:val="clear" w:color="auto" w:fill="FFFFFF" w:themeFill="background1"/>
          </w:tcPr>
          <w:p w14:paraId="08C3631B"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1090" w:type="dxa"/>
            <w:gridSpan w:val="2"/>
            <w:shd w:val="clear" w:color="auto" w:fill="FFFFFF" w:themeFill="background1"/>
          </w:tcPr>
          <w:p w14:paraId="4ABDB4B6"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6ACA82E8" w14:textId="77777777" w:rsidR="00B65AD9" w:rsidRPr="001F0D31" w:rsidRDefault="00B65AD9" w:rsidP="00ED6C2B">
            <w:pPr>
              <w:autoSpaceDE w:val="0"/>
              <w:autoSpaceDN w:val="0"/>
              <w:adjustRightInd w:val="0"/>
              <w:spacing w:after="0" w:line="240" w:lineRule="auto"/>
              <w:ind w:right="-392"/>
              <w:jc w:val="left"/>
              <w:rPr>
                <w:highlight w:val="yellow"/>
              </w:rPr>
            </w:pPr>
          </w:p>
        </w:tc>
        <w:tc>
          <w:tcPr>
            <w:tcW w:w="686" w:type="dxa"/>
            <w:shd w:val="clear" w:color="auto" w:fill="FFFFFF" w:themeFill="background1"/>
          </w:tcPr>
          <w:p w14:paraId="760CE17C" w14:textId="77777777" w:rsidR="00B65AD9" w:rsidRPr="001F0D31" w:rsidRDefault="00B65AD9" w:rsidP="00ED6C2B">
            <w:pPr>
              <w:autoSpaceDE w:val="0"/>
              <w:autoSpaceDN w:val="0"/>
              <w:adjustRightInd w:val="0"/>
              <w:spacing w:after="0" w:line="240" w:lineRule="auto"/>
              <w:ind w:right="-392"/>
              <w:jc w:val="left"/>
              <w:rPr>
                <w:highlight w:val="yellow"/>
              </w:rPr>
            </w:pPr>
          </w:p>
        </w:tc>
      </w:tr>
      <w:tr w:rsidR="00B65AD9" w14:paraId="2DA4E3AF" w14:textId="77777777" w:rsidTr="00B65AD9">
        <w:trPr>
          <w:gridAfter w:val="1"/>
          <w:wAfter w:w="56" w:type="dxa"/>
        </w:trPr>
        <w:tc>
          <w:tcPr>
            <w:tcW w:w="782" w:type="dxa"/>
            <w:shd w:val="clear" w:color="auto" w:fill="FFFFFF" w:themeFill="background1"/>
            <w:tcMar>
              <w:left w:w="85" w:type="dxa"/>
              <w:right w:w="85" w:type="dxa"/>
            </w:tcMar>
          </w:tcPr>
          <w:p w14:paraId="33FBD49F"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2016-17</w:t>
            </w:r>
          </w:p>
        </w:tc>
        <w:tc>
          <w:tcPr>
            <w:tcW w:w="936" w:type="dxa"/>
            <w:shd w:val="clear" w:color="auto" w:fill="FFFFFF" w:themeFill="background1"/>
          </w:tcPr>
          <w:p w14:paraId="5F18B56C" w14:textId="77777777" w:rsidR="00B65AD9" w:rsidRPr="00207FF7" w:rsidRDefault="00B65AD9" w:rsidP="00ED6C2B">
            <w:pPr>
              <w:autoSpaceDE w:val="0"/>
              <w:autoSpaceDN w:val="0"/>
              <w:adjustRightInd w:val="0"/>
              <w:spacing w:after="0" w:line="240" w:lineRule="auto"/>
              <w:jc w:val="center"/>
              <w:rPr>
                <w:b/>
              </w:rPr>
            </w:pPr>
            <w:r w:rsidRPr="009F7707">
              <w:rPr>
                <w:b/>
                <w:color w:val="000000" w:themeColor="text1"/>
              </w:rPr>
              <w:sym w:font="Wingdings" w:char="F0FC"/>
            </w:r>
          </w:p>
        </w:tc>
        <w:tc>
          <w:tcPr>
            <w:tcW w:w="1008" w:type="dxa"/>
            <w:shd w:val="clear" w:color="auto" w:fill="FFFFFF" w:themeFill="background1"/>
          </w:tcPr>
          <w:p w14:paraId="51F4CC05" w14:textId="77777777" w:rsidR="00B65AD9" w:rsidRPr="00651BC5" w:rsidRDefault="00B65AD9" w:rsidP="00ED6C2B">
            <w:pPr>
              <w:autoSpaceDE w:val="0"/>
              <w:autoSpaceDN w:val="0"/>
              <w:adjustRightInd w:val="0"/>
              <w:spacing w:after="0" w:line="240" w:lineRule="auto"/>
              <w:jc w:val="center"/>
              <w:rPr>
                <w:b/>
                <w:highlight w:val="yellow"/>
              </w:rPr>
            </w:pPr>
            <w:r w:rsidRPr="00CE3E5D">
              <w:rPr>
                <w:b/>
              </w:rPr>
              <w:sym w:font="Wingdings" w:char="F0FC"/>
            </w:r>
          </w:p>
        </w:tc>
        <w:tc>
          <w:tcPr>
            <w:tcW w:w="868" w:type="dxa"/>
            <w:shd w:val="clear" w:color="auto" w:fill="FFFFFF" w:themeFill="background1"/>
          </w:tcPr>
          <w:p w14:paraId="3743C936" w14:textId="77777777" w:rsidR="00B65AD9" w:rsidRPr="00207FF7" w:rsidRDefault="00B65AD9" w:rsidP="00ED6C2B">
            <w:pPr>
              <w:autoSpaceDE w:val="0"/>
              <w:autoSpaceDN w:val="0"/>
              <w:adjustRightInd w:val="0"/>
              <w:spacing w:after="0" w:line="240" w:lineRule="auto"/>
              <w:jc w:val="center"/>
              <w:rPr>
                <w:b/>
              </w:rPr>
            </w:pPr>
          </w:p>
        </w:tc>
        <w:tc>
          <w:tcPr>
            <w:tcW w:w="828" w:type="dxa"/>
            <w:shd w:val="clear" w:color="auto" w:fill="FFFFFF" w:themeFill="background1"/>
          </w:tcPr>
          <w:p w14:paraId="3E8AFDF3"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753D2B3E"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46B0CCCE" w14:textId="77777777" w:rsidR="00B65AD9" w:rsidRDefault="00B65AD9" w:rsidP="00ED6C2B">
            <w:pPr>
              <w:autoSpaceDE w:val="0"/>
              <w:autoSpaceDN w:val="0"/>
              <w:adjustRightInd w:val="0"/>
              <w:spacing w:after="0" w:line="240" w:lineRule="auto"/>
              <w:jc w:val="center"/>
            </w:pPr>
            <w:r w:rsidRPr="00207FF7">
              <w:rPr>
                <w:b/>
              </w:rPr>
              <w:sym w:font="Wingdings" w:char="F0FC"/>
            </w:r>
          </w:p>
        </w:tc>
        <w:tc>
          <w:tcPr>
            <w:tcW w:w="1132" w:type="dxa"/>
            <w:shd w:val="clear" w:color="auto" w:fill="FFFFFF" w:themeFill="background1"/>
          </w:tcPr>
          <w:p w14:paraId="07ADC83E" w14:textId="77777777" w:rsidR="00B65AD9" w:rsidRPr="009B07A9" w:rsidRDefault="00B65AD9" w:rsidP="00ED6C2B">
            <w:pPr>
              <w:autoSpaceDE w:val="0"/>
              <w:autoSpaceDN w:val="0"/>
              <w:adjustRightInd w:val="0"/>
              <w:spacing w:after="0" w:line="240" w:lineRule="auto"/>
              <w:jc w:val="center"/>
              <w:rPr>
                <w:b/>
              </w:rPr>
            </w:pPr>
            <w:r w:rsidRPr="009B07A9">
              <w:rPr>
                <w:b/>
              </w:rPr>
              <w:sym w:font="Wingdings" w:char="F0FC"/>
            </w:r>
          </w:p>
        </w:tc>
        <w:tc>
          <w:tcPr>
            <w:tcW w:w="1090" w:type="dxa"/>
            <w:gridSpan w:val="2"/>
            <w:shd w:val="clear" w:color="auto" w:fill="FFFFFF" w:themeFill="background1"/>
          </w:tcPr>
          <w:p w14:paraId="30E797FD" w14:textId="77777777" w:rsidR="00B65AD9" w:rsidRDefault="00B65AD9" w:rsidP="00ED6C2B">
            <w:pPr>
              <w:autoSpaceDE w:val="0"/>
              <w:autoSpaceDN w:val="0"/>
              <w:adjustRightInd w:val="0"/>
              <w:spacing w:after="0" w:line="240" w:lineRule="auto"/>
              <w:jc w:val="center"/>
            </w:pPr>
          </w:p>
        </w:tc>
        <w:tc>
          <w:tcPr>
            <w:tcW w:w="354" w:type="dxa"/>
            <w:shd w:val="clear" w:color="auto" w:fill="FFFFFF" w:themeFill="background1"/>
          </w:tcPr>
          <w:p w14:paraId="3FBE97DB" w14:textId="77777777" w:rsidR="00B65AD9" w:rsidRPr="00854927" w:rsidRDefault="00B65AD9" w:rsidP="00ED6C2B">
            <w:pPr>
              <w:autoSpaceDE w:val="0"/>
              <w:autoSpaceDN w:val="0"/>
              <w:adjustRightInd w:val="0"/>
              <w:spacing w:after="0" w:line="240" w:lineRule="auto"/>
              <w:ind w:right="-392"/>
              <w:jc w:val="left"/>
              <w:rPr>
                <w:b/>
                <w:highlight w:val="yellow"/>
              </w:rPr>
            </w:pPr>
          </w:p>
        </w:tc>
        <w:tc>
          <w:tcPr>
            <w:tcW w:w="686" w:type="dxa"/>
            <w:shd w:val="clear" w:color="auto" w:fill="FFFFFF" w:themeFill="background1"/>
          </w:tcPr>
          <w:p w14:paraId="0DD48953" w14:textId="77777777" w:rsidR="00B65AD9" w:rsidRPr="00854927" w:rsidRDefault="00B65AD9" w:rsidP="00ED6C2B">
            <w:pPr>
              <w:autoSpaceDE w:val="0"/>
              <w:autoSpaceDN w:val="0"/>
              <w:adjustRightInd w:val="0"/>
              <w:spacing w:after="0" w:line="240" w:lineRule="auto"/>
              <w:ind w:right="-392"/>
              <w:jc w:val="left"/>
              <w:rPr>
                <w:b/>
                <w:highlight w:val="yellow"/>
              </w:rPr>
            </w:pPr>
            <w:r w:rsidRPr="00207FF7">
              <w:rPr>
                <w:b/>
              </w:rPr>
              <w:sym w:font="Wingdings" w:char="F0FC"/>
            </w:r>
          </w:p>
        </w:tc>
      </w:tr>
      <w:tr w:rsidR="00B65AD9" w14:paraId="2E6747EB" w14:textId="77777777" w:rsidTr="00A54B31">
        <w:trPr>
          <w:gridAfter w:val="1"/>
          <w:wAfter w:w="56" w:type="dxa"/>
        </w:trPr>
        <w:tc>
          <w:tcPr>
            <w:tcW w:w="782" w:type="dxa"/>
            <w:shd w:val="clear" w:color="auto" w:fill="FFFFFF" w:themeFill="background1"/>
            <w:tcMar>
              <w:left w:w="85" w:type="dxa"/>
              <w:right w:w="85" w:type="dxa"/>
            </w:tcMar>
          </w:tcPr>
          <w:p w14:paraId="29BF82B3" w14:textId="77777777" w:rsidR="00B65AD9" w:rsidRPr="002974F7" w:rsidRDefault="00B65AD9" w:rsidP="00ED6C2B">
            <w:pPr>
              <w:autoSpaceDE w:val="0"/>
              <w:autoSpaceDN w:val="0"/>
              <w:adjustRightInd w:val="0"/>
              <w:spacing w:after="0" w:line="240" w:lineRule="auto"/>
              <w:ind w:left="-108"/>
              <w:jc w:val="right"/>
              <w:rPr>
                <w:sz w:val="20"/>
              </w:rPr>
            </w:pPr>
            <w:r w:rsidRPr="002974F7">
              <w:rPr>
                <w:sz w:val="20"/>
              </w:rPr>
              <w:t>2017-18</w:t>
            </w:r>
          </w:p>
        </w:tc>
        <w:tc>
          <w:tcPr>
            <w:tcW w:w="936" w:type="dxa"/>
            <w:shd w:val="clear" w:color="auto" w:fill="FFFFFF" w:themeFill="background1"/>
          </w:tcPr>
          <w:p w14:paraId="3305C380" w14:textId="77777777" w:rsidR="00B65AD9" w:rsidRPr="009F7707" w:rsidRDefault="00B65AD9" w:rsidP="00ED6C2B">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08" w:type="dxa"/>
            <w:shd w:val="clear" w:color="auto" w:fill="FFFFFF" w:themeFill="background1"/>
          </w:tcPr>
          <w:p w14:paraId="7F29E15C" w14:textId="77777777" w:rsidR="00B65AD9" w:rsidRPr="00CE3E5D" w:rsidRDefault="00B65AD9" w:rsidP="00ED6C2B">
            <w:pPr>
              <w:autoSpaceDE w:val="0"/>
              <w:autoSpaceDN w:val="0"/>
              <w:adjustRightInd w:val="0"/>
              <w:spacing w:after="0" w:line="240" w:lineRule="auto"/>
              <w:jc w:val="center"/>
              <w:rPr>
                <w:b/>
              </w:rPr>
            </w:pPr>
            <w:r w:rsidRPr="009F7707">
              <w:rPr>
                <w:b/>
                <w:color w:val="000000" w:themeColor="text1"/>
              </w:rPr>
              <w:sym w:font="Wingdings" w:char="F0FC"/>
            </w:r>
          </w:p>
        </w:tc>
        <w:tc>
          <w:tcPr>
            <w:tcW w:w="868" w:type="dxa"/>
            <w:shd w:val="clear" w:color="auto" w:fill="FFFFFF" w:themeFill="background1"/>
          </w:tcPr>
          <w:p w14:paraId="04B77ACA" w14:textId="77777777" w:rsidR="00B65AD9" w:rsidRPr="00207FF7" w:rsidRDefault="00B65AD9" w:rsidP="00ED6C2B">
            <w:pPr>
              <w:autoSpaceDE w:val="0"/>
              <w:autoSpaceDN w:val="0"/>
              <w:adjustRightInd w:val="0"/>
              <w:spacing w:after="0" w:line="240" w:lineRule="auto"/>
              <w:jc w:val="center"/>
              <w:rPr>
                <w:b/>
              </w:rPr>
            </w:pPr>
            <w:r w:rsidRPr="00207FF7">
              <w:rPr>
                <w:b/>
              </w:rPr>
              <w:sym w:font="Wingdings" w:char="F0FC"/>
            </w:r>
          </w:p>
        </w:tc>
        <w:tc>
          <w:tcPr>
            <w:tcW w:w="828" w:type="dxa"/>
            <w:shd w:val="clear" w:color="auto" w:fill="FFFFFF" w:themeFill="background1"/>
          </w:tcPr>
          <w:p w14:paraId="0DEE4E4F" w14:textId="77777777" w:rsidR="00B65AD9" w:rsidRPr="00207FF7" w:rsidRDefault="00B65AD9" w:rsidP="00ED6C2B">
            <w:pPr>
              <w:autoSpaceDE w:val="0"/>
              <w:autoSpaceDN w:val="0"/>
              <w:adjustRightInd w:val="0"/>
              <w:spacing w:after="0" w:line="240" w:lineRule="auto"/>
              <w:jc w:val="center"/>
              <w:rPr>
                <w:b/>
              </w:rPr>
            </w:pPr>
          </w:p>
        </w:tc>
        <w:tc>
          <w:tcPr>
            <w:tcW w:w="518" w:type="dxa"/>
            <w:gridSpan w:val="2"/>
            <w:shd w:val="clear" w:color="auto" w:fill="FFFFFF" w:themeFill="background1"/>
          </w:tcPr>
          <w:p w14:paraId="0A3EE5A6" w14:textId="77777777" w:rsidR="00B65AD9" w:rsidRPr="00207FF7" w:rsidRDefault="00B65AD9" w:rsidP="00ED6C2B">
            <w:pPr>
              <w:autoSpaceDE w:val="0"/>
              <w:autoSpaceDN w:val="0"/>
              <w:adjustRightInd w:val="0"/>
              <w:spacing w:after="0" w:line="240" w:lineRule="auto"/>
              <w:jc w:val="center"/>
              <w:rPr>
                <w:b/>
              </w:rPr>
            </w:pPr>
          </w:p>
        </w:tc>
        <w:tc>
          <w:tcPr>
            <w:tcW w:w="1051" w:type="dxa"/>
            <w:shd w:val="clear" w:color="auto" w:fill="FFFFFF" w:themeFill="background1"/>
          </w:tcPr>
          <w:p w14:paraId="29FCC695" w14:textId="77777777" w:rsidR="00B65AD9" w:rsidRPr="00207FF7" w:rsidRDefault="00B65AD9" w:rsidP="00ED6C2B">
            <w:pPr>
              <w:autoSpaceDE w:val="0"/>
              <w:autoSpaceDN w:val="0"/>
              <w:adjustRightInd w:val="0"/>
              <w:spacing w:after="0" w:line="240" w:lineRule="auto"/>
              <w:jc w:val="center"/>
              <w:rPr>
                <w:b/>
              </w:rPr>
            </w:pPr>
          </w:p>
        </w:tc>
        <w:tc>
          <w:tcPr>
            <w:tcW w:w="1132" w:type="dxa"/>
            <w:shd w:val="clear" w:color="auto" w:fill="FFFFFF" w:themeFill="background1"/>
          </w:tcPr>
          <w:p w14:paraId="615AFB39" w14:textId="77777777" w:rsidR="00B65AD9" w:rsidRPr="009F7707" w:rsidRDefault="00B65AD9" w:rsidP="00ED6C2B">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90" w:type="dxa"/>
            <w:gridSpan w:val="2"/>
            <w:shd w:val="clear" w:color="auto" w:fill="FFFFFF" w:themeFill="background1"/>
          </w:tcPr>
          <w:p w14:paraId="7A64A347" w14:textId="77777777" w:rsidR="00B65AD9" w:rsidRPr="009B07A9" w:rsidRDefault="00B65AD9" w:rsidP="00ED6C2B">
            <w:pPr>
              <w:autoSpaceDE w:val="0"/>
              <w:autoSpaceDN w:val="0"/>
              <w:adjustRightInd w:val="0"/>
              <w:spacing w:after="0" w:line="240" w:lineRule="auto"/>
              <w:jc w:val="center"/>
              <w:rPr>
                <w:b/>
              </w:rPr>
            </w:pPr>
          </w:p>
        </w:tc>
        <w:tc>
          <w:tcPr>
            <w:tcW w:w="354" w:type="dxa"/>
            <w:shd w:val="clear" w:color="auto" w:fill="FFFFFF" w:themeFill="background1"/>
          </w:tcPr>
          <w:p w14:paraId="01D8D860" w14:textId="77777777" w:rsidR="00B65AD9" w:rsidRPr="00854927" w:rsidRDefault="00B65AD9" w:rsidP="00ED6C2B">
            <w:pPr>
              <w:autoSpaceDE w:val="0"/>
              <w:autoSpaceDN w:val="0"/>
              <w:adjustRightInd w:val="0"/>
              <w:spacing w:after="0" w:line="240" w:lineRule="auto"/>
              <w:ind w:right="-392"/>
              <w:jc w:val="left"/>
              <w:rPr>
                <w:b/>
                <w:highlight w:val="yellow"/>
              </w:rPr>
            </w:pPr>
          </w:p>
        </w:tc>
        <w:tc>
          <w:tcPr>
            <w:tcW w:w="686" w:type="dxa"/>
            <w:shd w:val="clear" w:color="auto" w:fill="FFFFFF" w:themeFill="background1"/>
          </w:tcPr>
          <w:p w14:paraId="76F19ED5" w14:textId="77777777" w:rsidR="00B65AD9" w:rsidRPr="00854927" w:rsidRDefault="00B65AD9" w:rsidP="00ED6C2B">
            <w:pPr>
              <w:autoSpaceDE w:val="0"/>
              <w:autoSpaceDN w:val="0"/>
              <w:adjustRightInd w:val="0"/>
              <w:spacing w:after="0" w:line="240" w:lineRule="auto"/>
              <w:ind w:right="-392"/>
              <w:jc w:val="left"/>
              <w:rPr>
                <w:b/>
                <w:highlight w:val="yellow"/>
              </w:rPr>
            </w:pPr>
          </w:p>
        </w:tc>
      </w:tr>
      <w:tr w:rsidR="00A54B31" w14:paraId="5BA5C312" w14:textId="77777777" w:rsidTr="00B65AD9">
        <w:trPr>
          <w:gridAfter w:val="1"/>
          <w:wAfter w:w="56" w:type="dxa"/>
        </w:trPr>
        <w:tc>
          <w:tcPr>
            <w:tcW w:w="782" w:type="dxa"/>
            <w:tcBorders>
              <w:bottom w:val="single" w:sz="12" w:space="0" w:color="auto"/>
            </w:tcBorders>
            <w:shd w:val="clear" w:color="auto" w:fill="FFFFFF" w:themeFill="background1"/>
            <w:tcMar>
              <w:left w:w="85" w:type="dxa"/>
              <w:right w:w="85" w:type="dxa"/>
            </w:tcMar>
          </w:tcPr>
          <w:p w14:paraId="68015207" w14:textId="01397391" w:rsidR="00A54B31" w:rsidRPr="002974F7" w:rsidRDefault="00A54B31" w:rsidP="00A54B31">
            <w:pPr>
              <w:autoSpaceDE w:val="0"/>
              <w:autoSpaceDN w:val="0"/>
              <w:adjustRightInd w:val="0"/>
              <w:spacing w:after="0" w:line="240" w:lineRule="auto"/>
              <w:ind w:left="-108"/>
              <w:jc w:val="right"/>
              <w:rPr>
                <w:sz w:val="20"/>
              </w:rPr>
            </w:pPr>
            <w:r>
              <w:rPr>
                <w:sz w:val="20"/>
              </w:rPr>
              <w:t>2018-19</w:t>
            </w:r>
          </w:p>
        </w:tc>
        <w:tc>
          <w:tcPr>
            <w:tcW w:w="936" w:type="dxa"/>
            <w:tcBorders>
              <w:bottom w:val="single" w:sz="12" w:space="0" w:color="auto"/>
            </w:tcBorders>
            <w:shd w:val="clear" w:color="auto" w:fill="FFFFFF" w:themeFill="background1"/>
          </w:tcPr>
          <w:p w14:paraId="15B4D579" w14:textId="65DFBE55" w:rsidR="00A54B31" w:rsidRPr="009F7707" w:rsidRDefault="00A54B31" w:rsidP="00A54B31">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08" w:type="dxa"/>
            <w:tcBorders>
              <w:bottom w:val="single" w:sz="12" w:space="0" w:color="auto"/>
            </w:tcBorders>
            <w:shd w:val="clear" w:color="auto" w:fill="FFFFFF" w:themeFill="background1"/>
          </w:tcPr>
          <w:p w14:paraId="556E5142" w14:textId="5395A63C" w:rsidR="00A54B31" w:rsidRPr="009F7707" w:rsidRDefault="00A54B31" w:rsidP="00A54B31">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868" w:type="dxa"/>
            <w:tcBorders>
              <w:bottom w:val="single" w:sz="12" w:space="0" w:color="auto"/>
            </w:tcBorders>
            <w:shd w:val="clear" w:color="auto" w:fill="FFFFFF" w:themeFill="background1"/>
          </w:tcPr>
          <w:p w14:paraId="043023B4" w14:textId="490CD4F2" w:rsidR="00A54B31" w:rsidRPr="00207FF7" w:rsidRDefault="00A54B31" w:rsidP="00A54B31">
            <w:pPr>
              <w:autoSpaceDE w:val="0"/>
              <w:autoSpaceDN w:val="0"/>
              <w:adjustRightInd w:val="0"/>
              <w:spacing w:after="0" w:line="240" w:lineRule="auto"/>
              <w:jc w:val="center"/>
              <w:rPr>
                <w:b/>
              </w:rPr>
            </w:pPr>
          </w:p>
        </w:tc>
        <w:tc>
          <w:tcPr>
            <w:tcW w:w="828" w:type="dxa"/>
            <w:tcBorders>
              <w:bottom w:val="single" w:sz="12" w:space="0" w:color="auto"/>
            </w:tcBorders>
            <w:shd w:val="clear" w:color="auto" w:fill="FFFFFF" w:themeFill="background1"/>
          </w:tcPr>
          <w:p w14:paraId="45D651E2" w14:textId="77777777" w:rsidR="00A54B31" w:rsidRPr="00207FF7" w:rsidRDefault="00A54B31" w:rsidP="00A54B31">
            <w:pPr>
              <w:autoSpaceDE w:val="0"/>
              <w:autoSpaceDN w:val="0"/>
              <w:adjustRightInd w:val="0"/>
              <w:spacing w:after="0" w:line="240" w:lineRule="auto"/>
              <w:jc w:val="center"/>
              <w:rPr>
                <w:b/>
              </w:rPr>
            </w:pPr>
          </w:p>
        </w:tc>
        <w:tc>
          <w:tcPr>
            <w:tcW w:w="518" w:type="dxa"/>
            <w:gridSpan w:val="2"/>
            <w:tcBorders>
              <w:bottom w:val="single" w:sz="12" w:space="0" w:color="auto"/>
            </w:tcBorders>
            <w:shd w:val="clear" w:color="auto" w:fill="FFFFFF" w:themeFill="background1"/>
          </w:tcPr>
          <w:p w14:paraId="4A102C5C" w14:textId="77777777" w:rsidR="00A54B31" w:rsidRPr="00207FF7" w:rsidRDefault="00A54B31" w:rsidP="00A54B31">
            <w:pPr>
              <w:autoSpaceDE w:val="0"/>
              <w:autoSpaceDN w:val="0"/>
              <w:adjustRightInd w:val="0"/>
              <w:spacing w:after="0" w:line="240" w:lineRule="auto"/>
              <w:jc w:val="center"/>
              <w:rPr>
                <w:b/>
              </w:rPr>
            </w:pPr>
          </w:p>
        </w:tc>
        <w:tc>
          <w:tcPr>
            <w:tcW w:w="1051" w:type="dxa"/>
            <w:tcBorders>
              <w:bottom w:val="single" w:sz="12" w:space="0" w:color="auto"/>
            </w:tcBorders>
            <w:shd w:val="clear" w:color="auto" w:fill="FFFFFF" w:themeFill="background1"/>
          </w:tcPr>
          <w:p w14:paraId="6982966B" w14:textId="77777777" w:rsidR="00A54B31" w:rsidRPr="00207FF7" w:rsidRDefault="00A54B31" w:rsidP="00A54B31">
            <w:pPr>
              <w:autoSpaceDE w:val="0"/>
              <w:autoSpaceDN w:val="0"/>
              <w:adjustRightInd w:val="0"/>
              <w:spacing w:after="0" w:line="240" w:lineRule="auto"/>
              <w:jc w:val="center"/>
              <w:rPr>
                <w:b/>
              </w:rPr>
            </w:pPr>
          </w:p>
        </w:tc>
        <w:tc>
          <w:tcPr>
            <w:tcW w:w="1132" w:type="dxa"/>
            <w:tcBorders>
              <w:bottom w:val="single" w:sz="12" w:space="0" w:color="auto"/>
            </w:tcBorders>
            <w:shd w:val="clear" w:color="auto" w:fill="FFFFFF" w:themeFill="background1"/>
          </w:tcPr>
          <w:p w14:paraId="51D16E45" w14:textId="2536F975" w:rsidR="00A54B31" w:rsidRPr="009F7707" w:rsidRDefault="00A54B31" w:rsidP="00A54B31">
            <w:pPr>
              <w:autoSpaceDE w:val="0"/>
              <w:autoSpaceDN w:val="0"/>
              <w:adjustRightInd w:val="0"/>
              <w:spacing w:after="0" w:line="240" w:lineRule="auto"/>
              <w:jc w:val="center"/>
              <w:rPr>
                <w:b/>
                <w:color w:val="000000" w:themeColor="text1"/>
              </w:rPr>
            </w:pPr>
            <w:r w:rsidRPr="009F7707">
              <w:rPr>
                <w:b/>
                <w:color w:val="000000" w:themeColor="text1"/>
              </w:rPr>
              <w:sym w:font="Wingdings" w:char="F0FC"/>
            </w:r>
          </w:p>
        </w:tc>
        <w:tc>
          <w:tcPr>
            <w:tcW w:w="1090" w:type="dxa"/>
            <w:gridSpan w:val="2"/>
            <w:tcBorders>
              <w:bottom w:val="single" w:sz="12" w:space="0" w:color="auto"/>
            </w:tcBorders>
            <w:shd w:val="clear" w:color="auto" w:fill="FFFFFF" w:themeFill="background1"/>
          </w:tcPr>
          <w:p w14:paraId="6A804061" w14:textId="77777777" w:rsidR="00A54B31" w:rsidRPr="009B07A9" w:rsidRDefault="00A54B31" w:rsidP="00A54B31">
            <w:pPr>
              <w:autoSpaceDE w:val="0"/>
              <w:autoSpaceDN w:val="0"/>
              <w:adjustRightInd w:val="0"/>
              <w:spacing w:after="0" w:line="240" w:lineRule="auto"/>
              <w:jc w:val="center"/>
              <w:rPr>
                <w:b/>
              </w:rPr>
            </w:pPr>
          </w:p>
        </w:tc>
        <w:tc>
          <w:tcPr>
            <w:tcW w:w="354" w:type="dxa"/>
            <w:tcBorders>
              <w:bottom w:val="single" w:sz="12" w:space="0" w:color="auto"/>
            </w:tcBorders>
            <w:shd w:val="clear" w:color="auto" w:fill="FFFFFF" w:themeFill="background1"/>
          </w:tcPr>
          <w:p w14:paraId="5532B7FB" w14:textId="77777777" w:rsidR="00A54B31" w:rsidRPr="00854927" w:rsidRDefault="00A54B31" w:rsidP="00A54B31">
            <w:pPr>
              <w:autoSpaceDE w:val="0"/>
              <w:autoSpaceDN w:val="0"/>
              <w:adjustRightInd w:val="0"/>
              <w:spacing w:after="0" w:line="240" w:lineRule="auto"/>
              <w:ind w:right="-392"/>
              <w:jc w:val="left"/>
              <w:rPr>
                <w:b/>
                <w:highlight w:val="yellow"/>
              </w:rPr>
            </w:pPr>
          </w:p>
        </w:tc>
        <w:tc>
          <w:tcPr>
            <w:tcW w:w="686" w:type="dxa"/>
            <w:tcBorders>
              <w:bottom w:val="single" w:sz="12" w:space="0" w:color="auto"/>
            </w:tcBorders>
            <w:shd w:val="clear" w:color="auto" w:fill="FFFFFF" w:themeFill="background1"/>
          </w:tcPr>
          <w:p w14:paraId="15C903DC" w14:textId="77777777" w:rsidR="00A54B31" w:rsidRPr="00854927" w:rsidRDefault="00A54B31" w:rsidP="00A54B31">
            <w:pPr>
              <w:autoSpaceDE w:val="0"/>
              <w:autoSpaceDN w:val="0"/>
              <w:adjustRightInd w:val="0"/>
              <w:spacing w:after="0" w:line="240" w:lineRule="auto"/>
              <w:ind w:right="-392"/>
              <w:jc w:val="left"/>
              <w:rPr>
                <w:b/>
                <w:highlight w:val="yellow"/>
              </w:rPr>
            </w:pPr>
          </w:p>
        </w:tc>
      </w:tr>
    </w:tbl>
    <w:p w14:paraId="21355FC8" w14:textId="77777777" w:rsidR="00B65AD9" w:rsidRPr="00D63EC6" w:rsidRDefault="00B65AD9" w:rsidP="00B65AD9">
      <w:pPr>
        <w:autoSpaceDE w:val="0"/>
        <w:autoSpaceDN w:val="0"/>
        <w:adjustRightInd w:val="0"/>
        <w:spacing w:after="0" w:line="240" w:lineRule="auto"/>
        <w:ind w:right="-330"/>
        <w:jc w:val="left"/>
        <w:rPr>
          <w:sz w:val="18"/>
          <w:szCs w:val="18"/>
        </w:rPr>
      </w:pPr>
      <w:r w:rsidRPr="00D63EC6">
        <w:rPr>
          <w:sz w:val="18"/>
          <w:szCs w:val="18"/>
          <w:vertAlign w:val="superscript"/>
        </w:rPr>
        <w:t>1</w:t>
      </w:r>
      <w:r w:rsidRPr="00D63EC6">
        <w:rPr>
          <w:sz w:val="18"/>
          <w:szCs w:val="18"/>
        </w:rPr>
        <w:t xml:space="preserve"> Delivery of larger within channel freshes to the Wakool River and Yallakool Creek is not possible under current operational constraints (e.g. constrained to 600 ML/d at the confluence of the Wakool River and Yallakool Creek).</w:t>
      </w:r>
    </w:p>
    <w:p w14:paraId="17A8325B" w14:textId="77777777" w:rsidR="00B65AD9" w:rsidRPr="00DD67AB" w:rsidRDefault="00B65AD9" w:rsidP="00B65AD9">
      <w:pPr>
        <w:autoSpaceDE w:val="0"/>
        <w:autoSpaceDN w:val="0"/>
        <w:adjustRightInd w:val="0"/>
        <w:spacing w:after="0" w:line="240" w:lineRule="auto"/>
        <w:ind w:right="-330"/>
        <w:jc w:val="left"/>
        <w:rPr>
          <w:sz w:val="18"/>
          <w:szCs w:val="18"/>
        </w:rPr>
      </w:pPr>
      <w:r>
        <w:rPr>
          <w:sz w:val="18"/>
          <w:szCs w:val="18"/>
          <w:vertAlign w:val="superscript"/>
        </w:rPr>
        <w:t>2</w:t>
      </w:r>
      <w:r w:rsidRPr="00D63EC6">
        <w:rPr>
          <w:sz w:val="18"/>
          <w:szCs w:val="18"/>
        </w:rPr>
        <w:t xml:space="preserve"> </w:t>
      </w:r>
      <w:r w:rsidRPr="00DD67AB">
        <w:rPr>
          <w:sz w:val="18"/>
          <w:szCs w:val="18"/>
        </w:rPr>
        <w:t>Some of the watering actions in ephemeral creeks done jointly with NSW Office of Environment and Heritage</w:t>
      </w:r>
    </w:p>
    <w:p w14:paraId="31B57E92" w14:textId="77777777" w:rsidR="002C6CD1" w:rsidRDefault="002C6CD1" w:rsidP="00EE14FF">
      <w:pPr>
        <w:spacing w:after="0" w:line="240" w:lineRule="auto"/>
        <w:jc w:val="left"/>
        <w:rPr>
          <w:rFonts w:asciiTheme="minorHAnsi" w:hAnsiTheme="minorHAnsi" w:cstheme="minorHAnsi"/>
          <w:b/>
          <w:spacing w:val="-1"/>
          <w:szCs w:val="22"/>
        </w:rPr>
      </w:pPr>
    </w:p>
    <w:p w14:paraId="59D2F224" w14:textId="22C3AB6E" w:rsidR="00EE14FF" w:rsidRPr="0079490A" w:rsidRDefault="0079490A" w:rsidP="0079490A">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2.3</w:t>
      </w:r>
      <w:r w:rsidR="003E0419" w:rsidRPr="0079490A">
        <w:rPr>
          <w:b/>
          <w:color w:val="31849B" w:themeColor="accent5" w:themeShade="BF"/>
          <w:sz w:val="28"/>
          <w:szCs w:val="28"/>
        </w:rPr>
        <w:t xml:space="preserve"> </w:t>
      </w:r>
      <w:r w:rsidR="0028536F" w:rsidRPr="0079490A">
        <w:rPr>
          <w:b/>
          <w:color w:val="31849B" w:themeColor="accent5" w:themeShade="BF"/>
          <w:sz w:val="28"/>
          <w:szCs w:val="28"/>
        </w:rPr>
        <w:t xml:space="preserve">  </w:t>
      </w:r>
      <w:r w:rsidR="00FF24D3" w:rsidRPr="0079490A">
        <w:rPr>
          <w:b/>
          <w:color w:val="31849B" w:themeColor="accent5" w:themeShade="BF"/>
          <w:sz w:val="28"/>
          <w:szCs w:val="28"/>
        </w:rPr>
        <w:t>Environmental Watering Priorities for 201</w:t>
      </w:r>
      <w:r w:rsidR="00A54B31">
        <w:rPr>
          <w:b/>
          <w:color w:val="31849B" w:themeColor="accent5" w:themeShade="BF"/>
          <w:sz w:val="28"/>
          <w:szCs w:val="28"/>
        </w:rPr>
        <w:t>9-20</w:t>
      </w:r>
    </w:p>
    <w:p w14:paraId="4D82C7CC" w14:textId="74C2C8B6" w:rsidR="00EE14FF" w:rsidRPr="003349E0" w:rsidRDefault="00EE14FF" w:rsidP="00125BD7">
      <w:pPr>
        <w:spacing w:after="120" w:line="320" w:lineRule="exact"/>
        <w:rPr>
          <w:b/>
          <w:bCs/>
          <w:i/>
          <w:color w:val="31849B" w:themeColor="accent5" w:themeShade="BF"/>
        </w:rPr>
      </w:pPr>
      <w:r w:rsidRPr="003349E0">
        <w:rPr>
          <w:b/>
          <w:i/>
          <w:color w:val="31849B" w:themeColor="accent5" w:themeShade="BF"/>
        </w:rPr>
        <w:t>CEWO Portfolio management Plan for the Mid-Murray in 201</w:t>
      </w:r>
      <w:r w:rsidR="00A54B31">
        <w:rPr>
          <w:b/>
          <w:i/>
          <w:color w:val="31849B" w:themeColor="accent5" w:themeShade="BF"/>
        </w:rPr>
        <w:t>9</w:t>
      </w:r>
      <w:r w:rsidRPr="003349E0">
        <w:rPr>
          <w:rFonts w:cs="Century Gothic"/>
          <w:b/>
          <w:i/>
          <w:color w:val="31849B" w:themeColor="accent5" w:themeShade="BF"/>
        </w:rPr>
        <w:t>–</w:t>
      </w:r>
      <w:r w:rsidR="00A54B31">
        <w:rPr>
          <w:b/>
          <w:i/>
          <w:color w:val="31849B" w:themeColor="accent5" w:themeShade="BF"/>
        </w:rPr>
        <w:t>20</w:t>
      </w:r>
    </w:p>
    <w:p w14:paraId="0CB3EF8A" w14:textId="2D089845" w:rsidR="00A54B31" w:rsidRDefault="00A54B31" w:rsidP="00125BD7">
      <w:pPr>
        <w:spacing w:after="120" w:line="259" w:lineRule="auto"/>
        <w:jc w:val="left"/>
      </w:pPr>
      <w:r>
        <w:rPr>
          <w:rFonts w:asciiTheme="minorHAnsi" w:hAnsiTheme="minorHAnsi" w:cstheme="minorHAnsi"/>
          <w:color w:val="000000" w:themeColor="text1"/>
          <w:szCs w:val="22"/>
        </w:rPr>
        <w:t xml:space="preserve">The </w:t>
      </w:r>
      <w:r w:rsidRPr="00A54B31">
        <w:rPr>
          <w:bCs/>
        </w:rPr>
        <w:t>antecedent and catchment conditions and the demand for environmental water in 2019–20</w:t>
      </w:r>
      <w:r>
        <w:rPr>
          <w:bCs/>
        </w:rPr>
        <w:t xml:space="preserve"> in the </w:t>
      </w:r>
      <w:r w:rsidR="00125BD7">
        <w:rPr>
          <w:iCs/>
        </w:rPr>
        <w:t>Edward</w:t>
      </w:r>
      <w:r w:rsidR="0091645A">
        <w:rPr>
          <w:iCs/>
        </w:rPr>
        <w:t>/Kolety</w:t>
      </w:r>
      <w:r w:rsidR="00125BD7">
        <w:rPr>
          <w:iCs/>
        </w:rPr>
        <w:t xml:space="preserve">-Wakool system was described as being </w:t>
      </w:r>
      <w:r w:rsidRPr="00FA39F5">
        <w:t>a moderate to high demand for environmental water in the Edward</w:t>
      </w:r>
      <w:r w:rsidR="0091645A">
        <w:t>/Kolety</w:t>
      </w:r>
      <w:r w:rsidRPr="00FA39F5">
        <w:t>-Wakool system</w:t>
      </w:r>
      <w:r w:rsidR="00125BD7">
        <w:t xml:space="preserve"> (CEWO 2019). It was described that f</w:t>
      </w:r>
      <w:r w:rsidRPr="00FA39F5">
        <w:t>lows would seek to support the recovery of large bodied native fish and instream aquatic plants after the 2016 flood and hypoxic blackwater event. Where possible, this includes providing winter base flows and preventing cease-to-flow conditions in the Yallakool-Wakool and Colligen-Niemur systems, and also the maintenance of breeding habitat and unobstructed movement pathways between interconnected streams and channels.</w:t>
      </w:r>
    </w:p>
    <w:p w14:paraId="203C1FBF" w14:textId="64CE8369" w:rsidR="00AB37ED" w:rsidRDefault="00A54B31" w:rsidP="00AB37ED">
      <w:pPr>
        <w:pStyle w:val="NormalWeb"/>
        <w:spacing w:before="0" w:beforeAutospacing="0" w:after="240" w:afterAutospacing="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The Commonwealth environmental water portfolio management plan (CEWO 2019</w:t>
      </w:r>
      <w:r w:rsidR="00AB37ED" w:rsidRPr="00AB37ED">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 xml:space="preserve">outlines the environmental water objectives for the mid-Murray region for 2019-20 (Table 2.4). </w:t>
      </w:r>
    </w:p>
    <w:p w14:paraId="2CD6CB93" w14:textId="77777777" w:rsidR="00125BD7" w:rsidRDefault="00125BD7">
      <w:pPr>
        <w:spacing w:after="0" w:line="240" w:lineRule="auto"/>
        <w:jc w:val="left"/>
        <w:rPr>
          <w:rFonts w:asciiTheme="minorHAnsi" w:eastAsia="Times New Roman" w:hAnsiTheme="minorHAnsi" w:cstheme="minorHAnsi"/>
          <w:color w:val="000000" w:themeColor="text1"/>
          <w:szCs w:val="22"/>
          <w:lang w:eastAsia="en-AU"/>
        </w:rPr>
      </w:pPr>
      <w:r>
        <w:rPr>
          <w:rFonts w:asciiTheme="minorHAnsi" w:hAnsiTheme="minorHAnsi" w:cstheme="minorHAnsi"/>
          <w:color w:val="000000" w:themeColor="text1"/>
          <w:szCs w:val="22"/>
        </w:rPr>
        <w:br w:type="page"/>
      </w:r>
    </w:p>
    <w:p w14:paraId="28901B49" w14:textId="76222820" w:rsidR="00125BD7" w:rsidRDefault="00125BD7" w:rsidP="00125BD7">
      <w:pPr>
        <w:pStyle w:val="NormalWeb"/>
        <w:spacing w:before="0" w:beforeAutospacing="0" w:after="0" w:afterAutospacing="0"/>
        <w:rPr>
          <w:rFonts w:asciiTheme="minorHAnsi" w:hAnsiTheme="minorHAnsi" w:cstheme="minorHAnsi"/>
          <w:color w:val="000000" w:themeColor="text1"/>
          <w:sz w:val="22"/>
          <w:szCs w:val="22"/>
        </w:rPr>
      </w:pPr>
      <w:r w:rsidRPr="00125BD7">
        <w:rPr>
          <w:rFonts w:asciiTheme="minorHAnsi" w:hAnsiTheme="minorHAnsi" w:cstheme="minorHAnsi"/>
          <w:b/>
          <w:color w:val="000000" w:themeColor="text1"/>
          <w:sz w:val="22"/>
          <w:szCs w:val="22"/>
        </w:rPr>
        <w:t>Table 2.4</w:t>
      </w:r>
      <w:r>
        <w:rPr>
          <w:rFonts w:asciiTheme="minorHAnsi" w:hAnsiTheme="minorHAnsi" w:cstheme="minorHAnsi"/>
          <w:color w:val="000000" w:themeColor="text1"/>
          <w:sz w:val="22"/>
          <w:szCs w:val="22"/>
        </w:rPr>
        <w:t xml:space="preserve"> Summary of objectives being targeted by environmental watering in the Mid-Murray Region. Source CEWO (2019).</w:t>
      </w:r>
    </w:p>
    <w:p w14:paraId="4AE0AF69" w14:textId="6FD91702" w:rsidR="00125BD7" w:rsidRDefault="00125BD7" w:rsidP="00B94D0F">
      <w:pPr>
        <w:pStyle w:val="NormalWeb"/>
        <w:spacing w:before="0" w:beforeAutospacing="0" w:after="120" w:afterAutospacing="0"/>
        <w:rPr>
          <w:rFonts w:asciiTheme="minorHAnsi" w:hAnsiTheme="minorHAnsi" w:cstheme="minorHAnsi"/>
          <w:color w:val="000000" w:themeColor="text1"/>
          <w:sz w:val="22"/>
          <w:szCs w:val="22"/>
        </w:rPr>
      </w:pPr>
      <w:r>
        <w:rPr>
          <w:noProof/>
        </w:rPr>
        <w:drawing>
          <wp:inline distT="0" distB="0" distL="0" distR="0" wp14:anchorId="7654A17B" wp14:editId="30EDAC3B">
            <wp:extent cx="4552839" cy="57960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552839" cy="5796000"/>
                    </a:xfrm>
                    <a:prstGeom prst="rect">
                      <a:avLst/>
                    </a:prstGeom>
                    <a:ln>
                      <a:noFill/>
                    </a:ln>
                    <a:extLst>
                      <a:ext uri="{53640926-AAD7-44D8-BBD7-CCE9431645EC}">
                        <a14:shadowObscured xmlns:a14="http://schemas.microsoft.com/office/drawing/2010/main"/>
                      </a:ext>
                    </a:extLst>
                  </pic:spPr>
                </pic:pic>
              </a:graphicData>
            </a:graphic>
          </wp:inline>
        </w:drawing>
      </w:r>
    </w:p>
    <w:p w14:paraId="32B3ECE0" w14:textId="5F95C792" w:rsidR="00AD29FC" w:rsidRDefault="00125BD7" w:rsidP="00B94D0F">
      <w:pPr>
        <w:spacing w:after="0" w:line="257" w:lineRule="auto"/>
        <w:contextualSpacing/>
        <w:jc w:val="left"/>
        <w:rPr>
          <w:rFonts w:asciiTheme="minorHAnsi" w:hAnsiTheme="minorHAnsi" w:cstheme="minorHAnsi"/>
          <w:szCs w:val="22"/>
        </w:rPr>
      </w:pPr>
      <w:r w:rsidRPr="00125BD7">
        <w:rPr>
          <w:rFonts w:asciiTheme="minorHAnsi" w:hAnsiTheme="minorHAnsi" w:cstheme="minorHAnsi"/>
          <w:szCs w:val="22"/>
        </w:rPr>
        <w:t>C</w:t>
      </w:r>
      <w:r>
        <w:rPr>
          <w:rFonts w:asciiTheme="minorHAnsi" w:hAnsiTheme="minorHAnsi" w:cstheme="minorHAnsi"/>
          <w:szCs w:val="22"/>
        </w:rPr>
        <w:t>onsiderations for water delivery in 2019-20 were described by CEWO (2019) as follows:</w:t>
      </w:r>
    </w:p>
    <w:p w14:paraId="567BBF0D" w14:textId="77777777" w:rsidR="00125BD7" w:rsidRDefault="00125BD7" w:rsidP="0040642F">
      <w:pPr>
        <w:pStyle w:val="Default"/>
        <w:numPr>
          <w:ilvl w:val="0"/>
          <w:numId w:val="34"/>
        </w:numPr>
        <w:spacing w:line="259" w:lineRule="auto"/>
        <w:ind w:left="357" w:hanging="357"/>
        <w:rPr>
          <w:rFonts w:asciiTheme="minorHAnsi" w:hAnsiTheme="minorHAnsi" w:cstheme="minorHAnsi"/>
          <w:sz w:val="22"/>
          <w:szCs w:val="22"/>
        </w:rPr>
      </w:pPr>
      <w:r w:rsidRPr="00FA39F5">
        <w:rPr>
          <w:rFonts w:asciiTheme="minorHAnsi" w:hAnsiTheme="minorHAnsi" w:cstheme="minorHAnsi"/>
          <w:sz w:val="22"/>
          <w:szCs w:val="22"/>
        </w:rPr>
        <w:t xml:space="preserve">Permanent Waterways: Environmental water will contribute to year-round variable base flows and freshes to support the recovery of in-stream habitat, particularly aquatic vegetation and areas supporting the various life stages of native fish. Watering actions will be scalable depending on catchment conditions and water availability during the year. Environmental water use may also provide a more gradual recession following periods of high flow (e.g. rain rejection flows) and improve water quality to provide refuges for aquatic plants and animals if required and where feasible to do so. </w:t>
      </w:r>
    </w:p>
    <w:p w14:paraId="645D4524" w14:textId="77777777" w:rsidR="00125BD7" w:rsidRPr="00FA39F5" w:rsidRDefault="00125BD7" w:rsidP="0040642F">
      <w:pPr>
        <w:pStyle w:val="Default"/>
        <w:numPr>
          <w:ilvl w:val="0"/>
          <w:numId w:val="34"/>
        </w:numPr>
        <w:spacing w:line="259" w:lineRule="auto"/>
        <w:ind w:left="357" w:hanging="357"/>
        <w:rPr>
          <w:rFonts w:asciiTheme="minorHAnsi" w:hAnsiTheme="minorHAnsi" w:cstheme="minorHAnsi"/>
          <w:sz w:val="22"/>
          <w:szCs w:val="22"/>
        </w:rPr>
      </w:pPr>
      <w:r w:rsidRPr="00FA39F5">
        <w:rPr>
          <w:rFonts w:asciiTheme="minorHAnsi" w:hAnsiTheme="minorHAnsi" w:cstheme="minorHAnsi"/>
          <w:sz w:val="22"/>
          <w:szCs w:val="22"/>
        </w:rPr>
        <w:t xml:space="preserve">Ephemeral waterways and wetlands: The purpose of these annual watering events would be to maintain ephemeral instream and wetland habitat, particularly water quality, aquatic vegetation and areas supporting the various life stages of native frogs, birds and aquatic invertebrates. 11 </w:t>
      </w:r>
    </w:p>
    <w:p w14:paraId="693253BC" w14:textId="3DC655A6" w:rsidR="00125BD7" w:rsidRPr="00B94D0F" w:rsidRDefault="00125BD7" w:rsidP="0040642F">
      <w:pPr>
        <w:pStyle w:val="ListParagraph"/>
        <w:numPr>
          <w:ilvl w:val="0"/>
          <w:numId w:val="34"/>
        </w:numPr>
        <w:spacing w:after="120" w:line="259" w:lineRule="auto"/>
        <w:jc w:val="left"/>
        <w:rPr>
          <w:rFonts w:cstheme="minorHAnsi"/>
        </w:rPr>
      </w:pPr>
      <w:r w:rsidRPr="00B94D0F">
        <w:rPr>
          <w:rFonts w:cstheme="minorHAnsi"/>
        </w:rPr>
        <w:t>Edward</w:t>
      </w:r>
      <w:r w:rsidR="0091645A">
        <w:rPr>
          <w:rFonts w:cstheme="minorHAnsi"/>
        </w:rPr>
        <w:t>/Kolety</w:t>
      </w:r>
      <w:r w:rsidRPr="00B94D0F">
        <w:rPr>
          <w:rFonts w:cstheme="minorHAnsi"/>
        </w:rPr>
        <w:t>-Wakool forests: The purpose of watering events may include the protection or maintenance of floodplain vegetation health, the provision of localised habitat for aquatic native plants and animals, contributing to hydrological connectivity and nutrient/carbon cycling processes. Environmental flows, including pumping, could be considered subject to stakeholder support, operational delivery infrastructure, third party impacts and accounting being addressed.</w:t>
      </w:r>
    </w:p>
    <w:p w14:paraId="39CD94DD" w14:textId="3B2BB60F" w:rsidR="005F77E1" w:rsidRPr="005F77E1" w:rsidRDefault="005F77E1" w:rsidP="00B94D0F">
      <w:pPr>
        <w:pStyle w:val="Default"/>
        <w:spacing w:line="259" w:lineRule="auto"/>
        <w:contextualSpacing/>
        <w:rPr>
          <w:rFonts w:asciiTheme="minorHAnsi" w:hAnsiTheme="minorHAnsi" w:cstheme="minorHAnsi"/>
          <w:sz w:val="22"/>
          <w:szCs w:val="22"/>
        </w:rPr>
      </w:pPr>
      <w:r w:rsidRPr="005F77E1">
        <w:rPr>
          <w:rFonts w:asciiTheme="minorHAnsi" w:hAnsiTheme="minorHAnsi" w:cstheme="minorHAnsi"/>
          <w:iCs/>
          <w:sz w:val="22"/>
          <w:szCs w:val="22"/>
        </w:rPr>
        <w:t>Standard operational considerations</w:t>
      </w:r>
      <w:r w:rsidRPr="005F77E1">
        <w:rPr>
          <w:rFonts w:asciiTheme="minorHAnsi" w:hAnsiTheme="minorHAnsi" w:cstheme="minorHAnsi"/>
          <w:i/>
          <w:iCs/>
          <w:sz w:val="22"/>
          <w:szCs w:val="22"/>
        </w:rPr>
        <w:t xml:space="preserve"> </w:t>
      </w:r>
      <w:r w:rsidRPr="005F77E1">
        <w:rPr>
          <w:rFonts w:asciiTheme="minorHAnsi" w:hAnsiTheme="minorHAnsi" w:cstheme="minorHAnsi"/>
          <w:sz w:val="22"/>
          <w:szCs w:val="22"/>
        </w:rPr>
        <w:t>in 2019-20 were described by CEWO (2019) as follows:</w:t>
      </w:r>
    </w:p>
    <w:p w14:paraId="1ED4B1B7" w14:textId="7CD09F30"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WaterNSW is responsible for managing flows in the Edward</w:t>
      </w:r>
      <w:r w:rsidR="0091645A">
        <w:rPr>
          <w:rFonts w:asciiTheme="minorHAnsi" w:hAnsiTheme="minorHAnsi" w:cstheme="minorHAnsi"/>
        </w:rPr>
        <w:t>/Kolety</w:t>
      </w:r>
      <w:r w:rsidRPr="00B94D0F">
        <w:rPr>
          <w:rFonts w:asciiTheme="minorHAnsi" w:hAnsiTheme="minorHAnsi" w:cstheme="minorHAnsi"/>
        </w:rPr>
        <w:t xml:space="preserve">-Wakool River system, which is highly regulated. Depending on the location and purpose of the action, water may also be sourced from either Murray Irrigation and/or private landholder irrigation infrastructure. Commonwealth environmental water may be delivered in combination with natural, consumptive or other held or planned environment water. </w:t>
      </w:r>
    </w:p>
    <w:p w14:paraId="60B27246" w14:textId="77777777"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 xml:space="preserve">Forest and ephemeral waterway actions will be timed for winter/spring and late autumn to minimise the risk of hypoxic blackwater impacts. Operational considerations for Werai Forest are being reviewed to improve the potential for watering to be undertaken, particularly syncronising flows into the Werai with flows targetting Millewa Forest. </w:t>
      </w:r>
    </w:p>
    <w:p w14:paraId="38D6DB7F" w14:textId="77777777"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Contingency flows may be made available, if required, to provide critical refuge habitat for aquatic species such as large bodied native fish during hypoxic events.</w:t>
      </w:r>
    </w:p>
    <w:p w14:paraId="25AF587A" w14:textId="77777777"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 xml:space="preserve">Planning for actions will take into consideration the potential impacts of inundating areas that have acid sulphate soils and/or deep pools that may result in the movement of salt. </w:t>
      </w:r>
    </w:p>
    <w:p w14:paraId="059364A6" w14:textId="6A77E521"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Maintenance work will be undertaken on Stevens Weir and other delivery infrastructure in the Edward</w:t>
      </w:r>
      <w:r w:rsidR="0091645A">
        <w:rPr>
          <w:rFonts w:asciiTheme="minorHAnsi" w:hAnsiTheme="minorHAnsi" w:cstheme="minorHAnsi"/>
        </w:rPr>
        <w:t>/Kolety</w:t>
      </w:r>
      <w:r w:rsidRPr="00B94D0F">
        <w:rPr>
          <w:rFonts w:asciiTheme="minorHAnsi" w:hAnsiTheme="minorHAnsi" w:cstheme="minorHAnsi"/>
        </w:rPr>
        <w:t>-Wakool River system during May, June and July 2018. This will prevent the delivery of flows into the Yallakool-Wakool and Colligen-Niemur systems during the winter 2018 period. The recommencement of delivering winter flows will be sought for winter 2019.</w:t>
      </w:r>
    </w:p>
    <w:p w14:paraId="439190EB" w14:textId="0288E72F" w:rsidR="005F77E1" w:rsidRPr="00B94D0F" w:rsidRDefault="005F77E1"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B94D0F">
        <w:rPr>
          <w:rFonts w:asciiTheme="minorHAnsi" w:hAnsiTheme="minorHAnsi" w:cstheme="minorHAnsi"/>
        </w:rPr>
        <w:t>Flows will be delivered within constraints, unless otherwise agreed with potentially impacted landholders and state government agencies. During August 2018, following discussions with the landholder representatives and relevant NSW agencies, an 800 ML/d flow trial in the Yallakool-Wakool is planned, targeting productivity, native fish, and instream aquatic vegetation outcomes.</w:t>
      </w:r>
    </w:p>
    <w:p w14:paraId="09141650" w14:textId="3640F7F1" w:rsidR="00B65AD9" w:rsidRPr="008E0D21" w:rsidRDefault="00B65AD9" w:rsidP="00FB12B9">
      <w:pPr>
        <w:spacing w:after="0" w:line="320" w:lineRule="exact"/>
        <w:rPr>
          <w:b/>
          <w:bCs/>
          <w:i/>
          <w:color w:val="31849B" w:themeColor="accent5" w:themeShade="BF"/>
        </w:rPr>
      </w:pPr>
      <w:r w:rsidRPr="008E0D21">
        <w:rPr>
          <w:b/>
          <w:i/>
          <w:color w:val="31849B" w:themeColor="accent5" w:themeShade="BF"/>
        </w:rPr>
        <w:t xml:space="preserve">CEWO </w:t>
      </w:r>
      <w:r>
        <w:rPr>
          <w:b/>
          <w:i/>
          <w:color w:val="31849B" w:themeColor="accent5" w:themeShade="BF"/>
        </w:rPr>
        <w:t>planned watering actions</w:t>
      </w:r>
      <w:r w:rsidRPr="008E0D21">
        <w:rPr>
          <w:b/>
          <w:i/>
          <w:color w:val="31849B" w:themeColor="accent5" w:themeShade="BF"/>
        </w:rPr>
        <w:t xml:space="preserve"> for the </w:t>
      </w:r>
      <w:r w:rsidR="008E27F6">
        <w:rPr>
          <w:b/>
          <w:i/>
          <w:color w:val="31849B" w:themeColor="accent5" w:themeShade="BF"/>
        </w:rPr>
        <w:t>Edward/Kolety-Wakool</w:t>
      </w:r>
      <w:r w:rsidR="005F77E1">
        <w:rPr>
          <w:b/>
          <w:i/>
          <w:color w:val="31849B" w:themeColor="accent5" w:themeShade="BF"/>
        </w:rPr>
        <w:t xml:space="preserve"> in 2019</w:t>
      </w:r>
      <w:r w:rsidRPr="008E0D21">
        <w:rPr>
          <w:rFonts w:cs="Century Gothic"/>
          <w:b/>
          <w:i/>
          <w:color w:val="31849B" w:themeColor="accent5" w:themeShade="BF"/>
        </w:rPr>
        <w:t>–</w:t>
      </w:r>
      <w:r w:rsidR="005F77E1">
        <w:rPr>
          <w:b/>
          <w:i/>
          <w:color w:val="31849B" w:themeColor="accent5" w:themeShade="BF"/>
        </w:rPr>
        <w:t>20</w:t>
      </w:r>
    </w:p>
    <w:p w14:paraId="3EA3F0A6" w14:textId="77777777" w:rsidR="00780317" w:rsidRPr="00780317" w:rsidRDefault="00C8713F" w:rsidP="005532E4">
      <w:pPr>
        <w:spacing w:after="0" w:line="320" w:lineRule="exact"/>
      </w:pPr>
      <w:r w:rsidRPr="00780317">
        <w:t xml:space="preserve">As per Water Use Minute WUM 10083, the </w:t>
      </w:r>
      <w:r w:rsidR="00780317" w:rsidRPr="00780317">
        <w:t>proposed watering actions sought to achieve the following expected outcomes:</w:t>
      </w:r>
    </w:p>
    <w:p w14:paraId="48218414" w14:textId="77777777" w:rsidR="00780317" w:rsidRPr="00780317" w:rsidRDefault="00780317" w:rsidP="00780317">
      <w:pPr>
        <w:pStyle w:val="ListNumber"/>
        <w:numPr>
          <w:ilvl w:val="0"/>
          <w:numId w:val="0"/>
        </w:numPr>
        <w:rPr>
          <w:rFonts w:asciiTheme="minorHAnsi" w:hAnsiTheme="minorHAnsi" w:cstheme="minorHAnsi"/>
          <w:u w:val="single"/>
        </w:rPr>
      </w:pPr>
      <w:r w:rsidRPr="00780317">
        <w:rPr>
          <w:rFonts w:asciiTheme="minorHAnsi" w:hAnsiTheme="minorHAnsi" w:cstheme="minorHAnsi"/>
          <w:u w:val="single"/>
        </w:rPr>
        <w:t>Primary expected outcomes</w:t>
      </w:r>
    </w:p>
    <w:p w14:paraId="25158A45"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support the recovery of instream aquatic vegetation and large bodied native fish for three years following the 2016 hypoxic blackwater event.</w:t>
      </w:r>
    </w:p>
    <w:p w14:paraId="46663CCD"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maintain the diversity and condition of native fish and other native species through maintaining suitable habitat and providing/supporting opportunities to move, breed and recruit</w:t>
      </w:r>
    </w:p>
    <w:p w14:paraId="5B37661A"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maintain health of riparian and in-channel aquatic native vegetation communities</w:t>
      </w:r>
    </w:p>
    <w:p w14:paraId="7754E748"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maintain/improve water quality within the system, particularly dissolved oxygen, salinity and pH</w:t>
      </w:r>
    </w:p>
    <w:p w14:paraId="0F39AE52"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maintain ecosystem and population resilience through supporting ecological recovery and maintaining aquatic habitat.</w:t>
      </w:r>
    </w:p>
    <w:p w14:paraId="32E12854"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support inundation of low-lying wetlands/floodplains habitats within the system</w:t>
      </w:r>
    </w:p>
    <w:p w14:paraId="3B129D3A" w14:textId="77777777" w:rsidR="00780317" w:rsidRPr="00780317" w:rsidRDefault="00780317" w:rsidP="00780317">
      <w:pPr>
        <w:pStyle w:val="ListNumber"/>
        <w:numPr>
          <w:ilvl w:val="0"/>
          <w:numId w:val="0"/>
        </w:numPr>
        <w:rPr>
          <w:rFonts w:asciiTheme="minorHAnsi" w:hAnsiTheme="minorHAnsi" w:cstheme="minorHAnsi"/>
          <w:u w:val="single"/>
        </w:rPr>
      </w:pPr>
      <w:r w:rsidRPr="00780317">
        <w:rPr>
          <w:rFonts w:asciiTheme="minorHAnsi" w:hAnsiTheme="minorHAnsi" w:cstheme="minorHAnsi"/>
          <w:u w:val="single"/>
        </w:rPr>
        <w:t>Secondary expected outcomes</w:t>
      </w:r>
    </w:p>
    <w:p w14:paraId="6894C857"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b/>
        </w:rPr>
      </w:pPr>
      <w:r w:rsidRPr="00780317">
        <w:rPr>
          <w:rFonts w:asciiTheme="minorHAnsi" w:hAnsiTheme="minorHAnsi" w:cstheme="minorHAnsi"/>
        </w:rPr>
        <w:t>maintain habitat quality in ephemeral watercourses</w:t>
      </w:r>
    </w:p>
    <w:p w14:paraId="2ED6AAEA" w14:textId="77777777" w:rsidR="00780317" w:rsidRPr="00780317" w:rsidRDefault="00780317" w:rsidP="0040642F">
      <w:pPr>
        <w:numPr>
          <w:ilvl w:val="0"/>
          <w:numId w:val="25"/>
        </w:numPr>
        <w:tabs>
          <w:tab w:val="clear" w:pos="5718"/>
          <w:tab w:val="num" w:pos="720"/>
        </w:tabs>
        <w:spacing w:after="0" w:line="276" w:lineRule="auto"/>
        <w:ind w:left="402"/>
        <w:jc w:val="left"/>
        <w:rPr>
          <w:rFonts w:asciiTheme="minorHAnsi" w:hAnsiTheme="minorHAnsi" w:cstheme="minorHAnsi"/>
        </w:rPr>
      </w:pPr>
      <w:r w:rsidRPr="00780317">
        <w:rPr>
          <w:rFonts w:asciiTheme="minorHAnsi" w:hAnsiTheme="minorHAnsi" w:cstheme="minorHAnsi"/>
        </w:rPr>
        <w:t>support mobilisation, transport and dispersal of biotic and abiotic material (e.g. sediment, nutrients and organic matter) through longitudinal and lateral hydrological connectivity</w:t>
      </w:r>
    </w:p>
    <w:p w14:paraId="4BA4D774" w14:textId="77777777" w:rsidR="00780317" w:rsidRDefault="00780317" w:rsidP="005F77E1">
      <w:pPr>
        <w:pStyle w:val="BodyText"/>
        <w:spacing w:line="240" w:lineRule="auto"/>
        <w:ind w:right="-284"/>
        <w:jc w:val="left"/>
        <w:rPr>
          <w:rFonts w:asciiTheme="minorHAnsi" w:hAnsiTheme="minorHAnsi" w:cstheme="minorHAnsi"/>
          <w:b/>
          <w:sz w:val="20"/>
        </w:rPr>
      </w:pPr>
    </w:p>
    <w:p w14:paraId="5EC54F3D" w14:textId="77777777" w:rsidR="005F77E1" w:rsidRDefault="005F77E1" w:rsidP="005F77E1">
      <w:pPr>
        <w:pStyle w:val="BodyText"/>
        <w:spacing w:line="240" w:lineRule="auto"/>
        <w:ind w:right="-284"/>
        <w:jc w:val="left"/>
        <w:rPr>
          <w:color w:val="000000" w:themeColor="text1"/>
        </w:rPr>
        <w:sectPr w:rsidR="005F77E1" w:rsidSect="007E61A6">
          <w:pgSz w:w="11906" w:h="16838"/>
          <w:pgMar w:top="1440" w:right="1418" w:bottom="1440" w:left="1418" w:header="709" w:footer="709" w:gutter="0"/>
          <w:cols w:space="708"/>
          <w:docGrid w:linePitch="360"/>
        </w:sectPr>
      </w:pPr>
    </w:p>
    <w:p w14:paraId="10E4C6EC" w14:textId="035A5F00" w:rsidR="00C8713F" w:rsidRDefault="00780317" w:rsidP="00C8713F">
      <w:pPr>
        <w:spacing w:after="120" w:line="240" w:lineRule="auto"/>
        <w:jc w:val="left"/>
        <w:rPr>
          <w:color w:val="000000" w:themeColor="text1"/>
        </w:rPr>
      </w:pPr>
      <w:r>
        <w:rPr>
          <w:noProof/>
          <w:color w:val="000000" w:themeColor="text1"/>
          <w:lang w:eastAsia="en-AU"/>
        </w:rPr>
        <w:drawing>
          <wp:inline distT="0" distB="0" distL="0" distR="0" wp14:anchorId="1707DE44" wp14:editId="3EBA5570">
            <wp:extent cx="8597259" cy="4968000"/>
            <wp:effectExtent l="0" t="0" r="0" b="4445"/>
            <wp:docPr id="22631" name="Picture 2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8597259" cy="4968000"/>
                    </a:xfrm>
                    <a:prstGeom prst="rect">
                      <a:avLst/>
                    </a:prstGeom>
                    <a:noFill/>
                  </pic:spPr>
                </pic:pic>
              </a:graphicData>
            </a:graphic>
          </wp:inline>
        </w:drawing>
      </w:r>
    </w:p>
    <w:p w14:paraId="33AFF59F" w14:textId="222CCBAC" w:rsidR="00C8713F" w:rsidRDefault="00C8713F" w:rsidP="00C8713F">
      <w:pPr>
        <w:spacing w:after="240" w:line="240" w:lineRule="auto"/>
        <w:jc w:val="left"/>
        <w:rPr>
          <w:color w:val="000000" w:themeColor="text1"/>
        </w:rPr>
      </w:pPr>
      <w:r w:rsidRPr="003316C7">
        <w:rPr>
          <w:b/>
          <w:color w:val="000000" w:themeColor="text1"/>
          <w:sz w:val="20"/>
        </w:rPr>
        <w:t>Figure 2.1</w:t>
      </w:r>
      <w:r w:rsidRPr="003316C7">
        <w:rPr>
          <w:color w:val="000000" w:themeColor="text1"/>
          <w:sz w:val="20"/>
        </w:rPr>
        <w:t xml:space="preserve">. </w:t>
      </w:r>
      <w:r w:rsidR="00780317">
        <w:rPr>
          <w:sz w:val="20"/>
        </w:rPr>
        <w:t>Annual hydrograph planned for Yallakool-Wakool at start of 2019-20 action. Shaded area shows period of potential use of CEW. Operational base flows are usually around 170 ML/day except in winter when they are zero unless provided via unregulated flows. (Source: CEWO 2019)</w:t>
      </w:r>
    </w:p>
    <w:p w14:paraId="006E9CD9" w14:textId="24187810" w:rsidR="00C8713F" w:rsidRDefault="00780317" w:rsidP="00C8713F">
      <w:pPr>
        <w:spacing w:after="240" w:line="240" w:lineRule="auto"/>
        <w:jc w:val="left"/>
        <w:rPr>
          <w:b/>
          <w:color w:val="000000" w:themeColor="text1"/>
          <w:sz w:val="20"/>
        </w:rPr>
      </w:pPr>
      <w:r>
        <w:rPr>
          <w:b/>
          <w:noProof/>
          <w:color w:val="000000" w:themeColor="text1"/>
          <w:sz w:val="20"/>
          <w:lang w:eastAsia="en-AU"/>
        </w:rPr>
        <w:drawing>
          <wp:inline distT="0" distB="0" distL="0" distR="0" wp14:anchorId="1D7BC6AD" wp14:editId="4B62FB40">
            <wp:extent cx="8190870" cy="4716000"/>
            <wp:effectExtent l="0" t="0" r="635" b="8890"/>
            <wp:docPr id="22632" name="Picture 2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8190870" cy="4716000"/>
                    </a:xfrm>
                    <a:prstGeom prst="rect">
                      <a:avLst/>
                    </a:prstGeom>
                    <a:noFill/>
                  </pic:spPr>
                </pic:pic>
              </a:graphicData>
            </a:graphic>
          </wp:inline>
        </w:drawing>
      </w:r>
    </w:p>
    <w:p w14:paraId="2E83DA45" w14:textId="1CCE6384" w:rsidR="00780317" w:rsidRDefault="00C8713F" w:rsidP="00C8713F">
      <w:pPr>
        <w:spacing w:after="240" w:line="240" w:lineRule="auto"/>
        <w:jc w:val="left"/>
        <w:rPr>
          <w:sz w:val="20"/>
        </w:rPr>
      </w:pPr>
      <w:r w:rsidRPr="003316C7">
        <w:rPr>
          <w:b/>
          <w:color w:val="000000" w:themeColor="text1"/>
          <w:sz w:val="20"/>
        </w:rPr>
        <w:t>Figure 2.</w:t>
      </w:r>
      <w:r>
        <w:rPr>
          <w:b/>
          <w:color w:val="000000" w:themeColor="text1"/>
          <w:sz w:val="20"/>
        </w:rPr>
        <w:t>2</w:t>
      </w:r>
      <w:r w:rsidRPr="003316C7">
        <w:rPr>
          <w:color w:val="000000" w:themeColor="text1"/>
          <w:sz w:val="20"/>
        </w:rPr>
        <w:t xml:space="preserve">. </w:t>
      </w:r>
      <w:r w:rsidR="00780317">
        <w:rPr>
          <w:sz w:val="20"/>
        </w:rPr>
        <w:t>Annual hydrograph for Yallakool-Wakool at end of 2019-20 action, showing the change made to the planned flows due to deceasing water availability in the Murray system. Operational flows were provided from January - May. Unregulated flows events provided flows during May-June 2020.</w:t>
      </w:r>
      <w:r w:rsidR="00780317" w:rsidRPr="00364A9A">
        <w:rPr>
          <w:sz w:val="20"/>
        </w:rPr>
        <w:t xml:space="preserve"> </w:t>
      </w:r>
      <w:r w:rsidR="00780317">
        <w:rPr>
          <w:sz w:val="20"/>
        </w:rPr>
        <w:t>Shaded area shows period of CEW use. (Source: CEWO 2019)</w:t>
      </w:r>
    </w:p>
    <w:p w14:paraId="2EEE95E0" w14:textId="77777777" w:rsidR="00780317" w:rsidRDefault="00780317">
      <w:pPr>
        <w:spacing w:after="0" w:line="240" w:lineRule="auto"/>
        <w:jc w:val="left"/>
        <w:rPr>
          <w:sz w:val="20"/>
        </w:rPr>
      </w:pPr>
      <w:r>
        <w:rPr>
          <w:noProof/>
          <w:sz w:val="20"/>
          <w:lang w:eastAsia="en-AU"/>
        </w:rPr>
        <w:drawing>
          <wp:inline distT="0" distB="0" distL="0" distR="0" wp14:anchorId="4E56F4CB" wp14:editId="2A9EF93E">
            <wp:extent cx="8451328" cy="4680000"/>
            <wp:effectExtent l="0" t="0" r="0" b="6350"/>
            <wp:docPr id="22633" name="Picture 2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8451328" cy="4680000"/>
                    </a:xfrm>
                    <a:prstGeom prst="rect">
                      <a:avLst/>
                    </a:prstGeom>
                    <a:noFill/>
                  </pic:spPr>
                </pic:pic>
              </a:graphicData>
            </a:graphic>
          </wp:inline>
        </w:drawing>
      </w:r>
    </w:p>
    <w:p w14:paraId="34CC8071" w14:textId="505E9549" w:rsidR="00780317" w:rsidRDefault="00780317" w:rsidP="002503C4">
      <w:pPr>
        <w:spacing w:after="240" w:line="240" w:lineRule="auto"/>
        <w:jc w:val="left"/>
        <w:rPr>
          <w:sz w:val="20"/>
        </w:rPr>
      </w:pPr>
      <w:r w:rsidRPr="003316C7">
        <w:rPr>
          <w:b/>
          <w:color w:val="000000" w:themeColor="text1"/>
          <w:sz w:val="20"/>
        </w:rPr>
        <w:t>Figure 2.</w:t>
      </w:r>
      <w:r>
        <w:rPr>
          <w:b/>
          <w:color w:val="000000" w:themeColor="text1"/>
          <w:sz w:val="20"/>
        </w:rPr>
        <w:t>3</w:t>
      </w:r>
      <w:r w:rsidRPr="003316C7">
        <w:rPr>
          <w:color w:val="000000" w:themeColor="text1"/>
          <w:sz w:val="20"/>
        </w:rPr>
        <w:t xml:space="preserve">. </w:t>
      </w:r>
      <w:r>
        <w:rPr>
          <w:sz w:val="20"/>
        </w:rPr>
        <w:t>Annual hydrograph planned for Colligen-Niemur at start of 2019-20 action. Shaded area shows period of potential use of CEW.</w:t>
      </w:r>
      <w:r w:rsidRPr="00060332">
        <w:rPr>
          <w:sz w:val="20"/>
        </w:rPr>
        <w:t xml:space="preserve"> </w:t>
      </w:r>
      <w:r>
        <w:rPr>
          <w:sz w:val="20"/>
        </w:rPr>
        <w:t>Operational base flows are usually around 170 ML/day except in winter when they are zero unless provided vi</w:t>
      </w:r>
      <w:r w:rsidR="00EE5A0F">
        <w:rPr>
          <w:sz w:val="20"/>
        </w:rPr>
        <w:t>a unregulated flows.</w:t>
      </w:r>
      <w:r>
        <w:rPr>
          <w:sz w:val="20"/>
        </w:rPr>
        <w:t xml:space="preserve"> (Source: CEWO 2019)</w:t>
      </w:r>
      <w:r>
        <w:rPr>
          <w:sz w:val="20"/>
        </w:rPr>
        <w:br w:type="page"/>
      </w:r>
    </w:p>
    <w:p w14:paraId="13594DB4" w14:textId="7C309CEC" w:rsidR="00C8713F" w:rsidRDefault="00EE5A0F" w:rsidP="00EE5A0F">
      <w:pPr>
        <w:snapToGrid w:val="0"/>
        <w:spacing w:after="120" w:line="240" w:lineRule="auto"/>
        <w:jc w:val="left"/>
        <w:rPr>
          <w:color w:val="000000" w:themeColor="text1"/>
        </w:rPr>
      </w:pPr>
      <w:r>
        <w:rPr>
          <w:noProof/>
          <w:color w:val="000000" w:themeColor="text1"/>
          <w:lang w:eastAsia="en-AU"/>
        </w:rPr>
        <w:drawing>
          <wp:inline distT="0" distB="0" distL="0" distR="0" wp14:anchorId="38CFEEFB" wp14:editId="7B90005E">
            <wp:extent cx="8113567" cy="4392000"/>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8113567" cy="4392000"/>
                    </a:xfrm>
                    <a:prstGeom prst="rect">
                      <a:avLst/>
                    </a:prstGeom>
                    <a:noFill/>
                  </pic:spPr>
                </pic:pic>
              </a:graphicData>
            </a:graphic>
          </wp:inline>
        </w:drawing>
      </w:r>
    </w:p>
    <w:p w14:paraId="1CC47BEC" w14:textId="695410E1" w:rsidR="00EE5A0F" w:rsidRDefault="00EE5A0F" w:rsidP="00EE5A0F">
      <w:pPr>
        <w:snapToGrid w:val="0"/>
        <w:spacing w:after="120" w:line="240" w:lineRule="auto"/>
        <w:jc w:val="left"/>
        <w:rPr>
          <w:color w:val="000000" w:themeColor="text1"/>
        </w:rPr>
      </w:pPr>
      <w:r w:rsidRPr="003316C7">
        <w:rPr>
          <w:b/>
          <w:color w:val="000000" w:themeColor="text1"/>
          <w:sz w:val="20"/>
        </w:rPr>
        <w:t>Figure 2.</w:t>
      </w:r>
      <w:r>
        <w:rPr>
          <w:b/>
          <w:color w:val="000000" w:themeColor="text1"/>
          <w:sz w:val="20"/>
        </w:rPr>
        <w:t>4</w:t>
      </w:r>
      <w:r w:rsidRPr="003316C7">
        <w:rPr>
          <w:color w:val="000000" w:themeColor="text1"/>
          <w:sz w:val="20"/>
        </w:rPr>
        <w:t xml:space="preserve">. </w:t>
      </w:r>
      <w:r>
        <w:rPr>
          <w:sz w:val="20"/>
        </w:rPr>
        <w:t>Annual hydrograph for Colligen-Niemur at end of 2019-20 action, showing the change made to the planned flows due to deceasing water availability in the Murray system. Operational flows were provided from January - May. Unregulated flows events provided flows during May-June 2020.</w:t>
      </w:r>
      <w:r w:rsidRPr="00364A9A">
        <w:rPr>
          <w:sz w:val="20"/>
        </w:rPr>
        <w:t xml:space="preserve"> </w:t>
      </w:r>
      <w:r>
        <w:rPr>
          <w:sz w:val="20"/>
        </w:rPr>
        <w:t>Shaded area shows period of CEW use. (Source: CEWO 2019)</w:t>
      </w:r>
    </w:p>
    <w:p w14:paraId="38D2BC17" w14:textId="77777777" w:rsidR="00EE5A0F" w:rsidRDefault="00EE5A0F" w:rsidP="00EE5A0F">
      <w:pPr>
        <w:snapToGrid w:val="0"/>
        <w:spacing w:after="120" w:line="240" w:lineRule="auto"/>
        <w:jc w:val="left"/>
        <w:rPr>
          <w:color w:val="000000" w:themeColor="text1"/>
        </w:rPr>
        <w:sectPr w:rsidR="00EE5A0F" w:rsidSect="003316C7">
          <w:pgSz w:w="16838" w:h="11906" w:orient="landscape"/>
          <w:pgMar w:top="1701" w:right="1440" w:bottom="1700" w:left="1440" w:header="709" w:footer="709" w:gutter="0"/>
          <w:cols w:space="708"/>
          <w:docGrid w:linePitch="360"/>
        </w:sectPr>
      </w:pPr>
    </w:p>
    <w:p w14:paraId="7342DFAB" w14:textId="2BBCB0B7" w:rsidR="00FD279A" w:rsidRPr="0079490A" w:rsidRDefault="0079490A" w:rsidP="0079490A">
      <w:pPr>
        <w:tabs>
          <w:tab w:val="left" w:pos="9071"/>
        </w:tabs>
        <w:spacing w:after="240" w:line="320" w:lineRule="exact"/>
        <w:ind w:right="-284"/>
        <w:jc w:val="left"/>
        <w:rPr>
          <w:b/>
          <w:color w:val="31849B" w:themeColor="accent5" w:themeShade="BF"/>
          <w:sz w:val="28"/>
          <w:szCs w:val="28"/>
        </w:rPr>
      </w:pPr>
      <w:r>
        <w:rPr>
          <w:b/>
          <w:color w:val="31849B" w:themeColor="accent5" w:themeShade="BF"/>
          <w:sz w:val="28"/>
          <w:szCs w:val="28"/>
        </w:rPr>
        <w:t>2.4</w:t>
      </w:r>
      <w:r w:rsidR="00D94AAE" w:rsidRPr="0079490A">
        <w:rPr>
          <w:b/>
          <w:color w:val="31849B" w:themeColor="accent5" w:themeShade="BF"/>
          <w:sz w:val="28"/>
          <w:szCs w:val="28"/>
        </w:rPr>
        <w:t xml:space="preserve">   </w:t>
      </w:r>
      <w:r w:rsidR="00FD279A" w:rsidRPr="0079490A">
        <w:rPr>
          <w:b/>
          <w:color w:val="31849B" w:themeColor="accent5" w:themeShade="BF"/>
          <w:sz w:val="28"/>
          <w:szCs w:val="28"/>
        </w:rPr>
        <w:t xml:space="preserve">Practicalities of environmental watering in the </w:t>
      </w:r>
      <w:r w:rsidR="008E27F6">
        <w:rPr>
          <w:b/>
          <w:color w:val="31849B" w:themeColor="accent5" w:themeShade="BF"/>
          <w:sz w:val="28"/>
          <w:szCs w:val="28"/>
        </w:rPr>
        <w:t>Edward/Kolety-Wakool</w:t>
      </w:r>
      <w:r w:rsidR="00FD279A" w:rsidRPr="0079490A">
        <w:rPr>
          <w:b/>
          <w:color w:val="31849B" w:themeColor="accent5" w:themeShade="BF"/>
          <w:sz w:val="28"/>
          <w:szCs w:val="28"/>
        </w:rPr>
        <w:t xml:space="preserve"> system</w:t>
      </w:r>
    </w:p>
    <w:p w14:paraId="678B9635" w14:textId="3A22DF35" w:rsidR="00FD279A" w:rsidRPr="00EB12F8" w:rsidRDefault="00FD279A" w:rsidP="00C8713F">
      <w:pPr>
        <w:autoSpaceDE w:val="0"/>
        <w:autoSpaceDN w:val="0"/>
        <w:adjustRightInd w:val="0"/>
        <w:spacing w:after="120" w:line="320" w:lineRule="exact"/>
        <w:jc w:val="left"/>
        <w:rPr>
          <w:rFonts w:cstheme="minorHAnsi"/>
          <w:szCs w:val="22"/>
        </w:rPr>
      </w:pPr>
      <w:r w:rsidRPr="00EB12F8">
        <w:rPr>
          <w:rFonts w:cstheme="minorHAnsi"/>
          <w:szCs w:val="22"/>
        </w:rPr>
        <w:t xml:space="preserve">The main source of Commonwealth environmental water for the </w:t>
      </w:r>
      <w:r w:rsidR="008E27F6">
        <w:rPr>
          <w:rFonts w:cstheme="minorHAnsi"/>
          <w:szCs w:val="22"/>
        </w:rPr>
        <w:t>Edward/Kolety-Wakool</w:t>
      </w:r>
      <w:r w:rsidRPr="00EB12F8">
        <w:rPr>
          <w:rFonts w:cstheme="minorHAnsi"/>
          <w:szCs w:val="22"/>
        </w:rPr>
        <w:t xml:space="preserve"> system is from the Murray River through the Edward</w:t>
      </w:r>
      <w:r w:rsidR="0091645A">
        <w:rPr>
          <w:rFonts w:cstheme="minorHAnsi"/>
          <w:szCs w:val="22"/>
        </w:rPr>
        <w:t>/Kolety</w:t>
      </w:r>
      <w:r w:rsidRPr="00EB12F8">
        <w:rPr>
          <w:rFonts w:cstheme="minorHAnsi"/>
          <w:szCs w:val="22"/>
        </w:rPr>
        <w:t xml:space="preserve"> River and Gulpa Creek</w:t>
      </w:r>
      <w:r w:rsidRPr="00EB12F8">
        <w:t>.</w:t>
      </w:r>
      <w:r>
        <w:t xml:space="preserve"> </w:t>
      </w:r>
      <w:r w:rsidRPr="00EB12F8">
        <w:rPr>
          <w:rFonts w:cstheme="minorHAnsi"/>
          <w:szCs w:val="22"/>
        </w:rPr>
        <w:t>The main flow regulating structure</w:t>
      </w:r>
      <w:r w:rsidR="00376D7F">
        <w:rPr>
          <w:rFonts w:cstheme="minorHAnsi"/>
          <w:szCs w:val="22"/>
        </w:rPr>
        <w:t>s</w:t>
      </w:r>
      <w:r w:rsidRPr="00EB12F8">
        <w:rPr>
          <w:rFonts w:cstheme="minorHAnsi"/>
          <w:szCs w:val="22"/>
        </w:rPr>
        <w:t xml:space="preserve"> within the </w:t>
      </w:r>
      <w:r w:rsidR="008E27F6">
        <w:rPr>
          <w:rFonts w:cstheme="minorHAnsi"/>
          <w:szCs w:val="22"/>
        </w:rPr>
        <w:t>Edward/Kolety-Wakool</w:t>
      </w:r>
      <w:r w:rsidRPr="00EB12F8">
        <w:rPr>
          <w:rFonts w:cstheme="minorHAnsi"/>
          <w:szCs w:val="22"/>
        </w:rPr>
        <w:t xml:space="preserve"> system </w:t>
      </w:r>
      <w:r w:rsidR="00376D7F">
        <w:rPr>
          <w:rFonts w:cstheme="minorHAnsi"/>
          <w:szCs w:val="22"/>
        </w:rPr>
        <w:t>are the Gulpa Creek Offtake, Edward</w:t>
      </w:r>
      <w:r w:rsidR="0091645A">
        <w:rPr>
          <w:rFonts w:cstheme="minorHAnsi"/>
          <w:szCs w:val="22"/>
        </w:rPr>
        <w:t>/Kolety</w:t>
      </w:r>
      <w:r w:rsidR="00376D7F">
        <w:rPr>
          <w:rFonts w:cstheme="minorHAnsi"/>
          <w:szCs w:val="22"/>
        </w:rPr>
        <w:t xml:space="preserve"> River Offtake (both located on the Murray River), and</w:t>
      </w:r>
      <w:r w:rsidRPr="00EB12F8">
        <w:rPr>
          <w:rFonts w:cstheme="minorHAnsi"/>
          <w:szCs w:val="22"/>
        </w:rPr>
        <w:t xml:space="preserve"> Stevens Weir, located on the Edward</w:t>
      </w:r>
      <w:r w:rsidR="0091645A">
        <w:rPr>
          <w:rFonts w:cstheme="minorHAnsi"/>
          <w:szCs w:val="22"/>
        </w:rPr>
        <w:t>/Kolety</w:t>
      </w:r>
      <w:r w:rsidRPr="00EB12F8">
        <w:rPr>
          <w:rFonts w:cstheme="minorHAnsi"/>
          <w:szCs w:val="22"/>
        </w:rPr>
        <w:t xml:space="preserve"> River downstream of Colligen Creek (Figure 1.1). This structure creates a weir pool that allows Commonwealth environmental water to be delivered to Colligen</w:t>
      </w:r>
      <w:r w:rsidR="00390FFE">
        <w:rPr>
          <w:rFonts w:cstheme="minorHAnsi"/>
          <w:szCs w:val="22"/>
        </w:rPr>
        <w:t xml:space="preserve"> Creek-Niemur River system,</w:t>
      </w:r>
      <w:r w:rsidRPr="00EB12F8">
        <w:rPr>
          <w:rFonts w:cstheme="minorHAnsi"/>
          <w:szCs w:val="22"/>
        </w:rPr>
        <w:t xml:space="preserve"> Yallakool Creek, the Wakool River, the Edward</w:t>
      </w:r>
      <w:r w:rsidR="0091645A">
        <w:rPr>
          <w:rFonts w:cstheme="minorHAnsi"/>
          <w:szCs w:val="22"/>
        </w:rPr>
        <w:t>/Kolety</w:t>
      </w:r>
      <w:r w:rsidRPr="00EB12F8">
        <w:rPr>
          <w:rFonts w:cstheme="minorHAnsi"/>
          <w:szCs w:val="22"/>
        </w:rPr>
        <w:t xml:space="preserve"> River and Werai Forest. </w:t>
      </w:r>
    </w:p>
    <w:p w14:paraId="710E6F74" w14:textId="7556DE4D" w:rsidR="00FD279A" w:rsidRPr="00EB12F8" w:rsidRDefault="00FD279A" w:rsidP="00C8713F">
      <w:pPr>
        <w:autoSpaceDE w:val="0"/>
        <w:autoSpaceDN w:val="0"/>
        <w:adjustRightInd w:val="0"/>
        <w:spacing w:after="120" w:line="320" w:lineRule="exact"/>
        <w:jc w:val="left"/>
        <w:rPr>
          <w:rFonts w:cstheme="minorHAnsi"/>
          <w:szCs w:val="22"/>
        </w:rPr>
      </w:pPr>
      <w:r w:rsidRPr="00EB12F8">
        <w:rPr>
          <w:rFonts w:cstheme="minorHAnsi"/>
          <w:szCs w:val="22"/>
        </w:rPr>
        <w:t xml:space="preserve">Water diverted into the Mulwala Canal </w:t>
      </w:r>
      <w:r>
        <w:rPr>
          <w:rFonts w:cstheme="minorHAnsi"/>
          <w:szCs w:val="22"/>
        </w:rPr>
        <w:t xml:space="preserve">from Lake Mulwala </w:t>
      </w:r>
      <w:r w:rsidRPr="00EB12F8">
        <w:rPr>
          <w:rFonts w:cstheme="minorHAnsi"/>
          <w:szCs w:val="22"/>
        </w:rPr>
        <w:t>can also be delivered into th</w:t>
      </w:r>
      <w:r>
        <w:rPr>
          <w:rFonts w:cstheme="minorHAnsi"/>
          <w:szCs w:val="22"/>
        </w:rPr>
        <w:t xml:space="preserve">e </w:t>
      </w:r>
      <w:r w:rsidR="008E27F6">
        <w:rPr>
          <w:rFonts w:cstheme="minorHAnsi"/>
          <w:szCs w:val="22"/>
        </w:rPr>
        <w:t>Edward/Kolety-Wakool</w:t>
      </w:r>
      <w:r>
        <w:rPr>
          <w:rFonts w:cstheme="minorHAnsi"/>
          <w:szCs w:val="22"/>
        </w:rPr>
        <w:t xml:space="preserve"> system through ‘escapes’</w:t>
      </w:r>
      <w:r w:rsidRPr="00EB12F8">
        <w:rPr>
          <w:rFonts w:cstheme="minorHAnsi"/>
          <w:szCs w:val="22"/>
        </w:rPr>
        <w:t xml:space="preserve"> or outfalls</w:t>
      </w:r>
      <w:r>
        <w:rPr>
          <w:rFonts w:cstheme="minorHAnsi"/>
          <w:szCs w:val="22"/>
        </w:rPr>
        <w:t xml:space="preserve"> </w:t>
      </w:r>
      <w:r w:rsidRPr="00EB12F8">
        <w:rPr>
          <w:rFonts w:cstheme="minorHAnsi"/>
          <w:szCs w:val="22"/>
        </w:rPr>
        <w:t xml:space="preserve">managed by the irrigator-owned company </w:t>
      </w:r>
      <w:r>
        <w:rPr>
          <w:rFonts w:cstheme="minorHAnsi"/>
          <w:szCs w:val="22"/>
        </w:rPr>
        <w:t xml:space="preserve">Murray Irrigation Limited (MIL). </w:t>
      </w:r>
      <w:r w:rsidRPr="00EB12F8">
        <w:rPr>
          <w:rFonts w:cstheme="minorHAnsi"/>
          <w:szCs w:val="22"/>
        </w:rPr>
        <w:t xml:space="preserve">During </w:t>
      </w:r>
      <w:r>
        <w:rPr>
          <w:rFonts w:cstheme="minorHAnsi"/>
          <w:szCs w:val="22"/>
        </w:rPr>
        <w:t>a</w:t>
      </w:r>
      <w:r w:rsidRPr="00EB12F8">
        <w:rPr>
          <w:rFonts w:cstheme="minorHAnsi"/>
          <w:szCs w:val="22"/>
        </w:rPr>
        <w:t xml:space="preserve"> </w:t>
      </w:r>
      <w:r>
        <w:rPr>
          <w:rFonts w:cstheme="minorHAnsi"/>
          <w:szCs w:val="22"/>
        </w:rPr>
        <w:t xml:space="preserve">hypoxic </w:t>
      </w:r>
      <w:r w:rsidRPr="00EB12F8">
        <w:rPr>
          <w:rFonts w:cstheme="minorHAnsi"/>
          <w:szCs w:val="22"/>
        </w:rPr>
        <w:t xml:space="preserve">blackwater event in 2010, </w:t>
      </w:r>
      <w:r w:rsidR="00390FFE">
        <w:rPr>
          <w:rFonts w:cstheme="minorHAnsi"/>
          <w:szCs w:val="22"/>
        </w:rPr>
        <w:t xml:space="preserve">environmental </w:t>
      </w:r>
      <w:r w:rsidRPr="00EB12F8">
        <w:rPr>
          <w:rFonts w:cstheme="minorHAnsi"/>
          <w:szCs w:val="22"/>
        </w:rPr>
        <w:t xml:space="preserve">water was released from </w:t>
      </w:r>
      <w:r w:rsidR="00C8713F">
        <w:rPr>
          <w:rFonts w:cstheme="minorHAnsi"/>
          <w:szCs w:val="22"/>
        </w:rPr>
        <w:t xml:space="preserve">the </w:t>
      </w:r>
      <w:r w:rsidRPr="00EB12F8">
        <w:rPr>
          <w:rFonts w:cstheme="minorHAnsi"/>
          <w:szCs w:val="22"/>
        </w:rPr>
        <w:t>Mulwala Canal escapes to lessen the impact of hypoxia and create localised refugia with higher DO and lower DOC</w:t>
      </w:r>
      <w:r>
        <w:rPr>
          <w:rFonts w:cstheme="minorHAnsi"/>
          <w:szCs w:val="22"/>
        </w:rPr>
        <w:t xml:space="preserve"> (Watts et al. 2017a). There are numerous smaller escapes throughout the MIL network that can </w:t>
      </w:r>
      <w:r w:rsidR="00C8713F">
        <w:rPr>
          <w:rFonts w:cstheme="minorHAnsi"/>
          <w:szCs w:val="22"/>
        </w:rPr>
        <w:t xml:space="preserve">also </w:t>
      </w:r>
      <w:r>
        <w:rPr>
          <w:rFonts w:cstheme="minorHAnsi"/>
          <w:szCs w:val="22"/>
        </w:rPr>
        <w:t>be used to deliver small flows to the river system. Escapes were also used to deliver environmental water</w:t>
      </w:r>
      <w:r w:rsidR="00390FFE">
        <w:rPr>
          <w:rFonts w:cstheme="minorHAnsi"/>
          <w:szCs w:val="22"/>
        </w:rPr>
        <w:t xml:space="preserve"> as refuge flows in response to the</w:t>
      </w:r>
      <w:r>
        <w:rPr>
          <w:rFonts w:cstheme="minorHAnsi"/>
          <w:szCs w:val="22"/>
        </w:rPr>
        <w:t xml:space="preserve"> 2016 </w:t>
      </w:r>
      <w:r w:rsidR="00390FFE">
        <w:rPr>
          <w:rFonts w:cstheme="minorHAnsi"/>
          <w:szCs w:val="22"/>
        </w:rPr>
        <w:t xml:space="preserve">hypoxic </w:t>
      </w:r>
      <w:r w:rsidR="00390FFE" w:rsidRPr="00EB12F8">
        <w:rPr>
          <w:rFonts w:cstheme="minorHAnsi"/>
          <w:szCs w:val="22"/>
        </w:rPr>
        <w:t xml:space="preserve">blackwater event </w:t>
      </w:r>
      <w:r>
        <w:rPr>
          <w:rFonts w:cstheme="minorHAnsi"/>
          <w:szCs w:val="22"/>
        </w:rPr>
        <w:t>(Watts et al. 2017</w:t>
      </w:r>
      <w:r w:rsidR="000208E7">
        <w:rPr>
          <w:rFonts w:cstheme="minorHAnsi"/>
          <w:szCs w:val="22"/>
        </w:rPr>
        <w:t>b</w:t>
      </w:r>
      <w:r>
        <w:rPr>
          <w:rFonts w:cstheme="minorHAnsi"/>
          <w:szCs w:val="22"/>
        </w:rPr>
        <w:t>).</w:t>
      </w:r>
    </w:p>
    <w:p w14:paraId="51D6AD2D" w14:textId="7B99EB44" w:rsidR="00FD279A" w:rsidRPr="00EB12F8" w:rsidRDefault="00FD279A" w:rsidP="00444168">
      <w:pPr>
        <w:pStyle w:val="Default"/>
        <w:spacing w:line="320" w:lineRule="exact"/>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ability to deliver environmental water to the </w:t>
      </w:r>
      <w:r w:rsidR="008E27F6">
        <w:rPr>
          <w:rFonts w:asciiTheme="minorHAnsi" w:eastAsia="Calibri" w:hAnsiTheme="minorHAnsi" w:cstheme="minorHAnsi"/>
          <w:color w:val="auto"/>
          <w:sz w:val="22"/>
          <w:szCs w:val="22"/>
        </w:rPr>
        <w:t>Edward/Kolety-Wakool</w:t>
      </w:r>
      <w:r w:rsidRPr="00EB12F8">
        <w:rPr>
          <w:rFonts w:asciiTheme="minorHAnsi" w:eastAsia="Calibri" w:hAnsiTheme="minorHAnsi" w:cstheme="minorHAnsi"/>
          <w:color w:val="auto"/>
          <w:sz w:val="22"/>
          <w:szCs w:val="22"/>
        </w:rPr>
        <w:t xml:space="preserve"> system depend</w:t>
      </w:r>
      <w:r w:rsidR="000E717B">
        <w:rPr>
          <w:rFonts w:asciiTheme="minorHAnsi" w:eastAsia="Calibri" w:hAnsiTheme="minorHAnsi" w:cstheme="minorHAnsi"/>
          <w:color w:val="auto"/>
          <w:sz w:val="22"/>
          <w:szCs w:val="22"/>
        </w:rPr>
        <w:t>s</w:t>
      </w:r>
      <w:r w:rsidRPr="00EB12F8">
        <w:rPr>
          <w:rFonts w:asciiTheme="minorHAnsi" w:eastAsia="Calibri" w:hAnsiTheme="minorHAnsi" w:cstheme="minorHAnsi"/>
          <w:color w:val="auto"/>
          <w:sz w:val="22"/>
          <w:szCs w:val="22"/>
        </w:rPr>
        <w:t xml:space="preserve"> on water availability and circumstances </w:t>
      </w:r>
      <w:r>
        <w:rPr>
          <w:rFonts w:asciiTheme="minorHAnsi" w:eastAsia="Calibri" w:hAnsiTheme="minorHAnsi" w:cstheme="minorHAnsi"/>
          <w:color w:val="auto"/>
          <w:sz w:val="22"/>
          <w:szCs w:val="22"/>
        </w:rPr>
        <w:t>in the river at any given time. E</w:t>
      </w:r>
      <w:r w:rsidRPr="00EB12F8">
        <w:rPr>
          <w:rFonts w:asciiTheme="minorHAnsi" w:eastAsia="Calibri" w:hAnsiTheme="minorHAnsi" w:cstheme="minorHAnsi"/>
          <w:color w:val="auto"/>
          <w:sz w:val="22"/>
          <w:szCs w:val="22"/>
        </w:rPr>
        <w:t xml:space="preserve">nvironmental water delivery in this system involves various considerations as outlined by Gawne et al. (2013), including: </w:t>
      </w:r>
    </w:p>
    <w:p w14:paraId="33BE70E3"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the capacity of the off takes / regulators and irrigation escapes</w:t>
      </w:r>
    </w:p>
    <w:p w14:paraId="2BFD90A1"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channel constraints (e.g. to avoid third party impacts) </w:t>
      </w:r>
    </w:p>
    <w:p w14:paraId="39A23400"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availability of third party infrastructure to assist in delivering water into the system </w:t>
      </w:r>
    </w:p>
    <w:p w14:paraId="1EB1B0BB" w14:textId="77777777" w:rsidR="00FD279A" w:rsidRDefault="00FD279A" w:rsidP="006C5166">
      <w:pPr>
        <w:pStyle w:val="Default"/>
        <w:numPr>
          <w:ilvl w:val="0"/>
          <w:numId w:val="16"/>
        </w:numPr>
        <w:spacing w:after="120" w:line="320" w:lineRule="exact"/>
        <w:ind w:left="714" w:hanging="357"/>
        <w:jc w:val="both"/>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existing flows and other demands on the system. </w:t>
      </w:r>
    </w:p>
    <w:p w14:paraId="1CD0F2D2" w14:textId="66D9C733" w:rsidR="00FD279A" w:rsidRDefault="00FD279A" w:rsidP="00FD279A">
      <w:pPr>
        <w:pStyle w:val="Default"/>
        <w:spacing w:after="240" w:line="320" w:lineRule="exact"/>
        <w:rPr>
          <w:rFonts w:asciiTheme="minorHAnsi" w:hAnsiTheme="minorHAnsi" w:cstheme="minorHAnsi"/>
          <w:sz w:val="22"/>
          <w:szCs w:val="22"/>
        </w:rPr>
      </w:pPr>
      <w:r w:rsidRPr="00862922">
        <w:rPr>
          <w:rFonts w:asciiTheme="minorHAnsi" w:eastAsia="Calibri" w:hAnsiTheme="minorHAnsi" w:cstheme="minorHAnsi"/>
          <w:color w:val="auto"/>
          <w:sz w:val="22"/>
          <w:szCs w:val="22"/>
        </w:rPr>
        <w:t>Delivery of instream flows to the Edward</w:t>
      </w:r>
      <w:r w:rsidR="0091645A">
        <w:rPr>
          <w:rFonts w:asciiTheme="minorHAnsi" w:eastAsia="Calibri" w:hAnsiTheme="minorHAnsi" w:cstheme="minorHAnsi"/>
          <w:color w:val="auto"/>
          <w:sz w:val="22"/>
          <w:szCs w:val="22"/>
        </w:rPr>
        <w:t>/Kolety</w:t>
      </w:r>
      <w:r w:rsidRPr="00862922">
        <w:rPr>
          <w:rFonts w:asciiTheme="minorHAnsi" w:eastAsia="Calibri" w:hAnsiTheme="minorHAnsi" w:cstheme="minorHAnsi"/>
          <w:color w:val="auto"/>
          <w:sz w:val="22"/>
          <w:szCs w:val="22"/>
        </w:rPr>
        <w:t xml:space="preserve"> River, Wakool River, Yallakool Creek, Colligen</w:t>
      </w:r>
      <w:r w:rsidR="00C8713F">
        <w:rPr>
          <w:rFonts w:asciiTheme="minorHAnsi" w:eastAsia="Calibri" w:hAnsiTheme="minorHAnsi" w:cstheme="minorHAnsi"/>
          <w:color w:val="auto"/>
          <w:sz w:val="22"/>
          <w:szCs w:val="22"/>
        </w:rPr>
        <w:t>-</w:t>
      </w:r>
      <w:r w:rsidRPr="00862922">
        <w:rPr>
          <w:rFonts w:asciiTheme="minorHAnsi" w:eastAsia="Calibri" w:hAnsiTheme="minorHAnsi" w:cstheme="minorHAnsi"/>
          <w:color w:val="auto"/>
          <w:sz w:val="22"/>
          <w:szCs w:val="22"/>
        </w:rPr>
        <w:t xml:space="preserve">Niemur </w:t>
      </w:r>
      <w:r w:rsidR="00C8713F">
        <w:rPr>
          <w:rFonts w:asciiTheme="minorHAnsi" w:eastAsia="Calibri" w:hAnsiTheme="minorHAnsi" w:cstheme="minorHAnsi"/>
          <w:color w:val="auto"/>
          <w:sz w:val="22"/>
          <w:szCs w:val="22"/>
        </w:rPr>
        <w:t>system</w:t>
      </w:r>
      <w:r w:rsidRPr="00862922">
        <w:rPr>
          <w:rFonts w:asciiTheme="minorHAnsi" w:eastAsia="Calibri" w:hAnsiTheme="minorHAnsi" w:cstheme="minorHAnsi"/>
          <w:color w:val="auto"/>
          <w:sz w:val="22"/>
          <w:szCs w:val="22"/>
        </w:rPr>
        <w:t xml:space="preserve"> and Merran River system </w:t>
      </w:r>
      <w:r>
        <w:rPr>
          <w:rFonts w:asciiTheme="minorHAnsi" w:eastAsia="Calibri" w:hAnsiTheme="minorHAnsi" w:cstheme="minorHAnsi"/>
          <w:color w:val="auto"/>
          <w:sz w:val="22"/>
          <w:szCs w:val="22"/>
        </w:rPr>
        <w:t xml:space="preserve">are </w:t>
      </w:r>
      <w:r w:rsidRPr="00862922">
        <w:rPr>
          <w:rFonts w:asciiTheme="minorHAnsi" w:eastAsia="Calibri" w:hAnsiTheme="minorHAnsi" w:cstheme="minorHAnsi"/>
          <w:color w:val="auto"/>
          <w:sz w:val="22"/>
          <w:szCs w:val="22"/>
        </w:rPr>
        <w:t>managed within regular operating ranges as advised by river operators to avoid third party impacts. For example, in the Wakool-Yall</w:t>
      </w:r>
      <w:r>
        <w:rPr>
          <w:rFonts w:asciiTheme="minorHAnsi" w:eastAsia="Calibri" w:hAnsiTheme="minorHAnsi" w:cstheme="minorHAnsi"/>
          <w:color w:val="auto"/>
          <w:sz w:val="22"/>
          <w:szCs w:val="22"/>
        </w:rPr>
        <w:t>a</w:t>
      </w:r>
      <w:r w:rsidRPr="00862922">
        <w:rPr>
          <w:rFonts w:asciiTheme="minorHAnsi" w:eastAsia="Calibri" w:hAnsiTheme="minorHAnsi" w:cstheme="minorHAnsi"/>
          <w:color w:val="auto"/>
          <w:sz w:val="22"/>
          <w:szCs w:val="22"/>
        </w:rPr>
        <w:t>kool system the o</w:t>
      </w:r>
      <w:r w:rsidR="0041634A">
        <w:rPr>
          <w:rFonts w:asciiTheme="minorHAnsi" w:eastAsia="Calibri" w:hAnsiTheme="minorHAnsi" w:cstheme="minorHAnsi"/>
          <w:color w:val="auto"/>
          <w:sz w:val="22"/>
          <w:szCs w:val="22"/>
        </w:rPr>
        <w:t>perational constraint is 600 ML/d</w:t>
      </w:r>
      <w:r w:rsidRPr="00862922">
        <w:rPr>
          <w:rFonts w:asciiTheme="minorHAnsi" w:eastAsia="Calibri" w:hAnsiTheme="minorHAnsi" w:cstheme="minorHAnsi"/>
          <w:color w:val="auto"/>
          <w:sz w:val="22"/>
          <w:szCs w:val="22"/>
        </w:rPr>
        <w:t xml:space="preserve"> </w:t>
      </w:r>
      <w:r>
        <w:rPr>
          <w:rFonts w:asciiTheme="minorHAnsi" w:eastAsia="Calibri" w:hAnsiTheme="minorHAnsi" w:cstheme="minorHAnsi"/>
          <w:color w:val="auto"/>
          <w:sz w:val="22"/>
          <w:szCs w:val="22"/>
        </w:rPr>
        <w:t>at the confluence of the Wakool River and Yallakool Creek</w:t>
      </w:r>
      <w:r w:rsidRPr="00862922">
        <w:rPr>
          <w:rFonts w:asciiTheme="minorHAnsi" w:eastAsia="Calibri" w:hAnsiTheme="minorHAnsi" w:cstheme="minorHAnsi"/>
          <w:color w:val="auto"/>
          <w:sz w:val="22"/>
          <w:szCs w:val="22"/>
        </w:rPr>
        <w:t>. Thus, the types of flow components that can be achieved under current operating ranges are in-channel baseflows</w:t>
      </w:r>
      <w:r w:rsidR="00C8713F">
        <w:rPr>
          <w:rFonts w:asciiTheme="minorHAnsi" w:eastAsia="Calibri" w:hAnsiTheme="minorHAnsi" w:cstheme="minorHAnsi"/>
          <w:color w:val="auto"/>
          <w:sz w:val="22"/>
          <w:szCs w:val="22"/>
        </w:rPr>
        <w:t xml:space="preserve"> and freshes</w:t>
      </w:r>
      <w:r w:rsidRPr="00862922">
        <w:rPr>
          <w:rFonts w:asciiTheme="minorHAnsi" w:eastAsia="Calibri" w:hAnsiTheme="minorHAnsi" w:cstheme="minorHAnsi"/>
          <w:color w:val="auto"/>
          <w:sz w:val="22"/>
          <w:szCs w:val="22"/>
        </w:rPr>
        <w:t xml:space="preserve">. Environmental watering may also be constrained due to limitations on how much water can be delivered under regulated conditions. At times of high irrigation demand channel capacity will be shared </w:t>
      </w:r>
      <w:r w:rsidR="00C8713F">
        <w:rPr>
          <w:rFonts w:asciiTheme="minorHAnsi" w:eastAsia="Calibri" w:hAnsiTheme="minorHAnsi" w:cstheme="minorHAnsi"/>
          <w:color w:val="auto"/>
          <w:sz w:val="22"/>
          <w:szCs w:val="22"/>
        </w:rPr>
        <w:t>among</w:t>
      </w:r>
      <w:r w:rsidRPr="00862922">
        <w:rPr>
          <w:rFonts w:asciiTheme="minorHAnsi" w:eastAsia="Calibri" w:hAnsiTheme="minorHAnsi" w:cstheme="minorHAnsi"/>
          <w:color w:val="auto"/>
          <w:sz w:val="22"/>
          <w:szCs w:val="22"/>
        </w:rPr>
        <w:t xml:space="preserve"> water users. If the system is receiving higher unregulated flows, there may not be enough capacity to deliver environmental water (Gawne et al. 2013). </w:t>
      </w:r>
      <w:r w:rsidRPr="00862922">
        <w:rPr>
          <w:rFonts w:asciiTheme="minorHAnsi" w:hAnsiTheme="minorHAnsi" w:cstheme="minorHAnsi"/>
          <w:sz w:val="22"/>
          <w:szCs w:val="22"/>
        </w:rPr>
        <w:t xml:space="preserve">Environmental </w:t>
      </w:r>
      <w:r>
        <w:rPr>
          <w:rFonts w:asciiTheme="minorHAnsi" w:hAnsiTheme="minorHAnsi" w:cstheme="minorHAnsi"/>
          <w:sz w:val="22"/>
          <w:szCs w:val="22"/>
        </w:rPr>
        <w:t>water</w:t>
      </w:r>
      <w:r w:rsidRPr="00862922">
        <w:rPr>
          <w:rFonts w:asciiTheme="minorHAnsi" w:hAnsiTheme="minorHAnsi" w:cstheme="minorHAnsi"/>
          <w:sz w:val="22"/>
          <w:szCs w:val="22"/>
        </w:rPr>
        <w:t xml:space="preserve"> may be delivered to contribute to the slower recession of freshes, delivered during low flow period</w:t>
      </w:r>
      <w:r>
        <w:rPr>
          <w:rFonts w:asciiTheme="minorHAnsi" w:hAnsiTheme="minorHAnsi" w:cstheme="minorHAnsi"/>
          <w:sz w:val="22"/>
          <w:szCs w:val="22"/>
        </w:rPr>
        <w:t>s</w:t>
      </w:r>
      <w:r w:rsidRPr="00862922">
        <w:rPr>
          <w:rFonts w:asciiTheme="minorHAnsi" w:hAnsiTheme="minorHAnsi" w:cstheme="minorHAnsi"/>
          <w:sz w:val="22"/>
          <w:szCs w:val="22"/>
        </w:rPr>
        <w:t xml:space="preserve"> to provide refuge habitat, or delivered to manage water quality issues, such as hypoxic events (Gawne et al. 2013</w:t>
      </w:r>
      <w:r>
        <w:rPr>
          <w:rFonts w:asciiTheme="minorHAnsi" w:hAnsiTheme="minorHAnsi" w:cstheme="minorHAnsi"/>
          <w:sz w:val="22"/>
          <w:szCs w:val="22"/>
        </w:rPr>
        <w:t>; Watts et al. 2017a</w:t>
      </w:r>
      <w:r w:rsidRPr="00862922">
        <w:rPr>
          <w:rFonts w:asciiTheme="minorHAnsi" w:hAnsiTheme="minorHAnsi" w:cstheme="minorHAnsi"/>
          <w:sz w:val="22"/>
          <w:szCs w:val="22"/>
        </w:rPr>
        <w:t>).</w:t>
      </w:r>
    </w:p>
    <w:p w14:paraId="6DAFDC91" w14:textId="77777777" w:rsidR="00BB6D95" w:rsidRDefault="00BB6D95">
      <w:pPr>
        <w:spacing w:after="0" w:line="240" w:lineRule="auto"/>
        <w:jc w:val="left"/>
        <w:rPr>
          <w:b/>
          <w:color w:val="31849B" w:themeColor="accent5" w:themeShade="BF"/>
          <w:sz w:val="28"/>
          <w:szCs w:val="28"/>
        </w:rPr>
      </w:pPr>
      <w:r>
        <w:rPr>
          <w:b/>
          <w:color w:val="31849B" w:themeColor="accent5" w:themeShade="BF"/>
          <w:sz w:val="28"/>
          <w:szCs w:val="28"/>
        </w:rPr>
        <w:br w:type="page"/>
      </w:r>
    </w:p>
    <w:bookmarkEnd w:id="11"/>
    <w:bookmarkEnd w:id="12"/>
    <w:bookmarkEnd w:id="13"/>
    <w:bookmarkEnd w:id="14"/>
    <w:bookmarkEnd w:id="15"/>
    <w:p w14:paraId="049569B8" w14:textId="477E98B7" w:rsidR="00FF60C2" w:rsidRPr="001E3F80" w:rsidRDefault="00FF60C2" w:rsidP="00FB12B9">
      <w:pPr>
        <w:tabs>
          <w:tab w:val="left" w:pos="8505"/>
        </w:tabs>
        <w:spacing w:after="240" w:line="320" w:lineRule="exact"/>
        <w:ind w:right="-995"/>
        <w:jc w:val="left"/>
        <w:rPr>
          <w:b/>
          <w:color w:val="31849B" w:themeColor="accent5" w:themeShade="BF"/>
          <w:sz w:val="28"/>
          <w:szCs w:val="28"/>
        </w:rPr>
      </w:pPr>
      <w:r w:rsidRPr="001E3F80">
        <w:rPr>
          <w:b/>
          <w:color w:val="31849B" w:themeColor="accent5" w:themeShade="BF"/>
          <w:sz w:val="28"/>
          <w:szCs w:val="28"/>
        </w:rPr>
        <w:t>2.</w:t>
      </w:r>
      <w:r w:rsidR="00244493">
        <w:rPr>
          <w:b/>
          <w:color w:val="31849B" w:themeColor="accent5" w:themeShade="BF"/>
          <w:sz w:val="28"/>
          <w:szCs w:val="28"/>
        </w:rPr>
        <w:t>5</w:t>
      </w:r>
      <w:r w:rsidR="00B86015">
        <w:rPr>
          <w:b/>
          <w:color w:val="31849B" w:themeColor="accent5" w:themeShade="BF"/>
          <w:sz w:val="28"/>
          <w:szCs w:val="28"/>
        </w:rPr>
        <w:t xml:space="preserve">  </w:t>
      </w:r>
      <w:r w:rsidRPr="001E3F80">
        <w:rPr>
          <w:b/>
          <w:color w:val="31849B" w:themeColor="accent5" w:themeShade="BF"/>
          <w:sz w:val="28"/>
          <w:szCs w:val="28"/>
        </w:rPr>
        <w:t xml:space="preserve"> Commonwealth watering actions in </w:t>
      </w:r>
      <w:r w:rsidR="008E27F6">
        <w:rPr>
          <w:b/>
          <w:color w:val="31849B" w:themeColor="accent5" w:themeShade="BF"/>
          <w:sz w:val="28"/>
          <w:szCs w:val="28"/>
        </w:rPr>
        <w:t>Edward/Kolety-Wakool</w:t>
      </w:r>
      <w:r w:rsidRPr="001E3F80">
        <w:rPr>
          <w:b/>
          <w:color w:val="31849B" w:themeColor="accent5" w:themeShade="BF"/>
          <w:sz w:val="28"/>
          <w:szCs w:val="28"/>
        </w:rPr>
        <w:t xml:space="preserve"> sy</w:t>
      </w:r>
      <w:r>
        <w:rPr>
          <w:b/>
          <w:color w:val="31849B" w:themeColor="accent5" w:themeShade="BF"/>
          <w:sz w:val="28"/>
          <w:szCs w:val="28"/>
        </w:rPr>
        <w:t>stem 201</w:t>
      </w:r>
      <w:r w:rsidR="00FB12B9">
        <w:rPr>
          <w:b/>
          <w:color w:val="31849B" w:themeColor="accent5" w:themeShade="BF"/>
          <w:sz w:val="28"/>
          <w:szCs w:val="28"/>
        </w:rPr>
        <w:t>9</w:t>
      </w:r>
      <w:r>
        <w:rPr>
          <w:b/>
          <w:color w:val="31849B" w:themeColor="accent5" w:themeShade="BF"/>
          <w:sz w:val="28"/>
          <w:szCs w:val="28"/>
        </w:rPr>
        <w:t>-</w:t>
      </w:r>
      <w:r w:rsidR="00FB12B9">
        <w:rPr>
          <w:b/>
          <w:color w:val="31849B" w:themeColor="accent5" w:themeShade="BF"/>
          <w:sz w:val="28"/>
          <w:szCs w:val="28"/>
        </w:rPr>
        <w:t>20</w:t>
      </w:r>
    </w:p>
    <w:p w14:paraId="145A6413" w14:textId="77777777" w:rsidR="001B64F2" w:rsidRDefault="001B64F2" w:rsidP="001B64F2">
      <w:pPr>
        <w:pStyle w:val="ListNumber"/>
        <w:numPr>
          <w:ilvl w:val="0"/>
          <w:numId w:val="0"/>
        </w:numPr>
        <w:rPr>
          <w:u w:val="single"/>
        </w:rPr>
      </w:pPr>
    </w:p>
    <w:p w14:paraId="2DCC1380" w14:textId="77777777" w:rsidR="00B14334" w:rsidRDefault="00B14334" w:rsidP="00B14334">
      <w:pPr>
        <w:spacing w:after="160" w:line="259" w:lineRule="auto"/>
        <w:contextualSpacing/>
        <w:jc w:val="left"/>
      </w:pPr>
      <w:r w:rsidRPr="005379B5">
        <w:rPr>
          <w:color w:val="000000" w:themeColor="text1"/>
        </w:rPr>
        <w:t>Three watering actions were planned by the Commonwealth Environmental Water Office for the 2019-20 water year in the Wakool-Yallakool system (Table 2.</w:t>
      </w:r>
      <w:r>
        <w:rPr>
          <w:color w:val="000000" w:themeColor="text1"/>
        </w:rPr>
        <w:t>5</w:t>
      </w:r>
      <w:r w:rsidRPr="005379B5">
        <w:rPr>
          <w:color w:val="000000" w:themeColor="text1"/>
        </w:rPr>
        <w:t xml:space="preserve">) and the Colligen-Niemur system </w:t>
      </w:r>
      <w:r w:rsidRPr="00780317">
        <w:rPr>
          <w:color w:val="000000" w:themeColor="text1"/>
        </w:rPr>
        <w:t>(Figure 2.1 and 2.</w:t>
      </w:r>
      <w:r>
        <w:rPr>
          <w:color w:val="000000" w:themeColor="text1"/>
        </w:rPr>
        <w:t>4</w:t>
      </w:r>
      <w:r w:rsidRPr="00780317">
        <w:rPr>
          <w:color w:val="000000" w:themeColor="text1"/>
        </w:rPr>
        <w:t xml:space="preserve">). </w:t>
      </w:r>
      <w:r>
        <w:t xml:space="preserve">Some of the water during these actions was sourced as </w:t>
      </w:r>
      <w:r w:rsidRPr="00A14E1A">
        <w:t>return flows from the Southern</w:t>
      </w:r>
      <w:r w:rsidRPr="005379B5">
        <w:rPr>
          <w:b/>
        </w:rPr>
        <w:t xml:space="preserve"> </w:t>
      </w:r>
      <w:r>
        <w:t>Connected F</w:t>
      </w:r>
      <w:r w:rsidRPr="00A14E1A">
        <w:t>low</w:t>
      </w:r>
      <w:r w:rsidRPr="005379B5">
        <w:rPr>
          <w:b/>
        </w:rPr>
        <w:t xml:space="preserve"> </w:t>
      </w:r>
      <w:r w:rsidRPr="004C0F90">
        <w:t>in the Murray River</w:t>
      </w:r>
      <w:r>
        <w:t>. This influenced flows in the Edward/Kolety-Wakool system from 28 August to 9 September 2019, and 23 September to 1 October 2019. The return flows from Millewa Forest may have affected the water quality in the Edward/Kolety-Wakool system on these dates, and on later dates at sites further downstream.</w:t>
      </w:r>
    </w:p>
    <w:p w14:paraId="32A86292" w14:textId="77777777" w:rsidR="00FB12B9" w:rsidRDefault="00FB12B9" w:rsidP="00FB12B9">
      <w:pPr>
        <w:pStyle w:val="BodyText"/>
        <w:spacing w:line="240" w:lineRule="auto"/>
        <w:ind w:right="-284"/>
        <w:jc w:val="left"/>
        <w:rPr>
          <w:rFonts w:asciiTheme="minorHAnsi" w:hAnsiTheme="minorHAnsi" w:cstheme="minorHAnsi"/>
          <w:sz w:val="20"/>
        </w:rPr>
      </w:pPr>
      <w:r w:rsidRPr="00A24586">
        <w:rPr>
          <w:rFonts w:asciiTheme="minorHAnsi" w:hAnsiTheme="minorHAnsi" w:cstheme="minorHAnsi"/>
          <w:b/>
          <w:sz w:val="20"/>
        </w:rPr>
        <w:t xml:space="preserve">Table </w:t>
      </w:r>
      <w:r>
        <w:rPr>
          <w:rFonts w:asciiTheme="minorHAnsi" w:hAnsiTheme="minorHAnsi" w:cstheme="minorHAnsi"/>
          <w:b/>
          <w:sz w:val="20"/>
        </w:rPr>
        <w:t>2.5</w:t>
      </w:r>
      <w:r w:rsidRPr="00A24586">
        <w:rPr>
          <w:rFonts w:asciiTheme="minorHAnsi" w:hAnsiTheme="minorHAnsi" w:cstheme="minorHAnsi"/>
          <w:b/>
          <w:sz w:val="20"/>
        </w:rPr>
        <w:t xml:space="preserve"> </w:t>
      </w:r>
      <w:r>
        <w:rPr>
          <w:rFonts w:asciiTheme="minorHAnsi" w:hAnsiTheme="minorHAnsi" w:cstheme="minorHAnsi"/>
          <w:sz w:val="20"/>
        </w:rPr>
        <w:t>Planned Commonwealth environmental watering actions in 2019-20 in the Edward/Kolety-</w:t>
      </w:r>
      <w:r w:rsidRPr="00A24586">
        <w:rPr>
          <w:rFonts w:asciiTheme="minorHAnsi" w:hAnsiTheme="minorHAnsi" w:cstheme="minorHAnsi"/>
          <w:sz w:val="20"/>
        </w:rPr>
        <w:t>Wakool River system</w:t>
      </w:r>
      <w:r>
        <w:rPr>
          <w:rFonts w:asciiTheme="minorHAnsi" w:hAnsiTheme="minorHAnsi" w:cstheme="minorHAnsi"/>
          <w:sz w:val="20"/>
        </w:rPr>
        <w:t xml:space="preserve">. </w:t>
      </w:r>
    </w:p>
    <w:tbl>
      <w:tblPr>
        <w:tblStyle w:val="TableGrid"/>
        <w:tblW w:w="93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391"/>
        <w:gridCol w:w="2373"/>
        <w:gridCol w:w="4326"/>
        <w:gridCol w:w="1256"/>
      </w:tblGrid>
      <w:tr w:rsidR="00FB12B9" w14:paraId="6F2092A2" w14:textId="77777777" w:rsidTr="0035316B">
        <w:trPr>
          <w:trHeight w:val="507"/>
        </w:trPr>
        <w:tc>
          <w:tcPr>
            <w:tcW w:w="1391" w:type="dxa"/>
            <w:tcBorders>
              <w:top w:val="single" w:sz="4" w:space="0" w:color="auto"/>
              <w:bottom w:val="single" w:sz="4" w:space="0" w:color="auto"/>
            </w:tcBorders>
            <w:shd w:val="clear" w:color="auto" w:fill="92CDDC"/>
          </w:tcPr>
          <w:p w14:paraId="00DA36D6" w14:textId="77777777" w:rsidR="00FB12B9" w:rsidRDefault="00FB12B9" w:rsidP="00FB12B9">
            <w:pPr>
              <w:spacing w:after="0" w:line="240" w:lineRule="auto"/>
              <w:rPr>
                <w:b/>
              </w:rPr>
            </w:pPr>
            <w:r>
              <w:rPr>
                <w:b/>
              </w:rPr>
              <w:t>Watering Action No</w:t>
            </w:r>
          </w:p>
        </w:tc>
        <w:tc>
          <w:tcPr>
            <w:tcW w:w="2373" w:type="dxa"/>
            <w:tcBorders>
              <w:top w:val="single" w:sz="4" w:space="0" w:color="auto"/>
              <w:bottom w:val="single" w:sz="4" w:space="0" w:color="auto"/>
            </w:tcBorders>
            <w:shd w:val="clear" w:color="auto" w:fill="92CDDC"/>
          </w:tcPr>
          <w:p w14:paraId="4E766145" w14:textId="77777777" w:rsidR="00FB12B9" w:rsidRDefault="00FB12B9" w:rsidP="00FB12B9">
            <w:pPr>
              <w:spacing w:after="0" w:line="240" w:lineRule="auto"/>
              <w:rPr>
                <w:b/>
              </w:rPr>
            </w:pPr>
            <w:r>
              <w:rPr>
                <w:b/>
              </w:rPr>
              <w:t>Name</w:t>
            </w:r>
          </w:p>
        </w:tc>
        <w:tc>
          <w:tcPr>
            <w:tcW w:w="4326" w:type="dxa"/>
            <w:tcBorders>
              <w:top w:val="single" w:sz="4" w:space="0" w:color="auto"/>
              <w:bottom w:val="single" w:sz="4" w:space="0" w:color="auto"/>
            </w:tcBorders>
            <w:shd w:val="clear" w:color="auto" w:fill="92CDDC"/>
          </w:tcPr>
          <w:p w14:paraId="2E7E7061" w14:textId="77777777" w:rsidR="00FB12B9" w:rsidRDefault="00FB12B9" w:rsidP="00FB12B9">
            <w:pPr>
              <w:spacing w:after="0" w:line="240" w:lineRule="auto"/>
              <w:rPr>
                <w:b/>
              </w:rPr>
            </w:pPr>
            <w:r>
              <w:rPr>
                <w:b/>
              </w:rPr>
              <w:t>Objectives (from CEWO)</w:t>
            </w:r>
          </w:p>
        </w:tc>
        <w:tc>
          <w:tcPr>
            <w:tcW w:w="1256" w:type="dxa"/>
            <w:tcBorders>
              <w:top w:val="single" w:sz="4" w:space="0" w:color="auto"/>
              <w:bottom w:val="single" w:sz="4" w:space="0" w:color="auto"/>
            </w:tcBorders>
            <w:shd w:val="clear" w:color="auto" w:fill="92CDDC"/>
          </w:tcPr>
          <w:p w14:paraId="43AA1626" w14:textId="77777777" w:rsidR="00FB12B9" w:rsidRDefault="00FB12B9" w:rsidP="00FB12B9">
            <w:pPr>
              <w:spacing w:after="0" w:line="240" w:lineRule="auto"/>
              <w:rPr>
                <w:b/>
              </w:rPr>
            </w:pPr>
            <w:r>
              <w:rPr>
                <w:b/>
              </w:rPr>
              <w:t>Dates</w:t>
            </w:r>
          </w:p>
        </w:tc>
      </w:tr>
      <w:tr w:rsidR="00FB12B9" w14:paraId="0D3E8BF1" w14:textId="77777777" w:rsidTr="0035316B">
        <w:trPr>
          <w:trHeight w:val="687"/>
        </w:trPr>
        <w:tc>
          <w:tcPr>
            <w:tcW w:w="1391" w:type="dxa"/>
            <w:tcBorders>
              <w:top w:val="single" w:sz="4" w:space="0" w:color="auto"/>
            </w:tcBorders>
            <w:shd w:val="clear" w:color="auto" w:fill="FFFFFF" w:themeFill="background1"/>
          </w:tcPr>
          <w:p w14:paraId="4FA64118"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Action 1</w:t>
            </w:r>
          </w:p>
        </w:tc>
        <w:tc>
          <w:tcPr>
            <w:tcW w:w="2373" w:type="dxa"/>
            <w:tcBorders>
              <w:top w:val="single" w:sz="4" w:space="0" w:color="auto"/>
            </w:tcBorders>
            <w:shd w:val="clear" w:color="auto" w:fill="FFFFFF" w:themeFill="background1"/>
          </w:tcPr>
          <w:p w14:paraId="381C1374"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Winter base flow</w:t>
            </w:r>
          </w:p>
        </w:tc>
        <w:tc>
          <w:tcPr>
            <w:tcW w:w="4326" w:type="dxa"/>
            <w:tcBorders>
              <w:top w:val="single" w:sz="4" w:space="0" w:color="auto"/>
            </w:tcBorders>
            <w:shd w:val="clear" w:color="auto" w:fill="FFFFFF" w:themeFill="background1"/>
          </w:tcPr>
          <w:p w14:paraId="28232BE6"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For native fish condition and movement, vegetation in-channel, longitudinal connectivity; refuge habitat during irrigation shut-down period</w:t>
            </w:r>
          </w:p>
        </w:tc>
        <w:tc>
          <w:tcPr>
            <w:tcW w:w="1256" w:type="dxa"/>
            <w:tcBorders>
              <w:top w:val="single" w:sz="4" w:space="0" w:color="auto"/>
            </w:tcBorders>
            <w:shd w:val="clear" w:color="auto" w:fill="FFFFFF" w:themeFill="background1"/>
          </w:tcPr>
          <w:p w14:paraId="6857D977"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15/05/19 - 9/08/2019</w:t>
            </w:r>
          </w:p>
        </w:tc>
      </w:tr>
      <w:tr w:rsidR="00FB12B9" w14:paraId="368EB664" w14:textId="77777777" w:rsidTr="0035316B">
        <w:trPr>
          <w:trHeight w:val="927"/>
        </w:trPr>
        <w:tc>
          <w:tcPr>
            <w:tcW w:w="1391" w:type="dxa"/>
            <w:shd w:val="clear" w:color="auto" w:fill="FFFFFF" w:themeFill="background1"/>
          </w:tcPr>
          <w:p w14:paraId="338B4AA2"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Action 2</w:t>
            </w:r>
          </w:p>
        </w:tc>
        <w:tc>
          <w:tcPr>
            <w:tcW w:w="2373" w:type="dxa"/>
            <w:shd w:val="clear" w:color="auto" w:fill="FFFFFF" w:themeFill="background1"/>
          </w:tcPr>
          <w:p w14:paraId="01BAF788"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Winter to spring transition flow</w:t>
            </w:r>
          </w:p>
        </w:tc>
        <w:tc>
          <w:tcPr>
            <w:tcW w:w="4326" w:type="dxa"/>
            <w:shd w:val="clear" w:color="auto" w:fill="FFFFFF" w:themeFill="background1"/>
          </w:tcPr>
          <w:p w14:paraId="7CB6C53D"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At this time, there was no operational demand so CEW was used to prevent water levels reducing to low levels for a short period between action 1 and action 3.</w:t>
            </w:r>
          </w:p>
        </w:tc>
        <w:tc>
          <w:tcPr>
            <w:tcW w:w="1256" w:type="dxa"/>
            <w:shd w:val="clear" w:color="auto" w:fill="FFFFFF" w:themeFill="background1"/>
          </w:tcPr>
          <w:p w14:paraId="0AB9B525"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 xml:space="preserve">10/08/19 - 27/08/19 </w:t>
            </w:r>
          </w:p>
          <w:p w14:paraId="1166F9ED" w14:textId="77777777" w:rsidR="00FB12B9" w:rsidRPr="00780317" w:rsidRDefault="00FB12B9" w:rsidP="00FB12B9">
            <w:pPr>
              <w:spacing w:after="0" w:line="240" w:lineRule="auto"/>
              <w:rPr>
                <w:rFonts w:asciiTheme="minorHAnsi" w:hAnsiTheme="minorHAnsi" w:cstheme="minorHAnsi"/>
                <w:sz w:val="20"/>
              </w:rPr>
            </w:pPr>
          </w:p>
        </w:tc>
      </w:tr>
      <w:tr w:rsidR="00FB12B9" w14:paraId="516BE9D6" w14:textId="77777777" w:rsidTr="0035316B">
        <w:trPr>
          <w:trHeight w:val="1151"/>
        </w:trPr>
        <w:tc>
          <w:tcPr>
            <w:tcW w:w="1391" w:type="dxa"/>
            <w:shd w:val="clear" w:color="auto" w:fill="FFFFFF" w:themeFill="background1"/>
          </w:tcPr>
          <w:p w14:paraId="1BF7E423" w14:textId="77777777" w:rsidR="00FB12B9" w:rsidRPr="00780317" w:rsidRDefault="00FB12B9" w:rsidP="00FB12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3a</w:t>
            </w:r>
          </w:p>
        </w:tc>
        <w:tc>
          <w:tcPr>
            <w:tcW w:w="2373" w:type="dxa"/>
            <w:shd w:val="clear" w:color="auto" w:fill="FFFFFF" w:themeFill="background1"/>
          </w:tcPr>
          <w:p w14:paraId="0FF7C2F9"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Winter/spring early fresh</w:t>
            </w:r>
          </w:p>
        </w:tc>
        <w:tc>
          <w:tcPr>
            <w:tcW w:w="4326" w:type="dxa"/>
            <w:shd w:val="clear" w:color="auto" w:fill="FFFFFF" w:themeFill="background1"/>
          </w:tcPr>
          <w:p w14:paraId="2EFF7D09"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rPr>
              <w:t>To provide early season rise in river level to contribute to connectivity, water quality, stimulating early growth of in-stream aquatic vegetation, pre-spawning condition of native fish and/or spawning in early spawning native fish.</w:t>
            </w:r>
          </w:p>
        </w:tc>
        <w:tc>
          <w:tcPr>
            <w:tcW w:w="1256" w:type="dxa"/>
            <w:shd w:val="clear" w:color="auto" w:fill="FFFFFF" w:themeFill="background1"/>
          </w:tcPr>
          <w:p w14:paraId="1A6C8D0D"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28/08/19 - 4/09/19</w:t>
            </w:r>
          </w:p>
        </w:tc>
      </w:tr>
      <w:tr w:rsidR="00FB12B9" w14:paraId="468627EF" w14:textId="77777777" w:rsidTr="0035316B">
        <w:trPr>
          <w:trHeight w:val="455"/>
        </w:trPr>
        <w:tc>
          <w:tcPr>
            <w:tcW w:w="1391" w:type="dxa"/>
            <w:shd w:val="clear" w:color="auto" w:fill="FFFFFF" w:themeFill="background1"/>
          </w:tcPr>
          <w:p w14:paraId="33F6A6D6" w14:textId="77777777" w:rsidR="00FB12B9" w:rsidRPr="00780317" w:rsidRDefault="00FB12B9" w:rsidP="00FB12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3b</w:t>
            </w:r>
          </w:p>
        </w:tc>
        <w:tc>
          <w:tcPr>
            <w:tcW w:w="2373" w:type="dxa"/>
            <w:shd w:val="clear" w:color="auto" w:fill="FFFFFF" w:themeFill="background1"/>
          </w:tcPr>
          <w:p w14:paraId="186B2F65"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Early spring elevated base flow</w:t>
            </w:r>
          </w:p>
        </w:tc>
        <w:tc>
          <w:tcPr>
            <w:tcW w:w="4326" w:type="dxa"/>
            <w:shd w:val="clear" w:color="auto" w:fill="FFFFFF" w:themeFill="background1"/>
          </w:tcPr>
          <w:p w14:paraId="6305EC63"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maintain nesting habitat for Murray Cod, and inundation for aquatic vegetation growth.</w:t>
            </w:r>
          </w:p>
        </w:tc>
        <w:tc>
          <w:tcPr>
            <w:tcW w:w="1256" w:type="dxa"/>
            <w:shd w:val="clear" w:color="auto" w:fill="FFFFFF" w:themeFill="background1"/>
          </w:tcPr>
          <w:p w14:paraId="754A82BB"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5/09/19 - 22/09/19</w:t>
            </w:r>
          </w:p>
        </w:tc>
      </w:tr>
      <w:tr w:rsidR="00FB12B9" w14:paraId="0E0C49C7" w14:textId="77777777" w:rsidTr="0035316B">
        <w:trPr>
          <w:trHeight w:val="1151"/>
        </w:trPr>
        <w:tc>
          <w:tcPr>
            <w:tcW w:w="1391" w:type="dxa"/>
            <w:shd w:val="clear" w:color="auto" w:fill="FFFFFF" w:themeFill="background1"/>
          </w:tcPr>
          <w:p w14:paraId="23B6DA29" w14:textId="77777777" w:rsidR="00FB12B9" w:rsidRPr="00780317" w:rsidRDefault="00FB12B9" w:rsidP="00FB12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3c</w:t>
            </w:r>
          </w:p>
        </w:tc>
        <w:tc>
          <w:tcPr>
            <w:tcW w:w="2373" w:type="dxa"/>
            <w:shd w:val="clear" w:color="auto" w:fill="FFFFFF" w:themeFill="background1"/>
          </w:tcPr>
          <w:p w14:paraId="38DC24AC"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Late spring fresh</w:t>
            </w:r>
          </w:p>
        </w:tc>
        <w:tc>
          <w:tcPr>
            <w:tcW w:w="4326" w:type="dxa"/>
            <w:shd w:val="clear" w:color="auto" w:fill="FFFFFF" w:themeFill="background1"/>
          </w:tcPr>
          <w:p w14:paraId="7077A2CA"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 xml:space="preserve">To promote silver perch spawning, influence and encourage fish movement, may be coordinated with wider Murray River actions to maximise benefit. May also assist with dispersal of larvae and juveniles of a number of fish species. </w:t>
            </w:r>
          </w:p>
        </w:tc>
        <w:tc>
          <w:tcPr>
            <w:tcW w:w="1256" w:type="dxa"/>
            <w:shd w:val="clear" w:color="auto" w:fill="FFFFFF" w:themeFill="background1"/>
          </w:tcPr>
          <w:p w14:paraId="38AD0416"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23/09/19 - 11/10/19</w:t>
            </w:r>
          </w:p>
          <w:p w14:paraId="60829EA0" w14:textId="77777777" w:rsidR="00FB12B9" w:rsidRPr="00780317" w:rsidRDefault="00FB12B9" w:rsidP="00FB12B9">
            <w:pPr>
              <w:spacing w:after="0" w:line="240" w:lineRule="auto"/>
              <w:rPr>
                <w:rFonts w:asciiTheme="minorHAnsi" w:hAnsiTheme="minorHAnsi" w:cstheme="minorHAnsi"/>
                <w:sz w:val="20"/>
              </w:rPr>
            </w:pPr>
          </w:p>
        </w:tc>
      </w:tr>
      <w:tr w:rsidR="00FB12B9" w14:paraId="5D8AC1F5" w14:textId="77777777" w:rsidTr="0035316B">
        <w:trPr>
          <w:trHeight w:val="927"/>
        </w:trPr>
        <w:tc>
          <w:tcPr>
            <w:tcW w:w="1391" w:type="dxa"/>
            <w:tcBorders>
              <w:bottom w:val="single" w:sz="4" w:space="0" w:color="FFFFFF" w:themeColor="background1"/>
            </w:tcBorders>
            <w:shd w:val="clear" w:color="auto" w:fill="FFFFFF" w:themeFill="background1"/>
          </w:tcPr>
          <w:p w14:paraId="08770F1E" w14:textId="77777777" w:rsidR="00FB12B9" w:rsidRPr="00780317" w:rsidRDefault="00FB12B9" w:rsidP="00FB12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3d</w:t>
            </w:r>
          </w:p>
        </w:tc>
        <w:tc>
          <w:tcPr>
            <w:tcW w:w="2373" w:type="dxa"/>
            <w:tcBorders>
              <w:bottom w:val="single" w:sz="4" w:space="0" w:color="FFFFFF" w:themeColor="background1"/>
            </w:tcBorders>
            <w:shd w:val="clear" w:color="auto" w:fill="FFFFFF" w:themeFill="background1"/>
          </w:tcPr>
          <w:p w14:paraId="5A8BB1BC"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Late spring elevated base flow</w:t>
            </w:r>
          </w:p>
        </w:tc>
        <w:tc>
          <w:tcPr>
            <w:tcW w:w="4326" w:type="dxa"/>
            <w:tcBorders>
              <w:bottom w:val="single" w:sz="4" w:space="0" w:color="FFFFFF" w:themeColor="background1"/>
            </w:tcBorders>
            <w:shd w:val="clear" w:color="auto" w:fill="FFFFFF" w:themeFill="background1"/>
          </w:tcPr>
          <w:p w14:paraId="3C2E7035"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influence and encourage fish movement, may be coordinated with wider Murray River actions to maximise benefit. May also assist with dispersal of larvae and juveniles of a number of fish species.</w:t>
            </w:r>
          </w:p>
        </w:tc>
        <w:tc>
          <w:tcPr>
            <w:tcW w:w="1256" w:type="dxa"/>
            <w:tcBorders>
              <w:bottom w:val="single" w:sz="4" w:space="0" w:color="FFFFFF" w:themeColor="background1"/>
            </w:tcBorders>
            <w:shd w:val="clear" w:color="auto" w:fill="FFFFFF" w:themeFill="background1"/>
          </w:tcPr>
          <w:p w14:paraId="5C938535"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12/10/19 - 30/11/19</w:t>
            </w:r>
          </w:p>
          <w:p w14:paraId="226A27EF" w14:textId="77777777" w:rsidR="00FB12B9" w:rsidRPr="00780317" w:rsidRDefault="00FB12B9" w:rsidP="00FB12B9">
            <w:pPr>
              <w:spacing w:after="0" w:line="240" w:lineRule="auto"/>
              <w:rPr>
                <w:rFonts w:asciiTheme="minorHAnsi" w:hAnsiTheme="minorHAnsi" w:cstheme="minorHAnsi"/>
                <w:sz w:val="20"/>
              </w:rPr>
            </w:pPr>
          </w:p>
        </w:tc>
      </w:tr>
      <w:tr w:rsidR="00FB12B9" w14:paraId="6E49DEFE" w14:textId="77777777" w:rsidTr="0035316B">
        <w:trPr>
          <w:trHeight w:val="455"/>
        </w:trPr>
        <w:tc>
          <w:tcPr>
            <w:tcW w:w="1391" w:type="dxa"/>
            <w:tcBorders>
              <w:bottom w:val="single" w:sz="4" w:space="0" w:color="auto"/>
            </w:tcBorders>
            <w:shd w:val="clear" w:color="auto" w:fill="FFFFFF" w:themeFill="background1"/>
          </w:tcPr>
          <w:p w14:paraId="2F3FAE72" w14:textId="77777777" w:rsidR="00FB12B9" w:rsidRPr="00780317" w:rsidRDefault="00FB12B9" w:rsidP="00FB12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3e</w:t>
            </w:r>
          </w:p>
        </w:tc>
        <w:tc>
          <w:tcPr>
            <w:tcW w:w="2373" w:type="dxa"/>
            <w:tcBorders>
              <w:bottom w:val="single" w:sz="4" w:space="0" w:color="auto"/>
            </w:tcBorders>
            <w:shd w:val="clear" w:color="auto" w:fill="FFFFFF" w:themeFill="background1"/>
          </w:tcPr>
          <w:p w14:paraId="3914081B"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Recession</w:t>
            </w:r>
          </w:p>
        </w:tc>
        <w:tc>
          <w:tcPr>
            <w:tcW w:w="4326" w:type="dxa"/>
            <w:tcBorders>
              <w:bottom w:val="single" w:sz="4" w:space="0" w:color="auto"/>
            </w:tcBorders>
            <w:shd w:val="clear" w:color="auto" w:fill="FFFFFF" w:themeFill="background1"/>
          </w:tcPr>
          <w:p w14:paraId="5087D298"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Slow recessions for instream water plants</w:t>
            </w:r>
          </w:p>
        </w:tc>
        <w:tc>
          <w:tcPr>
            <w:tcW w:w="1256" w:type="dxa"/>
            <w:tcBorders>
              <w:bottom w:val="single" w:sz="4" w:space="0" w:color="auto"/>
            </w:tcBorders>
            <w:shd w:val="clear" w:color="auto" w:fill="FFFFFF" w:themeFill="background1"/>
          </w:tcPr>
          <w:p w14:paraId="05A6E272" w14:textId="77777777" w:rsidR="00FB12B9" w:rsidRPr="00780317" w:rsidRDefault="00FB12B9" w:rsidP="00FB12B9">
            <w:pPr>
              <w:spacing w:after="0" w:line="240" w:lineRule="auto"/>
              <w:rPr>
                <w:rFonts w:asciiTheme="minorHAnsi" w:hAnsiTheme="minorHAnsi" w:cstheme="minorHAnsi"/>
                <w:sz w:val="20"/>
              </w:rPr>
            </w:pPr>
            <w:r w:rsidRPr="00780317">
              <w:rPr>
                <w:rFonts w:asciiTheme="minorHAnsi" w:hAnsiTheme="minorHAnsi" w:cstheme="minorHAnsi"/>
                <w:sz w:val="20"/>
              </w:rPr>
              <w:t>1/12/19 - 22/12/19</w:t>
            </w:r>
          </w:p>
        </w:tc>
      </w:tr>
    </w:tbl>
    <w:p w14:paraId="75AD2B16" w14:textId="77777777" w:rsidR="00FB12B9" w:rsidRDefault="00FB12B9" w:rsidP="00FB12B9">
      <w:pPr>
        <w:pStyle w:val="BodyText"/>
        <w:spacing w:line="240" w:lineRule="auto"/>
        <w:jc w:val="left"/>
      </w:pPr>
    </w:p>
    <w:p w14:paraId="5F4FEEA6" w14:textId="77777777" w:rsidR="00E71C01" w:rsidRDefault="00E71C01">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3B4F8636" w14:textId="11615D96" w:rsidR="00887F53" w:rsidRDefault="00523069" w:rsidP="00836CDD">
      <w:pPr>
        <w:pStyle w:val="Heading1"/>
      </w:pPr>
      <w:bookmarkStart w:id="16" w:name="_Toc69846015"/>
      <w:r>
        <w:t>3</w:t>
      </w:r>
      <w:r>
        <w:tab/>
      </w:r>
      <w:r w:rsidR="004D403B">
        <w:t>M</w:t>
      </w:r>
      <w:r w:rsidR="00F81562">
        <w:t xml:space="preserve">onitoring, </w:t>
      </w:r>
      <w:r w:rsidR="00887F53">
        <w:t>evaluation</w:t>
      </w:r>
      <w:r w:rsidR="00F81562">
        <w:t xml:space="preserve"> and research</w:t>
      </w:r>
      <w:bookmarkEnd w:id="16"/>
    </w:p>
    <w:p w14:paraId="48746A30" w14:textId="5D621798" w:rsidR="008831D1" w:rsidRDefault="00234302" w:rsidP="008C6192">
      <w:pPr>
        <w:tabs>
          <w:tab w:val="left" w:pos="9071"/>
        </w:tabs>
        <w:spacing w:after="120" w:line="320" w:lineRule="exact"/>
        <w:jc w:val="left"/>
        <w:rPr>
          <w:b/>
          <w:color w:val="31849B" w:themeColor="accent5" w:themeShade="BF"/>
          <w:sz w:val="28"/>
          <w:szCs w:val="28"/>
        </w:rPr>
      </w:pPr>
      <w:r w:rsidRPr="001E3F80">
        <w:rPr>
          <w:b/>
          <w:color w:val="31849B" w:themeColor="accent5" w:themeShade="BF"/>
          <w:sz w:val="28"/>
          <w:szCs w:val="28"/>
        </w:rPr>
        <w:t xml:space="preserve">3.1 </w:t>
      </w:r>
      <w:r w:rsidR="00900A2A">
        <w:rPr>
          <w:b/>
          <w:color w:val="31849B" w:themeColor="accent5" w:themeShade="BF"/>
          <w:sz w:val="28"/>
          <w:szCs w:val="28"/>
        </w:rPr>
        <w:t xml:space="preserve">  </w:t>
      </w:r>
      <w:r w:rsidR="008831D1">
        <w:rPr>
          <w:b/>
          <w:color w:val="31849B" w:themeColor="accent5" w:themeShade="BF"/>
          <w:sz w:val="28"/>
          <w:szCs w:val="28"/>
        </w:rPr>
        <w:t>Approach</w:t>
      </w:r>
      <w:r w:rsidR="00E015F1">
        <w:rPr>
          <w:b/>
          <w:color w:val="31849B" w:themeColor="accent5" w:themeShade="BF"/>
          <w:sz w:val="28"/>
          <w:szCs w:val="28"/>
        </w:rPr>
        <w:t xml:space="preserve"> to monitoring, evaluation and research</w:t>
      </w:r>
    </w:p>
    <w:p w14:paraId="21316035" w14:textId="7E9907C6" w:rsidR="00E015F1" w:rsidRDefault="008831D1" w:rsidP="00BD5533">
      <w:pPr>
        <w:spacing w:after="240" w:line="320" w:lineRule="exact"/>
        <w:jc w:val="left"/>
      </w:pPr>
      <w:r>
        <w:t xml:space="preserve">The </w:t>
      </w:r>
      <w:r w:rsidRPr="00852305">
        <w:t xml:space="preserve">overarching principle </w:t>
      </w:r>
      <w:r>
        <w:t xml:space="preserve">that underpins this </w:t>
      </w:r>
      <w:r w:rsidR="00BD5533">
        <w:t>monitoring, evaluation and research in</w:t>
      </w:r>
      <w:r>
        <w:t xml:space="preserve"> the Edward</w:t>
      </w:r>
      <w:r w:rsidR="00BD5533">
        <w:t>/Kolety</w:t>
      </w:r>
      <w:r>
        <w:t>-Wakool Selected Area is that we are taking an ecosystem approach to evaluate the responses to Commonwealth environme</w:t>
      </w:r>
      <w:r w:rsidR="00BD5533">
        <w:t xml:space="preserve">ntal watering. Monitoring </w:t>
      </w:r>
      <w:r>
        <w:t xml:space="preserve">indicators have been selected that each have clear linkages to other components of the MER project </w:t>
      </w:r>
      <w:r w:rsidR="00BD5533">
        <w:t>(</w:t>
      </w:r>
      <w:r w:rsidRPr="00BD5533">
        <w:t xml:space="preserve">Figure </w:t>
      </w:r>
      <w:r w:rsidR="00BD5533" w:rsidRPr="00BD5533">
        <w:t>3.</w:t>
      </w:r>
      <w:r w:rsidRPr="00BD5533">
        <w:t>1).</w:t>
      </w:r>
      <w:r>
        <w:t xml:space="preserve"> The </w:t>
      </w:r>
      <w:r w:rsidR="00BD5533">
        <w:t>monitoring and research</w:t>
      </w:r>
      <w:r>
        <w:t xml:space="preserve"> has a strong focus on fish (including reproduction, recruitment and adult populations) and water quality. The Edward</w:t>
      </w:r>
      <w:r w:rsidR="0091645A">
        <w:t>/Kolety</w:t>
      </w:r>
      <w:r>
        <w:t>-Wakool system is recognised as a priority area for fish diversity in the Murray-Darlin</w:t>
      </w:r>
      <w:r w:rsidRPr="00645F09">
        <w:t xml:space="preserve">g Basin, </w:t>
      </w:r>
      <w:r w:rsidR="00BD5533">
        <w:t>and o</w:t>
      </w:r>
      <w:r>
        <w:t>utcomes for fish and water quality have been the main focus of environmental watering actions in the Edward</w:t>
      </w:r>
      <w:r w:rsidR="0091645A">
        <w:t>/Kolety</w:t>
      </w:r>
      <w:r>
        <w:t>-Wakool system since 2010. Some of the other indicators (e.g. stream metabolism and aquatic vegetation) strongly influence the health of the ecosystem, and thus a key goal of this MER Plan is to improve our understanding and interpretation of these interdependencies.</w:t>
      </w:r>
      <w:r w:rsidR="00E015F1">
        <w:t xml:space="preserve"> Research projects will complement the monitoring and evaluation and where possible be undertaken collaboratively with the local community to address physical, ecological, and social questions that are key for supporting future environmental watering actions in the Edward/Kolety-Wakool system.</w:t>
      </w:r>
    </w:p>
    <w:p w14:paraId="58655A8C" w14:textId="3BF8B388" w:rsidR="008831D1" w:rsidRDefault="00BD5533" w:rsidP="00BD5533">
      <w:pPr>
        <w:tabs>
          <w:tab w:val="left" w:pos="9071"/>
        </w:tabs>
        <w:spacing w:after="120" w:line="240" w:lineRule="auto"/>
        <w:jc w:val="center"/>
        <w:rPr>
          <w:b/>
          <w:color w:val="31849B" w:themeColor="accent5" w:themeShade="BF"/>
          <w:sz w:val="28"/>
          <w:szCs w:val="28"/>
        </w:rPr>
      </w:pPr>
      <w:r>
        <w:rPr>
          <w:b/>
          <w:noProof/>
          <w:color w:val="31849B" w:themeColor="accent5" w:themeShade="BF"/>
          <w:sz w:val="28"/>
          <w:szCs w:val="28"/>
          <w:lang w:eastAsia="en-AU"/>
        </w:rPr>
        <w:drawing>
          <wp:inline distT="0" distB="0" distL="0" distR="0" wp14:anchorId="621A989B" wp14:editId="2320CA2C">
            <wp:extent cx="4712335" cy="42494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712335" cy="4249420"/>
                    </a:xfrm>
                    <a:prstGeom prst="rect">
                      <a:avLst/>
                    </a:prstGeom>
                    <a:noFill/>
                  </pic:spPr>
                </pic:pic>
              </a:graphicData>
            </a:graphic>
          </wp:inline>
        </w:drawing>
      </w:r>
    </w:p>
    <w:p w14:paraId="4B9BA657" w14:textId="4FCC2F6A" w:rsidR="00BD5533" w:rsidRDefault="00BD5533" w:rsidP="00BD5533">
      <w:pPr>
        <w:pStyle w:val="FigureCaption0"/>
        <w:spacing w:after="120"/>
        <w:ind w:right="255"/>
      </w:pPr>
      <w:bookmarkStart w:id="17" w:name="_Toc398112754"/>
      <w:r w:rsidRPr="00CF08DA">
        <w:t>Figure</w:t>
      </w:r>
      <w:r w:rsidRPr="007D7A0B">
        <w:t xml:space="preserve"> </w:t>
      </w:r>
      <w:r>
        <w:t>3.</w:t>
      </w:r>
      <w:r w:rsidRPr="007D7A0B">
        <w:t>1</w:t>
      </w:r>
      <w:r>
        <w:t xml:space="preserve"> </w:t>
      </w:r>
      <w:r w:rsidRPr="00BE2CB0">
        <w:rPr>
          <w:b w:val="0"/>
        </w:rPr>
        <w:t>Conceptual diagram illustrating three main flow types (low flows, freshes, overbank flows) and their influence on ecosystem components and processes that, in turn, influence fish population dynamics. Indicators included in the Edward</w:t>
      </w:r>
      <w:r w:rsidR="0091645A">
        <w:rPr>
          <w:b w:val="0"/>
        </w:rPr>
        <w:t>/Kolety</w:t>
      </w:r>
      <w:r w:rsidRPr="00BE2CB0">
        <w:rPr>
          <w:b w:val="0"/>
        </w:rPr>
        <w:t>-Wakool MER Plan are shown in brackets in boxes shaded blue.</w:t>
      </w:r>
      <w:bookmarkEnd w:id="17"/>
    </w:p>
    <w:p w14:paraId="3B9EE92A" w14:textId="77777777" w:rsidR="00131521" w:rsidRDefault="00131521">
      <w:pPr>
        <w:spacing w:after="0" w:line="240" w:lineRule="auto"/>
        <w:jc w:val="left"/>
        <w:rPr>
          <w:b/>
          <w:color w:val="31849B" w:themeColor="accent5" w:themeShade="BF"/>
          <w:sz w:val="28"/>
          <w:szCs w:val="28"/>
        </w:rPr>
      </w:pPr>
      <w:r>
        <w:rPr>
          <w:b/>
          <w:color w:val="31849B" w:themeColor="accent5" w:themeShade="BF"/>
          <w:sz w:val="28"/>
          <w:szCs w:val="28"/>
        </w:rPr>
        <w:br w:type="page"/>
      </w:r>
    </w:p>
    <w:p w14:paraId="3B4F8638" w14:textId="32106FD4" w:rsidR="00234302" w:rsidRPr="001E3F80" w:rsidRDefault="00900A2A" w:rsidP="008C6192">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 xml:space="preserve">3.2   </w:t>
      </w:r>
      <w:r w:rsidR="007F30A0" w:rsidRPr="001E3F80">
        <w:rPr>
          <w:b/>
          <w:color w:val="31849B" w:themeColor="accent5" w:themeShade="BF"/>
          <w:sz w:val="28"/>
          <w:szCs w:val="28"/>
        </w:rPr>
        <w:t>Monitoring zones and sites</w:t>
      </w:r>
    </w:p>
    <w:p w14:paraId="025272FE" w14:textId="6CCAEFCF" w:rsidR="00C74A6C" w:rsidRDefault="006D72D5" w:rsidP="00C90BA8">
      <w:pPr>
        <w:spacing w:after="120" w:line="320" w:lineRule="exact"/>
        <w:jc w:val="left"/>
      </w:pPr>
      <w:r w:rsidRPr="00C74A6C">
        <w:t xml:space="preserve">The monitoring of ecosystem responses to </w:t>
      </w:r>
      <w:r w:rsidR="00C64062" w:rsidRPr="00C74A6C">
        <w:t xml:space="preserve">Commonwealth </w:t>
      </w:r>
      <w:r w:rsidRPr="00C74A6C">
        <w:t xml:space="preserve">environmental watering in </w:t>
      </w:r>
      <w:r w:rsidR="0048418C">
        <w:t xml:space="preserve">the </w:t>
      </w:r>
      <w:r w:rsidR="008E27F6">
        <w:t>Edward/Kolety-Wakool</w:t>
      </w:r>
      <w:r w:rsidR="0048418C">
        <w:t xml:space="preserve"> system in 201</w:t>
      </w:r>
      <w:r w:rsidR="008831D1">
        <w:t>9-20</w:t>
      </w:r>
      <w:r w:rsidRPr="00C74A6C">
        <w:t xml:space="preserve"> </w:t>
      </w:r>
      <w:r w:rsidRPr="00E9535C">
        <w:t xml:space="preserve">was undertaken </w:t>
      </w:r>
      <w:r w:rsidR="00E9535C" w:rsidRPr="00E9535C">
        <w:t>following</w:t>
      </w:r>
      <w:r w:rsidR="00234302" w:rsidRPr="00C74A6C">
        <w:t xml:space="preserve"> the </w:t>
      </w:r>
      <w:r w:rsidR="00537051">
        <w:t xml:space="preserve">methods outlined in the </w:t>
      </w:r>
      <w:r w:rsidR="008E27F6">
        <w:t>Edward/Kolety-Wakool</w:t>
      </w:r>
      <w:r w:rsidR="00234302" w:rsidRPr="00C74A6C">
        <w:t xml:space="preserve"> </w:t>
      </w:r>
      <w:r w:rsidR="008831D1">
        <w:t>MER</w:t>
      </w:r>
      <w:r w:rsidR="00523C5A">
        <w:t xml:space="preserve"> Plan (</w:t>
      </w:r>
      <w:r w:rsidR="00523C5A" w:rsidRPr="008C6192">
        <w:t xml:space="preserve">Watts et al. </w:t>
      </w:r>
      <w:r w:rsidR="008831D1">
        <w:t>2019</w:t>
      </w:r>
      <w:r w:rsidR="00537051">
        <w:t>a</w:t>
      </w:r>
      <w:r w:rsidR="008831D1">
        <w:t>).</w:t>
      </w:r>
    </w:p>
    <w:p w14:paraId="4C99C187" w14:textId="2FE955D5" w:rsidR="00900A2A" w:rsidRPr="00900A2A" w:rsidRDefault="00900A2A" w:rsidP="00900A2A">
      <w:pPr>
        <w:pStyle w:val="BodyText1"/>
        <w:spacing w:before="0" w:line="259" w:lineRule="auto"/>
        <w:ind w:right="-51"/>
        <w:jc w:val="left"/>
        <w:rPr>
          <w:rFonts w:asciiTheme="minorHAnsi" w:hAnsiTheme="minorHAnsi" w:cstheme="minorHAnsi"/>
          <w:color w:val="000000"/>
          <w:kern w:val="28"/>
          <w:lang w:eastAsia="en-US" w:bidi="ar-SA"/>
        </w:rPr>
      </w:pPr>
      <w:r w:rsidRPr="002D051C">
        <w:rPr>
          <w:rFonts w:asciiTheme="minorHAnsi" w:hAnsiTheme="minorHAnsi" w:cstheme="minorHAnsi"/>
          <w:color w:val="000000"/>
          <w:kern w:val="28"/>
          <w:lang w:eastAsia="en-US" w:bidi="ar-SA"/>
        </w:rPr>
        <w:t>At the commencement of the LTIM program daily discharge data from 14 hydrological stations in the Edward</w:t>
      </w:r>
      <w:r w:rsidR="0091645A">
        <w:rPr>
          <w:rFonts w:asciiTheme="minorHAnsi" w:hAnsiTheme="minorHAnsi" w:cstheme="minorHAnsi"/>
          <w:color w:val="000000"/>
          <w:kern w:val="28"/>
          <w:lang w:eastAsia="en-US" w:bidi="ar-SA"/>
        </w:rPr>
        <w:t>/Kolety</w:t>
      </w:r>
      <w:r w:rsidRPr="002D051C">
        <w:rPr>
          <w:rFonts w:asciiTheme="minorHAnsi" w:hAnsiTheme="minorHAnsi" w:cstheme="minorHAnsi"/>
          <w:color w:val="000000"/>
          <w:kern w:val="28"/>
          <w:lang w:eastAsia="en-US" w:bidi="ar-SA"/>
        </w:rPr>
        <w:t>-Wakool system were analysed along with information on geomorphology and location of major distributaries to classify the system into distinct hydrological zones (Watts et al. 2014). Fifteen distinct zones were identified (Figure 3</w:t>
      </w:r>
      <w:r>
        <w:rPr>
          <w:rFonts w:asciiTheme="minorHAnsi" w:hAnsiTheme="minorHAnsi" w:cstheme="minorHAnsi"/>
          <w:color w:val="000000"/>
          <w:kern w:val="28"/>
          <w:lang w:eastAsia="en-US" w:bidi="ar-SA"/>
        </w:rPr>
        <w:t>.2</w:t>
      </w:r>
      <w:r w:rsidRPr="002D051C">
        <w:rPr>
          <w:rFonts w:asciiTheme="minorHAnsi" w:hAnsiTheme="minorHAnsi" w:cstheme="minorHAnsi"/>
          <w:color w:val="000000"/>
          <w:kern w:val="28"/>
          <w:lang w:eastAsia="en-US" w:bidi="ar-SA"/>
        </w:rPr>
        <w:t xml:space="preserve">, Table </w:t>
      </w:r>
      <w:r>
        <w:rPr>
          <w:rFonts w:asciiTheme="minorHAnsi" w:hAnsiTheme="minorHAnsi" w:cstheme="minorHAnsi"/>
          <w:color w:val="000000"/>
          <w:kern w:val="28"/>
          <w:lang w:eastAsia="en-US" w:bidi="ar-SA"/>
        </w:rPr>
        <w:t>3.</w:t>
      </w:r>
      <w:r w:rsidRPr="002D051C">
        <w:rPr>
          <w:rFonts w:asciiTheme="minorHAnsi" w:hAnsiTheme="minorHAnsi" w:cstheme="minorHAnsi"/>
          <w:color w:val="000000"/>
          <w:kern w:val="28"/>
          <w:lang w:eastAsia="en-US" w:bidi="ar-SA"/>
        </w:rPr>
        <w:t>1). Transitions between these zones occur where there are major inflows or outflows to a river or at locations where there are significant changes in geomorphology. The zones range from ephemeral watercourses (e.g. Jimaringle, Cockran and Gwynne’s Creeks), to smaller creeks and rivers (Wakool River, Yallakool Creek, Colligen-Niemur system, and Merran Creek) to the larger Edward</w:t>
      </w:r>
      <w:r w:rsidR="0091645A">
        <w:rPr>
          <w:rFonts w:asciiTheme="minorHAnsi" w:hAnsiTheme="minorHAnsi" w:cstheme="minorHAnsi"/>
          <w:color w:val="000000"/>
          <w:kern w:val="28"/>
          <w:lang w:eastAsia="en-US" w:bidi="ar-SA"/>
        </w:rPr>
        <w:t>/Kolety</w:t>
      </w:r>
      <w:r w:rsidRPr="002D051C">
        <w:rPr>
          <w:rFonts w:asciiTheme="minorHAnsi" w:hAnsiTheme="minorHAnsi" w:cstheme="minorHAnsi"/>
          <w:color w:val="000000"/>
          <w:kern w:val="28"/>
          <w:lang w:eastAsia="en-US" w:bidi="ar-SA"/>
        </w:rPr>
        <w:t xml:space="preserve"> River system.</w:t>
      </w:r>
    </w:p>
    <w:p w14:paraId="0E1A4BA9" w14:textId="77777777" w:rsidR="00EF6817" w:rsidRPr="00172EA9" w:rsidRDefault="00EF6817" w:rsidP="00C90BA8">
      <w:pPr>
        <w:spacing w:before="120" w:after="80" w:line="240" w:lineRule="auto"/>
        <w:rPr>
          <w:highlight w:val="yellow"/>
        </w:rPr>
      </w:pPr>
      <w:r w:rsidRPr="00955302">
        <w:rPr>
          <w:noProof/>
          <w:lang w:eastAsia="en-AU"/>
        </w:rPr>
        <w:drawing>
          <wp:inline distT="0" distB="0" distL="0" distR="0" wp14:anchorId="0DDACE34" wp14:editId="2BC20EEB">
            <wp:extent cx="5848350" cy="4126506"/>
            <wp:effectExtent l="0" t="0" r="0" b="762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853817" cy="4130363"/>
                    </a:xfrm>
                    <a:prstGeom prst="rect">
                      <a:avLst/>
                    </a:prstGeom>
                    <a:ln>
                      <a:noFill/>
                    </a:ln>
                    <a:extLst>
                      <a:ext uri="{53640926-AAD7-44D8-BBD7-CCE9431645EC}">
                        <a14:shadowObscured xmlns:a14="http://schemas.microsoft.com/office/drawing/2010/main"/>
                      </a:ext>
                    </a:extLst>
                  </pic:spPr>
                </pic:pic>
              </a:graphicData>
            </a:graphic>
          </wp:inline>
        </w:drawing>
      </w:r>
    </w:p>
    <w:p w14:paraId="67D635EF" w14:textId="258E9A62" w:rsidR="00EF6817" w:rsidRPr="00900A2A" w:rsidRDefault="00EF6817" w:rsidP="00C90BA8">
      <w:pPr>
        <w:spacing w:after="0" w:line="240" w:lineRule="auto"/>
        <w:ind w:right="-284"/>
        <w:jc w:val="left"/>
        <w:rPr>
          <w:rFonts w:cs="Calibri"/>
          <w:sz w:val="20"/>
        </w:rPr>
      </w:pPr>
      <w:r w:rsidRPr="00900A2A">
        <w:rPr>
          <w:b/>
          <w:sz w:val="20"/>
        </w:rPr>
        <w:t>Figure 3.</w:t>
      </w:r>
      <w:r w:rsidR="00537051" w:rsidRPr="00900A2A">
        <w:rPr>
          <w:b/>
          <w:sz w:val="20"/>
        </w:rPr>
        <w:t>2</w:t>
      </w:r>
      <w:r w:rsidRPr="00900A2A">
        <w:rPr>
          <w:sz w:val="20"/>
        </w:rPr>
        <w:t xml:space="preserve"> </w:t>
      </w:r>
      <w:r w:rsidR="00900A2A" w:rsidRPr="00900A2A">
        <w:rPr>
          <w:sz w:val="20"/>
        </w:rPr>
        <w:t>Map showing 16 hydrological zones within the Edward</w:t>
      </w:r>
      <w:r w:rsidR="0091645A">
        <w:rPr>
          <w:sz w:val="20"/>
        </w:rPr>
        <w:t>/Kolety</w:t>
      </w:r>
      <w:r w:rsidR="00900A2A" w:rsidRPr="00900A2A">
        <w:rPr>
          <w:sz w:val="20"/>
        </w:rPr>
        <w:t xml:space="preserve">-Wakool system. </w:t>
      </w:r>
      <w:r w:rsidRPr="00900A2A">
        <w:rPr>
          <w:rFonts w:cs="Calibri"/>
          <w:sz w:val="20"/>
        </w:rPr>
        <w:t>Site names are listed in Table 3.1.</w:t>
      </w:r>
    </w:p>
    <w:p w14:paraId="2EF58CDB" w14:textId="77777777" w:rsidR="00537051" w:rsidRDefault="00537051" w:rsidP="00EF6817">
      <w:pPr>
        <w:pStyle w:val="FigureCaption0"/>
      </w:pPr>
    </w:p>
    <w:p w14:paraId="21FC6D32" w14:textId="77777777" w:rsidR="00900A2A" w:rsidRDefault="00900A2A">
      <w:pPr>
        <w:spacing w:after="0" w:line="240" w:lineRule="auto"/>
        <w:jc w:val="left"/>
        <w:rPr>
          <w:rFonts w:asciiTheme="minorHAnsi" w:eastAsia="Times New Roman" w:hAnsiTheme="minorHAnsi"/>
          <w:b/>
          <w:color w:val="000000"/>
          <w:kern w:val="28"/>
          <w:sz w:val="20"/>
        </w:rPr>
      </w:pPr>
      <w:r>
        <w:br w:type="page"/>
      </w:r>
    </w:p>
    <w:p w14:paraId="3B4F8644" w14:textId="6AC55872" w:rsidR="006D72D5" w:rsidRPr="008F4D0E" w:rsidRDefault="00842FB5" w:rsidP="0091645A">
      <w:pPr>
        <w:pStyle w:val="FigureCaption0"/>
        <w:ind w:right="-286"/>
      </w:pPr>
      <w:r>
        <w:t>Table 3.1</w:t>
      </w:r>
      <w:r w:rsidR="006D72D5" w:rsidRPr="008F4D0E">
        <w:t xml:space="preserve"> </w:t>
      </w:r>
      <w:r w:rsidR="00900A2A" w:rsidRPr="008F4D0E">
        <w:rPr>
          <w:b w:val="0"/>
        </w:rPr>
        <w:t>List o</w:t>
      </w:r>
      <w:r w:rsidR="00900A2A">
        <w:rPr>
          <w:b w:val="0"/>
        </w:rPr>
        <w:t xml:space="preserve">f site codes and site names </w:t>
      </w:r>
      <w:r w:rsidR="00900A2A" w:rsidRPr="008F4D0E">
        <w:rPr>
          <w:b w:val="0"/>
        </w:rPr>
        <w:t xml:space="preserve">for the </w:t>
      </w:r>
      <w:r w:rsidR="00900A2A">
        <w:rPr>
          <w:b w:val="0"/>
        </w:rPr>
        <w:t>CEWO MER</w:t>
      </w:r>
      <w:r w:rsidR="00900A2A" w:rsidRPr="008F4D0E">
        <w:rPr>
          <w:b w:val="0"/>
        </w:rPr>
        <w:t xml:space="preserve"> Project in the Edward</w:t>
      </w:r>
      <w:r w:rsidR="0091645A">
        <w:rPr>
          <w:b w:val="0"/>
        </w:rPr>
        <w:t>/Kolety</w:t>
      </w:r>
      <w:r w:rsidR="00900A2A" w:rsidRPr="008F4D0E">
        <w:rPr>
          <w:b w:val="0"/>
        </w:rPr>
        <w:t>-Wakool Selected Area.</w:t>
      </w:r>
    </w:p>
    <w:tbl>
      <w:tblPr>
        <w:tblW w:w="9386" w:type="dxa"/>
        <w:tblInd w:w="-30" w:type="dxa"/>
        <w:tblLayout w:type="fixed"/>
        <w:tblLook w:val="0000" w:firstRow="0" w:lastRow="0" w:firstColumn="0" w:lastColumn="0" w:noHBand="0" w:noVBand="0"/>
      </w:tblPr>
      <w:tblGrid>
        <w:gridCol w:w="4425"/>
        <w:gridCol w:w="708"/>
        <w:gridCol w:w="1418"/>
        <w:gridCol w:w="2835"/>
      </w:tblGrid>
      <w:tr w:rsidR="006D72D5" w:rsidRPr="008F4D0E" w14:paraId="3B4F8649" w14:textId="77777777" w:rsidTr="00C90BA8">
        <w:trPr>
          <w:trHeight w:val="290"/>
        </w:trPr>
        <w:tc>
          <w:tcPr>
            <w:tcW w:w="4425" w:type="dxa"/>
            <w:tcBorders>
              <w:top w:val="single" w:sz="4" w:space="0" w:color="auto"/>
              <w:left w:val="nil"/>
              <w:bottom w:val="single" w:sz="4" w:space="0" w:color="auto"/>
              <w:right w:val="nil"/>
            </w:tcBorders>
            <w:shd w:val="clear" w:color="auto" w:fill="92CDDC" w:themeFill="accent5" w:themeFillTint="99"/>
          </w:tcPr>
          <w:p w14:paraId="3B4F8645"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 Name</w:t>
            </w:r>
          </w:p>
        </w:tc>
        <w:tc>
          <w:tcPr>
            <w:tcW w:w="708" w:type="dxa"/>
            <w:tcBorders>
              <w:top w:val="single" w:sz="4" w:space="0" w:color="auto"/>
              <w:left w:val="nil"/>
              <w:bottom w:val="single" w:sz="4" w:space="0" w:color="auto"/>
              <w:right w:val="nil"/>
            </w:tcBorders>
            <w:shd w:val="clear" w:color="auto" w:fill="92CDDC" w:themeFill="accent5" w:themeFillTint="99"/>
          </w:tcPr>
          <w:p w14:paraId="3B4F8646"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w:t>
            </w:r>
          </w:p>
        </w:tc>
        <w:tc>
          <w:tcPr>
            <w:tcW w:w="1418" w:type="dxa"/>
            <w:tcBorders>
              <w:top w:val="single" w:sz="4" w:space="0" w:color="auto"/>
              <w:left w:val="nil"/>
              <w:bottom w:val="single" w:sz="4" w:space="0" w:color="auto"/>
              <w:right w:val="nil"/>
            </w:tcBorders>
            <w:shd w:val="clear" w:color="auto" w:fill="92CDDC" w:themeFill="accent5" w:themeFillTint="99"/>
          </w:tcPr>
          <w:p w14:paraId="3B4F8647"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Code</w:t>
            </w:r>
          </w:p>
        </w:tc>
        <w:tc>
          <w:tcPr>
            <w:tcW w:w="2835" w:type="dxa"/>
            <w:tcBorders>
              <w:top w:val="single" w:sz="4" w:space="0" w:color="auto"/>
              <w:left w:val="nil"/>
              <w:bottom w:val="single" w:sz="4" w:space="0" w:color="auto"/>
              <w:right w:val="nil"/>
            </w:tcBorders>
            <w:shd w:val="clear" w:color="auto" w:fill="92CDDC" w:themeFill="accent5" w:themeFillTint="99"/>
          </w:tcPr>
          <w:p w14:paraId="3B4F8648" w14:textId="77777777" w:rsidR="006D72D5" w:rsidRPr="008F4D0E" w:rsidRDefault="006D72D5" w:rsidP="00BA6C55">
            <w:pPr>
              <w:autoSpaceDE w:val="0"/>
              <w:autoSpaceDN w:val="0"/>
              <w:adjustRightInd w:val="0"/>
              <w:spacing w:after="0" w:line="240" w:lineRule="auto"/>
              <w:ind w:right="87"/>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Name</w:t>
            </w:r>
          </w:p>
        </w:tc>
      </w:tr>
      <w:tr w:rsidR="006D72D5" w:rsidRPr="008F4D0E" w14:paraId="3B4F864E" w14:textId="77777777" w:rsidTr="00C90BA8">
        <w:trPr>
          <w:trHeight w:val="227"/>
        </w:trPr>
        <w:tc>
          <w:tcPr>
            <w:tcW w:w="4425" w:type="dxa"/>
            <w:tcBorders>
              <w:top w:val="single" w:sz="4" w:space="0" w:color="auto"/>
              <w:left w:val="nil"/>
              <w:bottom w:val="nil"/>
              <w:right w:val="nil"/>
            </w:tcBorders>
            <w:shd w:val="solid" w:color="FFFFFF" w:fill="auto"/>
          </w:tcPr>
          <w:p w14:paraId="3B4F864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single" w:sz="4" w:space="0" w:color="auto"/>
              <w:left w:val="nil"/>
              <w:bottom w:val="nil"/>
              <w:right w:val="nil"/>
            </w:tcBorders>
          </w:tcPr>
          <w:p w14:paraId="3B4F864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single" w:sz="4" w:space="0" w:color="auto"/>
              <w:left w:val="nil"/>
              <w:bottom w:val="nil"/>
              <w:right w:val="nil"/>
            </w:tcBorders>
          </w:tcPr>
          <w:p w14:paraId="3B4F864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EDWK01_01</w:t>
            </w:r>
          </w:p>
        </w:tc>
        <w:tc>
          <w:tcPr>
            <w:tcW w:w="2835" w:type="dxa"/>
            <w:tcBorders>
              <w:top w:val="single" w:sz="4" w:space="0" w:color="auto"/>
              <w:left w:val="nil"/>
              <w:bottom w:val="nil"/>
              <w:right w:val="nil"/>
            </w:tcBorders>
            <w:shd w:val="solid" w:color="FFFFFF" w:fill="auto"/>
          </w:tcPr>
          <w:p w14:paraId="3B4F864D" w14:textId="7E0A8F9D"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Yallakool/Back C</w:t>
            </w:r>
            <w:r w:rsidR="00B86015">
              <w:rPr>
                <w:rFonts w:asciiTheme="minorHAnsi" w:hAnsiTheme="minorHAnsi" w:cs="Calibri"/>
                <w:color w:val="000000"/>
                <w:sz w:val="20"/>
                <w:lang w:eastAsia="en-AU"/>
              </w:rPr>
              <w:t>ree</w:t>
            </w:r>
            <w:r w:rsidRPr="008F4D0E">
              <w:rPr>
                <w:rFonts w:asciiTheme="minorHAnsi" w:hAnsiTheme="minorHAnsi" w:cs="Calibri"/>
                <w:color w:val="000000"/>
                <w:sz w:val="20"/>
                <w:lang w:eastAsia="en-AU"/>
              </w:rPr>
              <w:t>k Junction</w:t>
            </w:r>
          </w:p>
        </w:tc>
      </w:tr>
      <w:tr w:rsidR="006D72D5" w:rsidRPr="008F4D0E" w14:paraId="3B4F8653" w14:textId="77777777" w:rsidTr="00C90BA8">
        <w:trPr>
          <w:trHeight w:val="227"/>
        </w:trPr>
        <w:tc>
          <w:tcPr>
            <w:tcW w:w="4425" w:type="dxa"/>
            <w:tcBorders>
              <w:top w:val="nil"/>
              <w:left w:val="nil"/>
              <w:bottom w:val="nil"/>
              <w:right w:val="nil"/>
            </w:tcBorders>
            <w:shd w:val="solid" w:color="FFFFFF" w:fill="auto"/>
          </w:tcPr>
          <w:p w14:paraId="3B4F864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EDWK01_02</w:t>
            </w:r>
          </w:p>
        </w:tc>
        <w:tc>
          <w:tcPr>
            <w:tcW w:w="2835" w:type="dxa"/>
            <w:tcBorders>
              <w:top w:val="nil"/>
              <w:left w:val="nil"/>
              <w:bottom w:val="nil"/>
              <w:right w:val="nil"/>
            </w:tcBorders>
            <w:shd w:val="solid" w:color="FFFFFF" w:fill="auto"/>
          </w:tcPr>
          <w:p w14:paraId="3B4F865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Hopwood</w:t>
            </w:r>
          </w:p>
        </w:tc>
      </w:tr>
      <w:tr w:rsidR="006D72D5" w:rsidRPr="008F4D0E" w14:paraId="3B4F8658" w14:textId="77777777" w:rsidTr="00C90BA8">
        <w:trPr>
          <w:trHeight w:val="227"/>
        </w:trPr>
        <w:tc>
          <w:tcPr>
            <w:tcW w:w="4425" w:type="dxa"/>
            <w:tcBorders>
              <w:top w:val="nil"/>
              <w:left w:val="nil"/>
              <w:bottom w:val="nil"/>
              <w:right w:val="nil"/>
            </w:tcBorders>
            <w:shd w:val="solid" w:color="FFFFFF" w:fill="auto"/>
          </w:tcPr>
          <w:p w14:paraId="3B4F865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EDWK01_03</w:t>
            </w:r>
          </w:p>
        </w:tc>
        <w:tc>
          <w:tcPr>
            <w:tcW w:w="2835" w:type="dxa"/>
            <w:tcBorders>
              <w:top w:val="nil"/>
              <w:left w:val="nil"/>
              <w:bottom w:val="nil"/>
              <w:right w:val="nil"/>
            </w:tcBorders>
            <w:shd w:val="solid" w:color="FFFFFF" w:fill="auto"/>
          </w:tcPr>
          <w:p w14:paraId="3B4F865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w:t>
            </w:r>
          </w:p>
        </w:tc>
      </w:tr>
      <w:tr w:rsidR="006D72D5" w:rsidRPr="008F4D0E" w14:paraId="3B4F865D" w14:textId="77777777" w:rsidTr="00C90BA8">
        <w:trPr>
          <w:trHeight w:val="227"/>
        </w:trPr>
        <w:tc>
          <w:tcPr>
            <w:tcW w:w="4425" w:type="dxa"/>
            <w:tcBorders>
              <w:top w:val="nil"/>
              <w:left w:val="nil"/>
              <w:bottom w:val="nil"/>
              <w:right w:val="nil"/>
            </w:tcBorders>
            <w:shd w:val="solid" w:color="FFFFFF" w:fill="auto"/>
          </w:tcPr>
          <w:p w14:paraId="3B4F865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EDWK01_04</w:t>
            </w:r>
          </w:p>
        </w:tc>
        <w:tc>
          <w:tcPr>
            <w:tcW w:w="2835" w:type="dxa"/>
            <w:tcBorders>
              <w:top w:val="nil"/>
              <w:left w:val="nil"/>
              <w:bottom w:val="nil"/>
              <w:right w:val="nil"/>
            </w:tcBorders>
            <w:shd w:val="solid" w:color="FFFFFF" w:fill="auto"/>
          </w:tcPr>
          <w:p w14:paraId="3B4F865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 Park</w:t>
            </w:r>
          </w:p>
        </w:tc>
      </w:tr>
      <w:tr w:rsidR="006D72D5" w:rsidRPr="008F4D0E" w14:paraId="3B4F8662" w14:textId="77777777" w:rsidTr="00C90BA8">
        <w:trPr>
          <w:trHeight w:val="227"/>
        </w:trPr>
        <w:tc>
          <w:tcPr>
            <w:tcW w:w="4425" w:type="dxa"/>
            <w:tcBorders>
              <w:top w:val="nil"/>
              <w:left w:val="nil"/>
              <w:bottom w:val="nil"/>
              <w:right w:val="nil"/>
            </w:tcBorders>
            <w:shd w:val="solid" w:color="FFFFFF" w:fill="auto"/>
          </w:tcPr>
          <w:p w14:paraId="3B4F865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EDWK01_05</w:t>
            </w:r>
          </w:p>
        </w:tc>
        <w:tc>
          <w:tcPr>
            <w:tcW w:w="2835" w:type="dxa"/>
            <w:tcBorders>
              <w:top w:val="nil"/>
              <w:left w:val="nil"/>
              <w:bottom w:val="nil"/>
              <w:right w:val="nil"/>
            </w:tcBorders>
            <w:shd w:val="solid" w:color="FFFFFF" w:fill="auto"/>
          </w:tcPr>
          <w:p w14:paraId="3B4F866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Mascott</w:t>
            </w:r>
          </w:p>
        </w:tc>
      </w:tr>
      <w:tr w:rsidR="006D72D5" w:rsidRPr="008F4D0E" w14:paraId="3B4F8667" w14:textId="77777777" w:rsidTr="00C90BA8">
        <w:trPr>
          <w:trHeight w:val="227"/>
        </w:trPr>
        <w:tc>
          <w:tcPr>
            <w:tcW w:w="4425" w:type="dxa"/>
            <w:tcBorders>
              <w:top w:val="nil"/>
              <w:left w:val="nil"/>
              <w:bottom w:val="nil"/>
              <w:right w:val="nil"/>
            </w:tcBorders>
            <w:shd w:val="solid" w:color="FFFFFF" w:fill="auto"/>
          </w:tcPr>
          <w:p w14:paraId="3B4F866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EDWK01_06</w:t>
            </w:r>
          </w:p>
        </w:tc>
        <w:tc>
          <w:tcPr>
            <w:tcW w:w="2835" w:type="dxa"/>
            <w:tcBorders>
              <w:top w:val="nil"/>
              <w:left w:val="nil"/>
              <w:bottom w:val="nil"/>
              <w:right w:val="nil"/>
            </w:tcBorders>
            <w:shd w:val="solid" w:color="FFFFFF" w:fill="auto"/>
          </w:tcPr>
          <w:p w14:paraId="3B4F8666" w14:textId="20FD189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Yallakool C</w:t>
            </w:r>
            <w:r w:rsidR="00B86015">
              <w:rPr>
                <w:rFonts w:asciiTheme="minorHAnsi" w:hAnsiTheme="minorHAnsi" w:cs="Calibri"/>
                <w:color w:val="000000"/>
                <w:sz w:val="20"/>
                <w:lang w:eastAsia="en-AU"/>
              </w:rPr>
              <w:t>ree</w:t>
            </w:r>
            <w:r w:rsidRPr="008F4D0E">
              <w:rPr>
                <w:rFonts w:asciiTheme="minorHAnsi" w:hAnsiTheme="minorHAnsi" w:cs="Calibri"/>
                <w:color w:val="000000"/>
                <w:sz w:val="20"/>
                <w:lang w:eastAsia="en-AU"/>
              </w:rPr>
              <w:t>k</w:t>
            </w:r>
          </w:p>
        </w:tc>
      </w:tr>
      <w:tr w:rsidR="006D72D5" w:rsidRPr="008F4D0E" w14:paraId="3B4F866C" w14:textId="77777777" w:rsidTr="00C90BA8">
        <w:trPr>
          <w:trHeight w:val="227"/>
        </w:trPr>
        <w:tc>
          <w:tcPr>
            <w:tcW w:w="4425" w:type="dxa"/>
            <w:tcBorders>
              <w:top w:val="nil"/>
              <w:left w:val="nil"/>
              <w:bottom w:val="nil"/>
              <w:right w:val="nil"/>
            </w:tcBorders>
            <w:shd w:val="solid" w:color="FFFFFF" w:fill="auto"/>
          </w:tcPr>
          <w:p w14:paraId="3B4F866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EDWK01_07</w:t>
            </w:r>
          </w:p>
        </w:tc>
        <w:tc>
          <w:tcPr>
            <w:tcW w:w="2835" w:type="dxa"/>
            <w:tcBorders>
              <w:top w:val="nil"/>
              <w:left w:val="nil"/>
              <w:bottom w:val="nil"/>
              <w:right w:val="nil"/>
            </w:tcBorders>
            <w:shd w:val="solid" w:color="FFFFFF" w:fill="auto"/>
          </w:tcPr>
          <w:p w14:paraId="3B4F866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Windra Vale</w:t>
            </w:r>
          </w:p>
        </w:tc>
      </w:tr>
      <w:tr w:rsidR="006D72D5" w:rsidRPr="008F4D0E" w14:paraId="3B4F8671" w14:textId="77777777" w:rsidTr="00C90BA8">
        <w:trPr>
          <w:trHeight w:val="227"/>
        </w:trPr>
        <w:tc>
          <w:tcPr>
            <w:tcW w:w="4425" w:type="dxa"/>
            <w:tcBorders>
              <w:top w:val="nil"/>
              <w:left w:val="nil"/>
              <w:bottom w:val="nil"/>
              <w:right w:val="nil"/>
            </w:tcBorders>
            <w:shd w:val="solid" w:color="FFFFFF" w:fill="auto"/>
          </w:tcPr>
          <w:p w14:paraId="3B4F866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6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6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EDWK02_01</w:t>
            </w:r>
          </w:p>
        </w:tc>
        <w:tc>
          <w:tcPr>
            <w:tcW w:w="2835" w:type="dxa"/>
            <w:tcBorders>
              <w:top w:val="nil"/>
              <w:left w:val="nil"/>
              <w:bottom w:val="nil"/>
              <w:right w:val="nil"/>
            </w:tcBorders>
            <w:shd w:val="solid" w:color="FFFFFF" w:fill="auto"/>
          </w:tcPr>
          <w:p w14:paraId="3B4F867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Fallonville</w:t>
            </w:r>
          </w:p>
        </w:tc>
      </w:tr>
      <w:tr w:rsidR="006D72D5" w:rsidRPr="008F4D0E" w14:paraId="3B4F8676" w14:textId="77777777" w:rsidTr="00C90BA8">
        <w:trPr>
          <w:trHeight w:val="227"/>
        </w:trPr>
        <w:tc>
          <w:tcPr>
            <w:tcW w:w="4425" w:type="dxa"/>
            <w:tcBorders>
              <w:top w:val="nil"/>
              <w:left w:val="nil"/>
              <w:bottom w:val="nil"/>
              <w:right w:val="nil"/>
            </w:tcBorders>
            <w:shd w:val="solid" w:color="FFFFFF" w:fill="auto"/>
          </w:tcPr>
          <w:p w14:paraId="3B4F867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EDWK02_02</w:t>
            </w:r>
          </w:p>
        </w:tc>
        <w:tc>
          <w:tcPr>
            <w:tcW w:w="2835" w:type="dxa"/>
            <w:tcBorders>
              <w:top w:val="nil"/>
              <w:left w:val="nil"/>
              <w:bottom w:val="nil"/>
              <w:right w:val="nil"/>
            </w:tcBorders>
            <w:shd w:val="solid" w:color="FFFFFF" w:fill="auto"/>
          </w:tcPr>
          <w:p w14:paraId="3B4F867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Yaloke</w:t>
            </w:r>
          </w:p>
        </w:tc>
      </w:tr>
      <w:tr w:rsidR="006D72D5" w:rsidRPr="008F4D0E" w14:paraId="3B4F867B" w14:textId="77777777" w:rsidTr="00C90BA8">
        <w:trPr>
          <w:trHeight w:val="227"/>
        </w:trPr>
        <w:tc>
          <w:tcPr>
            <w:tcW w:w="4425" w:type="dxa"/>
            <w:tcBorders>
              <w:top w:val="nil"/>
              <w:left w:val="nil"/>
              <w:bottom w:val="nil"/>
              <w:right w:val="nil"/>
            </w:tcBorders>
            <w:shd w:val="solid" w:color="FFFFFF" w:fill="auto"/>
          </w:tcPr>
          <w:p w14:paraId="3B4F867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EDWK02_03</w:t>
            </w:r>
          </w:p>
        </w:tc>
        <w:tc>
          <w:tcPr>
            <w:tcW w:w="2835" w:type="dxa"/>
            <w:tcBorders>
              <w:top w:val="nil"/>
              <w:left w:val="nil"/>
              <w:bottom w:val="nil"/>
              <w:right w:val="nil"/>
            </w:tcBorders>
            <w:shd w:val="solid" w:color="FFFFFF" w:fill="auto"/>
          </w:tcPr>
          <w:p w14:paraId="3B4F867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Carmathon Reserve</w:t>
            </w:r>
          </w:p>
        </w:tc>
      </w:tr>
      <w:tr w:rsidR="006D72D5" w:rsidRPr="008F4D0E" w14:paraId="3B4F8680" w14:textId="77777777" w:rsidTr="00C90BA8">
        <w:trPr>
          <w:trHeight w:val="227"/>
        </w:trPr>
        <w:tc>
          <w:tcPr>
            <w:tcW w:w="4425" w:type="dxa"/>
            <w:tcBorders>
              <w:top w:val="nil"/>
              <w:left w:val="nil"/>
              <w:bottom w:val="nil"/>
              <w:right w:val="nil"/>
            </w:tcBorders>
            <w:shd w:val="solid" w:color="FFFFFF" w:fill="auto"/>
          </w:tcPr>
          <w:p w14:paraId="3B4F867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EDWK02_04</w:t>
            </w:r>
          </w:p>
        </w:tc>
        <w:tc>
          <w:tcPr>
            <w:tcW w:w="2835" w:type="dxa"/>
            <w:tcBorders>
              <w:top w:val="nil"/>
              <w:left w:val="nil"/>
              <w:bottom w:val="nil"/>
              <w:right w:val="nil"/>
            </w:tcBorders>
            <w:shd w:val="solid" w:color="FFFFFF" w:fill="auto"/>
          </w:tcPr>
          <w:p w14:paraId="3B4F867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Emu Park</w:t>
            </w:r>
          </w:p>
        </w:tc>
      </w:tr>
      <w:tr w:rsidR="006D72D5" w:rsidRPr="008F4D0E" w14:paraId="3B4F8685" w14:textId="77777777" w:rsidTr="00C90BA8">
        <w:trPr>
          <w:trHeight w:val="227"/>
        </w:trPr>
        <w:tc>
          <w:tcPr>
            <w:tcW w:w="4425" w:type="dxa"/>
            <w:tcBorders>
              <w:top w:val="nil"/>
              <w:left w:val="nil"/>
              <w:bottom w:val="nil"/>
              <w:right w:val="nil"/>
            </w:tcBorders>
            <w:shd w:val="solid" w:color="FFFFFF" w:fill="auto"/>
          </w:tcPr>
          <w:p w14:paraId="3B4F868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EDWK02_05</w:t>
            </w:r>
          </w:p>
        </w:tc>
        <w:tc>
          <w:tcPr>
            <w:tcW w:w="2835" w:type="dxa"/>
            <w:tcBorders>
              <w:top w:val="nil"/>
              <w:left w:val="nil"/>
              <w:bottom w:val="nil"/>
              <w:right w:val="nil"/>
            </w:tcBorders>
            <w:shd w:val="solid" w:color="FFFFFF" w:fill="auto"/>
          </w:tcPr>
          <w:p w14:paraId="3B4F868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Homeleigh</w:t>
            </w:r>
          </w:p>
        </w:tc>
      </w:tr>
      <w:tr w:rsidR="006D72D5" w:rsidRPr="008F4D0E" w14:paraId="3B4F868A" w14:textId="77777777" w:rsidTr="00C90BA8">
        <w:trPr>
          <w:trHeight w:val="227"/>
        </w:trPr>
        <w:tc>
          <w:tcPr>
            <w:tcW w:w="4425" w:type="dxa"/>
            <w:tcBorders>
              <w:top w:val="nil"/>
              <w:left w:val="nil"/>
              <w:bottom w:val="nil"/>
              <w:right w:val="nil"/>
            </w:tcBorders>
            <w:shd w:val="solid" w:color="FFFFFF" w:fill="auto"/>
          </w:tcPr>
          <w:p w14:paraId="3B4F868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EDWK02_06</w:t>
            </w:r>
          </w:p>
        </w:tc>
        <w:tc>
          <w:tcPr>
            <w:tcW w:w="2835" w:type="dxa"/>
            <w:tcBorders>
              <w:top w:val="nil"/>
              <w:left w:val="nil"/>
              <w:bottom w:val="nil"/>
              <w:right w:val="nil"/>
            </w:tcBorders>
            <w:shd w:val="solid" w:color="FFFFFF" w:fill="auto"/>
          </w:tcPr>
          <w:p w14:paraId="3B4F868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River1</w:t>
            </w:r>
          </w:p>
        </w:tc>
      </w:tr>
      <w:tr w:rsidR="006D72D5" w:rsidRPr="008F4D0E" w14:paraId="3B4F868F" w14:textId="77777777" w:rsidTr="00C90BA8">
        <w:trPr>
          <w:trHeight w:val="227"/>
        </w:trPr>
        <w:tc>
          <w:tcPr>
            <w:tcW w:w="4425" w:type="dxa"/>
            <w:tcBorders>
              <w:top w:val="nil"/>
              <w:left w:val="nil"/>
              <w:bottom w:val="nil"/>
              <w:right w:val="nil"/>
            </w:tcBorders>
            <w:shd w:val="solid" w:color="FFFFFF" w:fill="auto"/>
          </w:tcPr>
          <w:p w14:paraId="3B4F868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EDWK02_07</w:t>
            </w:r>
          </w:p>
        </w:tc>
        <w:tc>
          <w:tcPr>
            <w:tcW w:w="2835" w:type="dxa"/>
            <w:tcBorders>
              <w:top w:val="nil"/>
              <w:left w:val="nil"/>
              <w:bottom w:val="nil"/>
              <w:right w:val="nil"/>
            </w:tcBorders>
            <w:shd w:val="solid" w:color="FFFFFF" w:fill="auto"/>
          </w:tcPr>
          <w:p w14:paraId="3B4F868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River2</w:t>
            </w:r>
          </w:p>
        </w:tc>
      </w:tr>
      <w:tr w:rsidR="006D72D5" w:rsidRPr="008F4D0E" w14:paraId="3B4F8694" w14:textId="77777777" w:rsidTr="00C90BA8">
        <w:trPr>
          <w:trHeight w:val="227"/>
        </w:trPr>
        <w:tc>
          <w:tcPr>
            <w:tcW w:w="4425" w:type="dxa"/>
            <w:tcBorders>
              <w:top w:val="nil"/>
              <w:left w:val="nil"/>
              <w:bottom w:val="nil"/>
              <w:right w:val="nil"/>
            </w:tcBorders>
            <w:shd w:val="solid" w:color="FFFFFF" w:fill="auto"/>
          </w:tcPr>
          <w:p w14:paraId="3B4F869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EDWK03_01</w:t>
            </w:r>
          </w:p>
        </w:tc>
        <w:tc>
          <w:tcPr>
            <w:tcW w:w="2835" w:type="dxa"/>
            <w:tcBorders>
              <w:top w:val="nil"/>
              <w:left w:val="nil"/>
              <w:bottom w:val="nil"/>
              <w:right w:val="nil"/>
            </w:tcBorders>
            <w:shd w:val="solid" w:color="FFFFFF" w:fill="auto"/>
          </w:tcPr>
          <w:p w14:paraId="3B4F869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Talkook</w:t>
            </w:r>
          </w:p>
        </w:tc>
      </w:tr>
      <w:tr w:rsidR="006D72D5" w:rsidRPr="008F4D0E" w14:paraId="3B4F8699" w14:textId="77777777" w:rsidTr="00C90BA8">
        <w:trPr>
          <w:trHeight w:val="227"/>
        </w:trPr>
        <w:tc>
          <w:tcPr>
            <w:tcW w:w="4425" w:type="dxa"/>
            <w:tcBorders>
              <w:top w:val="nil"/>
              <w:left w:val="nil"/>
              <w:bottom w:val="nil"/>
              <w:right w:val="nil"/>
            </w:tcBorders>
            <w:shd w:val="solid" w:color="FFFFFF" w:fill="auto"/>
          </w:tcPr>
          <w:p w14:paraId="3B4F869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EDWK03_02</w:t>
            </w:r>
          </w:p>
        </w:tc>
        <w:tc>
          <w:tcPr>
            <w:tcW w:w="2835" w:type="dxa"/>
            <w:tcBorders>
              <w:top w:val="nil"/>
              <w:left w:val="nil"/>
              <w:bottom w:val="nil"/>
              <w:right w:val="nil"/>
            </w:tcBorders>
            <w:shd w:val="solid" w:color="FFFFFF" w:fill="auto"/>
          </w:tcPr>
          <w:p w14:paraId="3B4F869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Tralee1</w:t>
            </w:r>
          </w:p>
        </w:tc>
      </w:tr>
      <w:tr w:rsidR="006D72D5" w:rsidRPr="008F4D0E" w14:paraId="3B4F869E" w14:textId="77777777" w:rsidTr="00C90BA8">
        <w:trPr>
          <w:trHeight w:val="227"/>
        </w:trPr>
        <w:tc>
          <w:tcPr>
            <w:tcW w:w="4425" w:type="dxa"/>
            <w:tcBorders>
              <w:top w:val="nil"/>
              <w:left w:val="nil"/>
              <w:bottom w:val="nil"/>
              <w:right w:val="nil"/>
            </w:tcBorders>
            <w:shd w:val="solid" w:color="FFFFFF" w:fill="auto"/>
          </w:tcPr>
          <w:p w14:paraId="3B4F869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EDWK03_03</w:t>
            </w:r>
          </w:p>
        </w:tc>
        <w:tc>
          <w:tcPr>
            <w:tcW w:w="2835" w:type="dxa"/>
            <w:tcBorders>
              <w:top w:val="nil"/>
              <w:left w:val="nil"/>
              <w:bottom w:val="nil"/>
              <w:right w:val="nil"/>
            </w:tcBorders>
            <w:shd w:val="solid" w:color="FFFFFF" w:fill="auto"/>
          </w:tcPr>
          <w:p w14:paraId="3B4F869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Tralee2</w:t>
            </w:r>
          </w:p>
        </w:tc>
      </w:tr>
      <w:tr w:rsidR="006D72D5" w:rsidRPr="008F4D0E" w14:paraId="3B4F86A3" w14:textId="77777777" w:rsidTr="00C90BA8">
        <w:trPr>
          <w:trHeight w:val="227"/>
        </w:trPr>
        <w:tc>
          <w:tcPr>
            <w:tcW w:w="4425" w:type="dxa"/>
            <w:tcBorders>
              <w:top w:val="nil"/>
              <w:left w:val="nil"/>
              <w:bottom w:val="nil"/>
              <w:right w:val="nil"/>
            </w:tcBorders>
            <w:shd w:val="solid" w:color="FFFFFF" w:fill="auto"/>
          </w:tcPr>
          <w:p w14:paraId="3B4F869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EDWK03_04</w:t>
            </w:r>
          </w:p>
        </w:tc>
        <w:tc>
          <w:tcPr>
            <w:tcW w:w="2835" w:type="dxa"/>
            <w:tcBorders>
              <w:top w:val="nil"/>
              <w:left w:val="nil"/>
              <w:bottom w:val="nil"/>
              <w:right w:val="nil"/>
            </w:tcBorders>
            <w:shd w:val="solid" w:color="FFFFFF" w:fill="auto"/>
          </w:tcPr>
          <w:p w14:paraId="3B4F86A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Rail Bridge DS</w:t>
            </w:r>
          </w:p>
        </w:tc>
      </w:tr>
      <w:tr w:rsidR="006D72D5" w:rsidRPr="008F4D0E" w14:paraId="3B4F86A8" w14:textId="77777777" w:rsidTr="00C90BA8">
        <w:trPr>
          <w:trHeight w:val="227"/>
        </w:trPr>
        <w:tc>
          <w:tcPr>
            <w:tcW w:w="4425" w:type="dxa"/>
            <w:tcBorders>
              <w:top w:val="nil"/>
              <w:left w:val="nil"/>
              <w:bottom w:val="nil"/>
              <w:right w:val="nil"/>
            </w:tcBorders>
            <w:shd w:val="solid" w:color="FFFFFF" w:fill="auto"/>
          </w:tcPr>
          <w:p w14:paraId="3B4F86A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EDWK03_05</w:t>
            </w:r>
          </w:p>
        </w:tc>
        <w:tc>
          <w:tcPr>
            <w:tcW w:w="2835" w:type="dxa"/>
            <w:tcBorders>
              <w:top w:val="nil"/>
              <w:left w:val="nil"/>
              <w:bottom w:val="nil"/>
              <w:right w:val="nil"/>
            </w:tcBorders>
            <w:shd w:val="solid" w:color="FFFFFF" w:fill="auto"/>
          </w:tcPr>
          <w:p w14:paraId="3B4F86A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Cummins</w:t>
            </w:r>
          </w:p>
        </w:tc>
      </w:tr>
      <w:tr w:rsidR="006D72D5" w:rsidRPr="008F4D0E" w14:paraId="3B4F86AD" w14:textId="77777777" w:rsidTr="00C90BA8">
        <w:trPr>
          <w:trHeight w:val="227"/>
        </w:trPr>
        <w:tc>
          <w:tcPr>
            <w:tcW w:w="4425" w:type="dxa"/>
            <w:tcBorders>
              <w:top w:val="nil"/>
              <w:left w:val="nil"/>
              <w:bottom w:val="nil"/>
              <w:right w:val="nil"/>
            </w:tcBorders>
            <w:shd w:val="solid" w:color="FFFFFF" w:fill="auto"/>
          </w:tcPr>
          <w:p w14:paraId="3B4F86A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EDWK03_06</w:t>
            </w:r>
          </w:p>
        </w:tc>
        <w:tc>
          <w:tcPr>
            <w:tcW w:w="2835" w:type="dxa"/>
            <w:tcBorders>
              <w:top w:val="nil"/>
              <w:left w:val="nil"/>
              <w:bottom w:val="nil"/>
              <w:right w:val="nil"/>
            </w:tcBorders>
            <w:shd w:val="solid" w:color="FFFFFF" w:fill="auto"/>
          </w:tcPr>
          <w:p w14:paraId="3B4F86A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Ramley1</w:t>
            </w:r>
          </w:p>
        </w:tc>
      </w:tr>
      <w:tr w:rsidR="006D72D5" w:rsidRPr="008F4D0E" w14:paraId="3B4F86B2" w14:textId="77777777" w:rsidTr="00C90BA8">
        <w:trPr>
          <w:trHeight w:val="227"/>
        </w:trPr>
        <w:tc>
          <w:tcPr>
            <w:tcW w:w="4425" w:type="dxa"/>
            <w:tcBorders>
              <w:top w:val="nil"/>
              <w:left w:val="nil"/>
              <w:bottom w:val="nil"/>
              <w:right w:val="nil"/>
            </w:tcBorders>
            <w:shd w:val="solid" w:color="FFFFFF" w:fill="auto"/>
          </w:tcPr>
          <w:p w14:paraId="3B4F86A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EDWK03_07</w:t>
            </w:r>
          </w:p>
        </w:tc>
        <w:tc>
          <w:tcPr>
            <w:tcW w:w="2835" w:type="dxa"/>
            <w:tcBorders>
              <w:top w:val="nil"/>
              <w:left w:val="nil"/>
              <w:bottom w:val="nil"/>
              <w:right w:val="nil"/>
            </w:tcBorders>
            <w:shd w:val="solid" w:color="FFFFFF" w:fill="auto"/>
          </w:tcPr>
          <w:p w14:paraId="3B4F86B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Ramley2</w:t>
            </w:r>
          </w:p>
        </w:tc>
      </w:tr>
      <w:tr w:rsidR="006D72D5" w:rsidRPr="008F4D0E" w14:paraId="3B4F86B7" w14:textId="77777777" w:rsidTr="00C90BA8">
        <w:trPr>
          <w:trHeight w:val="227"/>
        </w:trPr>
        <w:tc>
          <w:tcPr>
            <w:tcW w:w="4425" w:type="dxa"/>
            <w:tcBorders>
              <w:top w:val="nil"/>
              <w:left w:val="nil"/>
              <w:bottom w:val="nil"/>
              <w:right w:val="nil"/>
            </w:tcBorders>
            <w:shd w:val="solid" w:color="FFFFFF" w:fill="auto"/>
          </w:tcPr>
          <w:p w14:paraId="3B4F86B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EDWK03_08</w:t>
            </w:r>
          </w:p>
        </w:tc>
        <w:tc>
          <w:tcPr>
            <w:tcW w:w="2835" w:type="dxa"/>
            <w:tcBorders>
              <w:top w:val="nil"/>
              <w:left w:val="nil"/>
              <w:bottom w:val="nil"/>
              <w:right w:val="nil"/>
            </w:tcBorders>
            <w:shd w:val="solid" w:color="FFFFFF" w:fill="auto"/>
          </w:tcPr>
          <w:p w14:paraId="3B4F86B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Yancoola</w:t>
            </w:r>
          </w:p>
        </w:tc>
      </w:tr>
      <w:tr w:rsidR="006D72D5" w:rsidRPr="008F4D0E" w14:paraId="3B4F86BC" w14:textId="77777777" w:rsidTr="00C90BA8">
        <w:trPr>
          <w:trHeight w:val="227"/>
        </w:trPr>
        <w:tc>
          <w:tcPr>
            <w:tcW w:w="4425" w:type="dxa"/>
            <w:tcBorders>
              <w:top w:val="nil"/>
              <w:left w:val="nil"/>
              <w:bottom w:val="nil"/>
              <w:right w:val="nil"/>
            </w:tcBorders>
            <w:shd w:val="solid" w:color="FFFFFF" w:fill="auto"/>
          </w:tcPr>
          <w:p w14:paraId="3B4F86B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EDWK03_09</w:t>
            </w:r>
          </w:p>
        </w:tc>
        <w:tc>
          <w:tcPr>
            <w:tcW w:w="2835" w:type="dxa"/>
            <w:tcBorders>
              <w:top w:val="nil"/>
              <w:left w:val="nil"/>
              <w:bottom w:val="nil"/>
              <w:right w:val="nil"/>
            </w:tcBorders>
            <w:shd w:val="solid" w:color="FFFFFF" w:fill="auto"/>
          </w:tcPr>
          <w:p w14:paraId="3B4F86B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Park1</w:t>
            </w:r>
          </w:p>
        </w:tc>
      </w:tr>
      <w:tr w:rsidR="006D72D5" w:rsidRPr="008F4D0E" w14:paraId="3B4F86C1" w14:textId="77777777" w:rsidTr="00C90BA8">
        <w:trPr>
          <w:trHeight w:val="227"/>
        </w:trPr>
        <w:tc>
          <w:tcPr>
            <w:tcW w:w="4425" w:type="dxa"/>
            <w:tcBorders>
              <w:top w:val="nil"/>
              <w:left w:val="nil"/>
              <w:bottom w:val="nil"/>
              <w:right w:val="nil"/>
            </w:tcBorders>
            <w:shd w:val="solid" w:color="FFFFFF" w:fill="auto"/>
          </w:tcPr>
          <w:p w14:paraId="3B4F86B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EDWK03_10</w:t>
            </w:r>
          </w:p>
        </w:tc>
        <w:tc>
          <w:tcPr>
            <w:tcW w:w="2835" w:type="dxa"/>
            <w:tcBorders>
              <w:top w:val="nil"/>
              <w:left w:val="nil"/>
              <w:bottom w:val="nil"/>
              <w:right w:val="nil"/>
            </w:tcBorders>
            <w:shd w:val="solid" w:color="FFFFFF" w:fill="auto"/>
          </w:tcPr>
          <w:p w14:paraId="3B4F86C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Park2</w:t>
            </w:r>
          </w:p>
        </w:tc>
      </w:tr>
      <w:tr w:rsidR="006D72D5" w:rsidRPr="008F4D0E" w14:paraId="3B4F86C6" w14:textId="77777777" w:rsidTr="00C90BA8">
        <w:trPr>
          <w:trHeight w:val="227"/>
        </w:trPr>
        <w:tc>
          <w:tcPr>
            <w:tcW w:w="4425" w:type="dxa"/>
            <w:tcBorders>
              <w:top w:val="nil"/>
              <w:left w:val="nil"/>
              <w:bottom w:val="nil"/>
              <w:right w:val="nil"/>
            </w:tcBorders>
            <w:shd w:val="solid" w:color="FFFFFF" w:fill="auto"/>
          </w:tcPr>
          <w:p w14:paraId="3B4F86C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EDWK04_01</w:t>
            </w:r>
          </w:p>
        </w:tc>
        <w:tc>
          <w:tcPr>
            <w:tcW w:w="2835" w:type="dxa"/>
            <w:tcBorders>
              <w:top w:val="nil"/>
              <w:left w:val="nil"/>
              <w:bottom w:val="nil"/>
              <w:right w:val="nil"/>
            </w:tcBorders>
            <w:shd w:val="solid" w:color="FFFFFF" w:fill="auto"/>
          </w:tcPr>
          <w:p w14:paraId="3B4F86C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Barham Bridge</w:t>
            </w:r>
          </w:p>
        </w:tc>
      </w:tr>
      <w:tr w:rsidR="006D72D5" w:rsidRPr="008F4D0E" w14:paraId="3B4F86CB" w14:textId="77777777" w:rsidTr="00C90BA8">
        <w:trPr>
          <w:trHeight w:val="227"/>
        </w:trPr>
        <w:tc>
          <w:tcPr>
            <w:tcW w:w="4425" w:type="dxa"/>
            <w:tcBorders>
              <w:top w:val="nil"/>
              <w:left w:val="nil"/>
              <w:bottom w:val="nil"/>
              <w:right w:val="nil"/>
            </w:tcBorders>
            <w:shd w:val="solid" w:color="FFFFFF" w:fill="auto"/>
          </w:tcPr>
          <w:p w14:paraId="3B4F86C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EDWK04_02</w:t>
            </w:r>
          </w:p>
        </w:tc>
        <w:tc>
          <w:tcPr>
            <w:tcW w:w="2835" w:type="dxa"/>
            <w:tcBorders>
              <w:top w:val="nil"/>
              <w:left w:val="nil"/>
              <w:bottom w:val="nil"/>
              <w:right w:val="nil"/>
            </w:tcBorders>
            <w:shd w:val="solid" w:color="FFFFFF" w:fill="auto"/>
          </w:tcPr>
          <w:p w14:paraId="3B4F86C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Possum Reserve</w:t>
            </w:r>
          </w:p>
        </w:tc>
      </w:tr>
      <w:tr w:rsidR="006D72D5" w:rsidRPr="008F4D0E" w14:paraId="3B4F86D0" w14:textId="77777777" w:rsidTr="00C90BA8">
        <w:trPr>
          <w:trHeight w:val="227"/>
        </w:trPr>
        <w:tc>
          <w:tcPr>
            <w:tcW w:w="4425" w:type="dxa"/>
            <w:tcBorders>
              <w:top w:val="nil"/>
              <w:left w:val="nil"/>
              <w:bottom w:val="nil"/>
              <w:right w:val="nil"/>
            </w:tcBorders>
            <w:shd w:val="solid" w:color="FFFFFF" w:fill="auto"/>
          </w:tcPr>
          <w:p w14:paraId="3B4F86C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EDWK04_03</w:t>
            </w:r>
          </w:p>
        </w:tc>
        <w:tc>
          <w:tcPr>
            <w:tcW w:w="2835" w:type="dxa"/>
            <w:tcBorders>
              <w:top w:val="nil"/>
              <w:left w:val="nil"/>
              <w:bottom w:val="nil"/>
              <w:right w:val="nil"/>
            </w:tcBorders>
            <w:shd w:val="solid" w:color="FFFFFF" w:fill="auto"/>
          </w:tcPr>
          <w:p w14:paraId="3B4F86C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Whymoul National Park</w:t>
            </w:r>
          </w:p>
        </w:tc>
      </w:tr>
      <w:tr w:rsidR="006D72D5" w:rsidRPr="008F4D0E" w14:paraId="3B4F86D5" w14:textId="77777777" w:rsidTr="00C90BA8">
        <w:trPr>
          <w:trHeight w:val="227"/>
        </w:trPr>
        <w:tc>
          <w:tcPr>
            <w:tcW w:w="4425" w:type="dxa"/>
            <w:tcBorders>
              <w:top w:val="nil"/>
              <w:left w:val="nil"/>
              <w:bottom w:val="nil"/>
              <w:right w:val="nil"/>
            </w:tcBorders>
            <w:shd w:val="solid" w:color="FFFFFF" w:fill="auto"/>
          </w:tcPr>
          <w:p w14:paraId="3B4F86D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EDWK04_04</w:t>
            </w:r>
          </w:p>
        </w:tc>
        <w:tc>
          <w:tcPr>
            <w:tcW w:w="2835" w:type="dxa"/>
            <w:tcBorders>
              <w:top w:val="nil"/>
              <w:left w:val="nil"/>
              <w:bottom w:val="nil"/>
              <w:right w:val="nil"/>
            </w:tcBorders>
            <w:shd w:val="solid" w:color="FFFFFF" w:fill="auto"/>
          </w:tcPr>
          <w:p w14:paraId="3B4F86D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Yarranvale</w:t>
            </w:r>
          </w:p>
        </w:tc>
      </w:tr>
      <w:tr w:rsidR="006D72D5" w:rsidRPr="008F4D0E" w14:paraId="3B4F86DA" w14:textId="77777777" w:rsidTr="00C90BA8">
        <w:trPr>
          <w:trHeight w:val="227"/>
        </w:trPr>
        <w:tc>
          <w:tcPr>
            <w:tcW w:w="4425" w:type="dxa"/>
            <w:tcBorders>
              <w:top w:val="nil"/>
              <w:left w:val="nil"/>
              <w:bottom w:val="nil"/>
              <w:right w:val="nil"/>
            </w:tcBorders>
            <w:shd w:val="solid" w:color="FFFFFF" w:fill="auto"/>
          </w:tcPr>
          <w:p w14:paraId="3B4F86D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EDWK04_05</w:t>
            </w:r>
          </w:p>
        </w:tc>
        <w:tc>
          <w:tcPr>
            <w:tcW w:w="2835" w:type="dxa"/>
            <w:tcBorders>
              <w:top w:val="nil"/>
              <w:left w:val="nil"/>
              <w:bottom w:val="nil"/>
              <w:right w:val="nil"/>
            </w:tcBorders>
            <w:shd w:val="solid" w:color="FFFFFF" w:fill="auto"/>
          </w:tcPr>
          <w:p w14:paraId="3B4F86D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Noorong1</w:t>
            </w:r>
          </w:p>
        </w:tc>
      </w:tr>
      <w:tr w:rsidR="006D72D5" w:rsidRPr="008F4D0E" w14:paraId="3B4F86DF" w14:textId="77777777" w:rsidTr="00C90BA8">
        <w:trPr>
          <w:trHeight w:val="227"/>
        </w:trPr>
        <w:tc>
          <w:tcPr>
            <w:tcW w:w="4425" w:type="dxa"/>
            <w:tcBorders>
              <w:top w:val="nil"/>
              <w:left w:val="nil"/>
              <w:bottom w:val="nil"/>
              <w:right w:val="nil"/>
            </w:tcBorders>
            <w:shd w:val="solid" w:color="FFFFFF" w:fill="auto"/>
          </w:tcPr>
          <w:p w14:paraId="3B4F86D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EDWK04_06</w:t>
            </w:r>
          </w:p>
        </w:tc>
        <w:tc>
          <w:tcPr>
            <w:tcW w:w="2835" w:type="dxa"/>
            <w:tcBorders>
              <w:top w:val="nil"/>
              <w:left w:val="nil"/>
              <w:bottom w:val="nil"/>
              <w:right w:val="nil"/>
            </w:tcBorders>
            <w:shd w:val="solid" w:color="FFFFFF" w:fill="auto"/>
          </w:tcPr>
          <w:p w14:paraId="3B4F86D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Noorong2</w:t>
            </w:r>
          </w:p>
        </w:tc>
      </w:tr>
      <w:tr w:rsidR="006D72D5" w:rsidRPr="008F4D0E" w14:paraId="3B4F86E4" w14:textId="77777777" w:rsidTr="00C90BA8">
        <w:trPr>
          <w:trHeight w:val="227"/>
        </w:trPr>
        <w:tc>
          <w:tcPr>
            <w:tcW w:w="4425" w:type="dxa"/>
            <w:tcBorders>
              <w:top w:val="nil"/>
              <w:left w:val="nil"/>
              <w:bottom w:val="nil"/>
              <w:right w:val="nil"/>
            </w:tcBorders>
            <w:shd w:val="solid" w:color="FFFFFF" w:fill="auto"/>
          </w:tcPr>
          <w:p w14:paraId="3B4F86E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EDWK05_01</w:t>
            </w:r>
          </w:p>
        </w:tc>
        <w:tc>
          <w:tcPr>
            <w:tcW w:w="2835" w:type="dxa"/>
            <w:tcBorders>
              <w:top w:val="nil"/>
              <w:left w:val="nil"/>
              <w:bottom w:val="nil"/>
              <w:right w:val="nil"/>
            </w:tcBorders>
            <w:shd w:val="solid" w:color="FFFFFF" w:fill="auto"/>
          </w:tcPr>
          <w:p w14:paraId="3B4F86E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La Rosa</w:t>
            </w:r>
          </w:p>
        </w:tc>
      </w:tr>
      <w:tr w:rsidR="006D72D5" w:rsidRPr="008F4D0E" w14:paraId="3B4F86E9" w14:textId="77777777" w:rsidTr="00C90BA8">
        <w:trPr>
          <w:trHeight w:val="227"/>
        </w:trPr>
        <w:tc>
          <w:tcPr>
            <w:tcW w:w="4425" w:type="dxa"/>
            <w:tcBorders>
              <w:top w:val="nil"/>
              <w:left w:val="nil"/>
              <w:bottom w:val="nil"/>
              <w:right w:val="nil"/>
            </w:tcBorders>
            <w:shd w:val="solid" w:color="FFFFFF" w:fill="auto"/>
          </w:tcPr>
          <w:p w14:paraId="3B4F86E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EDWK05_02</w:t>
            </w:r>
          </w:p>
        </w:tc>
        <w:tc>
          <w:tcPr>
            <w:tcW w:w="2835" w:type="dxa"/>
            <w:tcBorders>
              <w:top w:val="nil"/>
              <w:left w:val="nil"/>
              <w:bottom w:val="nil"/>
              <w:right w:val="nil"/>
            </w:tcBorders>
            <w:shd w:val="solid" w:color="FFFFFF" w:fill="auto"/>
          </w:tcPr>
          <w:p w14:paraId="3B4F86E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Gee Gee Bridge</w:t>
            </w:r>
          </w:p>
        </w:tc>
      </w:tr>
      <w:tr w:rsidR="006D72D5" w:rsidRPr="008F4D0E" w14:paraId="3B4F86EE" w14:textId="77777777" w:rsidTr="00C90BA8">
        <w:trPr>
          <w:trHeight w:val="227"/>
        </w:trPr>
        <w:tc>
          <w:tcPr>
            <w:tcW w:w="4425" w:type="dxa"/>
            <w:tcBorders>
              <w:top w:val="nil"/>
              <w:left w:val="nil"/>
              <w:bottom w:val="nil"/>
              <w:right w:val="nil"/>
            </w:tcBorders>
            <w:shd w:val="solid" w:color="FFFFFF" w:fill="auto"/>
          </w:tcPr>
          <w:p w14:paraId="3B4F86E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EDWK05_03</w:t>
            </w:r>
          </w:p>
        </w:tc>
        <w:tc>
          <w:tcPr>
            <w:tcW w:w="2835" w:type="dxa"/>
            <w:tcBorders>
              <w:top w:val="nil"/>
              <w:left w:val="nil"/>
              <w:bottom w:val="nil"/>
              <w:right w:val="nil"/>
            </w:tcBorders>
            <w:shd w:val="solid" w:color="FFFFFF" w:fill="auto"/>
          </w:tcPr>
          <w:p w14:paraId="3B4F86E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Glenbar</w:t>
            </w:r>
          </w:p>
        </w:tc>
      </w:tr>
      <w:tr w:rsidR="006D72D5" w:rsidRPr="008F4D0E" w14:paraId="3B4F86F3" w14:textId="77777777" w:rsidTr="00C90BA8">
        <w:trPr>
          <w:trHeight w:val="227"/>
        </w:trPr>
        <w:tc>
          <w:tcPr>
            <w:tcW w:w="4425" w:type="dxa"/>
            <w:tcBorders>
              <w:top w:val="nil"/>
              <w:left w:val="nil"/>
              <w:bottom w:val="nil"/>
              <w:right w:val="nil"/>
            </w:tcBorders>
            <w:shd w:val="solid" w:color="FFFFFF" w:fill="auto"/>
          </w:tcPr>
          <w:p w14:paraId="3B4F86E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Wakool River</w:t>
            </w:r>
          </w:p>
        </w:tc>
        <w:tc>
          <w:tcPr>
            <w:tcW w:w="708" w:type="dxa"/>
            <w:tcBorders>
              <w:top w:val="nil"/>
              <w:left w:val="nil"/>
              <w:bottom w:val="nil"/>
              <w:right w:val="nil"/>
            </w:tcBorders>
          </w:tcPr>
          <w:p w14:paraId="3B4F86F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06</w:t>
            </w:r>
          </w:p>
        </w:tc>
        <w:tc>
          <w:tcPr>
            <w:tcW w:w="1418" w:type="dxa"/>
            <w:tcBorders>
              <w:top w:val="nil"/>
              <w:left w:val="nil"/>
              <w:bottom w:val="nil"/>
              <w:right w:val="nil"/>
            </w:tcBorders>
          </w:tcPr>
          <w:p w14:paraId="3B4F86F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EDWK06_01</w:t>
            </w:r>
          </w:p>
        </w:tc>
        <w:tc>
          <w:tcPr>
            <w:tcW w:w="2835" w:type="dxa"/>
            <w:tcBorders>
              <w:top w:val="nil"/>
              <w:left w:val="nil"/>
              <w:bottom w:val="nil"/>
              <w:right w:val="nil"/>
            </w:tcBorders>
            <w:shd w:val="solid" w:color="FFFFFF" w:fill="auto"/>
          </w:tcPr>
          <w:p w14:paraId="3B4F86F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Stoney Creek Crossing</w:t>
            </w:r>
          </w:p>
        </w:tc>
      </w:tr>
      <w:tr w:rsidR="006D72D5" w:rsidRPr="008F4D0E" w14:paraId="3B4F86F8" w14:textId="77777777" w:rsidTr="00C90BA8">
        <w:trPr>
          <w:trHeight w:val="227"/>
        </w:trPr>
        <w:tc>
          <w:tcPr>
            <w:tcW w:w="4425" w:type="dxa"/>
            <w:tcBorders>
              <w:top w:val="nil"/>
              <w:left w:val="nil"/>
              <w:bottom w:val="nil"/>
              <w:right w:val="nil"/>
            </w:tcBorders>
            <w:shd w:val="solid" w:color="FFFFFF" w:fill="auto"/>
          </w:tcPr>
          <w:p w14:paraId="3B4F86F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EDWK08_01</w:t>
            </w:r>
          </w:p>
        </w:tc>
        <w:tc>
          <w:tcPr>
            <w:tcW w:w="2835" w:type="dxa"/>
            <w:tcBorders>
              <w:top w:val="nil"/>
              <w:left w:val="nil"/>
              <w:bottom w:val="nil"/>
              <w:right w:val="nil"/>
            </w:tcBorders>
            <w:shd w:val="solid" w:color="FFFFFF" w:fill="auto"/>
          </w:tcPr>
          <w:p w14:paraId="3B4F86F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Calimo</w:t>
            </w:r>
          </w:p>
        </w:tc>
      </w:tr>
      <w:tr w:rsidR="006D72D5" w:rsidRPr="008F4D0E" w14:paraId="3B4F86FD" w14:textId="77777777" w:rsidTr="00C90BA8">
        <w:trPr>
          <w:trHeight w:val="227"/>
        </w:trPr>
        <w:tc>
          <w:tcPr>
            <w:tcW w:w="4425" w:type="dxa"/>
            <w:tcBorders>
              <w:top w:val="nil"/>
              <w:left w:val="nil"/>
              <w:bottom w:val="nil"/>
              <w:right w:val="nil"/>
            </w:tcBorders>
            <w:shd w:val="solid" w:color="FFFFFF" w:fill="auto"/>
          </w:tcPr>
          <w:p w14:paraId="3B4F86F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EDWK08_02</w:t>
            </w:r>
          </w:p>
        </w:tc>
        <w:tc>
          <w:tcPr>
            <w:tcW w:w="2835" w:type="dxa"/>
            <w:tcBorders>
              <w:top w:val="nil"/>
              <w:left w:val="nil"/>
              <w:bottom w:val="nil"/>
              <w:right w:val="nil"/>
            </w:tcBorders>
            <w:shd w:val="solid" w:color="FFFFFF" w:fill="auto"/>
          </w:tcPr>
          <w:p w14:paraId="3B4F86F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Werrai Station</w:t>
            </w:r>
          </w:p>
        </w:tc>
      </w:tr>
      <w:tr w:rsidR="006D72D5" w:rsidRPr="008F4D0E" w14:paraId="3B4F8702" w14:textId="77777777" w:rsidTr="00C90BA8">
        <w:trPr>
          <w:trHeight w:val="227"/>
        </w:trPr>
        <w:tc>
          <w:tcPr>
            <w:tcW w:w="4425" w:type="dxa"/>
            <w:tcBorders>
              <w:top w:val="nil"/>
              <w:left w:val="nil"/>
              <w:bottom w:val="nil"/>
              <w:right w:val="nil"/>
            </w:tcBorders>
            <w:shd w:val="solid" w:color="FFFFFF" w:fill="auto"/>
          </w:tcPr>
          <w:p w14:paraId="3B4F86F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6F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EDWK09_01</w:t>
            </w:r>
          </w:p>
        </w:tc>
        <w:tc>
          <w:tcPr>
            <w:tcW w:w="2835" w:type="dxa"/>
            <w:tcBorders>
              <w:top w:val="nil"/>
              <w:left w:val="nil"/>
              <w:bottom w:val="nil"/>
              <w:right w:val="nil"/>
            </w:tcBorders>
            <w:shd w:val="solid" w:color="FFFFFF" w:fill="auto"/>
          </w:tcPr>
          <w:p w14:paraId="3B4F870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Burswood Park</w:t>
            </w:r>
          </w:p>
        </w:tc>
      </w:tr>
      <w:tr w:rsidR="006D72D5" w:rsidRPr="008F4D0E" w14:paraId="3B4F8707" w14:textId="77777777" w:rsidTr="00C90BA8">
        <w:trPr>
          <w:trHeight w:val="227"/>
        </w:trPr>
        <w:tc>
          <w:tcPr>
            <w:tcW w:w="4425" w:type="dxa"/>
            <w:tcBorders>
              <w:top w:val="nil"/>
              <w:left w:val="nil"/>
              <w:bottom w:val="nil"/>
              <w:right w:val="nil"/>
            </w:tcBorders>
            <w:shd w:val="solid" w:color="FFFFFF" w:fill="auto"/>
          </w:tcPr>
          <w:p w14:paraId="3B4F870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70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EDWK09_02</w:t>
            </w:r>
          </w:p>
        </w:tc>
        <w:tc>
          <w:tcPr>
            <w:tcW w:w="2835" w:type="dxa"/>
            <w:tcBorders>
              <w:top w:val="nil"/>
              <w:left w:val="nil"/>
              <w:bottom w:val="nil"/>
              <w:right w:val="nil"/>
            </w:tcBorders>
            <w:shd w:val="solid" w:color="FFFFFF" w:fill="auto"/>
          </w:tcPr>
          <w:p w14:paraId="3B4F870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Ventura</w:t>
            </w:r>
          </w:p>
        </w:tc>
      </w:tr>
      <w:tr w:rsidR="006D72D5" w:rsidRPr="008F4D0E" w14:paraId="3B4F870C" w14:textId="77777777" w:rsidTr="00C90BA8">
        <w:trPr>
          <w:trHeight w:val="227"/>
        </w:trPr>
        <w:tc>
          <w:tcPr>
            <w:tcW w:w="4425" w:type="dxa"/>
            <w:tcBorders>
              <w:top w:val="nil"/>
              <w:left w:val="nil"/>
              <w:bottom w:val="nil"/>
              <w:right w:val="nil"/>
            </w:tcBorders>
            <w:shd w:val="solid" w:color="FFFFFF" w:fill="auto"/>
          </w:tcPr>
          <w:p w14:paraId="3B4F870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Niemur River</w:t>
            </w:r>
          </w:p>
        </w:tc>
        <w:tc>
          <w:tcPr>
            <w:tcW w:w="708" w:type="dxa"/>
            <w:tcBorders>
              <w:top w:val="nil"/>
              <w:left w:val="nil"/>
              <w:bottom w:val="nil"/>
              <w:right w:val="nil"/>
            </w:tcBorders>
          </w:tcPr>
          <w:p w14:paraId="3B4F870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10</w:t>
            </w:r>
          </w:p>
        </w:tc>
        <w:tc>
          <w:tcPr>
            <w:tcW w:w="1418" w:type="dxa"/>
            <w:tcBorders>
              <w:top w:val="nil"/>
              <w:left w:val="nil"/>
              <w:bottom w:val="nil"/>
              <w:right w:val="nil"/>
            </w:tcBorders>
          </w:tcPr>
          <w:p w14:paraId="3B4F870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EDWK10_01</w:t>
            </w:r>
          </w:p>
        </w:tc>
        <w:tc>
          <w:tcPr>
            <w:tcW w:w="2835" w:type="dxa"/>
            <w:tcBorders>
              <w:top w:val="nil"/>
              <w:left w:val="nil"/>
              <w:bottom w:val="nil"/>
              <w:right w:val="nil"/>
            </w:tcBorders>
            <w:shd w:val="solid" w:color="FFFFFF" w:fill="auto"/>
          </w:tcPr>
          <w:p w14:paraId="3B4F870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Niemur Valley</w:t>
            </w:r>
          </w:p>
        </w:tc>
      </w:tr>
      <w:tr w:rsidR="006D72D5" w:rsidRPr="008F4D0E" w14:paraId="3B4F8711" w14:textId="77777777" w:rsidTr="00C90BA8">
        <w:trPr>
          <w:trHeight w:val="227"/>
        </w:trPr>
        <w:tc>
          <w:tcPr>
            <w:tcW w:w="4425" w:type="dxa"/>
            <w:tcBorders>
              <w:top w:val="nil"/>
              <w:left w:val="nil"/>
              <w:bottom w:val="nil"/>
              <w:right w:val="nil"/>
            </w:tcBorders>
            <w:shd w:val="solid" w:color="FFFFFF" w:fill="auto"/>
          </w:tcPr>
          <w:p w14:paraId="3B4F870D" w14:textId="6A7BD3C4"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 (downstream Stephens Weir)</w:t>
            </w:r>
          </w:p>
        </w:tc>
        <w:tc>
          <w:tcPr>
            <w:tcW w:w="708" w:type="dxa"/>
            <w:tcBorders>
              <w:top w:val="nil"/>
              <w:left w:val="nil"/>
              <w:bottom w:val="nil"/>
              <w:right w:val="nil"/>
            </w:tcBorders>
          </w:tcPr>
          <w:p w14:paraId="3B4F870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11</w:t>
            </w:r>
          </w:p>
        </w:tc>
        <w:tc>
          <w:tcPr>
            <w:tcW w:w="1418" w:type="dxa"/>
            <w:tcBorders>
              <w:top w:val="nil"/>
              <w:left w:val="nil"/>
              <w:bottom w:val="nil"/>
              <w:right w:val="nil"/>
            </w:tcBorders>
          </w:tcPr>
          <w:p w14:paraId="3B4F870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EDWK11_01</w:t>
            </w:r>
          </w:p>
        </w:tc>
        <w:tc>
          <w:tcPr>
            <w:tcW w:w="2835" w:type="dxa"/>
            <w:tcBorders>
              <w:top w:val="nil"/>
              <w:left w:val="nil"/>
              <w:bottom w:val="nil"/>
              <w:right w:val="nil"/>
            </w:tcBorders>
            <w:shd w:val="solid" w:color="FFFFFF" w:fill="auto"/>
          </w:tcPr>
          <w:p w14:paraId="3B4F871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Elimdale</w:t>
            </w:r>
          </w:p>
        </w:tc>
      </w:tr>
      <w:tr w:rsidR="006D72D5" w:rsidRPr="008F4D0E" w14:paraId="3B4F8716" w14:textId="77777777" w:rsidTr="00C90BA8">
        <w:trPr>
          <w:trHeight w:val="227"/>
        </w:trPr>
        <w:tc>
          <w:tcPr>
            <w:tcW w:w="4425" w:type="dxa"/>
            <w:tcBorders>
              <w:top w:val="nil"/>
              <w:left w:val="nil"/>
              <w:bottom w:val="nil"/>
              <w:right w:val="nil"/>
            </w:tcBorders>
            <w:shd w:val="solid" w:color="FFFFFF" w:fill="auto"/>
          </w:tcPr>
          <w:p w14:paraId="3B4F8712" w14:textId="6A25B0AE"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w:t>
            </w:r>
          </w:p>
        </w:tc>
        <w:tc>
          <w:tcPr>
            <w:tcW w:w="708" w:type="dxa"/>
            <w:tcBorders>
              <w:top w:val="nil"/>
              <w:left w:val="nil"/>
              <w:bottom w:val="nil"/>
              <w:right w:val="nil"/>
            </w:tcBorders>
          </w:tcPr>
          <w:p w14:paraId="3B4F871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EDWK13_01</w:t>
            </w:r>
          </w:p>
        </w:tc>
        <w:tc>
          <w:tcPr>
            <w:tcW w:w="2835" w:type="dxa"/>
            <w:tcBorders>
              <w:top w:val="nil"/>
              <w:left w:val="nil"/>
              <w:bottom w:val="nil"/>
              <w:right w:val="nil"/>
            </w:tcBorders>
            <w:shd w:val="solid" w:color="FFFFFF" w:fill="auto"/>
          </w:tcPr>
          <w:p w14:paraId="3B4F871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Balpool</w:t>
            </w:r>
          </w:p>
        </w:tc>
      </w:tr>
      <w:tr w:rsidR="006D72D5" w:rsidRPr="008F4D0E" w14:paraId="3B4F871B" w14:textId="77777777" w:rsidTr="00C90BA8">
        <w:trPr>
          <w:trHeight w:val="227"/>
        </w:trPr>
        <w:tc>
          <w:tcPr>
            <w:tcW w:w="4425" w:type="dxa"/>
            <w:tcBorders>
              <w:top w:val="nil"/>
              <w:left w:val="nil"/>
              <w:bottom w:val="nil"/>
              <w:right w:val="nil"/>
            </w:tcBorders>
            <w:shd w:val="solid" w:color="FFFFFF" w:fill="auto"/>
          </w:tcPr>
          <w:p w14:paraId="3B4F8717" w14:textId="42F7F3AE"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w:t>
            </w:r>
          </w:p>
        </w:tc>
        <w:tc>
          <w:tcPr>
            <w:tcW w:w="708" w:type="dxa"/>
            <w:tcBorders>
              <w:top w:val="nil"/>
              <w:left w:val="nil"/>
              <w:bottom w:val="nil"/>
              <w:right w:val="nil"/>
            </w:tcBorders>
          </w:tcPr>
          <w:p w14:paraId="3B4F871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EDWK13_02</w:t>
            </w:r>
          </w:p>
        </w:tc>
        <w:tc>
          <w:tcPr>
            <w:tcW w:w="2835" w:type="dxa"/>
            <w:tcBorders>
              <w:top w:val="nil"/>
              <w:left w:val="nil"/>
              <w:bottom w:val="nil"/>
              <w:right w:val="nil"/>
            </w:tcBorders>
            <w:shd w:val="solid" w:color="FFFFFF" w:fill="auto"/>
          </w:tcPr>
          <w:p w14:paraId="3B4F871A" w14:textId="5152AC8A"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US Billabong C</w:t>
            </w:r>
            <w:r w:rsidR="00B86015">
              <w:rPr>
                <w:rFonts w:asciiTheme="minorHAnsi" w:hAnsiTheme="minorHAnsi" w:cs="Calibri"/>
                <w:color w:val="000000"/>
                <w:sz w:val="20"/>
                <w:lang w:eastAsia="en-AU"/>
              </w:rPr>
              <w:t>ree</w:t>
            </w:r>
            <w:r w:rsidR="006D72D5" w:rsidRPr="008F4D0E">
              <w:rPr>
                <w:rFonts w:asciiTheme="minorHAnsi" w:hAnsiTheme="minorHAnsi" w:cs="Calibri"/>
                <w:color w:val="000000"/>
                <w:sz w:val="20"/>
                <w:lang w:eastAsia="en-AU"/>
              </w:rPr>
              <w:t>k</w:t>
            </w:r>
          </w:p>
        </w:tc>
      </w:tr>
      <w:tr w:rsidR="006D72D5" w:rsidRPr="008F4D0E" w14:paraId="3B4F8720" w14:textId="77777777" w:rsidTr="00C90BA8">
        <w:trPr>
          <w:trHeight w:val="227"/>
        </w:trPr>
        <w:tc>
          <w:tcPr>
            <w:tcW w:w="4425" w:type="dxa"/>
            <w:tcBorders>
              <w:top w:val="nil"/>
              <w:left w:val="nil"/>
              <w:bottom w:val="nil"/>
              <w:right w:val="nil"/>
            </w:tcBorders>
            <w:shd w:val="solid" w:color="FFFFFF" w:fill="auto"/>
          </w:tcPr>
          <w:p w14:paraId="3B4F871C" w14:textId="3D4C265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w:t>
            </w:r>
          </w:p>
        </w:tc>
        <w:tc>
          <w:tcPr>
            <w:tcW w:w="708" w:type="dxa"/>
            <w:tcBorders>
              <w:top w:val="nil"/>
              <w:left w:val="nil"/>
              <w:bottom w:val="nil"/>
              <w:right w:val="nil"/>
            </w:tcBorders>
          </w:tcPr>
          <w:p w14:paraId="3B4F871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1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EDWK14_01</w:t>
            </w:r>
          </w:p>
        </w:tc>
        <w:tc>
          <w:tcPr>
            <w:tcW w:w="2835" w:type="dxa"/>
            <w:tcBorders>
              <w:top w:val="nil"/>
              <w:left w:val="nil"/>
              <w:bottom w:val="nil"/>
              <w:right w:val="nil"/>
            </w:tcBorders>
            <w:shd w:val="solid" w:color="FFFFFF" w:fill="auto"/>
          </w:tcPr>
          <w:p w14:paraId="3B4F871F" w14:textId="0C0FB300"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DS Billabong C</w:t>
            </w:r>
            <w:r w:rsidR="00B86015">
              <w:rPr>
                <w:rFonts w:asciiTheme="minorHAnsi" w:hAnsiTheme="minorHAnsi" w:cs="Calibri"/>
                <w:color w:val="000000"/>
                <w:sz w:val="20"/>
                <w:lang w:eastAsia="en-AU"/>
              </w:rPr>
              <w:t>ree</w:t>
            </w:r>
            <w:r w:rsidR="006D72D5" w:rsidRPr="008F4D0E">
              <w:rPr>
                <w:rFonts w:asciiTheme="minorHAnsi" w:hAnsiTheme="minorHAnsi" w:cs="Calibri"/>
                <w:color w:val="000000"/>
                <w:sz w:val="20"/>
                <w:lang w:eastAsia="en-AU"/>
              </w:rPr>
              <w:t>k</w:t>
            </w:r>
          </w:p>
        </w:tc>
      </w:tr>
      <w:tr w:rsidR="006D72D5" w:rsidRPr="008F4D0E" w14:paraId="3B4F8725" w14:textId="77777777" w:rsidTr="00C90BA8">
        <w:trPr>
          <w:trHeight w:val="227"/>
        </w:trPr>
        <w:tc>
          <w:tcPr>
            <w:tcW w:w="4425" w:type="dxa"/>
            <w:tcBorders>
              <w:top w:val="nil"/>
              <w:left w:val="nil"/>
              <w:bottom w:val="nil"/>
              <w:right w:val="nil"/>
            </w:tcBorders>
            <w:shd w:val="solid" w:color="FFFFFF" w:fill="auto"/>
          </w:tcPr>
          <w:p w14:paraId="3B4F8721" w14:textId="2D67A010"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w:t>
            </w:r>
          </w:p>
        </w:tc>
        <w:tc>
          <w:tcPr>
            <w:tcW w:w="708" w:type="dxa"/>
            <w:tcBorders>
              <w:top w:val="nil"/>
              <w:left w:val="nil"/>
              <w:bottom w:val="nil"/>
              <w:right w:val="nil"/>
            </w:tcBorders>
          </w:tcPr>
          <w:p w14:paraId="3B4F872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2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EDWK14_02</w:t>
            </w:r>
          </w:p>
        </w:tc>
        <w:tc>
          <w:tcPr>
            <w:tcW w:w="2835" w:type="dxa"/>
            <w:tcBorders>
              <w:top w:val="nil"/>
              <w:left w:val="nil"/>
              <w:bottom w:val="nil"/>
              <w:right w:val="nil"/>
            </w:tcBorders>
            <w:shd w:val="solid" w:color="FFFFFF" w:fill="auto"/>
          </w:tcPr>
          <w:p w14:paraId="3B4F872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Kyalite State Forest</w:t>
            </w:r>
          </w:p>
        </w:tc>
      </w:tr>
      <w:tr w:rsidR="006D72D5" w:rsidRPr="008F4D0E" w14:paraId="3B4F872A" w14:textId="77777777" w:rsidTr="00C90BA8">
        <w:trPr>
          <w:trHeight w:val="227"/>
        </w:trPr>
        <w:tc>
          <w:tcPr>
            <w:tcW w:w="4425" w:type="dxa"/>
            <w:tcBorders>
              <w:top w:val="nil"/>
              <w:left w:val="nil"/>
              <w:bottom w:val="nil"/>
              <w:right w:val="nil"/>
            </w:tcBorders>
            <w:shd w:val="solid" w:color="FFFFFF" w:fill="auto"/>
          </w:tcPr>
          <w:p w14:paraId="3B4F872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Little Merran Creek</w:t>
            </w:r>
          </w:p>
        </w:tc>
        <w:tc>
          <w:tcPr>
            <w:tcW w:w="708" w:type="dxa"/>
            <w:tcBorders>
              <w:top w:val="nil"/>
              <w:left w:val="nil"/>
              <w:bottom w:val="nil"/>
              <w:right w:val="nil"/>
            </w:tcBorders>
          </w:tcPr>
          <w:p w14:paraId="3B4F872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15</w:t>
            </w:r>
          </w:p>
        </w:tc>
        <w:tc>
          <w:tcPr>
            <w:tcW w:w="1418" w:type="dxa"/>
            <w:tcBorders>
              <w:top w:val="nil"/>
              <w:left w:val="nil"/>
              <w:bottom w:val="nil"/>
              <w:right w:val="nil"/>
            </w:tcBorders>
          </w:tcPr>
          <w:p w14:paraId="3B4F872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EDWK15_01</w:t>
            </w:r>
          </w:p>
        </w:tc>
        <w:tc>
          <w:tcPr>
            <w:tcW w:w="2835" w:type="dxa"/>
            <w:tcBorders>
              <w:top w:val="nil"/>
              <w:left w:val="nil"/>
              <w:bottom w:val="nil"/>
              <w:right w:val="nil"/>
            </w:tcBorders>
            <w:shd w:val="solid" w:color="FFFFFF" w:fill="auto"/>
          </w:tcPr>
          <w:p w14:paraId="3B4F872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Downs</w:t>
            </w:r>
          </w:p>
        </w:tc>
      </w:tr>
      <w:tr w:rsidR="006D72D5" w:rsidRPr="008F4D0E" w14:paraId="3B4F872F" w14:textId="77777777" w:rsidTr="00C90BA8">
        <w:trPr>
          <w:trHeight w:val="227"/>
        </w:trPr>
        <w:tc>
          <w:tcPr>
            <w:tcW w:w="4425" w:type="dxa"/>
            <w:tcBorders>
              <w:top w:val="nil"/>
              <w:left w:val="nil"/>
              <w:bottom w:val="nil"/>
              <w:right w:val="nil"/>
            </w:tcBorders>
            <w:shd w:val="solid" w:color="FFFFFF" w:fill="auto"/>
          </w:tcPr>
          <w:p w14:paraId="3B4F872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2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2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EDWK16_01</w:t>
            </w:r>
          </w:p>
        </w:tc>
        <w:tc>
          <w:tcPr>
            <w:tcW w:w="2835" w:type="dxa"/>
            <w:tcBorders>
              <w:top w:val="nil"/>
              <w:left w:val="nil"/>
              <w:bottom w:val="nil"/>
              <w:right w:val="nil"/>
            </w:tcBorders>
            <w:shd w:val="solid" w:color="FFFFFF" w:fill="auto"/>
          </w:tcPr>
          <w:p w14:paraId="3B4F872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Erinundra</w:t>
            </w:r>
          </w:p>
        </w:tc>
      </w:tr>
      <w:tr w:rsidR="006D72D5" w:rsidRPr="008F4D0E" w14:paraId="3B4F8734" w14:textId="77777777" w:rsidTr="00C90BA8">
        <w:trPr>
          <w:trHeight w:val="227"/>
        </w:trPr>
        <w:tc>
          <w:tcPr>
            <w:tcW w:w="4425" w:type="dxa"/>
            <w:tcBorders>
              <w:top w:val="nil"/>
              <w:left w:val="nil"/>
              <w:bottom w:val="nil"/>
              <w:right w:val="nil"/>
            </w:tcBorders>
            <w:shd w:val="solid" w:color="FFFFFF" w:fill="auto"/>
          </w:tcPr>
          <w:p w14:paraId="3B4F873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3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3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EDWK16_02</w:t>
            </w:r>
          </w:p>
        </w:tc>
        <w:tc>
          <w:tcPr>
            <w:tcW w:w="2835" w:type="dxa"/>
            <w:tcBorders>
              <w:top w:val="nil"/>
              <w:left w:val="nil"/>
              <w:bottom w:val="nil"/>
              <w:right w:val="nil"/>
            </w:tcBorders>
            <w:shd w:val="solid" w:color="FFFFFF" w:fill="auto"/>
          </w:tcPr>
          <w:p w14:paraId="3B4F873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 Bridge</w:t>
            </w:r>
          </w:p>
        </w:tc>
      </w:tr>
      <w:tr w:rsidR="006D72D5" w:rsidRPr="008F4D0E" w14:paraId="3B4F8739" w14:textId="77777777" w:rsidTr="00C90BA8">
        <w:trPr>
          <w:trHeight w:val="227"/>
        </w:trPr>
        <w:tc>
          <w:tcPr>
            <w:tcW w:w="4425" w:type="dxa"/>
            <w:tcBorders>
              <w:top w:val="nil"/>
              <w:left w:val="nil"/>
              <w:bottom w:val="nil"/>
              <w:right w:val="nil"/>
            </w:tcBorders>
            <w:shd w:val="solid" w:color="FFFFFF" w:fill="auto"/>
          </w:tcPr>
          <w:p w14:paraId="3B4F8735" w14:textId="7B745216"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 Stevens weir</w:t>
            </w:r>
          </w:p>
        </w:tc>
        <w:tc>
          <w:tcPr>
            <w:tcW w:w="708" w:type="dxa"/>
            <w:tcBorders>
              <w:top w:val="nil"/>
              <w:left w:val="nil"/>
              <w:bottom w:val="nil"/>
              <w:right w:val="nil"/>
            </w:tcBorders>
          </w:tcPr>
          <w:p w14:paraId="3B4F873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EDWK20_01</w:t>
            </w:r>
          </w:p>
        </w:tc>
        <w:tc>
          <w:tcPr>
            <w:tcW w:w="2835" w:type="dxa"/>
            <w:tcBorders>
              <w:top w:val="nil"/>
              <w:left w:val="nil"/>
              <w:bottom w:val="nil"/>
              <w:right w:val="nil"/>
            </w:tcBorders>
            <w:shd w:val="solid" w:color="FFFFFF" w:fill="auto"/>
          </w:tcPr>
          <w:p w14:paraId="3B4F873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Weir1</w:t>
            </w:r>
          </w:p>
        </w:tc>
      </w:tr>
      <w:tr w:rsidR="006D72D5" w:rsidRPr="008F4D0E" w14:paraId="3B4F873E" w14:textId="77777777" w:rsidTr="00C90BA8">
        <w:trPr>
          <w:trHeight w:val="227"/>
        </w:trPr>
        <w:tc>
          <w:tcPr>
            <w:tcW w:w="4425" w:type="dxa"/>
            <w:tcBorders>
              <w:top w:val="nil"/>
              <w:left w:val="nil"/>
              <w:bottom w:val="nil"/>
              <w:right w:val="nil"/>
            </w:tcBorders>
            <w:shd w:val="solid" w:color="FFFFFF" w:fill="auto"/>
          </w:tcPr>
          <w:p w14:paraId="3B4F873A" w14:textId="387E12C0"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w:t>
            </w:r>
            <w:r w:rsidR="0091645A">
              <w:rPr>
                <w:rFonts w:asciiTheme="minorHAnsi" w:hAnsiTheme="minorHAnsi" w:cs="Calibri"/>
                <w:color w:val="000000"/>
                <w:sz w:val="20"/>
                <w:lang w:eastAsia="en-AU"/>
              </w:rPr>
              <w:t>/Kolety</w:t>
            </w:r>
            <w:r w:rsidRPr="008F4D0E">
              <w:rPr>
                <w:rFonts w:asciiTheme="minorHAnsi" w:hAnsiTheme="minorHAnsi" w:cs="Calibri"/>
                <w:color w:val="000000"/>
                <w:sz w:val="20"/>
                <w:lang w:eastAsia="en-AU"/>
              </w:rPr>
              <w:t xml:space="preserve"> River, Stevens weir</w:t>
            </w:r>
          </w:p>
        </w:tc>
        <w:tc>
          <w:tcPr>
            <w:tcW w:w="708" w:type="dxa"/>
            <w:tcBorders>
              <w:top w:val="nil"/>
              <w:left w:val="nil"/>
              <w:bottom w:val="nil"/>
              <w:right w:val="nil"/>
            </w:tcBorders>
          </w:tcPr>
          <w:p w14:paraId="3B4F873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EDWK20_02</w:t>
            </w:r>
          </w:p>
        </w:tc>
        <w:tc>
          <w:tcPr>
            <w:tcW w:w="2835" w:type="dxa"/>
            <w:tcBorders>
              <w:top w:val="nil"/>
              <w:left w:val="nil"/>
              <w:bottom w:val="nil"/>
              <w:right w:val="nil"/>
            </w:tcBorders>
            <w:shd w:val="solid" w:color="FFFFFF" w:fill="auto"/>
          </w:tcPr>
          <w:p w14:paraId="3B4F873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Weir2</w:t>
            </w:r>
          </w:p>
        </w:tc>
      </w:tr>
      <w:tr w:rsidR="006D72D5" w:rsidRPr="008F4D0E" w14:paraId="3B4F8743" w14:textId="77777777" w:rsidTr="00C90BA8">
        <w:trPr>
          <w:trHeight w:val="80"/>
        </w:trPr>
        <w:tc>
          <w:tcPr>
            <w:tcW w:w="4425" w:type="dxa"/>
            <w:tcBorders>
              <w:top w:val="nil"/>
              <w:left w:val="nil"/>
              <w:right w:val="nil"/>
            </w:tcBorders>
            <w:shd w:val="solid" w:color="FFFFFF" w:fill="auto"/>
          </w:tcPr>
          <w:p w14:paraId="3B4F873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right w:val="nil"/>
            </w:tcBorders>
          </w:tcPr>
          <w:p w14:paraId="3B4F874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right w:val="nil"/>
            </w:tcBorders>
          </w:tcPr>
          <w:p w14:paraId="3B4F874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EDWK21_01</w:t>
            </w:r>
          </w:p>
        </w:tc>
        <w:tc>
          <w:tcPr>
            <w:tcW w:w="2835" w:type="dxa"/>
            <w:tcBorders>
              <w:top w:val="nil"/>
              <w:left w:val="nil"/>
              <w:right w:val="nil"/>
            </w:tcBorders>
            <w:shd w:val="solid" w:color="FFFFFF" w:fill="auto"/>
          </w:tcPr>
          <w:p w14:paraId="3B4F874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Canal1</w:t>
            </w:r>
          </w:p>
        </w:tc>
      </w:tr>
      <w:tr w:rsidR="006D72D5" w:rsidRPr="00172EA9" w14:paraId="3B4F8748" w14:textId="77777777" w:rsidTr="00C90BA8">
        <w:trPr>
          <w:trHeight w:val="227"/>
        </w:trPr>
        <w:tc>
          <w:tcPr>
            <w:tcW w:w="4425" w:type="dxa"/>
            <w:tcBorders>
              <w:top w:val="nil"/>
              <w:left w:val="nil"/>
              <w:bottom w:val="single" w:sz="4" w:space="0" w:color="auto"/>
              <w:right w:val="nil"/>
            </w:tcBorders>
            <w:shd w:val="solid" w:color="FFFFFF" w:fill="auto"/>
          </w:tcPr>
          <w:p w14:paraId="3B4F874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bottom w:val="single" w:sz="4" w:space="0" w:color="auto"/>
              <w:right w:val="nil"/>
            </w:tcBorders>
          </w:tcPr>
          <w:p w14:paraId="3B4F874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bottom w:val="single" w:sz="4" w:space="0" w:color="auto"/>
              <w:right w:val="nil"/>
            </w:tcBorders>
          </w:tcPr>
          <w:p w14:paraId="3B4F874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EDWK21_02</w:t>
            </w:r>
          </w:p>
        </w:tc>
        <w:tc>
          <w:tcPr>
            <w:tcW w:w="2835" w:type="dxa"/>
            <w:tcBorders>
              <w:top w:val="nil"/>
              <w:left w:val="nil"/>
              <w:bottom w:val="single" w:sz="4" w:space="0" w:color="auto"/>
              <w:right w:val="nil"/>
            </w:tcBorders>
            <w:shd w:val="solid" w:color="FFFFFF" w:fill="auto"/>
          </w:tcPr>
          <w:p w14:paraId="3B4F874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Canal2</w:t>
            </w:r>
          </w:p>
        </w:tc>
      </w:tr>
    </w:tbl>
    <w:p w14:paraId="3B4F874A" w14:textId="224AE568" w:rsidR="006D72D5" w:rsidRPr="00172EA9" w:rsidRDefault="006D72D5" w:rsidP="00BA6C55">
      <w:pPr>
        <w:spacing w:after="0" w:line="240" w:lineRule="auto"/>
        <w:jc w:val="left"/>
        <w:rPr>
          <w:rFonts w:asciiTheme="minorHAnsi" w:hAnsiTheme="minorHAnsi" w:cstheme="minorHAnsi"/>
          <w:sz w:val="20"/>
          <w:highlight w:val="yellow"/>
        </w:rPr>
      </w:pPr>
    </w:p>
    <w:p w14:paraId="16708097" w14:textId="77777777" w:rsidR="00DD47EA" w:rsidRDefault="00DD47EA">
      <w:pPr>
        <w:spacing w:after="0" w:line="240" w:lineRule="auto"/>
        <w:jc w:val="left"/>
        <w:rPr>
          <w:rFonts w:asciiTheme="minorHAnsi" w:hAnsiTheme="minorHAnsi" w:cstheme="minorHAnsi"/>
          <w:szCs w:val="22"/>
        </w:rPr>
      </w:pPr>
      <w:bookmarkStart w:id="18" w:name="_Toc450164290"/>
      <w:r>
        <w:rPr>
          <w:rFonts w:asciiTheme="minorHAnsi" w:hAnsiTheme="minorHAnsi" w:cstheme="minorHAnsi"/>
        </w:rPr>
        <w:br w:type="page"/>
      </w:r>
    </w:p>
    <w:p w14:paraId="1F4B55D7" w14:textId="7FE0BD07" w:rsidR="00900A2A" w:rsidRDefault="00900A2A" w:rsidP="00900A2A">
      <w:pPr>
        <w:pStyle w:val="BodyText1"/>
        <w:spacing w:before="0" w:line="240" w:lineRule="auto"/>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Due to funding constraints it is not possible to undertake monitoring and evaluation in all sixteen of the hydrological zones identified in the Edward</w:t>
      </w:r>
      <w:r w:rsidR="0091645A">
        <w:rPr>
          <w:rFonts w:asciiTheme="minorHAnsi" w:hAnsiTheme="minorHAnsi" w:cs="Calibri"/>
          <w:color w:val="000000"/>
          <w:sz w:val="20"/>
          <w:lang w:eastAsia="en-AU"/>
        </w:rPr>
        <w:t>/Kolety</w:t>
      </w:r>
      <w:r>
        <w:rPr>
          <w:rFonts w:asciiTheme="minorHAnsi" w:eastAsia="Calibri" w:hAnsiTheme="minorHAnsi" w:cstheme="minorHAnsi"/>
          <w:lang w:eastAsia="en-US" w:bidi="ar-SA"/>
        </w:rPr>
        <w:t>-Wakool system (Figure 3.2). The following factors were considered when prioritising the zones to include in the MER Plan:</w:t>
      </w:r>
    </w:p>
    <w:p w14:paraId="2828E4A3" w14:textId="77777777" w:rsidR="00900A2A" w:rsidRDefault="00900A2A" w:rsidP="0040642F">
      <w:pPr>
        <w:pStyle w:val="BodyText1"/>
        <w:numPr>
          <w:ilvl w:val="0"/>
          <w:numId w:val="3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Likelihood of hydrological zones receiving Commonwealth environmental water or serving as a comparison zone (i.e. not receive Commonwealth environmental water)</w:t>
      </w:r>
    </w:p>
    <w:p w14:paraId="43D7F84A" w14:textId="77777777" w:rsidR="00900A2A" w:rsidRDefault="00900A2A" w:rsidP="0040642F">
      <w:pPr>
        <w:pStyle w:val="BodyText1"/>
        <w:numPr>
          <w:ilvl w:val="0"/>
          <w:numId w:val="31"/>
        </w:numPr>
        <w:spacing w:before="0" w:after="0" w:line="240" w:lineRule="auto"/>
        <w:ind w:left="714" w:hanging="357"/>
        <w:jc w:val="left"/>
        <w:rPr>
          <w:rFonts w:asciiTheme="minorHAnsi" w:eastAsia="Calibri" w:hAnsiTheme="minorHAnsi" w:cstheme="minorHAnsi"/>
          <w:lang w:eastAsia="en-US" w:bidi="ar-SA"/>
        </w:rPr>
      </w:pPr>
      <w:r w:rsidRPr="00DA4356">
        <w:rPr>
          <w:rFonts w:asciiTheme="minorHAnsi" w:eastAsia="Calibri" w:hAnsiTheme="minorHAnsi" w:cstheme="minorHAnsi"/>
          <w:lang w:eastAsia="en-US" w:bidi="ar-SA"/>
        </w:rPr>
        <w:t>Location o</w:t>
      </w:r>
      <w:r>
        <w:rPr>
          <w:rFonts w:asciiTheme="minorHAnsi" w:eastAsia="Calibri" w:hAnsiTheme="minorHAnsi" w:cstheme="minorHAnsi"/>
          <w:lang w:eastAsia="en-US" w:bidi="ar-SA"/>
        </w:rPr>
        <w:t>f hydrological gauging stations</w:t>
      </w:r>
    </w:p>
    <w:p w14:paraId="4F5CF5C4" w14:textId="77777777" w:rsidR="00900A2A" w:rsidRPr="00DA4356" w:rsidRDefault="00900A2A" w:rsidP="0040642F">
      <w:pPr>
        <w:pStyle w:val="BodyText1"/>
        <w:numPr>
          <w:ilvl w:val="0"/>
          <w:numId w:val="31"/>
        </w:numPr>
        <w:spacing w:before="0" w:after="0" w:line="240" w:lineRule="auto"/>
        <w:ind w:left="714" w:hanging="357"/>
        <w:jc w:val="left"/>
        <w:rPr>
          <w:rFonts w:asciiTheme="minorHAnsi" w:eastAsia="Calibri" w:hAnsiTheme="minorHAnsi" w:cstheme="minorHAnsi"/>
          <w:lang w:eastAsia="en-US" w:bidi="ar-SA"/>
        </w:rPr>
      </w:pPr>
      <w:r w:rsidRPr="00DA4356">
        <w:rPr>
          <w:rFonts w:asciiTheme="minorHAnsi" w:eastAsia="Calibri" w:hAnsiTheme="minorHAnsi" w:cstheme="minorHAnsi"/>
          <w:lang w:eastAsia="en-US" w:bidi="ar-SA"/>
        </w:rPr>
        <w:t xml:space="preserve">Availability of historical </w:t>
      </w:r>
      <w:r>
        <w:rPr>
          <w:rFonts w:asciiTheme="minorHAnsi" w:eastAsia="Calibri" w:hAnsiTheme="minorHAnsi" w:cstheme="minorHAnsi"/>
          <w:lang w:eastAsia="en-US" w:bidi="ar-SA"/>
        </w:rPr>
        <w:t xml:space="preserve">monitoring </w:t>
      </w:r>
      <w:r w:rsidRPr="00DA4356">
        <w:rPr>
          <w:rFonts w:asciiTheme="minorHAnsi" w:eastAsia="Calibri" w:hAnsiTheme="minorHAnsi" w:cstheme="minorHAnsi"/>
          <w:lang w:eastAsia="en-US" w:bidi="ar-SA"/>
        </w:rPr>
        <w:t xml:space="preserve">data </w:t>
      </w:r>
      <w:r>
        <w:rPr>
          <w:rFonts w:asciiTheme="minorHAnsi" w:eastAsia="Calibri" w:hAnsiTheme="minorHAnsi" w:cstheme="minorHAnsi"/>
          <w:lang w:eastAsia="en-US" w:bidi="ar-SA"/>
        </w:rPr>
        <w:t>in each zone and existing</w:t>
      </w:r>
      <w:r w:rsidRPr="00212913">
        <w:rPr>
          <w:rFonts w:asciiTheme="minorHAnsi" w:eastAsia="Calibri" w:hAnsiTheme="minorHAnsi" w:cstheme="minorHAnsi"/>
          <w:lang w:eastAsia="en-US" w:bidi="ar-SA"/>
        </w:rPr>
        <w:t xml:space="preserve"> a</w:t>
      </w:r>
      <w:r>
        <w:rPr>
          <w:rFonts w:asciiTheme="minorHAnsi" w:eastAsia="Calibri" w:hAnsiTheme="minorHAnsi" w:cstheme="minorHAnsi"/>
          <w:lang w:eastAsia="en-US" w:bidi="ar-SA"/>
        </w:rPr>
        <w:t>rrangements for access, including maintaining continuity of monitoring established during the LTIM project</w:t>
      </w:r>
    </w:p>
    <w:p w14:paraId="3C4D3399" w14:textId="77777777" w:rsidR="00900A2A" w:rsidRDefault="00900A2A" w:rsidP="0040642F">
      <w:pPr>
        <w:pStyle w:val="BodyText1"/>
        <w:numPr>
          <w:ilvl w:val="0"/>
          <w:numId w:val="3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Ease of access for undertaking fieldwork under a range of weather conditions</w:t>
      </w:r>
    </w:p>
    <w:p w14:paraId="78C154C9" w14:textId="77777777" w:rsidR="00900A2A" w:rsidRDefault="00900A2A" w:rsidP="0040642F">
      <w:pPr>
        <w:pStyle w:val="BodyText1"/>
        <w:numPr>
          <w:ilvl w:val="0"/>
          <w:numId w:val="3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Need for</w:t>
      </w:r>
      <w:r w:rsidRPr="00532A77">
        <w:rPr>
          <w:rFonts w:asciiTheme="minorHAnsi" w:eastAsia="Calibri" w:hAnsiTheme="minorHAnsi" w:cstheme="minorHAnsi"/>
          <w:lang w:eastAsia="en-US" w:bidi="ar-SA"/>
        </w:rPr>
        <w:t xml:space="preserve"> </w:t>
      </w:r>
      <w:r>
        <w:rPr>
          <w:rFonts w:asciiTheme="minorHAnsi" w:eastAsia="Calibri" w:hAnsiTheme="minorHAnsi" w:cstheme="minorHAnsi"/>
          <w:lang w:eastAsia="en-US" w:bidi="ar-SA"/>
        </w:rPr>
        <w:t xml:space="preserve">a number of </w:t>
      </w:r>
      <w:r w:rsidRPr="00532A77">
        <w:rPr>
          <w:rFonts w:asciiTheme="minorHAnsi" w:eastAsia="Calibri" w:hAnsiTheme="minorHAnsi" w:cstheme="minorHAnsi"/>
          <w:lang w:eastAsia="en-US" w:bidi="ar-SA"/>
        </w:rPr>
        <w:t xml:space="preserve">zones that experience a range of flows to </w:t>
      </w:r>
      <w:r>
        <w:rPr>
          <w:rFonts w:asciiTheme="minorHAnsi" w:eastAsia="Calibri" w:hAnsiTheme="minorHAnsi" w:cstheme="minorHAnsi"/>
          <w:lang w:eastAsia="en-US" w:bidi="ar-SA"/>
        </w:rPr>
        <w:t xml:space="preserve">facilitate </w:t>
      </w:r>
      <w:r w:rsidRPr="00532A77">
        <w:rPr>
          <w:rFonts w:asciiTheme="minorHAnsi" w:eastAsia="Calibri" w:hAnsiTheme="minorHAnsi" w:cstheme="minorHAnsi"/>
          <w:lang w:eastAsia="en-US" w:bidi="ar-SA"/>
        </w:rPr>
        <w:t xml:space="preserve">predictive ecosystem response modelling </w:t>
      </w:r>
      <w:r>
        <w:rPr>
          <w:rFonts w:asciiTheme="minorHAnsi" w:eastAsia="Calibri" w:hAnsiTheme="minorHAnsi" w:cstheme="minorHAnsi"/>
          <w:lang w:eastAsia="en-US" w:bidi="ar-SA"/>
        </w:rPr>
        <w:t>and Selected Area gradient analysis</w:t>
      </w:r>
    </w:p>
    <w:p w14:paraId="2BDEABEA" w14:textId="16B0874D" w:rsidR="00900A2A" w:rsidRDefault="00900A2A" w:rsidP="0040642F">
      <w:pPr>
        <w:pStyle w:val="BodyText1"/>
        <w:numPr>
          <w:ilvl w:val="0"/>
          <w:numId w:val="31"/>
        </w:numPr>
        <w:spacing w:before="0" w:after="24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C</w:t>
      </w:r>
      <w:r w:rsidRPr="00CD7379">
        <w:rPr>
          <w:rFonts w:asciiTheme="minorHAnsi" w:eastAsia="Calibri" w:hAnsiTheme="minorHAnsi" w:cstheme="minorHAnsi"/>
          <w:lang w:eastAsia="en-US" w:bidi="ar-SA"/>
        </w:rPr>
        <w:t>apacity to inform on specific objectives aligned with values and needs of local community, including Aboriginal people</w:t>
      </w:r>
      <w:r>
        <w:rPr>
          <w:rFonts w:asciiTheme="minorHAnsi" w:eastAsia="Calibri" w:hAnsiTheme="minorHAnsi" w:cstheme="minorHAnsi"/>
          <w:lang w:eastAsia="en-US" w:bidi="ar-SA"/>
        </w:rPr>
        <w:t>.</w:t>
      </w:r>
    </w:p>
    <w:p w14:paraId="7BAFB6D0" w14:textId="6E9C1852" w:rsidR="00900A2A" w:rsidRDefault="00900A2A" w:rsidP="00900A2A">
      <w:pPr>
        <w:pStyle w:val="BodyText1"/>
        <w:spacing w:beforeLines="50" w:after="0" w:line="259" w:lineRule="auto"/>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Taking all of these factors into account, the MER project includes monitoring</w:t>
      </w:r>
      <w:r w:rsidR="00B8305D">
        <w:rPr>
          <w:rFonts w:asciiTheme="minorHAnsi" w:eastAsia="Calibri" w:hAnsiTheme="minorHAnsi" w:cstheme="minorHAnsi"/>
          <w:lang w:eastAsia="en-US" w:bidi="ar-SA"/>
        </w:rPr>
        <w:t xml:space="preserve"> and evaluation </w:t>
      </w:r>
      <w:r w:rsidR="00B8305D" w:rsidRPr="00971CE3">
        <w:rPr>
          <w:rFonts w:asciiTheme="minorHAnsi" w:hAnsiTheme="minorHAnsi" w:cstheme="minorHAnsi"/>
        </w:rPr>
        <w:t>of ecosystem responses to Commonwealth environmental watering in the Edward/Kolety-Wakool system</w:t>
      </w:r>
      <w:r>
        <w:rPr>
          <w:rFonts w:asciiTheme="minorHAnsi" w:eastAsia="Calibri" w:hAnsiTheme="minorHAnsi" w:cstheme="minorHAnsi"/>
          <w:lang w:eastAsia="en-US" w:bidi="ar-SA"/>
        </w:rPr>
        <w:t xml:space="preserve"> in the following hydrological zones:</w:t>
      </w:r>
    </w:p>
    <w:p w14:paraId="1F054B44" w14:textId="6843811D" w:rsidR="00900A2A" w:rsidRDefault="00900A2A" w:rsidP="0040642F">
      <w:pPr>
        <w:pStyle w:val="BodyText1"/>
        <w:numPr>
          <w:ilvl w:val="0"/>
          <w:numId w:val="32"/>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Monitoring sites established during the LTIM project that focus on </w:t>
      </w:r>
      <w:r w:rsidRPr="00F81EE6">
        <w:rPr>
          <w:rFonts w:asciiTheme="minorHAnsi" w:eastAsia="Calibri" w:hAnsiTheme="minorHAnsi" w:cstheme="minorHAnsi"/>
          <w:lang w:eastAsia="en-US" w:bidi="ar-SA"/>
        </w:rPr>
        <w:t>the upper</w:t>
      </w:r>
      <w:r>
        <w:rPr>
          <w:rFonts w:asciiTheme="minorHAnsi" w:eastAsia="Calibri" w:hAnsiTheme="minorHAnsi" w:cstheme="minorHAnsi"/>
          <w:lang w:eastAsia="en-US" w:bidi="ar-SA"/>
        </w:rPr>
        <w:t xml:space="preserve"> and mid</w:t>
      </w:r>
      <w:r w:rsidRPr="00F81EE6">
        <w:rPr>
          <w:rFonts w:asciiTheme="minorHAnsi" w:eastAsia="Calibri" w:hAnsiTheme="minorHAnsi" w:cstheme="minorHAnsi"/>
          <w:lang w:eastAsia="en-US" w:bidi="ar-SA"/>
        </w:rPr>
        <w:t xml:space="preserve"> reaches of the Wako</w:t>
      </w:r>
      <w:r>
        <w:rPr>
          <w:rFonts w:asciiTheme="minorHAnsi" w:eastAsia="Calibri" w:hAnsiTheme="minorHAnsi" w:cstheme="minorHAnsi"/>
          <w:lang w:eastAsia="en-US" w:bidi="ar-SA"/>
        </w:rPr>
        <w:t xml:space="preserve">ol-Yallakool system (zones 1, 2, </w:t>
      </w:r>
      <w:r w:rsidRPr="00F81EE6">
        <w:rPr>
          <w:rFonts w:asciiTheme="minorHAnsi" w:eastAsia="Calibri" w:hAnsiTheme="minorHAnsi" w:cstheme="minorHAnsi"/>
          <w:lang w:eastAsia="en-US" w:bidi="ar-SA"/>
        </w:rPr>
        <w:t>3</w:t>
      </w:r>
      <w:r>
        <w:rPr>
          <w:rFonts w:asciiTheme="minorHAnsi" w:eastAsia="Calibri" w:hAnsiTheme="minorHAnsi" w:cstheme="minorHAnsi"/>
          <w:lang w:eastAsia="en-US" w:bidi="ar-SA"/>
        </w:rPr>
        <w:t xml:space="preserve"> and 4) </w:t>
      </w:r>
      <w:r w:rsidR="00BA604C">
        <w:rPr>
          <w:rFonts w:asciiTheme="minorHAnsi" w:eastAsia="Calibri" w:hAnsiTheme="minorHAnsi" w:cstheme="minorHAnsi"/>
          <w:lang w:eastAsia="en-US" w:bidi="ar-SA"/>
        </w:rPr>
        <w:t>were</w:t>
      </w:r>
      <w:r>
        <w:rPr>
          <w:rFonts w:asciiTheme="minorHAnsi" w:eastAsia="Calibri" w:hAnsiTheme="minorHAnsi" w:cstheme="minorHAnsi"/>
          <w:lang w:eastAsia="en-US" w:bidi="ar-SA"/>
        </w:rPr>
        <w:t xml:space="preserve"> maintained for the MER project</w:t>
      </w:r>
      <w:r w:rsidRPr="00F81EE6">
        <w:rPr>
          <w:rFonts w:asciiTheme="minorHAnsi" w:eastAsia="Calibri" w:hAnsiTheme="minorHAnsi" w:cstheme="minorHAnsi"/>
          <w:lang w:eastAsia="en-US" w:bidi="ar-SA"/>
        </w:rPr>
        <w:t xml:space="preserve">. </w:t>
      </w:r>
    </w:p>
    <w:p w14:paraId="2925335D" w14:textId="59E4B6B3" w:rsidR="00900A2A" w:rsidRPr="002A6874" w:rsidRDefault="00900A2A" w:rsidP="0040642F">
      <w:pPr>
        <w:pStyle w:val="BodyText1"/>
        <w:numPr>
          <w:ilvl w:val="0"/>
          <w:numId w:val="32"/>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Twenty </w:t>
      </w:r>
      <w:r w:rsidRPr="002A6874">
        <w:rPr>
          <w:rFonts w:asciiTheme="minorHAnsi" w:eastAsia="Calibri" w:hAnsiTheme="minorHAnsi" w:cstheme="minorHAnsi"/>
          <w:lang w:eastAsia="en-US" w:bidi="ar-SA"/>
        </w:rPr>
        <w:t xml:space="preserve">sites that were </w:t>
      </w:r>
      <w:r>
        <w:rPr>
          <w:rFonts w:asciiTheme="minorHAnsi" w:eastAsia="Calibri" w:hAnsiTheme="minorHAnsi" w:cstheme="minorHAnsi"/>
          <w:lang w:eastAsia="en-US" w:bidi="ar-SA"/>
        </w:rPr>
        <w:t>established for fish community surveys in</w:t>
      </w:r>
      <w:r w:rsidRPr="002A6874">
        <w:rPr>
          <w:rFonts w:asciiTheme="minorHAnsi" w:eastAsia="Calibri" w:hAnsiTheme="minorHAnsi" w:cstheme="minorHAnsi"/>
          <w:lang w:eastAsia="en-US" w:bidi="ar-SA"/>
        </w:rPr>
        <w:t xml:space="preserve"> 2010 </w:t>
      </w:r>
      <w:r>
        <w:rPr>
          <w:rFonts w:asciiTheme="minorHAnsi" w:eastAsia="Calibri" w:hAnsiTheme="minorHAnsi" w:cstheme="minorHAnsi"/>
          <w:lang w:eastAsia="en-US" w:bidi="ar-SA"/>
        </w:rPr>
        <w:t xml:space="preserve">and were monitored in year one (2015) and year five (2019) of the LTIM project </w:t>
      </w:r>
      <w:r w:rsidR="00BA604C">
        <w:rPr>
          <w:rFonts w:asciiTheme="minorHAnsi" w:eastAsia="Calibri" w:hAnsiTheme="minorHAnsi" w:cstheme="minorHAnsi"/>
          <w:lang w:eastAsia="en-US" w:bidi="ar-SA"/>
        </w:rPr>
        <w:t>were</w:t>
      </w:r>
      <w:r>
        <w:rPr>
          <w:rFonts w:asciiTheme="minorHAnsi" w:eastAsia="Calibri" w:hAnsiTheme="minorHAnsi" w:cstheme="minorHAnsi"/>
          <w:lang w:eastAsia="en-US" w:bidi="ar-SA"/>
        </w:rPr>
        <w:t xml:space="preserve"> maintained </w:t>
      </w:r>
      <w:r w:rsidR="00BA604C">
        <w:rPr>
          <w:rFonts w:asciiTheme="minorHAnsi" w:eastAsia="Calibri" w:hAnsiTheme="minorHAnsi" w:cstheme="minorHAnsi"/>
          <w:lang w:eastAsia="en-US" w:bidi="ar-SA"/>
        </w:rPr>
        <w:t xml:space="preserve">for the MER project </w:t>
      </w:r>
      <w:r>
        <w:rPr>
          <w:rFonts w:asciiTheme="minorHAnsi" w:eastAsia="Calibri" w:hAnsiTheme="minorHAnsi" w:cstheme="minorHAnsi"/>
          <w:lang w:eastAsia="en-US" w:bidi="ar-SA"/>
        </w:rPr>
        <w:t>and will be surveyed for fish community indices in year three of MER (2022).</w:t>
      </w:r>
    </w:p>
    <w:p w14:paraId="13305174" w14:textId="165269D7" w:rsidR="00900A2A" w:rsidRDefault="00900A2A" w:rsidP="0040642F">
      <w:pPr>
        <w:pStyle w:val="ListParagraph"/>
        <w:numPr>
          <w:ilvl w:val="0"/>
          <w:numId w:val="32"/>
        </w:numPr>
        <w:spacing w:after="120" w:line="259" w:lineRule="auto"/>
        <w:ind w:left="714" w:hanging="357"/>
        <w:jc w:val="left"/>
        <w:rPr>
          <w:rFonts w:cstheme="minorHAnsi"/>
        </w:rPr>
      </w:pPr>
      <w:r w:rsidRPr="00443BD6">
        <w:rPr>
          <w:rFonts w:cstheme="minorHAnsi"/>
        </w:rPr>
        <w:t xml:space="preserve">Additional sites </w:t>
      </w:r>
      <w:r w:rsidR="00BA604C">
        <w:rPr>
          <w:rFonts w:cstheme="minorHAnsi"/>
        </w:rPr>
        <w:t>were</w:t>
      </w:r>
      <w:r w:rsidRPr="00443BD6">
        <w:rPr>
          <w:rFonts w:cstheme="minorHAnsi"/>
        </w:rPr>
        <w:t xml:space="preserve"> added to the existing network of water quality monitoring sites established during LTIM project. For the MER project there are </w:t>
      </w:r>
      <w:r w:rsidR="00443BD6" w:rsidRPr="00443BD6">
        <w:rPr>
          <w:rFonts w:cstheme="minorHAnsi"/>
        </w:rPr>
        <w:t xml:space="preserve">17 </w:t>
      </w:r>
      <w:r w:rsidRPr="00443BD6">
        <w:rPr>
          <w:rFonts w:cstheme="minorHAnsi"/>
        </w:rPr>
        <w:t>water quality monitoring sites throughout the whole system, including ongoing sites in Yallakool Creek, Wakool River zones 2 to 4, and source water sites in the Mulwala Canal and the Edward</w:t>
      </w:r>
      <w:r w:rsidR="00443BD6" w:rsidRPr="00443BD6">
        <w:rPr>
          <w:rFonts w:cstheme="minorHAnsi"/>
        </w:rPr>
        <w:t>/Kolety</w:t>
      </w:r>
      <w:r w:rsidRPr="00443BD6">
        <w:rPr>
          <w:rFonts w:cstheme="minorHAnsi"/>
        </w:rPr>
        <w:t xml:space="preserve"> River at Stephens Weir</w:t>
      </w:r>
      <w:r w:rsidR="00443BD6" w:rsidRPr="00443BD6">
        <w:rPr>
          <w:rFonts w:cstheme="minorHAnsi"/>
        </w:rPr>
        <w:t>. New sites for MER expanded</w:t>
      </w:r>
      <w:r w:rsidRPr="00443BD6">
        <w:rPr>
          <w:rFonts w:cstheme="minorHAnsi"/>
        </w:rPr>
        <w:t xml:space="preserve"> the water quality monitoring to further downstream in the Wakool River as well as in Tuppal Creek, the Edward</w:t>
      </w:r>
      <w:r w:rsidR="00443BD6" w:rsidRPr="00443BD6">
        <w:rPr>
          <w:rFonts w:cstheme="minorHAnsi"/>
        </w:rPr>
        <w:t>/Kolety</w:t>
      </w:r>
      <w:r w:rsidRPr="00443BD6">
        <w:rPr>
          <w:rFonts w:cstheme="minorHAnsi"/>
        </w:rPr>
        <w:t xml:space="preserve"> River and the Colligen-Niemur system to enable an evaluation of environmental water across the broader system.</w:t>
      </w:r>
    </w:p>
    <w:p w14:paraId="390C2C4B" w14:textId="293022D8" w:rsidR="00900A2A" w:rsidRPr="00443BD6" w:rsidRDefault="00443BD6" w:rsidP="00443BD6">
      <w:pPr>
        <w:pStyle w:val="BodyText1"/>
        <w:spacing w:after="0" w:line="259" w:lineRule="auto"/>
        <w:jc w:val="left"/>
        <w:rPr>
          <w:rFonts w:asciiTheme="minorHAnsi" w:eastAsia="Calibri" w:hAnsiTheme="minorHAnsi" w:cstheme="minorHAnsi"/>
          <w:lang w:eastAsia="en-US" w:bidi="ar-SA"/>
        </w:rPr>
      </w:pPr>
      <w:r w:rsidRPr="00443BD6">
        <w:rPr>
          <w:rFonts w:asciiTheme="minorHAnsi" w:eastAsia="Calibri" w:hAnsiTheme="minorHAnsi" w:cstheme="minorHAnsi"/>
          <w:lang w:eastAsia="en-US" w:bidi="ar-SA"/>
        </w:rPr>
        <w:t xml:space="preserve">The focus of the integrated research project is </w:t>
      </w:r>
      <w:r w:rsidR="00900A2A" w:rsidRPr="00443BD6">
        <w:rPr>
          <w:rFonts w:asciiTheme="minorHAnsi" w:eastAsia="Calibri" w:hAnsiTheme="minorHAnsi" w:cstheme="minorHAnsi"/>
          <w:lang w:eastAsia="en-US" w:bidi="ar-SA"/>
        </w:rPr>
        <w:t>the Edward</w:t>
      </w:r>
      <w:r w:rsidRPr="00443BD6">
        <w:rPr>
          <w:rFonts w:asciiTheme="minorHAnsi" w:eastAsia="Calibri" w:hAnsiTheme="minorHAnsi" w:cstheme="minorHAnsi"/>
          <w:lang w:eastAsia="en-US" w:bidi="ar-SA"/>
        </w:rPr>
        <w:t>/Kolety</w:t>
      </w:r>
      <w:r w:rsidR="00900A2A" w:rsidRPr="00443BD6">
        <w:rPr>
          <w:rFonts w:asciiTheme="minorHAnsi" w:eastAsia="Calibri" w:hAnsiTheme="minorHAnsi" w:cstheme="minorHAnsi"/>
          <w:lang w:eastAsia="en-US" w:bidi="ar-SA"/>
        </w:rPr>
        <w:t xml:space="preserve"> River downstream of Stevens Weir to inform the adaptive managemen</w:t>
      </w:r>
      <w:r w:rsidRPr="00443BD6">
        <w:rPr>
          <w:rFonts w:asciiTheme="minorHAnsi" w:eastAsia="Calibri" w:hAnsiTheme="minorHAnsi" w:cstheme="minorHAnsi"/>
          <w:lang w:eastAsia="en-US" w:bidi="ar-SA"/>
        </w:rPr>
        <w:t>t of environmental water in this River. The Edward/Kolety River</w:t>
      </w:r>
      <w:r w:rsidR="00900A2A" w:rsidRPr="00443BD6">
        <w:rPr>
          <w:rFonts w:asciiTheme="minorHAnsi" w:eastAsia="Calibri" w:hAnsiTheme="minorHAnsi" w:cstheme="minorHAnsi"/>
          <w:lang w:eastAsia="en-US" w:bidi="ar-SA"/>
        </w:rPr>
        <w:t xml:space="preserve"> was not monitored as part of LTIM</w:t>
      </w:r>
      <w:r w:rsidRPr="00443BD6">
        <w:rPr>
          <w:rFonts w:asciiTheme="minorHAnsi" w:eastAsia="Calibri" w:hAnsiTheme="minorHAnsi" w:cstheme="minorHAnsi"/>
          <w:lang w:eastAsia="en-US" w:bidi="ar-SA"/>
        </w:rPr>
        <w:t xml:space="preserve"> program. The research questions that will be addressed will inform future monitoring and delivery of environmental water in the Edward/Kolety-Wakool system</w:t>
      </w:r>
      <w:r w:rsidR="00900A2A" w:rsidRPr="00443BD6">
        <w:rPr>
          <w:rFonts w:asciiTheme="minorHAnsi" w:eastAsia="Calibri" w:hAnsiTheme="minorHAnsi" w:cstheme="minorHAnsi"/>
          <w:lang w:eastAsia="en-US" w:bidi="ar-SA"/>
        </w:rPr>
        <w:t>.</w:t>
      </w:r>
    </w:p>
    <w:p w14:paraId="0F8337FF" w14:textId="5BD828D2" w:rsidR="00443BD6" w:rsidRPr="00443BD6" w:rsidRDefault="00443BD6" w:rsidP="00443BD6">
      <w:pPr>
        <w:pStyle w:val="BodyText1"/>
        <w:spacing w:after="0" w:line="259" w:lineRule="auto"/>
        <w:jc w:val="left"/>
        <w:rPr>
          <w:rFonts w:eastAsia="Calibri" w:cstheme="minorHAnsi"/>
        </w:rPr>
      </w:pPr>
      <w:r>
        <w:rPr>
          <w:rFonts w:asciiTheme="minorHAnsi" w:eastAsia="Calibri" w:hAnsiTheme="minorHAnsi" w:cstheme="minorHAnsi"/>
          <w:lang w:eastAsia="en-US" w:bidi="ar-SA"/>
        </w:rPr>
        <w:t>The Milewa Forest</w:t>
      </w:r>
      <w:r w:rsidRPr="00DD62A9">
        <w:rPr>
          <w:rFonts w:asciiTheme="minorHAnsi" w:eastAsia="Calibri" w:hAnsiTheme="minorHAnsi" w:cstheme="minorHAnsi"/>
          <w:lang w:eastAsia="en-US" w:bidi="ar-SA"/>
        </w:rPr>
        <w:t xml:space="preserve"> an</w:t>
      </w:r>
      <w:r>
        <w:rPr>
          <w:rFonts w:asciiTheme="minorHAnsi" w:eastAsia="Calibri" w:hAnsiTheme="minorHAnsi" w:cstheme="minorHAnsi"/>
          <w:lang w:eastAsia="en-US" w:bidi="ar-SA"/>
        </w:rPr>
        <w:t xml:space="preserve">d Koondrook-Perricoota forest are not included in the MER project because they are currently monitored by other programs such as the MDBA Living Murray Program. </w:t>
      </w:r>
      <w:r w:rsidRPr="00174A01">
        <w:rPr>
          <w:rFonts w:eastAsia="Calibri" w:cstheme="minorHAnsi"/>
        </w:rPr>
        <w:t>T</w:t>
      </w:r>
      <w:r w:rsidRPr="00174A01">
        <w:rPr>
          <w:rFonts w:asciiTheme="minorHAnsi" w:eastAsia="Calibri" w:hAnsiTheme="minorHAnsi" w:cstheme="minorHAnsi"/>
          <w:lang w:eastAsia="en-US" w:bidi="ar-SA"/>
        </w:rPr>
        <w:t xml:space="preserve">he ephemeral creeks in zone 15, Jimaringle, Cockran and Gwynnes Creek, </w:t>
      </w:r>
      <w:r>
        <w:rPr>
          <w:rFonts w:asciiTheme="minorHAnsi" w:eastAsia="Calibri" w:hAnsiTheme="minorHAnsi" w:cstheme="minorHAnsi"/>
          <w:lang w:eastAsia="en-US" w:bidi="ar-SA"/>
        </w:rPr>
        <w:t>have not been included in the MER</w:t>
      </w:r>
      <w:r w:rsidRPr="00174A01">
        <w:rPr>
          <w:rFonts w:asciiTheme="minorHAnsi" w:eastAsia="Calibri" w:hAnsiTheme="minorHAnsi" w:cstheme="minorHAnsi"/>
          <w:lang w:eastAsia="en-US" w:bidi="ar-SA"/>
        </w:rPr>
        <w:t xml:space="preserve"> </w:t>
      </w:r>
      <w:r>
        <w:rPr>
          <w:rFonts w:asciiTheme="minorHAnsi" w:eastAsia="Calibri" w:hAnsiTheme="minorHAnsi" w:cstheme="minorHAnsi"/>
          <w:lang w:eastAsia="en-US" w:bidi="ar-SA"/>
        </w:rPr>
        <w:t xml:space="preserve">project to avoid duplication of monitoring, as environmental watering actions in </w:t>
      </w:r>
      <w:r w:rsidRPr="00174A01">
        <w:rPr>
          <w:rFonts w:asciiTheme="minorHAnsi" w:eastAsia="Calibri" w:hAnsiTheme="minorHAnsi" w:cstheme="minorHAnsi"/>
          <w:lang w:eastAsia="en-US" w:bidi="ar-SA"/>
        </w:rPr>
        <w:t xml:space="preserve">these ephemeral creeks </w:t>
      </w:r>
      <w:r>
        <w:rPr>
          <w:rFonts w:asciiTheme="minorHAnsi" w:eastAsia="Calibri" w:hAnsiTheme="minorHAnsi" w:cstheme="minorHAnsi"/>
          <w:lang w:eastAsia="en-US" w:bidi="ar-SA"/>
        </w:rPr>
        <w:t>have previously</w:t>
      </w:r>
      <w:r w:rsidRPr="00174A01">
        <w:rPr>
          <w:rFonts w:asciiTheme="minorHAnsi" w:eastAsia="Calibri" w:hAnsiTheme="minorHAnsi" w:cstheme="minorHAnsi"/>
          <w:lang w:eastAsia="en-US" w:bidi="ar-SA"/>
        </w:rPr>
        <w:t xml:space="preserve"> been </w:t>
      </w:r>
      <w:r>
        <w:rPr>
          <w:rFonts w:asciiTheme="minorHAnsi" w:eastAsia="Calibri" w:hAnsiTheme="minorHAnsi" w:cstheme="minorHAnsi"/>
          <w:lang w:eastAsia="en-US" w:bidi="ar-SA"/>
        </w:rPr>
        <w:t xml:space="preserve">monitored </w:t>
      </w:r>
      <w:r w:rsidRPr="00174A01">
        <w:rPr>
          <w:rFonts w:asciiTheme="minorHAnsi" w:eastAsia="Calibri" w:hAnsiTheme="minorHAnsi" w:cstheme="minorHAnsi"/>
          <w:lang w:eastAsia="en-US" w:bidi="ar-SA"/>
        </w:rPr>
        <w:t xml:space="preserve">by the NSW </w:t>
      </w:r>
      <w:r>
        <w:rPr>
          <w:rFonts w:asciiTheme="minorHAnsi" w:eastAsia="Calibri" w:hAnsiTheme="minorHAnsi" w:cstheme="minorHAnsi"/>
          <w:lang w:eastAsia="en-US" w:bidi="ar-SA"/>
        </w:rPr>
        <w:t>DPIE. W</w:t>
      </w:r>
      <w:r w:rsidRPr="00174A01">
        <w:rPr>
          <w:rFonts w:asciiTheme="minorHAnsi" w:eastAsia="Calibri" w:hAnsiTheme="minorHAnsi" w:cstheme="minorHAnsi"/>
          <w:lang w:eastAsia="en-US" w:bidi="ar-SA"/>
        </w:rPr>
        <w:t xml:space="preserve">e will seek to integrate outcomes of environmental watering in these systems in </w:t>
      </w:r>
      <w:r>
        <w:rPr>
          <w:rFonts w:asciiTheme="minorHAnsi" w:eastAsia="Calibri" w:hAnsiTheme="minorHAnsi" w:cstheme="minorHAnsi"/>
          <w:lang w:eastAsia="en-US" w:bidi="ar-SA"/>
        </w:rPr>
        <w:t>a</w:t>
      </w:r>
      <w:r w:rsidRPr="00174A01">
        <w:rPr>
          <w:rFonts w:asciiTheme="minorHAnsi" w:eastAsia="Calibri" w:hAnsiTheme="minorHAnsi" w:cstheme="minorHAnsi"/>
          <w:lang w:eastAsia="en-US" w:bidi="ar-SA"/>
        </w:rPr>
        <w:t xml:space="preserve"> qualitative evaluation of the outcomes of Commonwealth environmental water in the Edward</w:t>
      </w:r>
      <w:r w:rsidR="0091645A">
        <w:rPr>
          <w:rFonts w:asciiTheme="minorHAnsi" w:hAnsiTheme="minorHAnsi" w:cs="Calibri"/>
          <w:color w:val="000000"/>
          <w:sz w:val="20"/>
          <w:lang w:eastAsia="en-AU"/>
        </w:rPr>
        <w:t>/Kolety</w:t>
      </w:r>
      <w:r w:rsidRPr="00174A01">
        <w:rPr>
          <w:rFonts w:asciiTheme="minorHAnsi" w:eastAsia="Calibri" w:hAnsiTheme="minorHAnsi" w:cstheme="minorHAnsi"/>
          <w:lang w:eastAsia="en-US" w:bidi="ar-SA"/>
        </w:rPr>
        <w:t>-Wakool system.</w:t>
      </w:r>
    </w:p>
    <w:p w14:paraId="2315AFDB" w14:textId="77777777" w:rsidR="008C6192" w:rsidRDefault="008C6192" w:rsidP="00AC672F">
      <w:pPr>
        <w:spacing w:after="0" w:line="240" w:lineRule="auto"/>
        <w:jc w:val="left"/>
        <w:rPr>
          <w:rFonts w:asciiTheme="minorHAnsi" w:hAnsiTheme="minorHAnsi" w:cstheme="minorHAnsi"/>
          <w:b/>
          <w:szCs w:val="22"/>
        </w:rPr>
      </w:pPr>
      <w:r>
        <w:rPr>
          <w:rFonts w:asciiTheme="minorHAnsi" w:hAnsiTheme="minorHAnsi" w:cstheme="minorHAnsi"/>
          <w:b/>
          <w:szCs w:val="22"/>
        </w:rPr>
        <w:br w:type="page"/>
      </w:r>
    </w:p>
    <w:p w14:paraId="38D780DE" w14:textId="26700E4A" w:rsidR="00B200C8" w:rsidRPr="000C1DEB" w:rsidRDefault="006776D9" w:rsidP="00AC672F">
      <w:pPr>
        <w:spacing w:after="0" w:line="240" w:lineRule="auto"/>
        <w:ind w:right="-851"/>
        <w:jc w:val="left"/>
      </w:pPr>
      <w:r>
        <w:rPr>
          <w:noProof/>
          <w:lang w:eastAsia="en-AU"/>
        </w:rPr>
        <w:drawing>
          <wp:inline distT="0" distB="0" distL="0" distR="0" wp14:anchorId="49B61656" wp14:editId="1C627E8A">
            <wp:extent cx="2650756" cy="198000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2s1.jpg"/>
                    <pic:cNvPicPr/>
                  </pic:nvPicPr>
                  <pic:blipFill rotWithShape="1">
                    <a:blip r:embed="rId35" cstate="email">
                      <a:extLst>
                        <a:ext uri="{28A0092B-C50C-407E-A947-70E740481C1C}">
                          <a14:useLocalDpi xmlns:a14="http://schemas.microsoft.com/office/drawing/2010/main"/>
                        </a:ext>
                      </a:extLst>
                    </a:blip>
                    <a:srcRect b="-1"/>
                    <a:stretch/>
                  </pic:blipFill>
                  <pic:spPr bwMode="auto">
                    <a:xfrm>
                      <a:off x="0" y="0"/>
                      <a:ext cx="2650756" cy="1980000"/>
                    </a:xfrm>
                    <a:prstGeom prst="rect">
                      <a:avLst/>
                    </a:prstGeom>
                    <a:ln>
                      <a:noFill/>
                    </a:ln>
                    <a:extLst>
                      <a:ext uri="{53640926-AAD7-44D8-BBD7-CCE9431645EC}">
                        <a14:shadowObscured xmlns:a14="http://schemas.microsoft.com/office/drawing/2010/main"/>
                      </a:ext>
                    </a:extLst>
                  </pic:spPr>
                </pic:pic>
              </a:graphicData>
            </a:graphic>
          </wp:inline>
        </w:drawing>
      </w:r>
      <w:r w:rsidR="00AE60AF">
        <w:t xml:space="preserve"> </w:t>
      </w:r>
      <w:r w:rsidR="00AE60AF" w:rsidRPr="00AE60AF">
        <w:rPr>
          <w:noProof/>
          <w:lang w:eastAsia="en-AU"/>
        </w:rPr>
        <w:drawing>
          <wp:inline distT="0" distB="0" distL="0" distR="0" wp14:anchorId="33E0E754" wp14:editId="6973A733">
            <wp:extent cx="2640640" cy="1980000"/>
            <wp:effectExtent l="0" t="0" r="7620" b="1270"/>
            <wp:docPr id="22626" name="Picture 3" descr="zone3 site 1 dec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6" name="Picture 3" descr="zone3 site 1 dec 2014.JPG"/>
                    <pic:cNvPicPr>
                      <a:picLocks noChangeAspect="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40640" cy="1980000"/>
                    </a:xfrm>
                    <a:prstGeom prst="rect">
                      <a:avLst/>
                    </a:prstGeom>
                    <a:noFill/>
                    <a:ln>
                      <a:noFill/>
                    </a:ln>
                  </pic:spPr>
                </pic:pic>
              </a:graphicData>
            </a:graphic>
          </wp:inline>
        </w:drawing>
      </w:r>
    </w:p>
    <w:p w14:paraId="3E77A5AE" w14:textId="0C14D4EA" w:rsidR="00B200C8" w:rsidRPr="000C1DEB" w:rsidRDefault="0075113A" w:rsidP="00AC672F">
      <w:pPr>
        <w:spacing w:after="0" w:line="240" w:lineRule="auto"/>
        <w:ind w:right="-851"/>
        <w:jc w:val="left"/>
        <w:rPr>
          <w:sz w:val="20"/>
        </w:rPr>
      </w:pPr>
      <w:r>
        <w:rPr>
          <w:sz w:val="20"/>
        </w:rPr>
        <w:t xml:space="preserve">Upper </w:t>
      </w:r>
      <w:r w:rsidR="00B200C8">
        <w:rPr>
          <w:sz w:val="20"/>
        </w:rPr>
        <w:t>Wakool R</w:t>
      </w:r>
      <w:r w:rsidR="00B200C8" w:rsidRPr="000C1DEB">
        <w:rPr>
          <w:sz w:val="20"/>
        </w:rPr>
        <w:t xml:space="preserve"> (zone 2) </w:t>
      </w:r>
      <w:r w:rsidR="00AE60AF">
        <w:rPr>
          <w:sz w:val="20"/>
        </w:rPr>
        <w:tab/>
      </w:r>
      <w:r w:rsidR="00AE60AF">
        <w:rPr>
          <w:sz w:val="20"/>
        </w:rPr>
        <w:tab/>
      </w:r>
      <w:r w:rsidR="00AE60AF">
        <w:rPr>
          <w:sz w:val="20"/>
        </w:rPr>
        <w:tab/>
        <w:t xml:space="preserve">          </w:t>
      </w:r>
      <w:r w:rsidR="00AA2394">
        <w:rPr>
          <w:sz w:val="20"/>
        </w:rPr>
        <w:t xml:space="preserve">       </w:t>
      </w:r>
      <w:r w:rsidR="00AE60AF">
        <w:rPr>
          <w:sz w:val="20"/>
        </w:rPr>
        <w:t xml:space="preserve">Wakool River </w:t>
      </w:r>
      <w:r w:rsidR="00130F10">
        <w:rPr>
          <w:sz w:val="20"/>
        </w:rPr>
        <w:t xml:space="preserve">near Wakool Reserve </w:t>
      </w:r>
      <w:r w:rsidR="00AE60AF">
        <w:rPr>
          <w:sz w:val="20"/>
        </w:rPr>
        <w:t>(zone 3)</w:t>
      </w:r>
    </w:p>
    <w:p w14:paraId="3BFA0F82" w14:textId="5ECF6736" w:rsidR="00B200C8" w:rsidRDefault="00636839" w:rsidP="00AC672F">
      <w:pPr>
        <w:spacing w:after="0" w:line="240" w:lineRule="auto"/>
        <w:ind w:right="-851"/>
        <w:jc w:val="left"/>
      </w:pPr>
      <w:r w:rsidRPr="00636839">
        <w:rPr>
          <w:noProof/>
          <w:lang w:eastAsia="en-AU"/>
        </w:rPr>
        <w:drawing>
          <wp:inline distT="0" distB="0" distL="0" distR="0" wp14:anchorId="696063E7" wp14:editId="5E7EF491">
            <wp:extent cx="2638058" cy="1980000"/>
            <wp:effectExtent l="0" t="0" r="0" b="1270"/>
            <wp:docPr id="1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2638058" cy="1980000"/>
                    </a:xfrm>
                    <a:prstGeom prst="rect">
                      <a:avLst/>
                    </a:prstGeom>
                    <a:noFill/>
                    <a:ln>
                      <a:noFill/>
                    </a:ln>
                    <a:extLst>
                      <a:ext uri="{53640926-AAD7-44D8-BBD7-CCE9431645EC}">
                        <a14:shadowObscured xmlns:a14="http://schemas.microsoft.com/office/drawing/2010/main"/>
                      </a:ext>
                    </a:extLst>
                  </pic:spPr>
                </pic:pic>
              </a:graphicData>
            </a:graphic>
          </wp:inline>
        </w:drawing>
      </w:r>
      <w:r w:rsidR="00AE60AF">
        <w:t xml:space="preserve"> </w:t>
      </w:r>
      <w:r w:rsidR="00130F10">
        <w:rPr>
          <w:noProof/>
          <w:lang w:eastAsia="en-AU"/>
        </w:rPr>
        <w:drawing>
          <wp:inline distT="0" distB="0" distL="0" distR="0" wp14:anchorId="55B77542" wp14:editId="1B338DDA">
            <wp:extent cx="2628588" cy="1980000"/>
            <wp:effectExtent l="0" t="0" r="635" b="127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DSC_0072.JPG"/>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628588" cy="1980000"/>
                    </a:xfrm>
                    <a:prstGeom prst="rect">
                      <a:avLst/>
                    </a:prstGeom>
                    <a:ln>
                      <a:noFill/>
                    </a:ln>
                    <a:extLst>
                      <a:ext uri="{53640926-AAD7-44D8-BBD7-CCE9431645EC}">
                        <a14:shadowObscured xmlns:a14="http://schemas.microsoft.com/office/drawing/2010/main"/>
                      </a:ext>
                    </a:extLst>
                  </pic:spPr>
                </pic:pic>
              </a:graphicData>
            </a:graphic>
          </wp:inline>
        </w:drawing>
      </w:r>
    </w:p>
    <w:p w14:paraId="2B061E52" w14:textId="1AD4D5B4" w:rsidR="005869E0" w:rsidRPr="00950275" w:rsidRDefault="005869E0" w:rsidP="005869E0">
      <w:pPr>
        <w:spacing w:after="0" w:line="240" w:lineRule="auto"/>
        <w:ind w:right="-567"/>
        <w:jc w:val="left"/>
        <w:rPr>
          <w:sz w:val="20"/>
        </w:rPr>
      </w:pPr>
      <w:r>
        <w:rPr>
          <w:sz w:val="20"/>
        </w:rPr>
        <w:t>Wakool R</w:t>
      </w:r>
      <w:r w:rsidRPr="000C1DEB">
        <w:rPr>
          <w:sz w:val="20"/>
        </w:rPr>
        <w:t xml:space="preserve"> </w:t>
      </w:r>
      <w:r w:rsidR="00130F10">
        <w:rPr>
          <w:sz w:val="20"/>
        </w:rPr>
        <w:t xml:space="preserve">near Moulamein Road bridge </w:t>
      </w:r>
      <w:r w:rsidRPr="000C1DEB">
        <w:rPr>
          <w:sz w:val="20"/>
        </w:rPr>
        <w:t>(zone 4)</w:t>
      </w:r>
      <w:r w:rsidR="00AA2394">
        <w:rPr>
          <w:sz w:val="20"/>
        </w:rPr>
        <w:tab/>
        <w:t xml:space="preserve">  </w:t>
      </w:r>
      <w:r w:rsidR="00130F10">
        <w:rPr>
          <w:sz w:val="20"/>
        </w:rPr>
        <w:t>Wakool River at Stoney Crossing (zone 6)</w:t>
      </w:r>
    </w:p>
    <w:p w14:paraId="60F43B6D" w14:textId="63A9ECE9" w:rsidR="00130F10" w:rsidRDefault="00130F10" w:rsidP="005869E0">
      <w:pPr>
        <w:spacing w:after="0" w:line="240" w:lineRule="auto"/>
        <w:ind w:right="-851"/>
        <w:jc w:val="left"/>
        <w:rPr>
          <w:sz w:val="20"/>
        </w:rPr>
      </w:pPr>
      <w:r>
        <w:rPr>
          <w:noProof/>
          <w:sz w:val="20"/>
          <w:lang w:eastAsia="en-AU"/>
        </w:rPr>
        <w:drawing>
          <wp:inline distT="0" distB="0" distL="0" distR="0" wp14:anchorId="3FC4A56F" wp14:editId="6F4D9C86">
            <wp:extent cx="2639807" cy="1980000"/>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lligen Ck Calimo Jan 2020.jpg"/>
                    <pic:cNvPicPr/>
                  </pic:nvPicPr>
                  <pic:blipFill>
                    <a:blip r:embed="rId39" cstate="email">
                      <a:extLst>
                        <a:ext uri="{28A0092B-C50C-407E-A947-70E740481C1C}">
                          <a14:useLocalDpi xmlns:a14="http://schemas.microsoft.com/office/drawing/2010/main"/>
                        </a:ext>
                      </a:extLst>
                    </a:blip>
                    <a:stretch>
                      <a:fillRect/>
                    </a:stretch>
                  </pic:blipFill>
                  <pic:spPr>
                    <a:xfrm>
                      <a:off x="0" y="0"/>
                      <a:ext cx="2639807" cy="1980000"/>
                    </a:xfrm>
                    <a:prstGeom prst="rect">
                      <a:avLst/>
                    </a:prstGeom>
                  </pic:spPr>
                </pic:pic>
              </a:graphicData>
            </a:graphic>
          </wp:inline>
        </w:drawing>
      </w:r>
      <w:r>
        <w:rPr>
          <w:sz w:val="20"/>
        </w:rPr>
        <w:t xml:space="preserve"> </w:t>
      </w:r>
      <w:r w:rsidRPr="0075113A">
        <w:rPr>
          <w:noProof/>
          <w:lang w:eastAsia="en-AU"/>
        </w:rPr>
        <w:drawing>
          <wp:inline distT="0" distB="0" distL="0" distR="0" wp14:anchorId="7251D260" wp14:editId="477616F9">
            <wp:extent cx="2637044" cy="1980000"/>
            <wp:effectExtent l="0" t="0" r="0" b="1270"/>
            <wp:docPr id="1129" name="Picture 1" descr="D:\Users\rwatts\Data\Data\arobyn\projects - ongoing\SEWPAC E-W 2013-2014\photos\edward us werai\100_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D:\Users\rwatts\Data\Data\arobyn\projects - ongoing\SEWPAC E-W 2013-2014\photos\edward us werai\100_2215.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637044" cy="1980000"/>
                    </a:xfrm>
                    <a:prstGeom prst="rect">
                      <a:avLst/>
                    </a:prstGeom>
                    <a:noFill/>
                    <a:ln>
                      <a:noFill/>
                    </a:ln>
                  </pic:spPr>
                </pic:pic>
              </a:graphicData>
            </a:graphic>
          </wp:inline>
        </w:drawing>
      </w:r>
    </w:p>
    <w:p w14:paraId="132CD3A7" w14:textId="33BFD251" w:rsidR="005869E0" w:rsidRDefault="00130F10" w:rsidP="005869E0">
      <w:pPr>
        <w:spacing w:after="0" w:line="240" w:lineRule="auto"/>
        <w:ind w:right="-851"/>
        <w:jc w:val="left"/>
        <w:rPr>
          <w:sz w:val="20"/>
        </w:rPr>
      </w:pPr>
      <w:r>
        <w:rPr>
          <w:sz w:val="20"/>
        </w:rPr>
        <w:t>Colligen Creek, near Calimo (zone 8)</w:t>
      </w:r>
      <w:r>
        <w:rPr>
          <w:sz w:val="20"/>
        </w:rPr>
        <w:tab/>
      </w:r>
      <w:r>
        <w:rPr>
          <w:sz w:val="20"/>
        </w:rPr>
        <w:tab/>
        <w:t xml:space="preserve"> </w:t>
      </w:r>
      <w:r w:rsidR="005869E0">
        <w:rPr>
          <w:sz w:val="20"/>
        </w:rPr>
        <w:t>Edward/Kolety River (zone 13)</w:t>
      </w:r>
    </w:p>
    <w:p w14:paraId="08F293D2" w14:textId="08C8536D" w:rsidR="00130F10" w:rsidRPr="000C1DEB" w:rsidRDefault="00130F10" w:rsidP="005869E0">
      <w:pPr>
        <w:spacing w:after="0" w:line="240" w:lineRule="auto"/>
        <w:ind w:right="-851"/>
        <w:jc w:val="left"/>
        <w:rPr>
          <w:sz w:val="20"/>
        </w:rPr>
      </w:pPr>
      <w:r>
        <w:rPr>
          <w:noProof/>
          <w:sz w:val="20"/>
          <w:lang w:eastAsia="en-AU"/>
        </w:rPr>
        <w:drawing>
          <wp:inline distT="0" distB="0" distL="0" distR="0" wp14:anchorId="00677257" wp14:editId="1CD455EA">
            <wp:extent cx="2639807" cy="1980000"/>
            <wp:effectExtent l="0" t="0" r="825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0904_114611.jpg"/>
                    <pic:cNvPicPr/>
                  </pic:nvPicPr>
                  <pic:blipFill>
                    <a:blip r:embed="rId41" cstate="email">
                      <a:extLst>
                        <a:ext uri="{28A0092B-C50C-407E-A947-70E740481C1C}">
                          <a14:useLocalDpi xmlns:a14="http://schemas.microsoft.com/office/drawing/2010/main"/>
                        </a:ext>
                      </a:extLst>
                    </a:blip>
                    <a:stretch>
                      <a:fillRect/>
                    </a:stretch>
                  </pic:blipFill>
                  <pic:spPr>
                    <a:xfrm>
                      <a:off x="0" y="0"/>
                      <a:ext cx="2639807" cy="1980000"/>
                    </a:xfrm>
                    <a:prstGeom prst="rect">
                      <a:avLst/>
                    </a:prstGeom>
                  </pic:spPr>
                </pic:pic>
              </a:graphicData>
            </a:graphic>
          </wp:inline>
        </w:drawing>
      </w:r>
      <w:r w:rsidR="008A069F">
        <w:rPr>
          <w:sz w:val="20"/>
        </w:rPr>
        <w:t xml:space="preserve"> </w:t>
      </w:r>
      <w:r w:rsidR="009E0E5C">
        <w:rPr>
          <w:noProof/>
          <w:sz w:val="20"/>
          <w:lang w:eastAsia="en-AU"/>
        </w:rPr>
        <w:drawing>
          <wp:inline distT="0" distB="0" distL="0" distR="0" wp14:anchorId="08354030" wp14:editId="0ECD366F">
            <wp:extent cx="2639806" cy="1980000"/>
            <wp:effectExtent l="0" t="0" r="825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729_104054.jpg"/>
                    <pic:cNvPicPr/>
                  </pic:nvPicPr>
                  <pic:blipFill>
                    <a:blip r:embed="rId42" cstate="email">
                      <a:extLst>
                        <a:ext uri="{28A0092B-C50C-407E-A947-70E740481C1C}">
                          <a14:useLocalDpi xmlns:a14="http://schemas.microsoft.com/office/drawing/2010/main"/>
                        </a:ext>
                      </a:extLst>
                    </a:blip>
                    <a:stretch>
                      <a:fillRect/>
                    </a:stretch>
                  </pic:blipFill>
                  <pic:spPr>
                    <a:xfrm>
                      <a:off x="0" y="0"/>
                      <a:ext cx="2639806" cy="1980000"/>
                    </a:xfrm>
                    <a:prstGeom prst="rect">
                      <a:avLst/>
                    </a:prstGeom>
                  </pic:spPr>
                </pic:pic>
              </a:graphicData>
            </a:graphic>
          </wp:inline>
        </w:drawing>
      </w:r>
    </w:p>
    <w:p w14:paraId="2676E4D0" w14:textId="4E94036F" w:rsidR="005869E0" w:rsidRPr="000C1DEB" w:rsidRDefault="00130F10" w:rsidP="00AC672F">
      <w:pPr>
        <w:spacing w:after="0" w:line="240" w:lineRule="auto"/>
        <w:ind w:right="-851"/>
        <w:jc w:val="left"/>
      </w:pPr>
      <w:r>
        <w:t>Mulwala Canal</w:t>
      </w:r>
      <w:r w:rsidR="009E0E5C">
        <w:tab/>
      </w:r>
      <w:r w:rsidR="009E0E5C">
        <w:tab/>
      </w:r>
      <w:r w:rsidR="009E0E5C">
        <w:tab/>
      </w:r>
      <w:r w:rsidR="009E0E5C">
        <w:tab/>
        <w:t xml:space="preserve">            Tuppal Creek</w:t>
      </w:r>
    </w:p>
    <w:p w14:paraId="79B524FA" w14:textId="632D3522" w:rsidR="0075113A" w:rsidRDefault="00842FB5" w:rsidP="009E0E5C">
      <w:pPr>
        <w:pStyle w:val="FigureCaption0"/>
        <w:ind w:right="-567"/>
        <w:rPr>
          <w:b w:val="0"/>
          <w:color w:val="31849B" w:themeColor="accent5" w:themeShade="BF"/>
          <w:sz w:val="28"/>
          <w:szCs w:val="28"/>
        </w:rPr>
      </w:pPr>
      <w:r>
        <w:t>Figure 3.</w:t>
      </w:r>
      <w:r w:rsidR="00900A2A">
        <w:t>3</w:t>
      </w:r>
      <w:r w:rsidR="00B200C8" w:rsidRPr="000C1DEB">
        <w:t xml:space="preserve"> </w:t>
      </w:r>
      <w:r w:rsidR="00B200C8" w:rsidRPr="00675A30">
        <w:rPr>
          <w:b w:val="0"/>
        </w:rPr>
        <w:t xml:space="preserve">Photos of </w:t>
      </w:r>
      <w:r w:rsidR="009E0E5C">
        <w:rPr>
          <w:b w:val="0"/>
        </w:rPr>
        <w:t>river sin the Edward/Kolety-Wakool system</w:t>
      </w:r>
      <w:r w:rsidR="00675A30" w:rsidRPr="00675A30">
        <w:rPr>
          <w:b w:val="0"/>
        </w:rPr>
        <w:t xml:space="preserve"> </w:t>
      </w:r>
      <w:bookmarkEnd w:id="18"/>
      <w:r w:rsidR="0075113A">
        <w:rPr>
          <w:color w:val="31849B" w:themeColor="accent5" w:themeShade="BF"/>
          <w:sz w:val="28"/>
          <w:szCs w:val="28"/>
        </w:rPr>
        <w:br w:type="page"/>
      </w:r>
    </w:p>
    <w:p w14:paraId="0162911F" w14:textId="10C892D1" w:rsidR="00C74A6C" w:rsidRPr="00650BA4" w:rsidRDefault="00C74A6C" w:rsidP="00F81562">
      <w:pPr>
        <w:pStyle w:val="FigureCaption0"/>
        <w:ind w:right="-567"/>
        <w:rPr>
          <w:b w:val="0"/>
          <w:color w:val="31849B" w:themeColor="accent5" w:themeShade="BF"/>
          <w:sz w:val="28"/>
          <w:szCs w:val="28"/>
        </w:rPr>
      </w:pPr>
      <w:r w:rsidRPr="00650BA4">
        <w:rPr>
          <w:color w:val="31849B" w:themeColor="accent5" w:themeShade="BF"/>
          <w:sz w:val="28"/>
          <w:szCs w:val="28"/>
        </w:rPr>
        <w:t xml:space="preserve">3.2 </w:t>
      </w:r>
      <w:r w:rsidR="0028536F">
        <w:rPr>
          <w:color w:val="31849B" w:themeColor="accent5" w:themeShade="BF"/>
          <w:sz w:val="28"/>
          <w:szCs w:val="28"/>
        </w:rPr>
        <w:t xml:space="preserve">  </w:t>
      </w:r>
      <w:r w:rsidRPr="00650BA4">
        <w:rPr>
          <w:color w:val="31849B" w:themeColor="accent5" w:themeShade="BF"/>
          <w:sz w:val="28"/>
          <w:szCs w:val="28"/>
        </w:rPr>
        <w:t>Indicators</w:t>
      </w:r>
      <w:r w:rsidR="00DD47EA">
        <w:rPr>
          <w:color w:val="31849B" w:themeColor="accent5" w:themeShade="BF"/>
          <w:sz w:val="28"/>
          <w:szCs w:val="28"/>
        </w:rPr>
        <w:t xml:space="preserve"> for monitoring and evaluation</w:t>
      </w:r>
    </w:p>
    <w:p w14:paraId="3D6603B7" w14:textId="11BE73AB" w:rsidR="00C74A6C" w:rsidRDefault="000D2A6F" w:rsidP="00C74A6C">
      <w:pPr>
        <w:tabs>
          <w:tab w:val="left" w:pos="9071"/>
        </w:tabs>
        <w:spacing w:after="240" w:line="320" w:lineRule="exact"/>
        <w:jc w:val="left"/>
      </w:pPr>
      <w:r>
        <w:t>Table 3.2</w:t>
      </w:r>
      <w:r w:rsidRPr="00CF08DA">
        <w:t xml:space="preserve"> provides</w:t>
      </w:r>
      <w:r>
        <w:t xml:space="preserve"> a summary of the monitoring and evaluation activities for this MER Plan and provides a summary of the changes or additions relative to the Edward</w:t>
      </w:r>
      <w:r w:rsidR="0091645A">
        <w:rPr>
          <w:rFonts w:asciiTheme="minorHAnsi" w:hAnsiTheme="minorHAnsi" w:cs="Calibri"/>
          <w:color w:val="000000"/>
          <w:sz w:val="20"/>
          <w:lang w:eastAsia="en-AU"/>
        </w:rPr>
        <w:t>/Kolety</w:t>
      </w:r>
      <w:r>
        <w:t xml:space="preserve">-Wakool LTIM project (2014-2019). One of the main changes is that carbon and water quality monitoring has been </w:t>
      </w:r>
      <w:r w:rsidRPr="00F8361A">
        <w:t xml:space="preserve">extended so that evaluation can be undertaken across the </w:t>
      </w:r>
      <w:r>
        <w:t>entire</w:t>
      </w:r>
      <w:r w:rsidRPr="00F8361A">
        <w:t xml:space="preserve"> Edward</w:t>
      </w:r>
      <w:r w:rsidR="0091645A">
        <w:rPr>
          <w:rFonts w:asciiTheme="minorHAnsi" w:hAnsiTheme="minorHAnsi" w:cs="Calibri"/>
          <w:color w:val="000000"/>
          <w:sz w:val="20"/>
          <w:lang w:eastAsia="en-AU"/>
        </w:rPr>
        <w:t>/Kolety</w:t>
      </w:r>
      <w:r w:rsidRPr="00F8361A">
        <w:t xml:space="preserve">-Wakool system (Table </w:t>
      </w:r>
      <w:r>
        <w:t>3.2).</w:t>
      </w:r>
    </w:p>
    <w:p w14:paraId="0DA958D4" w14:textId="67B2ACA8" w:rsidR="00C74A6C" w:rsidRPr="000D2A6F" w:rsidRDefault="00C74A6C" w:rsidP="00C74A6C">
      <w:pPr>
        <w:spacing w:after="0" w:line="320" w:lineRule="exact"/>
      </w:pPr>
      <w:r w:rsidRPr="000D2A6F">
        <w:t xml:space="preserve">There are three categories of indicators </w:t>
      </w:r>
      <w:r w:rsidR="000D2A6F" w:rsidRPr="000D2A6F">
        <w:t>for</w:t>
      </w:r>
      <w:r w:rsidRPr="000D2A6F">
        <w:t xml:space="preserve"> LTIM</w:t>
      </w:r>
      <w:r w:rsidR="000D2A6F" w:rsidRPr="000D2A6F">
        <w:t>/MER</w:t>
      </w:r>
      <w:r w:rsidRPr="000D2A6F">
        <w:t xml:space="preserve"> </w:t>
      </w:r>
      <w:r w:rsidR="000D2A6F" w:rsidRPr="000D2A6F">
        <w:t>monitoring</w:t>
      </w:r>
      <w:r w:rsidRPr="000D2A6F">
        <w:t>:</w:t>
      </w:r>
    </w:p>
    <w:p w14:paraId="34C177AF" w14:textId="6D0AD3DA" w:rsidR="00C74A6C" w:rsidRPr="000D2A6F" w:rsidRDefault="00C74A6C" w:rsidP="007C72FE">
      <w:pPr>
        <w:pStyle w:val="ListParagraph"/>
        <w:numPr>
          <w:ilvl w:val="0"/>
          <w:numId w:val="17"/>
        </w:numPr>
        <w:tabs>
          <w:tab w:val="left" w:pos="9071"/>
        </w:tabs>
        <w:spacing w:after="120" w:line="320" w:lineRule="exact"/>
        <w:ind w:left="714" w:hanging="357"/>
        <w:jc w:val="left"/>
      </w:pPr>
      <w:r w:rsidRPr="000D2A6F">
        <w:rPr>
          <w:b/>
        </w:rPr>
        <w:t>Category I</w:t>
      </w:r>
      <w:r w:rsidRPr="000D2A6F">
        <w:t xml:space="preserve"> –</w:t>
      </w:r>
      <w:r w:rsidRPr="000D2A6F">
        <w:rPr>
          <w:rFonts w:cs="Calibri"/>
        </w:rPr>
        <w:t xml:space="preserve">Mandatory indicators and </w:t>
      </w:r>
      <w:r w:rsidRPr="000D2A6F">
        <w:t>standard operating protocols</w:t>
      </w:r>
      <w:r w:rsidRPr="000D2A6F">
        <w:rPr>
          <w:rFonts w:cs="Calibri"/>
        </w:rPr>
        <w:t xml:space="preserve"> that are required to inform Basin-scale evaluation and may be used to answer Selected Area questions. </w:t>
      </w:r>
      <w:r w:rsidRPr="000D2A6F">
        <w:t xml:space="preserve">Category 1 indicators monitored in the </w:t>
      </w:r>
      <w:r w:rsidR="008E27F6" w:rsidRPr="000D2A6F">
        <w:t>Edward/Kolety-Wakool</w:t>
      </w:r>
      <w:r w:rsidRPr="000D2A6F">
        <w:t xml:space="preserve"> system (Table 3.</w:t>
      </w:r>
      <w:r w:rsidR="000D2A6F" w:rsidRPr="000D2A6F">
        <w:t>2</w:t>
      </w:r>
      <w:r w:rsidRPr="000D2A6F">
        <w:t xml:space="preserve">) are: river hydrology, stream </w:t>
      </w:r>
      <w:r w:rsidR="00E03EB4" w:rsidRPr="000D2A6F">
        <w:t>m</w:t>
      </w:r>
      <w:r w:rsidRPr="000D2A6F">
        <w:t>etabolism, nutrients and carbon, fish reproduc</w:t>
      </w:r>
      <w:r w:rsidR="000D2A6F" w:rsidRPr="000D2A6F">
        <w:t>tion (larvae) and fish (river).</w:t>
      </w:r>
    </w:p>
    <w:p w14:paraId="7D195707" w14:textId="4933D20C" w:rsidR="00C74A6C" w:rsidRPr="000D2A6F" w:rsidRDefault="00C74A6C" w:rsidP="007C72FE">
      <w:pPr>
        <w:pStyle w:val="ListParagraph"/>
        <w:numPr>
          <w:ilvl w:val="0"/>
          <w:numId w:val="17"/>
        </w:numPr>
        <w:spacing w:after="0" w:line="320" w:lineRule="exact"/>
        <w:ind w:left="714" w:hanging="357"/>
        <w:contextualSpacing/>
        <w:jc w:val="left"/>
      </w:pPr>
      <w:r w:rsidRPr="000D2A6F">
        <w:rPr>
          <w:b/>
        </w:rPr>
        <w:t>Category 2</w:t>
      </w:r>
      <w:r w:rsidRPr="000D2A6F">
        <w:t xml:space="preserve"> </w:t>
      </w:r>
      <w:r w:rsidRPr="000D2A6F">
        <w:rPr>
          <w:rFonts w:cs="Calibri"/>
        </w:rPr>
        <w:t xml:space="preserve">–Optional indicators with mandatory </w:t>
      </w:r>
      <w:r w:rsidRPr="000D2A6F">
        <w:t xml:space="preserve">standard protocols </w:t>
      </w:r>
      <w:r w:rsidRPr="000D2A6F">
        <w:rPr>
          <w:rFonts w:cs="Calibri"/>
        </w:rPr>
        <w:t xml:space="preserve">that may be used to inform Basin-scale evaluation and may be used to answer Selected Area questions. Fish movement is the only category 2 indicator monitored in the </w:t>
      </w:r>
      <w:r w:rsidR="008E27F6" w:rsidRPr="000D2A6F">
        <w:rPr>
          <w:rFonts w:cs="Calibri"/>
        </w:rPr>
        <w:t>Edward/Kolety-Wakool</w:t>
      </w:r>
      <w:r w:rsidRPr="000D2A6F">
        <w:rPr>
          <w:rFonts w:cs="Calibri"/>
        </w:rPr>
        <w:t xml:space="preserve"> system.</w:t>
      </w:r>
    </w:p>
    <w:p w14:paraId="502C9B4E" w14:textId="6B71D6EB" w:rsidR="00C74A6C" w:rsidRDefault="00C74A6C" w:rsidP="007C72FE">
      <w:pPr>
        <w:pStyle w:val="ListParagraph"/>
        <w:numPr>
          <w:ilvl w:val="0"/>
          <w:numId w:val="17"/>
        </w:numPr>
        <w:tabs>
          <w:tab w:val="left" w:pos="9071"/>
        </w:tabs>
        <w:spacing w:after="240" w:line="320" w:lineRule="exact"/>
        <w:ind w:left="714" w:hanging="357"/>
        <w:contextualSpacing/>
        <w:jc w:val="left"/>
      </w:pPr>
      <w:r w:rsidRPr="000D2A6F">
        <w:rPr>
          <w:b/>
        </w:rPr>
        <w:t>Category 3</w:t>
      </w:r>
      <w:r w:rsidRPr="000D2A6F">
        <w:t xml:space="preserve"> – </w:t>
      </w:r>
      <w:r w:rsidRPr="000D2A6F">
        <w:rPr>
          <w:rFonts w:cs="Calibri"/>
        </w:rPr>
        <w:t xml:space="preserve">Selected Area specific monitoring protocols to answer Selected Area questions. </w:t>
      </w:r>
      <w:r w:rsidRPr="000D2A6F">
        <w:t xml:space="preserve">Category 3 indicators monitored in the </w:t>
      </w:r>
      <w:r w:rsidR="008E27F6" w:rsidRPr="000D2A6F">
        <w:t>Edward/Kolety-Wakool</w:t>
      </w:r>
      <w:r w:rsidRPr="000D2A6F">
        <w:t xml:space="preserve"> system (Table 3.</w:t>
      </w:r>
      <w:r w:rsidR="000D2A6F" w:rsidRPr="000D2A6F">
        <w:t>2</w:t>
      </w:r>
      <w:r w:rsidR="007B62A1">
        <w:t xml:space="preserve">) are: </w:t>
      </w:r>
      <w:r w:rsidRPr="007B62A1">
        <w:t xml:space="preserve">hydraulic </w:t>
      </w:r>
      <w:r w:rsidR="000D2A6F" w:rsidRPr="007B62A1">
        <w:t>modelling</w:t>
      </w:r>
      <w:r w:rsidRPr="007B62A1">
        <w:t>,</w:t>
      </w:r>
      <w:r w:rsidRPr="000D2A6F">
        <w:t xml:space="preserve"> additional water quality and carbon characterisation, riverbank and aquatic vegetation, fish reproduction (larvae), fish recruitment, </w:t>
      </w:r>
      <w:r w:rsidR="000D2A6F" w:rsidRPr="000D2A6F">
        <w:t>and fish community survey (year 3 of MER</w:t>
      </w:r>
      <w:r w:rsidRPr="000D2A6F">
        <w:t>).</w:t>
      </w:r>
    </w:p>
    <w:p w14:paraId="745D0200" w14:textId="34D06483" w:rsidR="000D2A6F" w:rsidRDefault="007B62A1" w:rsidP="007B62A1">
      <w:pPr>
        <w:tabs>
          <w:tab w:val="left" w:pos="9071"/>
        </w:tabs>
        <w:spacing w:after="120" w:line="320" w:lineRule="exact"/>
        <w:jc w:val="left"/>
      </w:pPr>
      <w:r>
        <w:t xml:space="preserve">The </w:t>
      </w:r>
      <w:r w:rsidR="000D2A6F" w:rsidRPr="000D2A6F">
        <w:t>rationale regarding the selection of indicators is outlined in the Edward/Kolety-Wakool MER Plan (Watts et al. 2019a). Indicators are monitored to contribute to the Edward/Kolety-Wakool Selected Area Evaluation and/or the Whole of Basin-scale e</w:t>
      </w:r>
      <w:r w:rsidR="000D2A6F">
        <w:t xml:space="preserve">valuation </w:t>
      </w:r>
      <w:r>
        <w:t xml:space="preserve">MER </w:t>
      </w:r>
      <w:r w:rsidR="000D2A6F">
        <w:t>project that is led</w:t>
      </w:r>
      <w:r w:rsidR="00D04076">
        <w:t xml:space="preserve"> by CSIRO</w:t>
      </w:r>
      <w:r w:rsidR="000D2A6F" w:rsidRPr="000D2A6F">
        <w:t>. Some indicators are expected to respond to environmental watering in short time frames (&lt; 1 year), but others (e.g. fish community assemblage) are expected to respond over longer time frames (e.g. 2 to 5 years).</w:t>
      </w:r>
    </w:p>
    <w:p w14:paraId="02A380A2" w14:textId="447064CF" w:rsidR="007B62A1" w:rsidRDefault="007B62A1" w:rsidP="000D2A6F">
      <w:pPr>
        <w:tabs>
          <w:tab w:val="left" w:pos="9071"/>
        </w:tabs>
        <w:spacing w:after="240" w:line="320" w:lineRule="exact"/>
        <w:contextualSpacing/>
        <w:jc w:val="left"/>
      </w:pPr>
      <w:r>
        <w:t>A summary of the long-term and short-term evaluation questions is provided in Table 3.3. Category 1 monitoring and evaluation questions follow those outlined in the CEWO LTIM Standard methods (Hale et al. 2014).</w:t>
      </w:r>
    </w:p>
    <w:p w14:paraId="57E67E32" w14:textId="77777777" w:rsidR="000D2A6F" w:rsidRDefault="000D2A6F">
      <w:pPr>
        <w:spacing w:after="0" w:line="240" w:lineRule="auto"/>
        <w:jc w:val="left"/>
        <w:rPr>
          <w:rFonts w:asciiTheme="minorHAnsi" w:eastAsia="Times New Roman" w:hAnsiTheme="minorHAnsi" w:cstheme="minorHAnsi"/>
          <w:b/>
          <w:bCs/>
          <w:color w:val="000000"/>
          <w:sz w:val="20"/>
          <w:lang w:eastAsia="en-AU"/>
        </w:rPr>
      </w:pPr>
      <w:r>
        <w:rPr>
          <w:rFonts w:asciiTheme="minorHAnsi" w:hAnsiTheme="minorHAnsi" w:cstheme="minorHAnsi"/>
          <w:b/>
          <w:bCs/>
          <w:sz w:val="20"/>
        </w:rPr>
        <w:br w:type="page"/>
      </w:r>
    </w:p>
    <w:p w14:paraId="5032D774" w14:textId="7F38AC98" w:rsidR="000D2A6F" w:rsidRPr="00CF08DA" w:rsidRDefault="000D2A6F" w:rsidP="000D2A6F">
      <w:pPr>
        <w:pStyle w:val="Default"/>
        <w:ind w:right="4"/>
        <w:rPr>
          <w:rFonts w:asciiTheme="minorHAnsi" w:hAnsiTheme="minorHAnsi" w:cstheme="minorHAnsi"/>
          <w:b/>
          <w:bCs/>
          <w:sz w:val="20"/>
          <w:szCs w:val="20"/>
        </w:rPr>
      </w:pPr>
      <w:r w:rsidRPr="008532D1">
        <w:rPr>
          <w:rFonts w:asciiTheme="minorHAnsi" w:hAnsiTheme="minorHAnsi" w:cstheme="minorHAnsi"/>
          <w:b/>
          <w:bCs/>
          <w:sz w:val="20"/>
          <w:szCs w:val="20"/>
        </w:rPr>
        <w:t xml:space="preserve">Table </w:t>
      </w:r>
      <w:r>
        <w:rPr>
          <w:rFonts w:asciiTheme="minorHAnsi" w:hAnsiTheme="minorHAnsi" w:cstheme="minorHAnsi"/>
          <w:b/>
          <w:bCs/>
          <w:sz w:val="20"/>
          <w:szCs w:val="20"/>
        </w:rPr>
        <w:t>3.2</w:t>
      </w:r>
      <w:r w:rsidRPr="008532D1">
        <w:rPr>
          <w:rFonts w:asciiTheme="minorHAnsi" w:hAnsiTheme="minorHAnsi" w:cstheme="minorHAnsi"/>
          <w:b/>
          <w:bCs/>
          <w:sz w:val="20"/>
          <w:szCs w:val="20"/>
        </w:rPr>
        <w:t xml:space="preserve"> </w:t>
      </w:r>
      <w:r w:rsidRPr="008532D1">
        <w:rPr>
          <w:rFonts w:asciiTheme="minorHAnsi" w:hAnsiTheme="minorHAnsi" w:cstheme="minorHAnsi"/>
          <w:bCs/>
          <w:sz w:val="20"/>
          <w:szCs w:val="20"/>
        </w:rPr>
        <w:t xml:space="preserve">Summary of monitoring and </w:t>
      </w:r>
      <w:r>
        <w:rPr>
          <w:rFonts w:asciiTheme="minorHAnsi" w:hAnsiTheme="minorHAnsi" w:cstheme="minorHAnsi"/>
          <w:bCs/>
          <w:sz w:val="20"/>
          <w:szCs w:val="20"/>
        </w:rPr>
        <w:t>evaluation</w:t>
      </w:r>
      <w:r w:rsidRPr="008532D1">
        <w:rPr>
          <w:rFonts w:asciiTheme="minorHAnsi" w:hAnsiTheme="minorHAnsi" w:cstheme="minorHAnsi"/>
          <w:bCs/>
          <w:sz w:val="20"/>
          <w:szCs w:val="20"/>
        </w:rPr>
        <w:t xml:space="preserve"> to be undertaken in the Edward</w:t>
      </w:r>
      <w:r w:rsidR="0091645A">
        <w:rPr>
          <w:rFonts w:asciiTheme="minorHAnsi" w:hAnsiTheme="minorHAnsi" w:cstheme="minorHAnsi"/>
          <w:bCs/>
          <w:sz w:val="20"/>
          <w:szCs w:val="20"/>
        </w:rPr>
        <w:t>/Kolety</w:t>
      </w:r>
      <w:r w:rsidRPr="008532D1">
        <w:rPr>
          <w:rFonts w:asciiTheme="minorHAnsi" w:hAnsiTheme="minorHAnsi" w:cstheme="minorHAnsi"/>
          <w:bCs/>
          <w:sz w:val="20"/>
          <w:szCs w:val="20"/>
        </w:rPr>
        <w:t>-Wakool system for the CEWO Monitoring, Evaluation and Research (MER) Project from 2019 to 2022. Changes and additions relative to the Edward</w:t>
      </w:r>
      <w:r w:rsidR="0091645A">
        <w:rPr>
          <w:rFonts w:asciiTheme="minorHAnsi" w:hAnsiTheme="minorHAnsi" w:cstheme="minorHAnsi"/>
          <w:bCs/>
          <w:sz w:val="20"/>
          <w:szCs w:val="20"/>
        </w:rPr>
        <w:t>/Kolety</w:t>
      </w:r>
      <w:r w:rsidRPr="008532D1">
        <w:rPr>
          <w:rFonts w:asciiTheme="minorHAnsi" w:hAnsiTheme="minorHAnsi" w:cstheme="minorHAnsi"/>
          <w:bCs/>
          <w:sz w:val="20"/>
          <w:szCs w:val="20"/>
        </w:rPr>
        <w:t xml:space="preserve">-Wakool LTIM project </w:t>
      </w:r>
      <w:r>
        <w:rPr>
          <w:rFonts w:asciiTheme="minorHAnsi" w:hAnsiTheme="minorHAnsi" w:cstheme="minorHAnsi"/>
          <w:bCs/>
          <w:sz w:val="20"/>
          <w:szCs w:val="20"/>
        </w:rPr>
        <w:t xml:space="preserve">(2014-2019) </w:t>
      </w:r>
      <w:r w:rsidRPr="008532D1">
        <w:rPr>
          <w:rFonts w:asciiTheme="minorHAnsi" w:hAnsiTheme="minorHAnsi" w:cstheme="minorHAnsi"/>
          <w:bCs/>
          <w:sz w:val="20"/>
          <w:szCs w:val="20"/>
        </w:rPr>
        <w:t xml:space="preserve">are described. Zones and sites </w:t>
      </w:r>
      <w:r>
        <w:rPr>
          <w:rFonts w:asciiTheme="minorHAnsi" w:hAnsiTheme="minorHAnsi" w:cstheme="minorHAnsi"/>
          <w:bCs/>
          <w:sz w:val="20"/>
          <w:szCs w:val="20"/>
        </w:rPr>
        <w:t>are</w:t>
      </w:r>
      <w:r w:rsidRPr="008532D1">
        <w:rPr>
          <w:rFonts w:asciiTheme="minorHAnsi" w:hAnsiTheme="minorHAnsi" w:cstheme="minorHAnsi"/>
          <w:bCs/>
          <w:sz w:val="20"/>
          <w:szCs w:val="20"/>
        </w:rPr>
        <w:t xml:space="preserve"> described in </w:t>
      </w:r>
      <w:r>
        <w:rPr>
          <w:rFonts w:asciiTheme="minorHAnsi" w:hAnsiTheme="minorHAnsi" w:cstheme="minorHAnsi"/>
          <w:bCs/>
          <w:sz w:val="20"/>
          <w:szCs w:val="20"/>
        </w:rPr>
        <w:t>Figure 3.2 and Table 3.1</w:t>
      </w:r>
      <w:r w:rsidRPr="008532D1">
        <w:rPr>
          <w:rFonts w:asciiTheme="minorHAnsi" w:hAnsiTheme="minorHAnsi" w:cstheme="minorHAnsi"/>
          <w:bCs/>
          <w:sz w:val="20"/>
          <w:szCs w:val="20"/>
        </w:rPr>
        <w:t>.</w:t>
      </w:r>
      <w:r>
        <w:rPr>
          <w:rFonts w:asciiTheme="minorHAnsi" w:hAnsiTheme="minorHAnsi" w:cstheme="minorHAnsi"/>
          <w:bCs/>
          <w:sz w:val="20"/>
          <w:szCs w:val="20"/>
        </w:rPr>
        <w:t xml:space="preserve"> </w:t>
      </w:r>
      <w:r w:rsidRPr="00CF08DA">
        <w:rPr>
          <w:rFonts w:asciiTheme="minorHAnsi" w:hAnsiTheme="minorHAnsi" w:cstheme="minorHAnsi"/>
          <w:sz w:val="20"/>
          <w:szCs w:val="20"/>
        </w:rPr>
        <w:t xml:space="preserve">Category </w:t>
      </w:r>
      <w:r>
        <w:rPr>
          <w:rFonts w:asciiTheme="minorHAnsi" w:hAnsiTheme="minorHAnsi" w:cstheme="minorHAnsi"/>
          <w:sz w:val="20"/>
          <w:szCs w:val="20"/>
        </w:rPr>
        <w:t>1</w:t>
      </w:r>
      <w:r w:rsidRPr="00CF08DA">
        <w:rPr>
          <w:rFonts w:asciiTheme="minorHAnsi" w:hAnsiTheme="minorHAnsi" w:cstheme="minorHAnsi"/>
          <w:sz w:val="20"/>
          <w:szCs w:val="20"/>
        </w:rPr>
        <w:t xml:space="preserve"> and 2 indicators are monitored using standard operating protocols to inform Basin-scale evaluation and may be used to answer Selected Area questions. Category 3 indicators are those monitored to answer Selected Area questions.</w:t>
      </w:r>
    </w:p>
    <w:tbl>
      <w:tblPr>
        <w:tblStyle w:val="TableGrid"/>
        <w:tblW w:w="9500" w:type="dxa"/>
        <w:tblLayout w:type="fixed"/>
        <w:tblLook w:val="04A0" w:firstRow="1" w:lastRow="0" w:firstColumn="1" w:lastColumn="0" w:noHBand="0" w:noVBand="1"/>
      </w:tblPr>
      <w:tblGrid>
        <w:gridCol w:w="1980"/>
        <w:gridCol w:w="567"/>
        <w:gridCol w:w="992"/>
        <w:gridCol w:w="5961"/>
      </w:tblGrid>
      <w:tr w:rsidR="000D2A6F" w14:paraId="1396F91F" w14:textId="77777777" w:rsidTr="00130F10">
        <w:trPr>
          <w:trHeight w:hRule="exact" w:val="170"/>
        </w:trPr>
        <w:tc>
          <w:tcPr>
            <w:tcW w:w="1980" w:type="dxa"/>
            <w:vMerge w:val="restart"/>
            <w:shd w:val="clear" w:color="auto" w:fill="31849B"/>
          </w:tcPr>
          <w:p w14:paraId="498053D5" w14:textId="77777777" w:rsidR="000D2A6F" w:rsidRPr="00C33BF0" w:rsidRDefault="000D2A6F" w:rsidP="000D2A6F">
            <w:pPr>
              <w:spacing w:after="120"/>
              <w:ind w:right="253"/>
              <w:contextualSpacing/>
              <w:rPr>
                <w:b/>
                <w:color w:val="FFFFFF" w:themeColor="background1"/>
                <w:sz w:val="20"/>
                <w:lang w:val="en-US"/>
              </w:rPr>
            </w:pPr>
            <w:r>
              <w:rPr>
                <w:b/>
                <w:color w:val="FFFFFF" w:themeColor="background1"/>
                <w:sz w:val="20"/>
                <w:lang w:val="en-US"/>
              </w:rPr>
              <w:t>Theme</w:t>
            </w:r>
          </w:p>
        </w:tc>
        <w:tc>
          <w:tcPr>
            <w:tcW w:w="567" w:type="dxa"/>
            <w:vMerge w:val="restart"/>
            <w:shd w:val="clear" w:color="auto" w:fill="31849B"/>
            <w:tcMar>
              <w:left w:w="57" w:type="dxa"/>
              <w:right w:w="57" w:type="dxa"/>
            </w:tcMar>
          </w:tcPr>
          <w:p w14:paraId="5B1CF249" w14:textId="77777777" w:rsidR="000D2A6F" w:rsidRPr="00C33BF0" w:rsidRDefault="000D2A6F" w:rsidP="000D2A6F">
            <w:pPr>
              <w:spacing w:after="120"/>
              <w:ind w:right="84"/>
              <w:contextualSpacing/>
              <w:rPr>
                <w:b/>
                <w:color w:val="FFFFFF" w:themeColor="background1"/>
                <w:sz w:val="20"/>
                <w:lang w:val="en-US"/>
              </w:rPr>
            </w:pPr>
            <w:r w:rsidRPr="00C33BF0">
              <w:rPr>
                <w:b/>
                <w:color w:val="FFFFFF" w:themeColor="background1"/>
                <w:sz w:val="20"/>
                <w:lang w:val="en-US"/>
              </w:rPr>
              <w:t>Cat</w:t>
            </w:r>
          </w:p>
        </w:tc>
        <w:tc>
          <w:tcPr>
            <w:tcW w:w="992" w:type="dxa"/>
            <w:vMerge w:val="restart"/>
            <w:shd w:val="clear" w:color="auto" w:fill="31849B"/>
          </w:tcPr>
          <w:p w14:paraId="0087C78B" w14:textId="77777777" w:rsidR="000D2A6F" w:rsidRPr="00C33BF0" w:rsidRDefault="000D2A6F" w:rsidP="000D2A6F">
            <w:pPr>
              <w:spacing w:after="120"/>
              <w:ind w:right="-18"/>
              <w:contextualSpacing/>
              <w:rPr>
                <w:b/>
                <w:color w:val="FFFFFF" w:themeColor="background1"/>
                <w:sz w:val="20"/>
                <w:lang w:val="en-US"/>
              </w:rPr>
            </w:pPr>
            <w:r w:rsidRPr="00C33BF0">
              <w:rPr>
                <w:b/>
                <w:color w:val="FFFFFF" w:themeColor="background1"/>
                <w:sz w:val="20"/>
                <w:lang w:val="en-US"/>
              </w:rPr>
              <w:t>Zones</w:t>
            </w:r>
          </w:p>
        </w:tc>
        <w:tc>
          <w:tcPr>
            <w:tcW w:w="5961" w:type="dxa"/>
            <w:vMerge w:val="restart"/>
            <w:shd w:val="clear" w:color="auto" w:fill="31849B"/>
          </w:tcPr>
          <w:p w14:paraId="73FEDDFC" w14:textId="2BE0D3EC" w:rsidR="000D2A6F" w:rsidRPr="00C33BF0" w:rsidRDefault="000D2A6F" w:rsidP="000D2A6F">
            <w:pPr>
              <w:spacing w:after="120"/>
              <w:ind w:right="253"/>
              <w:rPr>
                <w:b/>
                <w:color w:val="FFFFFF" w:themeColor="background1"/>
                <w:sz w:val="20"/>
                <w:lang w:val="en-US"/>
              </w:rPr>
            </w:pPr>
            <w:r>
              <w:rPr>
                <w:b/>
                <w:color w:val="FFFFFF" w:themeColor="background1"/>
                <w:sz w:val="20"/>
                <w:lang w:val="en-US"/>
              </w:rPr>
              <w:t>Changes or additions to the MER program compared to the LTIM project (2014-19)</w:t>
            </w:r>
          </w:p>
        </w:tc>
      </w:tr>
      <w:tr w:rsidR="000D2A6F" w14:paraId="42C9AF76" w14:textId="77777777" w:rsidTr="000D2A6F">
        <w:trPr>
          <w:trHeight w:val="453"/>
        </w:trPr>
        <w:tc>
          <w:tcPr>
            <w:tcW w:w="1980" w:type="dxa"/>
            <w:vMerge/>
            <w:shd w:val="clear" w:color="auto" w:fill="31849B"/>
          </w:tcPr>
          <w:p w14:paraId="21DFE0EC" w14:textId="77777777" w:rsidR="000D2A6F" w:rsidRPr="00C33BF0" w:rsidRDefault="000D2A6F" w:rsidP="00130F10">
            <w:pPr>
              <w:ind w:right="253"/>
              <w:contextualSpacing/>
              <w:rPr>
                <w:b/>
                <w:color w:val="FFFFFF" w:themeColor="background1"/>
                <w:sz w:val="20"/>
                <w:lang w:val="en-US"/>
              </w:rPr>
            </w:pPr>
          </w:p>
        </w:tc>
        <w:tc>
          <w:tcPr>
            <w:tcW w:w="567" w:type="dxa"/>
            <w:vMerge/>
            <w:shd w:val="clear" w:color="auto" w:fill="31849B"/>
          </w:tcPr>
          <w:p w14:paraId="24C47C3A" w14:textId="77777777" w:rsidR="000D2A6F" w:rsidRPr="00C33BF0" w:rsidRDefault="000D2A6F" w:rsidP="00130F10">
            <w:pPr>
              <w:ind w:right="253"/>
              <w:contextualSpacing/>
              <w:rPr>
                <w:b/>
                <w:color w:val="FFFFFF" w:themeColor="background1"/>
                <w:sz w:val="20"/>
                <w:lang w:val="en-US"/>
              </w:rPr>
            </w:pPr>
          </w:p>
        </w:tc>
        <w:tc>
          <w:tcPr>
            <w:tcW w:w="992" w:type="dxa"/>
            <w:vMerge/>
            <w:shd w:val="clear" w:color="auto" w:fill="31849B"/>
          </w:tcPr>
          <w:p w14:paraId="20DE8348" w14:textId="77777777" w:rsidR="000D2A6F" w:rsidRPr="00C33BF0" w:rsidRDefault="000D2A6F" w:rsidP="00130F10">
            <w:pPr>
              <w:ind w:right="253"/>
              <w:contextualSpacing/>
              <w:rPr>
                <w:b/>
                <w:color w:val="FFFFFF" w:themeColor="background1"/>
                <w:sz w:val="20"/>
                <w:lang w:val="en-US"/>
              </w:rPr>
            </w:pPr>
          </w:p>
        </w:tc>
        <w:tc>
          <w:tcPr>
            <w:tcW w:w="5961" w:type="dxa"/>
            <w:vMerge/>
            <w:shd w:val="clear" w:color="auto" w:fill="31849B"/>
          </w:tcPr>
          <w:p w14:paraId="135F1C34" w14:textId="77777777" w:rsidR="000D2A6F" w:rsidRPr="00C33BF0" w:rsidRDefault="000D2A6F" w:rsidP="00130F10">
            <w:pPr>
              <w:ind w:right="253"/>
              <w:contextualSpacing/>
              <w:rPr>
                <w:b/>
                <w:color w:val="FFFFFF" w:themeColor="background1"/>
                <w:sz w:val="20"/>
                <w:lang w:val="en-US"/>
              </w:rPr>
            </w:pPr>
          </w:p>
        </w:tc>
      </w:tr>
      <w:tr w:rsidR="000D2A6F" w14:paraId="65C8D73E" w14:textId="77777777" w:rsidTr="00130F10">
        <w:tc>
          <w:tcPr>
            <w:tcW w:w="9500" w:type="dxa"/>
            <w:gridSpan w:val="4"/>
            <w:shd w:val="clear" w:color="auto" w:fill="B6DDE8"/>
            <w:tcMar>
              <w:left w:w="57" w:type="dxa"/>
              <w:right w:w="57" w:type="dxa"/>
            </w:tcMar>
          </w:tcPr>
          <w:p w14:paraId="4E5D2107" w14:textId="77777777" w:rsidR="000D2A6F" w:rsidRPr="00547375" w:rsidRDefault="000D2A6F" w:rsidP="00130F10">
            <w:pPr>
              <w:ind w:right="253"/>
              <w:contextualSpacing/>
              <w:rPr>
                <w:sz w:val="20"/>
                <w:lang w:val="en-US"/>
              </w:rPr>
            </w:pPr>
            <w:r>
              <w:rPr>
                <w:sz w:val="20"/>
                <w:lang w:val="en-US"/>
              </w:rPr>
              <w:t>Monitoring and Evaluation</w:t>
            </w:r>
          </w:p>
        </w:tc>
      </w:tr>
      <w:tr w:rsidR="000D2A6F" w14:paraId="3D3817E3" w14:textId="77777777" w:rsidTr="00130F10">
        <w:tc>
          <w:tcPr>
            <w:tcW w:w="1980" w:type="dxa"/>
            <w:tcMar>
              <w:left w:w="57" w:type="dxa"/>
              <w:right w:w="57" w:type="dxa"/>
            </w:tcMar>
          </w:tcPr>
          <w:p w14:paraId="64F64D39" w14:textId="77777777" w:rsidR="000D2A6F" w:rsidRPr="00547375" w:rsidRDefault="000D2A6F" w:rsidP="000D2A6F">
            <w:pPr>
              <w:spacing w:after="0" w:line="240" w:lineRule="auto"/>
              <w:ind w:right="142"/>
              <w:contextualSpacing/>
              <w:jc w:val="left"/>
              <w:rPr>
                <w:sz w:val="20"/>
              </w:rPr>
            </w:pPr>
            <w:r w:rsidRPr="00547375">
              <w:rPr>
                <w:sz w:val="20"/>
              </w:rPr>
              <w:t xml:space="preserve">River hydrology </w:t>
            </w:r>
          </w:p>
        </w:tc>
        <w:tc>
          <w:tcPr>
            <w:tcW w:w="567" w:type="dxa"/>
          </w:tcPr>
          <w:p w14:paraId="57FD6C88" w14:textId="77777777" w:rsidR="000D2A6F" w:rsidRPr="00547375" w:rsidRDefault="000D2A6F" w:rsidP="000D2A6F">
            <w:pPr>
              <w:spacing w:after="0" w:line="240" w:lineRule="auto"/>
              <w:ind w:right="253"/>
              <w:contextualSpacing/>
              <w:jc w:val="left"/>
              <w:rPr>
                <w:sz w:val="20"/>
                <w:lang w:val="en-US"/>
              </w:rPr>
            </w:pPr>
            <w:r w:rsidRPr="00547375">
              <w:rPr>
                <w:sz w:val="20"/>
                <w:lang w:val="en-US"/>
              </w:rPr>
              <w:t>1</w:t>
            </w:r>
          </w:p>
        </w:tc>
        <w:tc>
          <w:tcPr>
            <w:tcW w:w="992" w:type="dxa"/>
            <w:tcMar>
              <w:left w:w="57" w:type="dxa"/>
              <w:right w:w="57" w:type="dxa"/>
            </w:tcMar>
          </w:tcPr>
          <w:p w14:paraId="30397BAB" w14:textId="77777777" w:rsidR="000D2A6F" w:rsidRPr="009816A5" w:rsidRDefault="000D2A6F" w:rsidP="000D2A6F">
            <w:pPr>
              <w:spacing w:after="0" w:line="240" w:lineRule="auto"/>
              <w:ind w:right="33"/>
              <w:contextualSpacing/>
              <w:jc w:val="left"/>
              <w:rPr>
                <w:sz w:val="20"/>
                <w:lang w:val="en-US"/>
              </w:rPr>
            </w:pPr>
            <w:r w:rsidRPr="009816A5">
              <w:rPr>
                <w:sz w:val="20"/>
                <w:lang w:val="en-US"/>
              </w:rPr>
              <w:t>system</w:t>
            </w:r>
          </w:p>
        </w:tc>
        <w:tc>
          <w:tcPr>
            <w:tcW w:w="5961" w:type="dxa"/>
            <w:tcMar>
              <w:left w:w="57" w:type="dxa"/>
              <w:right w:w="57" w:type="dxa"/>
            </w:tcMar>
          </w:tcPr>
          <w:p w14:paraId="284A15EE" w14:textId="1008E031" w:rsidR="000D2A6F" w:rsidRPr="00547375" w:rsidRDefault="000D2A6F" w:rsidP="007B62A1">
            <w:pPr>
              <w:spacing w:after="0" w:line="240" w:lineRule="auto"/>
              <w:ind w:right="253"/>
              <w:contextualSpacing/>
              <w:jc w:val="left"/>
              <w:rPr>
                <w:sz w:val="20"/>
                <w:lang w:val="en-US"/>
              </w:rPr>
            </w:pPr>
            <w:r>
              <w:rPr>
                <w:sz w:val="20"/>
                <w:lang w:val="en-US"/>
              </w:rPr>
              <w:t>No changes to monitoring or evaluation from LTIM project</w:t>
            </w:r>
            <w:r w:rsidR="007B62A1">
              <w:rPr>
                <w:sz w:val="20"/>
                <w:lang w:val="en-US"/>
              </w:rPr>
              <w:t xml:space="preserve">. </w:t>
            </w:r>
            <w:r w:rsidR="007B62A1" w:rsidRPr="00DD315B">
              <w:rPr>
                <w:rFonts w:asciiTheme="minorHAnsi" w:hAnsiTheme="minorHAnsi"/>
                <w:sz w:val="20"/>
              </w:rPr>
              <w:t xml:space="preserve">Discharge data will be obtained from </w:t>
            </w:r>
            <w:r w:rsidR="007B62A1">
              <w:rPr>
                <w:rFonts w:asciiTheme="minorHAnsi" w:hAnsiTheme="minorHAnsi"/>
                <w:sz w:val="20"/>
              </w:rPr>
              <w:t>WaterNSW</w:t>
            </w:r>
            <w:r w:rsidR="007B62A1" w:rsidRPr="00DD315B">
              <w:rPr>
                <w:rFonts w:asciiTheme="minorHAnsi" w:hAnsiTheme="minorHAnsi"/>
                <w:sz w:val="20"/>
              </w:rPr>
              <w:t xml:space="preserve"> website.</w:t>
            </w:r>
          </w:p>
        </w:tc>
      </w:tr>
      <w:tr w:rsidR="000D2A6F" w14:paraId="0D90410A" w14:textId="77777777" w:rsidTr="00130F10">
        <w:tc>
          <w:tcPr>
            <w:tcW w:w="1980" w:type="dxa"/>
            <w:tcMar>
              <w:left w:w="57" w:type="dxa"/>
              <w:right w:w="57" w:type="dxa"/>
            </w:tcMar>
          </w:tcPr>
          <w:p w14:paraId="2BF943CC" w14:textId="77777777" w:rsidR="000D2A6F" w:rsidRPr="00547375" w:rsidRDefault="000D2A6F" w:rsidP="000D2A6F">
            <w:pPr>
              <w:spacing w:after="0" w:line="240" w:lineRule="auto"/>
              <w:ind w:right="142"/>
              <w:contextualSpacing/>
              <w:jc w:val="left"/>
              <w:rPr>
                <w:sz w:val="20"/>
              </w:rPr>
            </w:pPr>
            <w:r>
              <w:rPr>
                <w:sz w:val="20"/>
              </w:rPr>
              <w:t>Hydraulic modelling</w:t>
            </w:r>
          </w:p>
        </w:tc>
        <w:tc>
          <w:tcPr>
            <w:tcW w:w="567" w:type="dxa"/>
          </w:tcPr>
          <w:p w14:paraId="14AAA4E8" w14:textId="77777777" w:rsidR="000D2A6F" w:rsidRPr="00547375" w:rsidRDefault="000D2A6F" w:rsidP="000D2A6F">
            <w:pPr>
              <w:spacing w:after="0" w:line="240" w:lineRule="auto"/>
              <w:ind w:right="253"/>
              <w:contextualSpacing/>
              <w:jc w:val="left"/>
              <w:rPr>
                <w:sz w:val="20"/>
                <w:lang w:val="en-US"/>
              </w:rPr>
            </w:pPr>
          </w:p>
        </w:tc>
        <w:tc>
          <w:tcPr>
            <w:tcW w:w="992" w:type="dxa"/>
            <w:tcMar>
              <w:left w:w="57" w:type="dxa"/>
              <w:right w:w="57" w:type="dxa"/>
            </w:tcMar>
          </w:tcPr>
          <w:p w14:paraId="718509CE" w14:textId="77777777" w:rsidR="000D2A6F" w:rsidRPr="00AC11FC" w:rsidRDefault="000D2A6F" w:rsidP="000D2A6F">
            <w:pPr>
              <w:spacing w:after="0" w:line="240" w:lineRule="auto"/>
              <w:ind w:right="33"/>
              <w:contextualSpacing/>
              <w:jc w:val="left"/>
              <w:rPr>
                <w:sz w:val="20"/>
                <w:lang w:val="en-US"/>
              </w:rPr>
            </w:pPr>
          </w:p>
        </w:tc>
        <w:tc>
          <w:tcPr>
            <w:tcW w:w="5961" w:type="dxa"/>
            <w:tcMar>
              <w:left w:w="57" w:type="dxa"/>
              <w:right w:w="57" w:type="dxa"/>
            </w:tcMar>
          </w:tcPr>
          <w:p w14:paraId="17D62683" w14:textId="3912812B" w:rsidR="000D2A6F" w:rsidRDefault="000D2A6F" w:rsidP="007B62A1">
            <w:pPr>
              <w:spacing w:after="0" w:line="240" w:lineRule="auto"/>
              <w:ind w:right="226"/>
              <w:contextualSpacing/>
              <w:jc w:val="left"/>
              <w:rPr>
                <w:sz w:val="20"/>
                <w:lang w:val="en-US"/>
              </w:rPr>
            </w:pPr>
            <w:r>
              <w:rPr>
                <w:sz w:val="20"/>
                <w:lang w:val="en-US"/>
              </w:rPr>
              <w:t>Hydraulic modelling was undertaken in zones 1,2,3,4 and 8 as part of the LTIM project. These models will continue to be used as part of MER evaluations but no new hydraulic modelling will</w:t>
            </w:r>
            <w:r w:rsidR="007B62A1">
              <w:rPr>
                <w:sz w:val="20"/>
                <w:lang w:val="en-US"/>
              </w:rPr>
              <w:t xml:space="preserve"> be undertaken in these zones. Modelling of r</w:t>
            </w:r>
            <w:r>
              <w:rPr>
                <w:sz w:val="20"/>
                <w:lang w:val="en-US"/>
              </w:rPr>
              <w:t>eaches in zones 11 and 12 will modelled as part of the integrated Edward/Kolety River research project</w:t>
            </w:r>
            <w:r w:rsidR="007B62A1">
              <w:rPr>
                <w:sz w:val="20"/>
                <w:lang w:val="en-US"/>
              </w:rPr>
              <w:t xml:space="preserve">. </w:t>
            </w:r>
          </w:p>
        </w:tc>
      </w:tr>
      <w:tr w:rsidR="000D2A6F" w14:paraId="7A29DC35" w14:textId="77777777" w:rsidTr="00130F10">
        <w:tc>
          <w:tcPr>
            <w:tcW w:w="1980" w:type="dxa"/>
            <w:tcMar>
              <w:left w:w="57" w:type="dxa"/>
              <w:right w:w="57" w:type="dxa"/>
            </w:tcMar>
          </w:tcPr>
          <w:p w14:paraId="721BE11D" w14:textId="77777777" w:rsidR="000D2A6F" w:rsidRPr="00547375" w:rsidRDefault="000D2A6F" w:rsidP="000D2A6F">
            <w:pPr>
              <w:spacing w:after="0" w:line="240" w:lineRule="auto"/>
              <w:ind w:right="142"/>
              <w:contextualSpacing/>
              <w:jc w:val="left"/>
              <w:rPr>
                <w:sz w:val="20"/>
              </w:rPr>
            </w:pPr>
            <w:r w:rsidRPr="00547375">
              <w:rPr>
                <w:sz w:val="20"/>
              </w:rPr>
              <w:t xml:space="preserve">Carbon </w:t>
            </w:r>
            <w:r>
              <w:rPr>
                <w:sz w:val="20"/>
              </w:rPr>
              <w:t>and water quality</w:t>
            </w:r>
          </w:p>
        </w:tc>
        <w:tc>
          <w:tcPr>
            <w:tcW w:w="567" w:type="dxa"/>
          </w:tcPr>
          <w:p w14:paraId="3298167D" w14:textId="77777777" w:rsidR="000D2A6F" w:rsidRPr="00547375" w:rsidRDefault="000D2A6F" w:rsidP="000D2A6F">
            <w:pPr>
              <w:spacing w:after="0" w:line="240" w:lineRule="auto"/>
              <w:ind w:right="253"/>
              <w:contextualSpacing/>
              <w:jc w:val="left"/>
              <w:rPr>
                <w:sz w:val="20"/>
                <w:lang w:val="en-US"/>
              </w:rPr>
            </w:pPr>
            <w:r w:rsidRPr="00547375">
              <w:rPr>
                <w:sz w:val="20"/>
                <w:lang w:val="en-US"/>
              </w:rPr>
              <w:t>3</w:t>
            </w:r>
          </w:p>
        </w:tc>
        <w:tc>
          <w:tcPr>
            <w:tcW w:w="992" w:type="dxa"/>
            <w:tcMar>
              <w:left w:w="57" w:type="dxa"/>
              <w:right w:w="57" w:type="dxa"/>
            </w:tcMar>
          </w:tcPr>
          <w:p w14:paraId="0FA3841E" w14:textId="77777777" w:rsidR="000D2A6F" w:rsidRPr="00AC11FC" w:rsidRDefault="000D2A6F" w:rsidP="000D2A6F">
            <w:pPr>
              <w:spacing w:after="0" w:line="240" w:lineRule="auto"/>
              <w:ind w:right="33"/>
              <w:contextualSpacing/>
              <w:jc w:val="left"/>
              <w:rPr>
                <w:sz w:val="18"/>
                <w:szCs w:val="18"/>
                <w:lang w:val="en-US"/>
              </w:rPr>
            </w:pPr>
            <w:r w:rsidRPr="00AC11FC">
              <w:rPr>
                <w:sz w:val="20"/>
                <w:lang w:val="en-US"/>
              </w:rPr>
              <w:t>system</w:t>
            </w:r>
          </w:p>
        </w:tc>
        <w:tc>
          <w:tcPr>
            <w:tcW w:w="5961" w:type="dxa"/>
            <w:tcMar>
              <w:left w:w="57" w:type="dxa"/>
              <w:right w:w="57" w:type="dxa"/>
            </w:tcMar>
          </w:tcPr>
          <w:p w14:paraId="0F102A0D" w14:textId="5C634615" w:rsidR="000D2A6F" w:rsidRPr="00547375" w:rsidRDefault="000D2A6F" w:rsidP="000D2A6F">
            <w:pPr>
              <w:spacing w:after="0" w:line="240" w:lineRule="auto"/>
              <w:ind w:right="226"/>
              <w:contextualSpacing/>
              <w:jc w:val="left"/>
              <w:rPr>
                <w:sz w:val="20"/>
                <w:lang w:val="en-US"/>
              </w:rPr>
            </w:pPr>
            <w:r>
              <w:rPr>
                <w:sz w:val="20"/>
                <w:lang w:val="en-US"/>
              </w:rPr>
              <w:t>No changes in methods from LTIM. New sites have been added for the MER project so that the evaluation of this indicator will be undertaken across the whole Edward/Kolety-Wakool system.</w:t>
            </w:r>
          </w:p>
        </w:tc>
      </w:tr>
      <w:tr w:rsidR="000D2A6F" w14:paraId="49064699" w14:textId="77777777" w:rsidTr="00130F10">
        <w:tc>
          <w:tcPr>
            <w:tcW w:w="1980" w:type="dxa"/>
            <w:tcMar>
              <w:left w:w="57" w:type="dxa"/>
              <w:right w:w="57" w:type="dxa"/>
            </w:tcMar>
          </w:tcPr>
          <w:p w14:paraId="32F1D2E4" w14:textId="77777777" w:rsidR="000D2A6F" w:rsidRPr="00547375" w:rsidRDefault="000D2A6F" w:rsidP="000D2A6F">
            <w:pPr>
              <w:spacing w:after="0" w:line="240" w:lineRule="auto"/>
              <w:ind w:right="142"/>
              <w:contextualSpacing/>
              <w:jc w:val="left"/>
              <w:rPr>
                <w:sz w:val="20"/>
                <w:lang w:val="en-US"/>
              </w:rPr>
            </w:pPr>
            <w:r w:rsidRPr="00547375">
              <w:rPr>
                <w:sz w:val="20"/>
              </w:rPr>
              <w:t xml:space="preserve">Stream metabolism </w:t>
            </w:r>
          </w:p>
        </w:tc>
        <w:tc>
          <w:tcPr>
            <w:tcW w:w="567" w:type="dxa"/>
          </w:tcPr>
          <w:p w14:paraId="02345591" w14:textId="77777777" w:rsidR="000D2A6F" w:rsidRPr="00547375" w:rsidRDefault="000D2A6F" w:rsidP="000D2A6F">
            <w:pPr>
              <w:spacing w:after="0" w:line="240" w:lineRule="auto"/>
              <w:ind w:right="253"/>
              <w:contextualSpacing/>
              <w:jc w:val="left"/>
              <w:rPr>
                <w:sz w:val="20"/>
                <w:lang w:val="en-US"/>
              </w:rPr>
            </w:pPr>
            <w:r w:rsidRPr="00547375">
              <w:rPr>
                <w:sz w:val="20"/>
                <w:lang w:val="en-US"/>
              </w:rPr>
              <w:t>1</w:t>
            </w:r>
          </w:p>
        </w:tc>
        <w:tc>
          <w:tcPr>
            <w:tcW w:w="992" w:type="dxa"/>
            <w:tcMar>
              <w:left w:w="57" w:type="dxa"/>
              <w:right w:w="57" w:type="dxa"/>
            </w:tcMar>
          </w:tcPr>
          <w:p w14:paraId="2CC33BE5" w14:textId="77777777" w:rsidR="000D2A6F" w:rsidRPr="00AC11FC" w:rsidRDefault="000D2A6F" w:rsidP="000D2A6F">
            <w:pPr>
              <w:spacing w:after="0" w:line="240" w:lineRule="auto"/>
              <w:ind w:right="33"/>
              <w:contextualSpacing/>
              <w:jc w:val="left"/>
              <w:rPr>
                <w:sz w:val="18"/>
                <w:szCs w:val="18"/>
                <w:lang w:val="en-US"/>
              </w:rPr>
            </w:pPr>
            <w:r>
              <w:rPr>
                <w:sz w:val="18"/>
                <w:szCs w:val="18"/>
                <w:lang w:val="en-US"/>
              </w:rPr>
              <w:t>1,2,</w:t>
            </w:r>
            <w:r w:rsidRPr="00AC11FC">
              <w:rPr>
                <w:sz w:val="18"/>
                <w:szCs w:val="18"/>
                <w:lang w:val="en-US"/>
              </w:rPr>
              <w:t>3</w:t>
            </w:r>
            <w:r>
              <w:rPr>
                <w:sz w:val="18"/>
                <w:szCs w:val="18"/>
                <w:lang w:val="en-US"/>
              </w:rPr>
              <w:t>,4,8</w:t>
            </w:r>
          </w:p>
        </w:tc>
        <w:tc>
          <w:tcPr>
            <w:tcW w:w="5961" w:type="dxa"/>
            <w:tcMar>
              <w:left w:w="57" w:type="dxa"/>
              <w:right w:w="57" w:type="dxa"/>
            </w:tcMar>
          </w:tcPr>
          <w:p w14:paraId="58DD9E14" w14:textId="5C96685F" w:rsidR="000D2A6F" w:rsidRPr="00547375" w:rsidRDefault="007B62A1" w:rsidP="007B62A1">
            <w:pPr>
              <w:spacing w:after="0" w:line="240" w:lineRule="auto"/>
              <w:ind w:right="253"/>
              <w:contextualSpacing/>
              <w:jc w:val="left"/>
              <w:rPr>
                <w:sz w:val="20"/>
                <w:lang w:val="en-US"/>
              </w:rPr>
            </w:pPr>
            <w:r>
              <w:rPr>
                <w:sz w:val="20"/>
                <w:lang w:val="en-US"/>
              </w:rPr>
              <w:t xml:space="preserve">For </w:t>
            </w:r>
            <w:r w:rsidR="000D2A6F">
              <w:rPr>
                <w:sz w:val="20"/>
                <w:lang w:val="en-US"/>
              </w:rPr>
              <w:t>LTIM</w:t>
            </w:r>
            <w:r>
              <w:rPr>
                <w:sz w:val="20"/>
                <w:lang w:val="en-US"/>
              </w:rPr>
              <w:t xml:space="preserve"> </w:t>
            </w:r>
            <w:r>
              <w:rPr>
                <w:rFonts w:asciiTheme="minorHAnsi" w:hAnsiTheme="minorHAnsi"/>
                <w:sz w:val="20"/>
              </w:rPr>
              <w:t>DO</w:t>
            </w:r>
            <w:r w:rsidRPr="00DD315B">
              <w:rPr>
                <w:rFonts w:asciiTheme="minorHAnsi" w:hAnsiTheme="minorHAnsi"/>
                <w:sz w:val="20"/>
              </w:rPr>
              <w:t xml:space="preserve"> and light </w:t>
            </w:r>
            <w:r>
              <w:rPr>
                <w:rFonts w:asciiTheme="minorHAnsi" w:hAnsiTheme="minorHAnsi"/>
                <w:sz w:val="20"/>
              </w:rPr>
              <w:t>were</w:t>
            </w:r>
            <w:r w:rsidRPr="00DD315B">
              <w:rPr>
                <w:rFonts w:asciiTheme="minorHAnsi" w:hAnsiTheme="minorHAnsi"/>
                <w:sz w:val="20"/>
              </w:rPr>
              <w:t xml:space="preserve"> logged continuously in </w:t>
            </w:r>
            <w:r>
              <w:rPr>
                <w:rFonts w:asciiTheme="minorHAnsi" w:hAnsiTheme="minorHAnsi"/>
                <w:sz w:val="20"/>
              </w:rPr>
              <w:t>4</w:t>
            </w:r>
            <w:r w:rsidRPr="00DD315B">
              <w:rPr>
                <w:rFonts w:asciiTheme="minorHAnsi" w:hAnsiTheme="minorHAnsi"/>
                <w:sz w:val="20"/>
              </w:rPr>
              <w:t xml:space="preserve"> zone</w:t>
            </w:r>
            <w:r>
              <w:rPr>
                <w:rFonts w:asciiTheme="minorHAnsi" w:hAnsiTheme="minorHAnsi"/>
                <w:sz w:val="20"/>
              </w:rPr>
              <w:t>s</w:t>
            </w:r>
            <w:r w:rsidRPr="00DD315B">
              <w:rPr>
                <w:rFonts w:asciiTheme="minorHAnsi" w:hAnsiTheme="minorHAnsi"/>
                <w:sz w:val="20"/>
              </w:rPr>
              <w:t xml:space="preserve"> between August and </w:t>
            </w:r>
            <w:r>
              <w:rPr>
                <w:rFonts w:asciiTheme="minorHAnsi" w:hAnsiTheme="minorHAnsi"/>
                <w:sz w:val="20"/>
              </w:rPr>
              <w:t>April</w:t>
            </w:r>
            <w:r w:rsidRPr="00DD315B">
              <w:rPr>
                <w:rFonts w:asciiTheme="minorHAnsi" w:hAnsiTheme="minorHAnsi"/>
                <w:sz w:val="20"/>
              </w:rPr>
              <w:t xml:space="preserve"> each year.</w:t>
            </w:r>
            <w:r>
              <w:rPr>
                <w:rFonts w:asciiTheme="minorHAnsi" w:hAnsiTheme="minorHAnsi"/>
                <w:sz w:val="20"/>
              </w:rPr>
              <w:t xml:space="preserve"> MER logging will be continuous across the whole year and a</w:t>
            </w:r>
            <w:r w:rsidR="000D2A6F">
              <w:rPr>
                <w:sz w:val="20"/>
                <w:lang w:val="en-US"/>
              </w:rPr>
              <w:t xml:space="preserve">dditional dissolved oxygen logger site </w:t>
            </w:r>
            <w:r>
              <w:rPr>
                <w:sz w:val="20"/>
                <w:lang w:val="en-US"/>
              </w:rPr>
              <w:t xml:space="preserve">was </w:t>
            </w:r>
            <w:r w:rsidR="000D2A6F">
              <w:rPr>
                <w:sz w:val="20"/>
                <w:lang w:val="en-US"/>
              </w:rPr>
              <w:t>established in Colligen Creek</w:t>
            </w:r>
            <w:r>
              <w:rPr>
                <w:sz w:val="20"/>
                <w:lang w:val="en-US"/>
              </w:rPr>
              <w:t xml:space="preserve">. </w:t>
            </w:r>
          </w:p>
        </w:tc>
      </w:tr>
      <w:tr w:rsidR="000D2A6F" w14:paraId="15C857A6" w14:textId="77777777" w:rsidTr="00130F10">
        <w:tc>
          <w:tcPr>
            <w:tcW w:w="1980" w:type="dxa"/>
            <w:tcMar>
              <w:left w:w="57" w:type="dxa"/>
              <w:right w:w="57" w:type="dxa"/>
            </w:tcMar>
          </w:tcPr>
          <w:p w14:paraId="10CF338D" w14:textId="77777777" w:rsidR="000D2A6F" w:rsidRPr="00547375" w:rsidRDefault="000D2A6F" w:rsidP="000D2A6F">
            <w:pPr>
              <w:spacing w:after="0" w:line="240" w:lineRule="auto"/>
              <w:ind w:right="142"/>
              <w:contextualSpacing/>
              <w:jc w:val="left"/>
              <w:rPr>
                <w:sz w:val="20"/>
                <w:lang w:val="en-US"/>
              </w:rPr>
            </w:pPr>
            <w:r>
              <w:rPr>
                <w:sz w:val="20"/>
              </w:rPr>
              <w:t>Riverbank and aquatic vegetation</w:t>
            </w:r>
          </w:p>
        </w:tc>
        <w:tc>
          <w:tcPr>
            <w:tcW w:w="567" w:type="dxa"/>
          </w:tcPr>
          <w:p w14:paraId="77F96523" w14:textId="77777777" w:rsidR="000D2A6F" w:rsidRPr="00547375" w:rsidRDefault="000D2A6F" w:rsidP="000D2A6F">
            <w:pPr>
              <w:spacing w:after="0" w:line="240" w:lineRule="auto"/>
              <w:ind w:right="253"/>
              <w:contextualSpacing/>
              <w:jc w:val="left"/>
              <w:rPr>
                <w:sz w:val="20"/>
                <w:lang w:val="en-US"/>
              </w:rPr>
            </w:pPr>
            <w:r w:rsidRPr="00547375">
              <w:rPr>
                <w:sz w:val="20"/>
                <w:lang w:val="en-US"/>
              </w:rPr>
              <w:t>3</w:t>
            </w:r>
          </w:p>
        </w:tc>
        <w:tc>
          <w:tcPr>
            <w:tcW w:w="992" w:type="dxa"/>
            <w:tcMar>
              <w:left w:w="57" w:type="dxa"/>
              <w:right w:w="57" w:type="dxa"/>
            </w:tcMar>
          </w:tcPr>
          <w:p w14:paraId="35A9E368" w14:textId="77777777" w:rsidR="000D2A6F" w:rsidRPr="00AC11FC" w:rsidRDefault="000D2A6F" w:rsidP="000D2A6F">
            <w:pPr>
              <w:spacing w:after="0" w:line="240" w:lineRule="auto"/>
              <w:ind w:right="33"/>
              <w:contextualSpacing/>
              <w:jc w:val="left"/>
              <w:rPr>
                <w:sz w:val="18"/>
                <w:szCs w:val="18"/>
                <w:lang w:val="en-US"/>
              </w:rPr>
            </w:pPr>
            <w:r>
              <w:rPr>
                <w:sz w:val="18"/>
                <w:szCs w:val="18"/>
                <w:lang w:val="en-US"/>
              </w:rPr>
              <w:t>1,2,3,4,8</w:t>
            </w:r>
          </w:p>
        </w:tc>
        <w:tc>
          <w:tcPr>
            <w:tcW w:w="5961" w:type="dxa"/>
            <w:tcMar>
              <w:left w:w="57" w:type="dxa"/>
              <w:right w:w="57" w:type="dxa"/>
            </w:tcMar>
          </w:tcPr>
          <w:p w14:paraId="5185D1A4" w14:textId="6C8B1E86" w:rsidR="000D2A6F" w:rsidRPr="004C064F" w:rsidRDefault="000D2A6F" w:rsidP="000D2A6F">
            <w:pPr>
              <w:spacing w:after="0" w:line="240" w:lineRule="auto"/>
              <w:ind w:right="253"/>
              <w:contextualSpacing/>
              <w:jc w:val="left"/>
              <w:rPr>
                <w:sz w:val="18"/>
                <w:szCs w:val="18"/>
                <w:lang w:val="en-US"/>
              </w:rPr>
            </w:pPr>
            <w:r>
              <w:rPr>
                <w:sz w:val="20"/>
                <w:lang w:val="en-US"/>
              </w:rPr>
              <w:t xml:space="preserve">No changes in methods from LTIM. </w:t>
            </w:r>
            <w:r w:rsidR="007B62A1" w:rsidRPr="00DD315B">
              <w:rPr>
                <w:rFonts w:asciiTheme="minorHAnsi" w:hAnsiTheme="minorHAnsi"/>
                <w:sz w:val="20"/>
              </w:rPr>
              <w:t xml:space="preserve">The composition and percent cover of riverbank and aquatic vegetation will be monitored monthly. </w:t>
            </w:r>
            <w:r>
              <w:rPr>
                <w:sz w:val="20"/>
                <w:lang w:val="en-US"/>
              </w:rPr>
              <w:t>Four reaches in Colligen Creek will be added to the MER project. These sites in Colligen Creek were previously monitored 2015-2019 through a project funded by Murray Local Land Services</w:t>
            </w:r>
          </w:p>
        </w:tc>
      </w:tr>
      <w:tr w:rsidR="000D2A6F" w14:paraId="53337265" w14:textId="77777777" w:rsidTr="00130F10">
        <w:tc>
          <w:tcPr>
            <w:tcW w:w="1980" w:type="dxa"/>
            <w:tcMar>
              <w:left w:w="57" w:type="dxa"/>
              <w:right w:w="57" w:type="dxa"/>
            </w:tcMar>
          </w:tcPr>
          <w:p w14:paraId="41D73154" w14:textId="77777777" w:rsidR="000D2A6F" w:rsidRPr="00547375" w:rsidRDefault="000D2A6F" w:rsidP="000D2A6F">
            <w:pPr>
              <w:pStyle w:val="Default"/>
              <w:ind w:right="142"/>
              <w:contextualSpacing/>
              <w:rPr>
                <w:rFonts w:asciiTheme="minorHAnsi" w:hAnsiTheme="minorHAnsi"/>
                <w:sz w:val="20"/>
                <w:szCs w:val="20"/>
              </w:rPr>
            </w:pPr>
            <w:r>
              <w:rPr>
                <w:rFonts w:asciiTheme="minorHAnsi" w:hAnsiTheme="minorHAnsi"/>
                <w:sz w:val="20"/>
                <w:szCs w:val="20"/>
              </w:rPr>
              <w:t>Fish movement</w:t>
            </w:r>
          </w:p>
        </w:tc>
        <w:tc>
          <w:tcPr>
            <w:tcW w:w="567" w:type="dxa"/>
          </w:tcPr>
          <w:p w14:paraId="778C3BEE" w14:textId="77777777" w:rsidR="000D2A6F" w:rsidRPr="00547375" w:rsidRDefault="000D2A6F" w:rsidP="000D2A6F">
            <w:pPr>
              <w:spacing w:after="0" w:line="240" w:lineRule="auto"/>
              <w:ind w:right="253"/>
              <w:contextualSpacing/>
              <w:jc w:val="left"/>
              <w:rPr>
                <w:sz w:val="20"/>
                <w:lang w:val="en-US"/>
              </w:rPr>
            </w:pPr>
            <w:r>
              <w:rPr>
                <w:sz w:val="20"/>
                <w:lang w:val="en-US"/>
              </w:rPr>
              <w:t>2</w:t>
            </w:r>
          </w:p>
        </w:tc>
        <w:tc>
          <w:tcPr>
            <w:tcW w:w="992" w:type="dxa"/>
            <w:tcMar>
              <w:left w:w="57" w:type="dxa"/>
              <w:right w:w="57" w:type="dxa"/>
            </w:tcMar>
          </w:tcPr>
          <w:p w14:paraId="59E40030" w14:textId="77777777" w:rsidR="000D2A6F" w:rsidRPr="00AC11FC" w:rsidRDefault="000D2A6F" w:rsidP="000D2A6F">
            <w:pPr>
              <w:spacing w:after="0" w:line="240" w:lineRule="auto"/>
              <w:ind w:right="33"/>
              <w:contextualSpacing/>
              <w:jc w:val="left"/>
              <w:rPr>
                <w:sz w:val="18"/>
                <w:szCs w:val="18"/>
                <w:lang w:val="en-US"/>
              </w:rPr>
            </w:pPr>
            <w:r w:rsidRPr="00AC11FC">
              <w:rPr>
                <w:sz w:val="20"/>
                <w:lang w:val="en-US"/>
              </w:rPr>
              <w:t>system</w:t>
            </w:r>
          </w:p>
        </w:tc>
        <w:tc>
          <w:tcPr>
            <w:tcW w:w="5961" w:type="dxa"/>
            <w:tcMar>
              <w:left w:w="57" w:type="dxa"/>
              <w:right w:w="57" w:type="dxa"/>
            </w:tcMar>
          </w:tcPr>
          <w:p w14:paraId="1AE80C7A" w14:textId="77777777" w:rsidR="000D2A6F" w:rsidRPr="00C86CAE" w:rsidRDefault="000D2A6F" w:rsidP="000D2A6F">
            <w:pPr>
              <w:spacing w:after="0" w:line="240" w:lineRule="auto"/>
              <w:ind w:right="253"/>
              <w:contextualSpacing/>
              <w:jc w:val="left"/>
            </w:pPr>
            <w:r>
              <w:rPr>
                <w:sz w:val="20"/>
                <w:lang w:val="en-US"/>
              </w:rPr>
              <w:t xml:space="preserve">Golden perch </w:t>
            </w:r>
            <w:r w:rsidRPr="003F6FA7">
              <w:rPr>
                <w:sz w:val="20"/>
                <w:lang w:val="en-US"/>
              </w:rPr>
              <w:t>movement will b</w:t>
            </w:r>
            <w:r>
              <w:rPr>
                <w:sz w:val="20"/>
                <w:lang w:val="en-US"/>
              </w:rPr>
              <w:t xml:space="preserve">e monitored from June-Sept </w:t>
            </w:r>
            <w:r w:rsidRPr="003F6FA7">
              <w:rPr>
                <w:sz w:val="20"/>
                <w:lang w:val="en-US"/>
              </w:rPr>
              <w:t xml:space="preserve">2019 </w:t>
            </w:r>
            <w:r>
              <w:rPr>
                <w:sz w:val="20"/>
                <w:lang w:val="en-US"/>
              </w:rPr>
              <w:t>to evaluate the 2019 winter environmental watering action. No fish movement will be monitored as part of the MER project after September 2019.</w:t>
            </w:r>
          </w:p>
        </w:tc>
      </w:tr>
      <w:tr w:rsidR="000D2A6F" w14:paraId="76D7B485" w14:textId="77777777" w:rsidTr="00130F10">
        <w:tc>
          <w:tcPr>
            <w:tcW w:w="1980" w:type="dxa"/>
            <w:tcMar>
              <w:left w:w="57" w:type="dxa"/>
              <w:right w:w="57" w:type="dxa"/>
            </w:tcMar>
          </w:tcPr>
          <w:p w14:paraId="77B870DE" w14:textId="77777777" w:rsidR="000D2A6F" w:rsidRPr="00547375" w:rsidRDefault="000D2A6F" w:rsidP="000D2A6F">
            <w:pPr>
              <w:pStyle w:val="Default"/>
              <w:ind w:right="142"/>
              <w:contextualSpacing/>
              <w:rPr>
                <w:rFonts w:asciiTheme="minorHAnsi" w:hAnsiTheme="minorHAnsi"/>
                <w:sz w:val="20"/>
                <w:szCs w:val="20"/>
                <w:lang w:val="en-US"/>
              </w:rPr>
            </w:pPr>
            <w:r>
              <w:rPr>
                <w:rFonts w:asciiTheme="minorHAnsi" w:hAnsiTheme="minorHAnsi"/>
                <w:sz w:val="20"/>
                <w:szCs w:val="20"/>
              </w:rPr>
              <w:t>Fish reproduction</w:t>
            </w:r>
          </w:p>
        </w:tc>
        <w:tc>
          <w:tcPr>
            <w:tcW w:w="567" w:type="dxa"/>
          </w:tcPr>
          <w:p w14:paraId="79CEEF3A" w14:textId="77777777" w:rsidR="000D2A6F" w:rsidRPr="00547375" w:rsidRDefault="000D2A6F" w:rsidP="000D2A6F">
            <w:pPr>
              <w:spacing w:after="0" w:line="240" w:lineRule="auto"/>
              <w:ind w:right="253"/>
              <w:contextualSpacing/>
              <w:jc w:val="left"/>
              <w:rPr>
                <w:sz w:val="20"/>
                <w:lang w:val="en-US"/>
              </w:rPr>
            </w:pPr>
            <w:r w:rsidRPr="00547375">
              <w:rPr>
                <w:sz w:val="20"/>
                <w:lang w:val="en-US"/>
              </w:rPr>
              <w:t>1</w:t>
            </w:r>
          </w:p>
        </w:tc>
        <w:tc>
          <w:tcPr>
            <w:tcW w:w="992" w:type="dxa"/>
            <w:tcMar>
              <w:left w:w="57" w:type="dxa"/>
              <w:right w:w="57" w:type="dxa"/>
            </w:tcMar>
          </w:tcPr>
          <w:p w14:paraId="12BC8A92" w14:textId="77777777" w:rsidR="000D2A6F" w:rsidRPr="00AC11FC" w:rsidRDefault="000D2A6F" w:rsidP="000D2A6F">
            <w:pPr>
              <w:spacing w:after="0" w:line="240" w:lineRule="auto"/>
              <w:ind w:right="33"/>
              <w:contextualSpacing/>
              <w:jc w:val="left"/>
              <w:rPr>
                <w:sz w:val="18"/>
                <w:szCs w:val="18"/>
                <w:lang w:val="en-US"/>
              </w:rPr>
            </w:pPr>
            <w:r w:rsidRPr="00AC11FC">
              <w:rPr>
                <w:sz w:val="18"/>
                <w:szCs w:val="18"/>
                <w:lang w:val="en-US"/>
              </w:rPr>
              <w:t>3</w:t>
            </w:r>
          </w:p>
        </w:tc>
        <w:tc>
          <w:tcPr>
            <w:tcW w:w="5961" w:type="dxa"/>
            <w:tcMar>
              <w:left w:w="57" w:type="dxa"/>
              <w:right w:w="57" w:type="dxa"/>
            </w:tcMar>
          </w:tcPr>
          <w:p w14:paraId="661CB850" w14:textId="5881EB87" w:rsidR="000D2A6F" w:rsidRPr="00547375" w:rsidRDefault="000D2A6F" w:rsidP="000D2A6F">
            <w:pPr>
              <w:spacing w:after="0" w:line="240" w:lineRule="auto"/>
              <w:ind w:right="253"/>
              <w:contextualSpacing/>
              <w:jc w:val="left"/>
              <w:rPr>
                <w:sz w:val="20"/>
                <w:lang w:val="en-US"/>
              </w:rPr>
            </w:pPr>
            <w:r>
              <w:rPr>
                <w:sz w:val="20"/>
                <w:lang w:val="en-US"/>
              </w:rPr>
              <w:t>No changes to monitoring or evaluation from LTIM project</w:t>
            </w:r>
            <w:r w:rsidR="007B62A1">
              <w:rPr>
                <w:sz w:val="20"/>
                <w:lang w:val="en-US"/>
              </w:rPr>
              <w:t xml:space="preserve">. </w:t>
            </w:r>
            <w:r w:rsidR="007B62A1" w:rsidRPr="00DD315B">
              <w:rPr>
                <w:rFonts w:asciiTheme="minorHAnsi" w:hAnsiTheme="minorHAnsi"/>
                <w:sz w:val="20"/>
              </w:rPr>
              <w:t>The abundance and diversity of larval fish will be monitored fortnightly between September and March using light traps and drift nets.</w:t>
            </w:r>
          </w:p>
        </w:tc>
      </w:tr>
      <w:tr w:rsidR="000D2A6F" w14:paraId="08BE6F0D" w14:textId="77777777" w:rsidTr="00130F10">
        <w:tc>
          <w:tcPr>
            <w:tcW w:w="1980" w:type="dxa"/>
            <w:tcMar>
              <w:left w:w="57" w:type="dxa"/>
              <w:right w:w="57" w:type="dxa"/>
            </w:tcMar>
          </w:tcPr>
          <w:p w14:paraId="4C353BE4" w14:textId="77777777" w:rsidR="000D2A6F" w:rsidRPr="00547375" w:rsidRDefault="000D2A6F" w:rsidP="000D2A6F">
            <w:pPr>
              <w:pStyle w:val="Default"/>
              <w:ind w:right="142"/>
              <w:contextualSpacing/>
              <w:rPr>
                <w:rFonts w:asciiTheme="minorHAnsi" w:hAnsiTheme="minorHAnsi"/>
                <w:sz w:val="20"/>
                <w:szCs w:val="20"/>
              </w:rPr>
            </w:pPr>
            <w:r>
              <w:rPr>
                <w:rFonts w:asciiTheme="minorHAnsi" w:hAnsiTheme="minorHAnsi"/>
                <w:sz w:val="20"/>
                <w:szCs w:val="20"/>
              </w:rPr>
              <w:t>Fish reproduction</w:t>
            </w:r>
          </w:p>
        </w:tc>
        <w:tc>
          <w:tcPr>
            <w:tcW w:w="567" w:type="dxa"/>
          </w:tcPr>
          <w:p w14:paraId="3147711F" w14:textId="77777777" w:rsidR="000D2A6F" w:rsidRPr="00547375" w:rsidRDefault="000D2A6F" w:rsidP="000D2A6F">
            <w:pPr>
              <w:spacing w:after="0" w:line="240" w:lineRule="auto"/>
              <w:ind w:right="253"/>
              <w:contextualSpacing/>
              <w:jc w:val="left"/>
              <w:rPr>
                <w:sz w:val="20"/>
                <w:lang w:val="en-US"/>
              </w:rPr>
            </w:pPr>
            <w:r w:rsidRPr="00547375">
              <w:rPr>
                <w:sz w:val="20"/>
                <w:lang w:val="en-US"/>
              </w:rPr>
              <w:t>3</w:t>
            </w:r>
          </w:p>
        </w:tc>
        <w:tc>
          <w:tcPr>
            <w:tcW w:w="992" w:type="dxa"/>
            <w:tcMar>
              <w:left w:w="57" w:type="dxa"/>
              <w:right w:w="57" w:type="dxa"/>
            </w:tcMar>
          </w:tcPr>
          <w:p w14:paraId="1CCB7D31" w14:textId="77777777" w:rsidR="000D2A6F" w:rsidRPr="00AC11FC" w:rsidRDefault="000D2A6F" w:rsidP="000D2A6F">
            <w:pPr>
              <w:spacing w:after="0" w:line="240" w:lineRule="auto"/>
              <w:ind w:right="33"/>
              <w:contextualSpacing/>
              <w:jc w:val="left"/>
              <w:rPr>
                <w:sz w:val="18"/>
                <w:szCs w:val="18"/>
                <w:lang w:val="en-US"/>
              </w:rPr>
            </w:pPr>
            <w:r>
              <w:rPr>
                <w:sz w:val="18"/>
                <w:szCs w:val="18"/>
                <w:lang w:val="en-US"/>
              </w:rPr>
              <w:t>1,2,3,4,</w:t>
            </w:r>
          </w:p>
        </w:tc>
        <w:tc>
          <w:tcPr>
            <w:tcW w:w="5961" w:type="dxa"/>
            <w:tcMar>
              <w:left w:w="57" w:type="dxa"/>
              <w:right w:w="57" w:type="dxa"/>
            </w:tcMar>
          </w:tcPr>
          <w:p w14:paraId="458E8CDA" w14:textId="06C56DDE" w:rsidR="000D2A6F" w:rsidRPr="00547375" w:rsidRDefault="000D2A6F" w:rsidP="000D2A6F">
            <w:pPr>
              <w:spacing w:after="0" w:line="240" w:lineRule="auto"/>
              <w:ind w:right="253"/>
              <w:contextualSpacing/>
              <w:jc w:val="left"/>
              <w:rPr>
                <w:sz w:val="20"/>
                <w:lang w:val="en-US"/>
              </w:rPr>
            </w:pPr>
            <w:r>
              <w:rPr>
                <w:sz w:val="20"/>
                <w:lang w:val="en-US"/>
              </w:rPr>
              <w:t>No changes in methods from LTIM. Research on fish spawning will be undertaken in the Edward/Kolety River as part of the integrated research project</w:t>
            </w:r>
          </w:p>
        </w:tc>
      </w:tr>
      <w:tr w:rsidR="000D2A6F" w14:paraId="64AF45D7" w14:textId="77777777" w:rsidTr="00130F10">
        <w:tc>
          <w:tcPr>
            <w:tcW w:w="1980" w:type="dxa"/>
            <w:tcMar>
              <w:left w:w="57" w:type="dxa"/>
              <w:right w:w="57" w:type="dxa"/>
            </w:tcMar>
          </w:tcPr>
          <w:p w14:paraId="0CB6EFC3" w14:textId="77777777" w:rsidR="000D2A6F" w:rsidRPr="00547375" w:rsidRDefault="000D2A6F" w:rsidP="000D2A6F">
            <w:pPr>
              <w:spacing w:after="0" w:line="240" w:lineRule="auto"/>
              <w:ind w:right="142"/>
              <w:contextualSpacing/>
              <w:jc w:val="left"/>
              <w:rPr>
                <w:sz w:val="20"/>
              </w:rPr>
            </w:pPr>
            <w:r w:rsidRPr="00547375">
              <w:rPr>
                <w:sz w:val="20"/>
              </w:rPr>
              <w:t>Fish recruitment</w:t>
            </w:r>
          </w:p>
        </w:tc>
        <w:tc>
          <w:tcPr>
            <w:tcW w:w="567" w:type="dxa"/>
          </w:tcPr>
          <w:p w14:paraId="6118BB7E" w14:textId="77777777" w:rsidR="000D2A6F" w:rsidRPr="00547375" w:rsidRDefault="000D2A6F" w:rsidP="000D2A6F">
            <w:pPr>
              <w:spacing w:after="0" w:line="240" w:lineRule="auto"/>
              <w:ind w:right="253"/>
              <w:contextualSpacing/>
              <w:jc w:val="left"/>
              <w:rPr>
                <w:sz w:val="20"/>
                <w:lang w:val="en-US"/>
              </w:rPr>
            </w:pPr>
            <w:r w:rsidRPr="00547375">
              <w:rPr>
                <w:sz w:val="20"/>
                <w:lang w:val="en-US"/>
              </w:rPr>
              <w:t>3</w:t>
            </w:r>
          </w:p>
        </w:tc>
        <w:tc>
          <w:tcPr>
            <w:tcW w:w="992" w:type="dxa"/>
            <w:tcMar>
              <w:left w:w="57" w:type="dxa"/>
              <w:right w:w="57" w:type="dxa"/>
            </w:tcMar>
          </w:tcPr>
          <w:p w14:paraId="0CDDBEB2" w14:textId="77777777" w:rsidR="000D2A6F" w:rsidRPr="00AC11FC" w:rsidRDefault="000D2A6F" w:rsidP="000D2A6F">
            <w:pPr>
              <w:spacing w:after="0" w:line="240" w:lineRule="auto"/>
              <w:ind w:right="33"/>
              <w:contextualSpacing/>
              <w:jc w:val="left"/>
              <w:rPr>
                <w:sz w:val="18"/>
                <w:szCs w:val="18"/>
                <w:lang w:val="en-US"/>
              </w:rPr>
            </w:pPr>
            <w:r w:rsidRPr="00AC11FC">
              <w:rPr>
                <w:sz w:val="18"/>
                <w:szCs w:val="18"/>
                <w:lang w:val="en-US"/>
              </w:rPr>
              <w:t>1,2,3,4</w:t>
            </w:r>
          </w:p>
        </w:tc>
        <w:tc>
          <w:tcPr>
            <w:tcW w:w="5961" w:type="dxa"/>
            <w:tcMar>
              <w:left w:w="57" w:type="dxa"/>
              <w:right w:w="57" w:type="dxa"/>
            </w:tcMar>
          </w:tcPr>
          <w:p w14:paraId="31E9780D" w14:textId="54294B1B" w:rsidR="000D2A6F" w:rsidRPr="00547375" w:rsidRDefault="000D2A6F" w:rsidP="007B62A1">
            <w:pPr>
              <w:spacing w:after="0" w:line="240" w:lineRule="auto"/>
              <w:ind w:right="253"/>
              <w:contextualSpacing/>
              <w:jc w:val="left"/>
              <w:rPr>
                <w:sz w:val="20"/>
                <w:lang w:val="en-US"/>
              </w:rPr>
            </w:pPr>
            <w:r>
              <w:rPr>
                <w:sz w:val="20"/>
                <w:lang w:val="en-US"/>
              </w:rPr>
              <w:t>Minor changes to monitoring methods from LTIM project. No changes to monitoring sites</w:t>
            </w:r>
            <w:r w:rsidR="007B62A1">
              <w:rPr>
                <w:sz w:val="20"/>
                <w:lang w:val="en-US"/>
              </w:rPr>
              <w:t xml:space="preserve">. </w:t>
            </w:r>
          </w:p>
        </w:tc>
      </w:tr>
      <w:tr w:rsidR="000D2A6F" w14:paraId="57AEA6AD" w14:textId="77777777" w:rsidTr="00130F10">
        <w:tc>
          <w:tcPr>
            <w:tcW w:w="1980" w:type="dxa"/>
            <w:tcMar>
              <w:left w:w="57" w:type="dxa"/>
              <w:right w:w="57" w:type="dxa"/>
            </w:tcMar>
          </w:tcPr>
          <w:p w14:paraId="33172F02" w14:textId="77777777" w:rsidR="000D2A6F" w:rsidRPr="00547375" w:rsidRDefault="000D2A6F" w:rsidP="000D2A6F">
            <w:pPr>
              <w:spacing w:after="0" w:line="240" w:lineRule="auto"/>
              <w:ind w:right="142"/>
              <w:contextualSpacing/>
              <w:jc w:val="left"/>
              <w:rPr>
                <w:sz w:val="20"/>
              </w:rPr>
            </w:pPr>
            <w:r w:rsidRPr="00547375">
              <w:rPr>
                <w:sz w:val="20"/>
              </w:rPr>
              <w:t xml:space="preserve">Fish </w:t>
            </w:r>
            <w:r>
              <w:rPr>
                <w:sz w:val="20"/>
              </w:rPr>
              <w:t xml:space="preserve">river </w:t>
            </w:r>
            <w:r w:rsidRPr="00547375">
              <w:rPr>
                <w:sz w:val="20"/>
              </w:rPr>
              <w:t>(</w:t>
            </w:r>
            <w:r>
              <w:rPr>
                <w:sz w:val="20"/>
              </w:rPr>
              <w:t>Cat 1</w:t>
            </w:r>
            <w:r w:rsidRPr="00547375">
              <w:rPr>
                <w:sz w:val="20"/>
              </w:rPr>
              <w:t xml:space="preserve">) </w:t>
            </w:r>
          </w:p>
        </w:tc>
        <w:tc>
          <w:tcPr>
            <w:tcW w:w="567" w:type="dxa"/>
          </w:tcPr>
          <w:p w14:paraId="1B733AC4" w14:textId="77777777" w:rsidR="000D2A6F" w:rsidRPr="00547375" w:rsidRDefault="000D2A6F" w:rsidP="000D2A6F">
            <w:pPr>
              <w:spacing w:after="0" w:line="240" w:lineRule="auto"/>
              <w:ind w:right="253"/>
              <w:contextualSpacing/>
              <w:jc w:val="left"/>
              <w:rPr>
                <w:sz w:val="20"/>
                <w:lang w:val="en-US"/>
              </w:rPr>
            </w:pPr>
            <w:r w:rsidRPr="00547375">
              <w:rPr>
                <w:sz w:val="20"/>
                <w:lang w:val="en-US"/>
              </w:rPr>
              <w:t>1</w:t>
            </w:r>
          </w:p>
        </w:tc>
        <w:tc>
          <w:tcPr>
            <w:tcW w:w="992" w:type="dxa"/>
            <w:tcMar>
              <w:left w:w="57" w:type="dxa"/>
              <w:right w:w="57" w:type="dxa"/>
            </w:tcMar>
          </w:tcPr>
          <w:p w14:paraId="2EA23F48" w14:textId="77777777" w:rsidR="000D2A6F" w:rsidRPr="00AC11FC" w:rsidRDefault="000D2A6F" w:rsidP="000D2A6F">
            <w:pPr>
              <w:spacing w:after="0" w:line="240" w:lineRule="auto"/>
              <w:ind w:right="33"/>
              <w:contextualSpacing/>
              <w:jc w:val="left"/>
              <w:rPr>
                <w:sz w:val="18"/>
                <w:szCs w:val="18"/>
                <w:lang w:val="en-US"/>
              </w:rPr>
            </w:pPr>
            <w:r w:rsidRPr="00AC11FC">
              <w:rPr>
                <w:sz w:val="18"/>
                <w:szCs w:val="18"/>
                <w:lang w:val="en-US"/>
              </w:rPr>
              <w:t xml:space="preserve">3 </w:t>
            </w:r>
          </w:p>
        </w:tc>
        <w:tc>
          <w:tcPr>
            <w:tcW w:w="5961" w:type="dxa"/>
            <w:tcMar>
              <w:left w:w="57" w:type="dxa"/>
              <w:right w:w="57" w:type="dxa"/>
            </w:tcMar>
          </w:tcPr>
          <w:p w14:paraId="21626AF9" w14:textId="7D667345" w:rsidR="000D2A6F" w:rsidRPr="00547375" w:rsidRDefault="000D2A6F" w:rsidP="007B62A1">
            <w:pPr>
              <w:spacing w:after="0" w:line="240" w:lineRule="auto"/>
              <w:ind w:right="253"/>
              <w:contextualSpacing/>
              <w:jc w:val="left"/>
              <w:rPr>
                <w:sz w:val="20"/>
                <w:lang w:val="en-US"/>
              </w:rPr>
            </w:pPr>
            <w:r>
              <w:rPr>
                <w:sz w:val="20"/>
                <w:lang w:val="en-US"/>
              </w:rPr>
              <w:t>No changes to monitoring or evaluation from LTIM project</w:t>
            </w:r>
            <w:r w:rsidR="007B62A1">
              <w:rPr>
                <w:sz w:val="20"/>
                <w:lang w:val="en-US"/>
              </w:rPr>
              <w:t xml:space="preserve">. </w:t>
            </w:r>
            <w:r w:rsidR="007B62A1" w:rsidRPr="00DD315B">
              <w:rPr>
                <w:rFonts w:asciiTheme="minorHAnsi" w:hAnsiTheme="minorHAnsi"/>
                <w:sz w:val="20"/>
              </w:rPr>
              <w:t xml:space="preserve">Cat 1 fish community surveys will be undertaken once annually in zone 3 between March and May. </w:t>
            </w:r>
          </w:p>
        </w:tc>
      </w:tr>
      <w:tr w:rsidR="000D2A6F" w14:paraId="024BAD63" w14:textId="77777777" w:rsidTr="00130F10">
        <w:tc>
          <w:tcPr>
            <w:tcW w:w="1980" w:type="dxa"/>
            <w:tcMar>
              <w:left w:w="57" w:type="dxa"/>
              <w:right w:w="57" w:type="dxa"/>
            </w:tcMar>
          </w:tcPr>
          <w:p w14:paraId="623D1AFB" w14:textId="77777777" w:rsidR="000D2A6F" w:rsidRPr="00547375" w:rsidRDefault="000D2A6F" w:rsidP="000D2A6F">
            <w:pPr>
              <w:spacing w:after="0" w:line="240" w:lineRule="auto"/>
              <w:ind w:right="142"/>
              <w:contextualSpacing/>
              <w:jc w:val="left"/>
              <w:rPr>
                <w:sz w:val="20"/>
              </w:rPr>
            </w:pPr>
            <w:r w:rsidRPr="00547375">
              <w:rPr>
                <w:sz w:val="20"/>
              </w:rPr>
              <w:t>Fish community survey</w:t>
            </w:r>
          </w:p>
        </w:tc>
        <w:tc>
          <w:tcPr>
            <w:tcW w:w="567" w:type="dxa"/>
          </w:tcPr>
          <w:p w14:paraId="5D40EABF" w14:textId="77777777" w:rsidR="000D2A6F" w:rsidRPr="00547375" w:rsidRDefault="000D2A6F" w:rsidP="000D2A6F">
            <w:pPr>
              <w:spacing w:after="0" w:line="240" w:lineRule="auto"/>
              <w:ind w:right="253"/>
              <w:contextualSpacing/>
              <w:jc w:val="left"/>
              <w:rPr>
                <w:sz w:val="20"/>
                <w:lang w:val="en-US"/>
              </w:rPr>
            </w:pPr>
            <w:r w:rsidRPr="00547375">
              <w:rPr>
                <w:sz w:val="20"/>
                <w:lang w:val="en-US"/>
              </w:rPr>
              <w:t>3</w:t>
            </w:r>
          </w:p>
        </w:tc>
        <w:tc>
          <w:tcPr>
            <w:tcW w:w="992" w:type="dxa"/>
            <w:tcMar>
              <w:left w:w="57" w:type="dxa"/>
              <w:right w:w="57" w:type="dxa"/>
            </w:tcMar>
          </w:tcPr>
          <w:p w14:paraId="1E7A79E1" w14:textId="77777777" w:rsidR="000D2A6F" w:rsidRPr="00AC11FC" w:rsidRDefault="000D2A6F" w:rsidP="000D2A6F">
            <w:pPr>
              <w:spacing w:after="0" w:line="240" w:lineRule="auto"/>
              <w:ind w:right="33"/>
              <w:contextualSpacing/>
              <w:jc w:val="left"/>
              <w:rPr>
                <w:sz w:val="18"/>
                <w:szCs w:val="18"/>
                <w:lang w:val="en-US"/>
              </w:rPr>
            </w:pPr>
            <w:r w:rsidRPr="00AC11FC">
              <w:rPr>
                <w:sz w:val="20"/>
                <w:lang w:val="en-US"/>
              </w:rPr>
              <w:t xml:space="preserve">system </w:t>
            </w:r>
          </w:p>
        </w:tc>
        <w:tc>
          <w:tcPr>
            <w:tcW w:w="5961" w:type="dxa"/>
            <w:tcMar>
              <w:left w:w="57" w:type="dxa"/>
              <w:right w:w="57" w:type="dxa"/>
            </w:tcMar>
          </w:tcPr>
          <w:p w14:paraId="5BA27412" w14:textId="4C53A192" w:rsidR="000D2A6F" w:rsidRPr="00547375" w:rsidRDefault="000D2A6F" w:rsidP="007B62A1">
            <w:pPr>
              <w:spacing w:after="0" w:line="240" w:lineRule="auto"/>
              <w:ind w:right="253"/>
              <w:contextualSpacing/>
              <w:jc w:val="left"/>
              <w:rPr>
                <w:sz w:val="20"/>
                <w:lang w:val="en-US"/>
              </w:rPr>
            </w:pPr>
            <w:r>
              <w:rPr>
                <w:sz w:val="20"/>
                <w:lang w:val="en-US"/>
              </w:rPr>
              <w:t xml:space="preserve">No changes from LTIM project. </w:t>
            </w:r>
            <w:r w:rsidR="007B62A1">
              <w:rPr>
                <w:rFonts w:asciiTheme="minorHAnsi" w:hAnsiTheme="minorHAnsi"/>
                <w:sz w:val="20"/>
              </w:rPr>
              <w:t xml:space="preserve">Fifteen </w:t>
            </w:r>
            <w:r w:rsidR="007B62A1" w:rsidRPr="00DD315B">
              <w:rPr>
                <w:rFonts w:asciiTheme="minorHAnsi" w:hAnsiTheme="minorHAnsi"/>
                <w:sz w:val="20"/>
              </w:rPr>
              <w:t xml:space="preserve">sites </w:t>
            </w:r>
            <w:r w:rsidR="007B62A1">
              <w:rPr>
                <w:rFonts w:asciiTheme="minorHAnsi" w:hAnsiTheme="minorHAnsi"/>
                <w:sz w:val="20"/>
              </w:rPr>
              <w:t xml:space="preserve">(in addition to the Cat1 fish sites) from </w:t>
            </w:r>
            <w:r w:rsidR="007B62A1" w:rsidRPr="00DD315B">
              <w:rPr>
                <w:rFonts w:asciiTheme="minorHAnsi" w:hAnsiTheme="minorHAnsi"/>
                <w:sz w:val="20"/>
              </w:rPr>
              <w:t>throughou</w:t>
            </w:r>
            <w:r w:rsidR="007B62A1">
              <w:rPr>
                <w:rFonts w:asciiTheme="minorHAnsi" w:hAnsiTheme="minorHAnsi"/>
                <w:sz w:val="20"/>
              </w:rPr>
              <w:t xml:space="preserve">t the system will be surveyed </w:t>
            </w:r>
            <w:r>
              <w:rPr>
                <w:sz w:val="20"/>
                <w:lang w:val="en-US"/>
              </w:rPr>
              <w:t>in 2022 only (year 3 of the MER project)</w:t>
            </w:r>
          </w:p>
        </w:tc>
      </w:tr>
    </w:tbl>
    <w:p w14:paraId="2B434ECD" w14:textId="77777777" w:rsidR="000D2A6F" w:rsidRDefault="000D2A6F" w:rsidP="000D2A6F">
      <w:pPr>
        <w:tabs>
          <w:tab w:val="left" w:pos="9071"/>
        </w:tabs>
        <w:spacing w:after="240" w:line="320" w:lineRule="exact"/>
        <w:contextualSpacing/>
        <w:jc w:val="left"/>
      </w:pPr>
    </w:p>
    <w:p w14:paraId="54311C17" w14:textId="77777777" w:rsidR="000D2A6F" w:rsidRDefault="000D2A6F">
      <w:pPr>
        <w:spacing w:after="0" w:line="240" w:lineRule="auto"/>
        <w:jc w:val="left"/>
        <w:rPr>
          <w:rFonts w:asciiTheme="minorHAnsi" w:eastAsia="Times New Roman" w:hAnsiTheme="minorHAnsi" w:cstheme="minorHAnsi"/>
          <w:b/>
          <w:bCs/>
          <w:color w:val="000000"/>
          <w:sz w:val="20"/>
          <w:lang w:eastAsia="en-AU"/>
        </w:rPr>
      </w:pPr>
      <w:r>
        <w:rPr>
          <w:rFonts w:asciiTheme="minorHAnsi" w:hAnsiTheme="minorHAnsi" w:cstheme="minorHAnsi"/>
          <w:b/>
          <w:bCs/>
          <w:sz w:val="20"/>
        </w:rPr>
        <w:br w:type="page"/>
      </w:r>
    </w:p>
    <w:p w14:paraId="621C14DF" w14:textId="5B65AB44" w:rsidR="000D2A6F" w:rsidRPr="00DD718B" w:rsidRDefault="000D2A6F" w:rsidP="0091645A">
      <w:pPr>
        <w:pStyle w:val="Default"/>
        <w:ind w:right="-286"/>
        <w:rPr>
          <w:rFonts w:asciiTheme="minorHAnsi" w:hAnsiTheme="minorHAnsi" w:cstheme="minorHAnsi"/>
          <w:bCs/>
          <w:sz w:val="20"/>
          <w:szCs w:val="20"/>
        </w:rPr>
      </w:pPr>
      <w:r>
        <w:rPr>
          <w:rFonts w:asciiTheme="minorHAnsi" w:hAnsiTheme="minorHAnsi" w:cstheme="minorHAnsi"/>
          <w:b/>
          <w:bCs/>
          <w:sz w:val="20"/>
          <w:szCs w:val="20"/>
        </w:rPr>
        <w:t>Table 3.3</w:t>
      </w:r>
      <w:r w:rsidRPr="00DD718B">
        <w:rPr>
          <w:rFonts w:asciiTheme="minorHAnsi" w:hAnsiTheme="minorHAnsi" w:cstheme="minorHAnsi"/>
          <w:b/>
          <w:bCs/>
          <w:sz w:val="20"/>
          <w:szCs w:val="20"/>
        </w:rPr>
        <w:t xml:space="preserve"> </w:t>
      </w:r>
      <w:r w:rsidRPr="00DD718B">
        <w:rPr>
          <w:rFonts w:asciiTheme="minorHAnsi" w:hAnsiTheme="minorHAnsi" w:cstheme="minorHAnsi"/>
          <w:bCs/>
          <w:sz w:val="20"/>
          <w:szCs w:val="20"/>
        </w:rPr>
        <w:t>Summary of the long-term and short-term evaluation questions for the Edward</w:t>
      </w:r>
      <w:r w:rsidR="0091645A">
        <w:rPr>
          <w:rFonts w:asciiTheme="minorHAnsi" w:hAnsiTheme="minorHAnsi" w:cstheme="minorHAnsi"/>
          <w:bCs/>
          <w:sz w:val="20"/>
          <w:szCs w:val="20"/>
        </w:rPr>
        <w:t>/Kolety</w:t>
      </w:r>
      <w:r w:rsidRPr="00DD718B">
        <w:rPr>
          <w:rFonts w:asciiTheme="minorHAnsi" w:hAnsiTheme="minorHAnsi" w:cstheme="minorHAnsi"/>
          <w:bCs/>
          <w:sz w:val="20"/>
          <w:szCs w:val="20"/>
        </w:rPr>
        <w:t>-Wakool MER project</w:t>
      </w:r>
      <w:r w:rsidR="0091645A">
        <w:rPr>
          <w:rFonts w:asciiTheme="minorHAnsi" w:hAnsiTheme="minorHAnsi" w:cstheme="minorHAnsi"/>
          <w:bCs/>
          <w:sz w:val="20"/>
          <w:szCs w:val="20"/>
        </w:rPr>
        <w:t>.</w:t>
      </w:r>
    </w:p>
    <w:tbl>
      <w:tblPr>
        <w:tblStyle w:val="TableGrid"/>
        <w:tblW w:w="9351" w:type="dxa"/>
        <w:tblLayout w:type="fixed"/>
        <w:tblLook w:val="04A0" w:firstRow="1" w:lastRow="0" w:firstColumn="1" w:lastColumn="0" w:noHBand="0" w:noVBand="1"/>
      </w:tblPr>
      <w:tblGrid>
        <w:gridCol w:w="1437"/>
        <w:gridCol w:w="7914"/>
      </w:tblGrid>
      <w:tr w:rsidR="000D2A6F" w14:paraId="28E05165" w14:textId="77777777" w:rsidTr="00130F10">
        <w:trPr>
          <w:trHeight w:val="316"/>
        </w:trPr>
        <w:tc>
          <w:tcPr>
            <w:tcW w:w="1437" w:type="dxa"/>
            <w:shd w:val="clear" w:color="auto" w:fill="31849B"/>
            <w:noWrap/>
            <w:tcMar>
              <w:left w:w="57" w:type="dxa"/>
              <w:right w:w="0" w:type="dxa"/>
            </w:tcMar>
          </w:tcPr>
          <w:p w14:paraId="6A599C7B" w14:textId="77777777" w:rsidR="000D2A6F" w:rsidRPr="00812B54" w:rsidRDefault="000D2A6F" w:rsidP="000D2A6F">
            <w:pPr>
              <w:spacing w:after="0" w:line="240" w:lineRule="auto"/>
              <w:ind w:right="253"/>
              <w:contextualSpacing/>
              <w:rPr>
                <w:b/>
                <w:sz w:val="24"/>
                <w:szCs w:val="24"/>
              </w:rPr>
            </w:pPr>
            <w:r w:rsidRPr="00812B54">
              <w:rPr>
                <w:b/>
                <w:color w:val="FFFFFF" w:themeColor="background1"/>
                <w:sz w:val="24"/>
                <w:szCs w:val="24"/>
              </w:rPr>
              <w:t>Indicator</w:t>
            </w:r>
          </w:p>
        </w:tc>
        <w:tc>
          <w:tcPr>
            <w:tcW w:w="7914" w:type="dxa"/>
            <w:shd w:val="clear" w:color="auto" w:fill="31849B"/>
          </w:tcPr>
          <w:p w14:paraId="0AD502FD" w14:textId="77777777" w:rsidR="000D2A6F" w:rsidRPr="00C03EB5" w:rsidRDefault="000D2A6F" w:rsidP="000D2A6F">
            <w:pPr>
              <w:spacing w:after="0" w:line="240" w:lineRule="auto"/>
              <w:ind w:right="255"/>
              <w:contextualSpacing/>
              <w:jc w:val="center"/>
              <w:rPr>
                <w:rFonts w:cs="Calibri"/>
                <w:b/>
                <w:color w:val="FFFFFF" w:themeColor="background1"/>
                <w:sz w:val="24"/>
                <w:szCs w:val="24"/>
              </w:rPr>
            </w:pPr>
            <w:r w:rsidRPr="00812B54">
              <w:rPr>
                <w:rFonts w:cs="Calibri"/>
                <w:b/>
                <w:color w:val="FFFFFF" w:themeColor="background1"/>
                <w:sz w:val="24"/>
                <w:szCs w:val="24"/>
              </w:rPr>
              <w:t>Evaluation questions</w:t>
            </w:r>
          </w:p>
        </w:tc>
      </w:tr>
      <w:tr w:rsidR="000D2A6F" w14:paraId="5D8EA724" w14:textId="77777777" w:rsidTr="00130F10">
        <w:trPr>
          <w:cantSplit/>
          <w:trHeight w:val="1030"/>
        </w:trPr>
        <w:tc>
          <w:tcPr>
            <w:tcW w:w="1437" w:type="dxa"/>
            <w:shd w:val="clear" w:color="auto" w:fill="87C7D9"/>
            <w:noWrap/>
            <w:tcMar>
              <w:left w:w="57" w:type="dxa"/>
              <w:right w:w="57" w:type="dxa"/>
            </w:tcMar>
          </w:tcPr>
          <w:p w14:paraId="409F4CFC" w14:textId="77777777" w:rsidR="000D2A6F" w:rsidRPr="004E727D" w:rsidRDefault="000D2A6F" w:rsidP="000D2A6F">
            <w:pPr>
              <w:spacing w:after="0" w:line="240" w:lineRule="auto"/>
              <w:contextualSpacing/>
              <w:rPr>
                <w:b/>
              </w:rPr>
            </w:pPr>
            <w:r w:rsidRPr="004E727D">
              <w:rPr>
                <w:b/>
                <w:color w:val="000000" w:themeColor="text1"/>
              </w:rPr>
              <w:t>Hydrology</w:t>
            </w:r>
          </w:p>
        </w:tc>
        <w:tc>
          <w:tcPr>
            <w:tcW w:w="7914" w:type="dxa"/>
          </w:tcPr>
          <w:p w14:paraId="3A59295A" w14:textId="77777777" w:rsidR="000D2A6F" w:rsidRPr="007D4621" w:rsidRDefault="000D2A6F" w:rsidP="000D2A6F">
            <w:pPr>
              <w:pStyle w:val="NoSpacing"/>
              <w:contextualSpacing/>
              <w:rPr>
                <w:i/>
                <w:sz w:val="20"/>
              </w:rPr>
            </w:pPr>
            <w:r w:rsidRPr="007D4621">
              <w:rPr>
                <w:i/>
                <w:sz w:val="20"/>
              </w:rPr>
              <w:t>Short and long-term questions</w:t>
            </w:r>
          </w:p>
          <w:p w14:paraId="09943851" w14:textId="66682592" w:rsidR="000D2A6F" w:rsidRPr="007D4621" w:rsidRDefault="000D2A6F" w:rsidP="0040642F">
            <w:pPr>
              <w:pStyle w:val="NoSpacing"/>
              <w:numPr>
                <w:ilvl w:val="0"/>
                <w:numId w:val="33"/>
              </w:numPr>
              <w:ind w:left="176" w:hanging="176"/>
              <w:contextualSpacing/>
              <w:rPr>
                <w:sz w:val="20"/>
              </w:rPr>
            </w:pPr>
            <w:r w:rsidRPr="007D4621">
              <w:rPr>
                <w:sz w:val="20"/>
              </w:rPr>
              <w:t xml:space="preserve">What was the effect of </w:t>
            </w:r>
            <w:r>
              <w:rPr>
                <w:sz w:val="20"/>
              </w:rPr>
              <w:t>CEW (Commonwealth environmental water)</w:t>
            </w:r>
            <w:r w:rsidRPr="007D4621">
              <w:rPr>
                <w:sz w:val="20"/>
              </w:rPr>
              <w:t xml:space="preserve"> on the hydrology of the rivers in the Edward</w:t>
            </w:r>
            <w:r w:rsidR="0091645A">
              <w:rPr>
                <w:sz w:val="20"/>
              </w:rPr>
              <w:t>/Kolety</w:t>
            </w:r>
            <w:r w:rsidRPr="007D4621">
              <w:rPr>
                <w:sz w:val="20"/>
              </w:rPr>
              <w:t>-Wakool system?</w:t>
            </w:r>
          </w:p>
          <w:p w14:paraId="16412E01" w14:textId="77777777" w:rsidR="000D2A6F" w:rsidRPr="007D4621" w:rsidRDefault="000D2A6F" w:rsidP="0040642F">
            <w:pPr>
              <w:pStyle w:val="ListParagraph"/>
              <w:numPr>
                <w:ilvl w:val="0"/>
                <w:numId w:val="33"/>
              </w:numPr>
              <w:spacing w:after="0" w:line="240" w:lineRule="auto"/>
              <w:ind w:left="176" w:right="253" w:hanging="176"/>
              <w:contextualSpacing/>
              <w:jc w:val="left"/>
              <w:rPr>
                <w:sz w:val="20"/>
              </w:rPr>
            </w:pPr>
            <w:r w:rsidRPr="007D4621">
              <w:rPr>
                <w:sz w:val="20"/>
              </w:rPr>
              <w:t xml:space="preserve">What did </w:t>
            </w:r>
            <w:r>
              <w:rPr>
                <w:sz w:val="20"/>
              </w:rPr>
              <w:t>CEW</w:t>
            </w:r>
            <w:r w:rsidRPr="007D4621">
              <w:rPr>
                <w:sz w:val="20"/>
              </w:rPr>
              <w:t xml:space="preserve"> contribute to longitudinal connectivity?</w:t>
            </w:r>
          </w:p>
        </w:tc>
      </w:tr>
      <w:tr w:rsidR="000D2A6F" w14:paraId="1FF41787" w14:textId="77777777" w:rsidTr="00130F10">
        <w:trPr>
          <w:cantSplit/>
          <w:trHeight w:val="1134"/>
        </w:trPr>
        <w:tc>
          <w:tcPr>
            <w:tcW w:w="1437" w:type="dxa"/>
            <w:shd w:val="clear" w:color="auto" w:fill="87C7D9"/>
            <w:noWrap/>
            <w:tcMar>
              <w:left w:w="57" w:type="dxa"/>
              <w:right w:w="57" w:type="dxa"/>
            </w:tcMar>
          </w:tcPr>
          <w:p w14:paraId="44AEF48F" w14:textId="77777777" w:rsidR="000D2A6F" w:rsidRPr="004E727D" w:rsidRDefault="000D2A6F" w:rsidP="000D2A6F">
            <w:pPr>
              <w:spacing w:after="0" w:line="240" w:lineRule="auto"/>
              <w:contextualSpacing/>
              <w:jc w:val="left"/>
            </w:pPr>
            <w:r w:rsidRPr="004E727D">
              <w:rPr>
                <w:b/>
                <w:color w:val="000000" w:themeColor="text1"/>
              </w:rPr>
              <w:t>Carbon and water quality</w:t>
            </w:r>
          </w:p>
        </w:tc>
        <w:tc>
          <w:tcPr>
            <w:tcW w:w="7914" w:type="dxa"/>
          </w:tcPr>
          <w:p w14:paraId="06E8DBAF" w14:textId="77777777" w:rsidR="000D2A6F" w:rsidRPr="007D4621" w:rsidRDefault="000D2A6F" w:rsidP="000D2A6F">
            <w:pPr>
              <w:pStyle w:val="NoSpacing"/>
              <w:contextualSpacing/>
              <w:rPr>
                <w:i/>
                <w:sz w:val="20"/>
              </w:rPr>
            </w:pPr>
            <w:r w:rsidRPr="007D4621">
              <w:rPr>
                <w:i/>
                <w:sz w:val="20"/>
              </w:rPr>
              <w:t>Short and long-term questions</w:t>
            </w:r>
          </w:p>
          <w:p w14:paraId="2E4071DC"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modification of the type and amount of dissolved organic matter through reconnection with previously dry or disconnected in-channel habitat?</w:t>
            </w:r>
          </w:p>
          <w:p w14:paraId="795CE1FB"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dissolved oxygen concentrations?</w:t>
            </w:r>
            <w:r w:rsidRPr="007D4621">
              <w:rPr>
                <w:rFonts w:cstheme="minorHAnsi"/>
                <w:sz w:val="20"/>
              </w:rPr>
              <w:t xml:space="preserve"> </w:t>
            </w:r>
          </w:p>
          <w:p w14:paraId="7B564AF3" w14:textId="77777777" w:rsidR="000D2A6F" w:rsidRPr="007D4621" w:rsidRDefault="000D2A6F" w:rsidP="0040642F">
            <w:pPr>
              <w:pStyle w:val="NoSpacing"/>
              <w:numPr>
                <w:ilvl w:val="0"/>
                <w:numId w:val="33"/>
              </w:numPr>
              <w:ind w:left="176" w:hanging="176"/>
              <w:contextualSpacing/>
              <w:rPr>
                <w:sz w:val="20"/>
              </w:rPr>
            </w:pPr>
            <w:r w:rsidRPr="007D4621">
              <w:rPr>
                <w:rFonts w:cstheme="minorHAnsi"/>
                <w:sz w:val="20"/>
              </w:rPr>
              <w:t xml:space="preserve">What did </w:t>
            </w:r>
            <w:r>
              <w:rPr>
                <w:rFonts w:cstheme="minorHAnsi"/>
                <w:sz w:val="20"/>
              </w:rPr>
              <w:t>CEW</w:t>
            </w:r>
            <w:r w:rsidRPr="007D4621">
              <w:rPr>
                <w:rFonts w:cstheme="minorHAnsi"/>
                <w:sz w:val="20"/>
              </w:rPr>
              <w:t xml:space="preserve"> contribute to nutrient concentrations?</w:t>
            </w:r>
          </w:p>
          <w:p w14:paraId="3886345B" w14:textId="77777777" w:rsidR="000D2A6F" w:rsidRPr="007D4621" w:rsidRDefault="000D2A6F" w:rsidP="000D2A6F">
            <w:pPr>
              <w:pStyle w:val="NoSpacing"/>
              <w:contextualSpacing/>
              <w:rPr>
                <w:i/>
                <w:sz w:val="20"/>
              </w:rPr>
            </w:pPr>
            <w:r w:rsidRPr="007D4621">
              <w:rPr>
                <w:i/>
                <w:sz w:val="20"/>
              </w:rPr>
              <w:t>Question for contingency monitoring</w:t>
            </w:r>
          </w:p>
          <w:p w14:paraId="0F934614"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reducing the impact of hypoxic blackwater or other adverse water quality events in the system?</w:t>
            </w:r>
          </w:p>
        </w:tc>
      </w:tr>
      <w:tr w:rsidR="000D2A6F" w14:paraId="73A0A7F2" w14:textId="77777777" w:rsidTr="00130F10">
        <w:trPr>
          <w:cantSplit/>
          <w:trHeight w:val="945"/>
        </w:trPr>
        <w:tc>
          <w:tcPr>
            <w:tcW w:w="1437" w:type="dxa"/>
            <w:shd w:val="clear" w:color="auto" w:fill="87C7D9"/>
            <w:noWrap/>
            <w:tcMar>
              <w:left w:w="57" w:type="dxa"/>
              <w:right w:w="57" w:type="dxa"/>
            </w:tcMar>
          </w:tcPr>
          <w:p w14:paraId="72375A9A" w14:textId="77777777" w:rsidR="000D2A6F" w:rsidRPr="004E727D" w:rsidRDefault="000D2A6F" w:rsidP="000D2A6F">
            <w:pPr>
              <w:spacing w:after="0" w:line="240" w:lineRule="auto"/>
              <w:contextualSpacing/>
            </w:pPr>
            <w:r w:rsidRPr="004E727D">
              <w:rPr>
                <w:b/>
                <w:color w:val="000000" w:themeColor="text1"/>
              </w:rPr>
              <w:t>Stream metabolism (Cat 1)</w:t>
            </w:r>
          </w:p>
        </w:tc>
        <w:tc>
          <w:tcPr>
            <w:tcW w:w="7914" w:type="dxa"/>
          </w:tcPr>
          <w:p w14:paraId="509BA780" w14:textId="77777777" w:rsidR="000D2A6F" w:rsidRPr="007D4621" w:rsidRDefault="000D2A6F" w:rsidP="000D2A6F">
            <w:pPr>
              <w:pStyle w:val="NoSpacing"/>
              <w:contextualSpacing/>
              <w:rPr>
                <w:i/>
                <w:sz w:val="20"/>
              </w:rPr>
            </w:pPr>
            <w:r w:rsidRPr="007D4621">
              <w:rPr>
                <w:i/>
                <w:sz w:val="20"/>
              </w:rPr>
              <w:t>Short and long-term questions</w:t>
            </w:r>
          </w:p>
          <w:p w14:paraId="7E75C684"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was the effect of </w:t>
            </w:r>
            <w:r>
              <w:rPr>
                <w:sz w:val="20"/>
              </w:rPr>
              <w:t>CEW</w:t>
            </w:r>
            <w:r w:rsidRPr="007D4621">
              <w:rPr>
                <w:sz w:val="20"/>
              </w:rPr>
              <w:t xml:space="preserve"> on rates of GPP, ER and NPP</w:t>
            </w:r>
          </w:p>
          <w:p w14:paraId="074DC12C"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total GPP, ER and NPP?</w:t>
            </w:r>
          </w:p>
          <w:p w14:paraId="4CF87B57"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Which aspect of </w:t>
            </w:r>
            <w:r>
              <w:rPr>
                <w:sz w:val="20"/>
              </w:rPr>
              <w:t>CEW</w:t>
            </w:r>
            <w:r w:rsidRPr="007D4621">
              <w:rPr>
                <w:sz w:val="20"/>
              </w:rPr>
              <w:t xml:space="preserve"> delivery contributed most to productivity outcomes?</w:t>
            </w:r>
          </w:p>
        </w:tc>
      </w:tr>
      <w:tr w:rsidR="000D2A6F" w14:paraId="6CDF70E5" w14:textId="77777777" w:rsidTr="00130F10">
        <w:trPr>
          <w:cantSplit/>
          <w:trHeight w:val="1134"/>
        </w:trPr>
        <w:tc>
          <w:tcPr>
            <w:tcW w:w="1437" w:type="dxa"/>
            <w:shd w:val="clear" w:color="auto" w:fill="87C7D9"/>
            <w:noWrap/>
            <w:tcMar>
              <w:left w:w="57" w:type="dxa"/>
              <w:right w:w="57" w:type="dxa"/>
            </w:tcMar>
          </w:tcPr>
          <w:p w14:paraId="7557EBF7" w14:textId="77777777" w:rsidR="000D2A6F" w:rsidRPr="004E727D" w:rsidRDefault="000D2A6F" w:rsidP="000D2A6F">
            <w:pPr>
              <w:spacing w:after="0" w:line="240" w:lineRule="auto"/>
              <w:contextualSpacing/>
              <w:rPr>
                <w:b/>
                <w:color w:val="000000" w:themeColor="text1"/>
              </w:rPr>
            </w:pPr>
            <w:r w:rsidRPr="004E727D">
              <w:rPr>
                <w:b/>
                <w:color w:val="000000" w:themeColor="text1"/>
              </w:rPr>
              <w:t>Riverbank and aquatic vegetation</w:t>
            </w:r>
          </w:p>
        </w:tc>
        <w:tc>
          <w:tcPr>
            <w:tcW w:w="7914" w:type="dxa"/>
            <w:vAlign w:val="center"/>
          </w:tcPr>
          <w:p w14:paraId="49046914" w14:textId="77777777" w:rsidR="000D2A6F" w:rsidRPr="007D4621" w:rsidRDefault="000D2A6F" w:rsidP="000D2A6F">
            <w:pPr>
              <w:pStyle w:val="Para0bullet"/>
              <w:numPr>
                <w:ilvl w:val="0"/>
                <w:numId w:val="0"/>
              </w:numPr>
              <w:spacing w:after="0" w:line="240" w:lineRule="auto"/>
              <w:contextualSpacing/>
              <w:rPr>
                <w:rFonts w:ascii="Calibri" w:eastAsia="Calibri" w:hAnsi="Calibri" w:cs="Times New Roman"/>
                <w:i/>
                <w:szCs w:val="20"/>
                <w:lang w:val="en-AU"/>
              </w:rPr>
            </w:pPr>
            <w:r w:rsidRPr="007D4621">
              <w:rPr>
                <w:rFonts w:ascii="Calibri" w:eastAsia="Calibri" w:hAnsi="Calibri" w:cs="Times New Roman"/>
                <w:i/>
                <w:szCs w:val="20"/>
                <w:lang w:val="en-AU"/>
              </w:rPr>
              <w:t xml:space="preserve">Long-term questions </w:t>
            </w:r>
          </w:p>
          <w:p w14:paraId="493FF1F7"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has </w:t>
            </w:r>
            <w:r>
              <w:rPr>
                <w:sz w:val="20"/>
              </w:rPr>
              <w:t>CEW</w:t>
            </w:r>
            <w:r w:rsidRPr="007D4621">
              <w:rPr>
                <w:sz w:val="20"/>
              </w:rPr>
              <w:t xml:space="preserve"> contributed to the recovery (measured through species richness, plant cover and recruitment) of riverbank and aquatic vegetation that have been impacted by operational flows and drought and how do those responses vary over time?</w:t>
            </w:r>
          </w:p>
          <w:p w14:paraId="3532786F"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How do vegetation responses to </w:t>
            </w:r>
            <w:r>
              <w:rPr>
                <w:sz w:val="20"/>
              </w:rPr>
              <w:t>CEW</w:t>
            </w:r>
            <w:r w:rsidRPr="007D4621">
              <w:rPr>
                <w:sz w:val="20"/>
              </w:rPr>
              <w:t xml:space="preserve"> delivery vary among hydrological zones? </w:t>
            </w:r>
          </w:p>
          <w:p w14:paraId="6C42FCC9" w14:textId="77777777" w:rsidR="000D2A6F" w:rsidRPr="007D4621" w:rsidRDefault="000D2A6F" w:rsidP="000D2A6F">
            <w:pPr>
              <w:spacing w:after="0" w:line="240" w:lineRule="auto"/>
              <w:contextualSpacing/>
              <w:rPr>
                <w:i/>
                <w:sz w:val="20"/>
              </w:rPr>
            </w:pPr>
            <w:r w:rsidRPr="007D4621">
              <w:rPr>
                <w:i/>
                <w:sz w:val="20"/>
              </w:rPr>
              <w:t>Short-term questions</w:t>
            </w:r>
          </w:p>
          <w:p w14:paraId="60E88947"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the percent cover of riverbank and aquatic vegetation?</w:t>
            </w:r>
          </w:p>
          <w:p w14:paraId="53E7561D"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the diversity of riverbank and aquatic vegetation taxa?</w:t>
            </w:r>
          </w:p>
        </w:tc>
      </w:tr>
      <w:tr w:rsidR="000D2A6F" w14:paraId="41A1FA8D" w14:textId="77777777" w:rsidTr="00130F10">
        <w:trPr>
          <w:cantSplit/>
          <w:trHeight w:val="550"/>
        </w:trPr>
        <w:tc>
          <w:tcPr>
            <w:tcW w:w="1437" w:type="dxa"/>
            <w:shd w:val="clear" w:color="auto" w:fill="87C7D9"/>
            <w:noWrap/>
            <w:tcMar>
              <w:left w:w="57" w:type="dxa"/>
              <w:right w:w="57" w:type="dxa"/>
            </w:tcMar>
          </w:tcPr>
          <w:p w14:paraId="52FB03A4" w14:textId="77777777" w:rsidR="000D2A6F" w:rsidRPr="004E727D" w:rsidRDefault="000D2A6F" w:rsidP="000D2A6F">
            <w:pPr>
              <w:spacing w:after="0" w:line="240" w:lineRule="auto"/>
              <w:contextualSpacing/>
              <w:rPr>
                <w:b/>
                <w:color w:val="000000" w:themeColor="text1"/>
              </w:rPr>
            </w:pPr>
            <w:r w:rsidRPr="004E727D">
              <w:rPr>
                <w:b/>
                <w:color w:val="000000" w:themeColor="text1"/>
              </w:rPr>
              <w:t>Fish movement</w:t>
            </w:r>
          </w:p>
        </w:tc>
        <w:tc>
          <w:tcPr>
            <w:tcW w:w="7914" w:type="dxa"/>
            <w:vAlign w:val="center"/>
          </w:tcPr>
          <w:p w14:paraId="02C78D90" w14:textId="77777777" w:rsidR="000D2A6F" w:rsidRPr="007D4621" w:rsidRDefault="000D2A6F" w:rsidP="000D2A6F">
            <w:pPr>
              <w:spacing w:after="0" w:line="240" w:lineRule="auto"/>
              <w:ind w:right="253"/>
              <w:contextualSpacing/>
              <w:rPr>
                <w:sz w:val="20"/>
              </w:rPr>
            </w:pPr>
            <w:r w:rsidRPr="007D4621">
              <w:rPr>
                <w:i/>
                <w:sz w:val="20"/>
              </w:rPr>
              <w:t>Short term questions</w:t>
            </w:r>
            <w:r w:rsidRPr="007D4621">
              <w:rPr>
                <w:sz w:val="20"/>
              </w:rPr>
              <w:t xml:space="preserve"> </w:t>
            </w:r>
          </w:p>
          <w:p w14:paraId="3C8E7EC4"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Does </w:t>
            </w:r>
            <w:r>
              <w:rPr>
                <w:sz w:val="20"/>
              </w:rPr>
              <w:t>CEW</w:t>
            </w:r>
            <w:r w:rsidRPr="007D4621">
              <w:rPr>
                <w:sz w:val="20"/>
              </w:rPr>
              <w:t xml:space="preserve"> facilitate longitudinal connectivity for periodic species during winter?</w:t>
            </w:r>
          </w:p>
        </w:tc>
      </w:tr>
      <w:tr w:rsidR="000D2A6F" w14:paraId="31F6F5F1" w14:textId="77777777" w:rsidTr="00130F10">
        <w:trPr>
          <w:cantSplit/>
          <w:trHeight w:val="1134"/>
        </w:trPr>
        <w:tc>
          <w:tcPr>
            <w:tcW w:w="1437" w:type="dxa"/>
            <w:shd w:val="clear" w:color="auto" w:fill="87C7D9"/>
            <w:noWrap/>
            <w:tcMar>
              <w:left w:w="57" w:type="dxa"/>
              <w:right w:w="57" w:type="dxa"/>
            </w:tcMar>
          </w:tcPr>
          <w:p w14:paraId="7E15B96D" w14:textId="77777777" w:rsidR="000D2A6F" w:rsidRPr="004E727D" w:rsidRDefault="000D2A6F" w:rsidP="000D2A6F">
            <w:pPr>
              <w:spacing w:after="0" w:line="240" w:lineRule="auto"/>
              <w:contextualSpacing/>
              <w:rPr>
                <w:b/>
                <w:color w:val="000000" w:themeColor="text1"/>
              </w:rPr>
            </w:pPr>
            <w:r w:rsidRPr="004E727D">
              <w:rPr>
                <w:b/>
                <w:color w:val="000000" w:themeColor="text1"/>
              </w:rPr>
              <w:t>Fish reproduction (Cat 1)</w:t>
            </w:r>
          </w:p>
        </w:tc>
        <w:tc>
          <w:tcPr>
            <w:tcW w:w="7914" w:type="dxa"/>
            <w:vAlign w:val="center"/>
          </w:tcPr>
          <w:p w14:paraId="2277925F" w14:textId="77777777" w:rsidR="000D2A6F" w:rsidRPr="007D4621" w:rsidRDefault="000D2A6F" w:rsidP="000D2A6F">
            <w:pPr>
              <w:spacing w:after="0" w:line="240" w:lineRule="auto"/>
              <w:ind w:right="253"/>
              <w:contextualSpacing/>
              <w:rPr>
                <w:i/>
                <w:sz w:val="20"/>
              </w:rPr>
            </w:pPr>
            <w:r w:rsidRPr="007D4621">
              <w:rPr>
                <w:i/>
                <w:sz w:val="20"/>
              </w:rPr>
              <w:t>Long term questions</w:t>
            </w:r>
          </w:p>
          <w:p w14:paraId="6036FF15"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populations?</w:t>
            </w:r>
          </w:p>
          <w:p w14:paraId="38E4A7CA"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species diversity?</w:t>
            </w:r>
          </w:p>
          <w:p w14:paraId="3705BE16" w14:textId="77777777" w:rsidR="000D2A6F" w:rsidRPr="007D4621" w:rsidRDefault="000D2A6F" w:rsidP="000D2A6F">
            <w:pPr>
              <w:spacing w:after="0" w:line="240" w:lineRule="auto"/>
              <w:ind w:right="253"/>
              <w:contextualSpacing/>
              <w:rPr>
                <w:i/>
                <w:sz w:val="20"/>
              </w:rPr>
            </w:pPr>
            <w:r w:rsidRPr="007D4621">
              <w:rPr>
                <w:i/>
                <w:sz w:val="20"/>
              </w:rPr>
              <w:t>Short term questions</w:t>
            </w:r>
          </w:p>
          <w:p w14:paraId="725A1354"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reproduction?</w:t>
            </w:r>
          </w:p>
          <w:p w14:paraId="04A46658"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survival</w:t>
            </w:r>
          </w:p>
        </w:tc>
      </w:tr>
      <w:tr w:rsidR="000D2A6F" w14:paraId="7DBCE1ED" w14:textId="77777777" w:rsidTr="00130F10">
        <w:trPr>
          <w:cantSplit/>
          <w:trHeight w:val="1022"/>
        </w:trPr>
        <w:tc>
          <w:tcPr>
            <w:tcW w:w="1437" w:type="dxa"/>
            <w:shd w:val="clear" w:color="auto" w:fill="87C7D9"/>
            <w:noWrap/>
            <w:tcMar>
              <w:left w:w="57" w:type="dxa"/>
              <w:right w:w="57" w:type="dxa"/>
            </w:tcMar>
          </w:tcPr>
          <w:p w14:paraId="6A45EC53" w14:textId="77777777" w:rsidR="000D2A6F" w:rsidRPr="004E727D" w:rsidRDefault="000D2A6F" w:rsidP="000D2A6F">
            <w:pPr>
              <w:spacing w:after="0" w:line="240" w:lineRule="auto"/>
              <w:contextualSpacing/>
              <w:rPr>
                <w:b/>
                <w:color w:val="000000" w:themeColor="text1"/>
              </w:rPr>
            </w:pPr>
            <w:r w:rsidRPr="004E727D">
              <w:rPr>
                <w:b/>
                <w:color w:val="000000" w:themeColor="text1"/>
              </w:rPr>
              <w:t>Fish reproduction</w:t>
            </w:r>
          </w:p>
        </w:tc>
        <w:tc>
          <w:tcPr>
            <w:tcW w:w="7914" w:type="dxa"/>
            <w:vAlign w:val="center"/>
          </w:tcPr>
          <w:p w14:paraId="17881AD3" w14:textId="77777777" w:rsidR="000D2A6F" w:rsidRPr="007D4621" w:rsidRDefault="000D2A6F" w:rsidP="000D2A6F">
            <w:pPr>
              <w:spacing w:after="0" w:line="240" w:lineRule="auto"/>
              <w:ind w:right="253"/>
              <w:contextualSpacing/>
              <w:rPr>
                <w:i/>
                <w:sz w:val="20"/>
              </w:rPr>
            </w:pPr>
            <w:r w:rsidRPr="007D4621">
              <w:rPr>
                <w:i/>
                <w:sz w:val="20"/>
              </w:rPr>
              <w:t>Short and Long-term questions</w:t>
            </w:r>
          </w:p>
          <w:p w14:paraId="5B79CEFE"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the spawning of 'Opportunistic' (e.g. small bodied fish) species?</w:t>
            </w:r>
          </w:p>
          <w:p w14:paraId="6B06C4E8"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spawning in ‘flow-dependent’ spawning species (e.g. golden and silver perch)?</w:t>
            </w:r>
          </w:p>
        </w:tc>
      </w:tr>
      <w:tr w:rsidR="000D2A6F" w14:paraId="5C6263E7" w14:textId="77777777" w:rsidTr="00130F10">
        <w:trPr>
          <w:cantSplit/>
          <w:trHeight w:val="726"/>
        </w:trPr>
        <w:tc>
          <w:tcPr>
            <w:tcW w:w="1437" w:type="dxa"/>
            <w:shd w:val="clear" w:color="auto" w:fill="87C7D9"/>
            <w:noWrap/>
            <w:tcMar>
              <w:left w:w="57" w:type="dxa"/>
              <w:right w:w="57" w:type="dxa"/>
            </w:tcMar>
          </w:tcPr>
          <w:p w14:paraId="523445CB" w14:textId="77777777" w:rsidR="000D2A6F" w:rsidRPr="004E727D" w:rsidRDefault="000D2A6F" w:rsidP="000D2A6F">
            <w:pPr>
              <w:spacing w:after="0" w:line="240" w:lineRule="auto"/>
              <w:contextualSpacing/>
              <w:rPr>
                <w:b/>
                <w:color w:val="000000" w:themeColor="text1"/>
              </w:rPr>
            </w:pPr>
            <w:r w:rsidRPr="004E727D">
              <w:rPr>
                <w:b/>
                <w:color w:val="000000" w:themeColor="text1"/>
              </w:rPr>
              <w:t>Fish recruitment</w:t>
            </w:r>
          </w:p>
        </w:tc>
        <w:tc>
          <w:tcPr>
            <w:tcW w:w="7914" w:type="dxa"/>
            <w:vAlign w:val="center"/>
          </w:tcPr>
          <w:p w14:paraId="3A6670F6" w14:textId="77777777" w:rsidR="000D2A6F" w:rsidRPr="007D4621" w:rsidRDefault="000D2A6F" w:rsidP="000D2A6F">
            <w:pPr>
              <w:spacing w:after="0" w:line="240" w:lineRule="auto"/>
              <w:ind w:right="253"/>
              <w:contextualSpacing/>
              <w:rPr>
                <w:i/>
                <w:sz w:val="20"/>
              </w:rPr>
            </w:pPr>
            <w:r w:rsidRPr="007D4621">
              <w:rPr>
                <w:i/>
                <w:sz w:val="20"/>
              </w:rPr>
              <w:t>Short and Long-term questions</w:t>
            </w:r>
          </w:p>
          <w:p w14:paraId="07085CA5"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recruitment to the first year of life?</w:t>
            </w:r>
          </w:p>
          <w:p w14:paraId="66D6E029"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growth rate during the first year of life?</w:t>
            </w:r>
          </w:p>
        </w:tc>
      </w:tr>
      <w:tr w:rsidR="000D2A6F" w14:paraId="4C3CE8B5" w14:textId="77777777" w:rsidTr="00130F10">
        <w:trPr>
          <w:cantSplit/>
          <w:trHeight w:val="1134"/>
        </w:trPr>
        <w:tc>
          <w:tcPr>
            <w:tcW w:w="1437" w:type="dxa"/>
            <w:shd w:val="clear" w:color="auto" w:fill="87C7D9"/>
            <w:noWrap/>
            <w:tcMar>
              <w:left w:w="57" w:type="dxa"/>
              <w:right w:w="57" w:type="dxa"/>
            </w:tcMar>
          </w:tcPr>
          <w:p w14:paraId="459F7B0C" w14:textId="77777777" w:rsidR="000D2A6F" w:rsidRPr="004E727D" w:rsidRDefault="000D2A6F" w:rsidP="000D2A6F">
            <w:pPr>
              <w:spacing w:after="0" w:line="240" w:lineRule="auto"/>
              <w:contextualSpacing/>
              <w:rPr>
                <w:b/>
                <w:color w:val="000000" w:themeColor="text1"/>
              </w:rPr>
            </w:pPr>
            <w:r w:rsidRPr="004E727D">
              <w:rPr>
                <w:b/>
                <w:color w:val="000000" w:themeColor="text1"/>
              </w:rPr>
              <w:t xml:space="preserve">Fish river </w:t>
            </w:r>
          </w:p>
          <w:p w14:paraId="124044F1" w14:textId="77777777" w:rsidR="000D2A6F" w:rsidRPr="004E727D" w:rsidRDefault="000D2A6F" w:rsidP="000D2A6F">
            <w:pPr>
              <w:spacing w:after="0" w:line="240" w:lineRule="auto"/>
              <w:contextualSpacing/>
              <w:rPr>
                <w:b/>
                <w:color w:val="000000" w:themeColor="text1"/>
              </w:rPr>
            </w:pPr>
            <w:r w:rsidRPr="004E727D">
              <w:rPr>
                <w:b/>
                <w:color w:val="000000" w:themeColor="text1"/>
              </w:rPr>
              <w:t xml:space="preserve">(Cat 1) </w:t>
            </w:r>
          </w:p>
        </w:tc>
        <w:tc>
          <w:tcPr>
            <w:tcW w:w="7914" w:type="dxa"/>
            <w:vAlign w:val="center"/>
          </w:tcPr>
          <w:p w14:paraId="46A19343" w14:textId="77777777" w:rsidR="000D2A6F" w:rsidRPr="007D4621" w:rsidRDefault="000D2A6F" w:rsidP="000D2A6F">
            <w:pPr>
              <w:spacing w:after="0" w:line="240" w:lineRule="auto"/>
              <w:ind w:right="253"/>
              <w:contextualSpacing/>
              <w:rPr>
                <w:i/>
                <w:sz w:val="20"/>
              </w:rPr>
            </w:pPr>
            <w:r w:rsidRPr="007D4621">
              <w:rPr>
                <w:i/>
                <w:sz w:val="20"/>
              </w:rPr>
              <w:t>Long term questions</w:t>
            </w:r>
          </w:p>
          <w:p w14:paraId="3F9B56A5"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populations?</w:t>
            </w:r>
          </w:p>
          <w:p w14:paraId="4557C199" w14:textId="77777777" w:rsidR="000D2A6F" w:rsidRPr="007D4621" w:rsidRDefault="000D2A6F" w:rsidP="000D2A6F">
            <w:pPr>
              <w:spacing w:after="0" w:line="240" w:lineRule="auto"/>
              <w:ind w:right="253"/>
              <w:contextualSpacing/>
              <w:rPr>
                <w:i/>
                <w:sz w:val="20"/>
              </w:rPr>
            </w:pPr>
            <w:r w:rsidRPr="007D4621">
              <w:rPr>
                <w:i/>
                <w:sz w:val="20"/>
              </w:rPr>
              <w:t>Short term questions</w:t>
            </w:r>
          </w:p>
          <w:p w14:paraId="52AAD343"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reproduction?</w:t>
            </w:r>
          </w:p>
          <w:p w14:paraId="7E779285" w14:textId="77777777" w:rsidR="000D2A6F" w:rsidRPr="007D4621" w:rsidRDefault="000D2A6F" w:rsidP="0040642F">
            <w:pPr>
              <w:pStyle w:val="NoSpacing"/>
              <w:numPr>
                <w:ilvl w:val="0"/>
                <w:numId w:val="33"/>
              </w:numPr>
              <w:ind w:left="176" w:hanging="176"/>
              <w:contextualSpacing/>
              <w:rPr>
                <w:sz w:val="20"/>
              </w:rPr>
            </w:pPr>
            <w:r w:rsidRPr="007D4621">
              <w:rPr>
                <w:sz w:val="20"/>
              </w:rPr>
              <w:t xml:space="preserve">What did </w:t>
            </w:r>
            <w:r>
              <w:rPr>
                <w:sz w:val="20"/>
              </w:rPr>
              <w:t>CEW</w:t>
            </w:r>
            <w:r w:rsidRPr="007D4621">
              <w:rPr>
                <w:sz w:val="20"/>
              </w:rPr>
              <w:t xml:space="preserve"> contribute to native fish survival?</w:t>
            </w:r>
          </w:p>
        </w:tc>
      </w:tr>
      <w:tr w:rsidR="000D2A6F" w14:paraId="3AA7336C" w14:textId="77777777" w:rsidTr="00130F10">
        <w:trPr>
          <w:cantSplit/>
          <w:trHeight w:val="709"/>
        </w:trPr>
        <w:tc>
          <w:tcPr>
            <w:tcW w:w="1437" w:type="dxa"/>
            <w:shd w:val="clear" w:color="auto" w:fill="87C7D9"/>
            <w:noWrap/>
            <w:tcMar>
              <w:left w:w="57" w:type="dxa"/>
              <w:right w:w="57" w:type="dxa"/>
            </w:tcMar>
          </w:tcPr>
          <w:p w14:paraId="57B85346" w14:textId="77777777" w:rsidR="000D2A6F" w:rsidRPr="004E727D" w:rsidRDefault="000D2A6F" w:rsidP="000D2A6F">
            <w:pPr>
              <w:spacing w:after="0" w:line="240" w:lineRule="auto"/>
              <w:contextualSpacing/>
              <w:rPr>
                <w:b/>
                <w:color w:val="000000" w:themeColor="text1"/>
              </w:rPr>
            </w:pPr>
            <w:r w:rsidRPr="004E727D">
              <w:rPr>
                <w:b/>
                <w:color w:val="000000" w:themeColor="text1"/>
              </w:rPr>
              <w:t xml:space="preserve">Fish community </w:t>
            </w:r>
          </w:p>
        </w:tc>
        <w:tc>
          <w:tcPr>
            <w:tcW w:w="7914" w:type="dxa"/>
            <w:vAlign w:val="center"/>
          </w:tcPr>
          <w:p w14:paraId="555F975E" w14:textId="77777777" w:rsidR="000D2A6F" w:rsidRPr="007D4621" w:rsidRDefault="000D2A6F" w:rsidP="000D2A6F">
            <w:pPr>
              <w:spacing w:after="0" w:line="240" w:lineRule="auto"/>
              <w:ind w:right="253"/>
              <w:contextualSpacing/>
              <w:rPr>
                <w:i/>
                <w:sz w:val="20"/>
              </w:rPr>
            </w:pPr>
            <w:r w:rsidRPr="007D4621">
              <w:rPr>
                <w:i/>
                <w:sz w:val="20"/>
              </w:rPr>
              <w:t>Long-term question</w:t>
            </w:r>
          </w:p>
          <w:p w14:paraId="4F3EE36A" w14:textId="44763206" w:rsidR="000D2A6F" w:rsidRPr="007D4621" w:rsidRDefault="000D2A6F" w:rsidP="0040642F">
            <w:pPr>
              <w:pStyle w:val="NoSpacing"/>
              <w:numPr>
                <w:ilvl w:val="0"/>
                <w:numId w:val="33"/>
              </w:numPr>
              <w:ind w:left="176" w:hanging="176"/>
              <w:contextualSpacing/>
              <w:rPr>
                <w:sz w:val="20"/>
              </w:rPr>
            </w:pPr>
            <w:r w:rsidRPr="007D4621">
              <w:rPr>
                <w:sz w:val="20"/>
              </w:rPr>
              <w:t>How does the fish community in the Edward</w:t>
            </w:r>
            <w:r w:rsidR="0091645A">
              <w:rPr>
                <w:sz w:val="20"/>
              </w:rPr>
              <w:t>/Kolety</w:t>
            </w:r>
            <w:r w:rsidRPr="007D4621">
              <w:rPr>
                <w:sz w:val="20"/>
              </w:rPr>
              <w:t>-Wakool system vary over 3-5 years, and does this link with sequential flow characteristics?</w:t>
            </w:r>
          </w:p>
        </w:tc>
      </w:tr>
    </w:tbl>
    <w:p w14:paraId="5F14929F" w14:textId="77777777" w:rsidR="000D2A6F" w:rsidRPr="000D2A6F" w:rsidRDefault="000D2A6F" w:rsidP="000D2A6F">
      <w:pPr>
        <w:tabs>
          <w:tab w:val="left" w:pos="9071"/>
        </w:tabs>
        <w:spacing w:after="240" w:line="320" w:lineRule="exact"/>
        <w:contextualSpacing/>
        <w:jc w:val="left"/>
      </w:pPr>
    </w:p>
    <w:p w14:paraId="6AD0D6C0" w14:textId="3F34B966" w:rsidR="00D76240" w:rsidRDefault="00D76240" w:rsidP="008F692D">
      <w:pPr>
        <w:spacing w:after="240" w:line="320" w:lineRule="exact"/>
        <w:jc w:val="left"/>
        <w:rPr>
          <w:rFonts w:eastAsia="Times New Roman"/>
          <w:b/>
          <w:color w:val="000000"/>
          <w:kern w:val="28"/>
          <w:sz w:val="20"/>
        </w:rPr>
      </w:pPr>
      <w:r>
        <w:br w:type="page"/>
      </w:r>
    </w:p>
    <w:p w14:paraId="3B4F8849" w14:textId="50168DB3" w:rsidR="004B25EB" w:rsidRPr="00650BA4" w:rsidRDefault="00446E95" w:rsidP="004B25EB">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t>3.</w:t>
      </w:r>
      <w:r w:rsidR="007B62A1">
        <w:rPr>
          <w:b/>
          <w:color w:val="31849B" w:themeColor="accent5" w:themeShade="BF"/>
          <w:sz w:val="28"/>
          <w:szCs w:val="28"/>
        </w:rPr>
        <w:t>3</w:t>
      </w:r>
      <w:r w:rsidR="004B25EB" w:rsidRPr="00650BA4">
        <w:rPr>
          <w:b/>
          <w:color w:val="31849B" w:themeColor="accent5" w:themeShade="BF"/>
          <w:sz w:val="28"/>
          <w:szCs w:val="28"/>
        </w:rPr>
        <w:t xml:space="preserve"> </w:t>
      </w:r>
      <w:r w:rsidR="0028536F">
        <w:rPr>
          <w:b/>
          <w:color w:val="31849B" w:themeColor="accent5" w:themeShade="BF"/>
          <w:sz w:val="28"/>
          <w:szCs w:val="28"/>
        </w:rPr>
        <w:t xml:space="preserve">  </w:t>
      </w:r>
      <w:r w:rsidR="004B25EB" w:rsidRPr="00650BA4">
        <w:rPr>
          <w:b/>
          <w:color w:val="31849B" w:themeColor="accent5" w:themeShade="BF"/>
          <w:sz w:val="28"/>
          <w:szCs w:val="28"/>
        </w:rPr>
        <w:t>Evaluation</w:t>
      </w:r>
      <w:r w:rsidR="00740CC3" w:rsidRPr="00650BA4">
        <w:rPr>
          <w:b/>
          <w:color w:val="31849B" w:themeColor="accent5" w:themeShade="BF"/>
          <w:sz w:val="28"/>
          <w:szCs w:val="28"/>
        </w:rPr>
        <w:t xml:space="preserve"> of </w:t>
      </w:r>
      <w:r w:rsidR="00BD5533">
        <w:rPr>
          <w:b/>
          <w:color w:val="31849B" w:themeColor="accent5" w:themeShade="BF"/>
          <w:sz w:val="28"/>
          <w:szCs w:val="28"/>
        </w:rPr>
        <w:t xml:space="preserve">monitoring </w:t>
      </w:r>
      <w:r w:rsidR="00740CC3" w:rsidRPr="00650BA4">
        <w:rPr>
          <w:b/>
          <w:color w:val="31849B" w:themeColor="accent5" w:themeShade="BF"/>
          <w:sz w:val="28"/>
          <w:szCs w:val="28"/>
        </w:rPr>
        <w:t>outcomes</w:t>
      </w:r>
    </w:p>
    <w:p w14:paraId="3B4F884A" w14:textId="2501F38E" w:rsidR="004B25EB" w:rsidRPr="00547D70" w:rsidRDefault="0095687A" w:rsidP="00F617B5">
      <w:pPr>
        <w:spacing w:after="120" w:line="240" w:lineRule="auto"/>
      </w:pPr>
      <w:r>
        <w:t>The outcome</w:t>
      </w:r>
      <w:r w:rsidR="004B25EB" w:rsidRPr="00547D70">
        <w:t xml:space="preserve"> of Commonwealth environme</w:t>
      </w:r>
      <w:r w:rsidR="00523C5A">
        <w:t>ntal watering undertaken in 201</w:t>
      </w:r>
      <w:r w:rsidR="00BD5533">
        <w:t>9-20</w:t>
      </w:r>
      <w:r w:rsidR="004B25EB" w:rsidRPr="00547D70">
        <w:t xml:space="preserve"> </w:t>
      </w:r>
      <w:r w:rsidR="00B8305D">
        <w:t>was</w:t>
      </w:r>
      <w:r>
        <w:t xml:space="preserve"> undertaken</w:t>
      </w:r>
      <w:r w:rsidR="004B25EB" w:rsidRPr="00547D70">
        <w:t xml:space="preserve"> for the following indicators:</w:t>
      </w:r>
    </w:p>
    <w:p w14:paraId="3B4F884B" w14:textId="77777777" w:rsidR="00C27584" w:rsidRPr="00547D70" w:rsidRDefault="00C27584" w:rsidP="005702EF">
      <w:pPr>
        <w:pStyle w:val="ListParagraph"/>
        <w:numPr>
          <w:ilvl w:val="0"/>
          <w:numId w:val="15"/>
        </w:numPr>
        <w:spacing w:after="0" w:line="240" w:lineRule="auto"/>
        <w:ind w:left="714" w:hanging="357"/>
      </w:pPr>
      <w:r w:rsidRPr="00547D70">
        <w:t>Hydrology (</w:t>
      </w:r>
      <w:r w:rsidR="00FA0995" w:rsidRPr="00547D70">
        <w:t>Section 4</w:t>
      </w:r>
      <w:r w:rsidRPr="00547D70">
        <w:t>)</w:t>
      </w:r>
    </w:p>
    <w:p w14:paraId="3B4F884C" w14:textId="20F411F8" w:rsidR="004B25EB" w:rsidRPr="00547D70" w:rsidRDefault="004B25EB" w:rsidP="005702EF">
      <w:pPr>
        <w:pStyle w:val="ListParagraph"/>
        <w:numPr>
          <w:ilvl w:val="0"/>
          <w:numId w:val="15"/>
        </w:numPr>
        <w:spacing w:after="0" w:line="240" w:lineRule="auto"/>
        <w:ind w:left="714" w:hanging="357"/>
      </w:pPr>
      <w:r w:rsidRPr="00547D70">
        <w:t>Wate</w:t>
      </w:r>
      <w:r w:rsidR="00FA0995" w:rsidRPr="00547D70">
        <w:t>r quality and carbon (Section 5</w:t>
      </w:r>
      <w:r w:rsidRPr="00547D70">
        <w:t>)</w:t>
      </w:r>
    </w:p>
    <w:p w14:paraId="3B4F884D" w14:textId="23DD21F6" w:rsidR="004B25EB" w:rsidRPr="00547D70" w:rsidRDefault="00FA0995" w:rsidP="005702EF">
      <w:pPr>
        <w:pStyle w:val="ListParagraph"/>
        <w:numPr>
          <w:ilvl w:val="0"/>
          <w:numId w:val="15"/>
        </w:numPr>
        <w:spacing w:after="0" w:line="240" w:lineRule="auto"/>
        <w:ind w:left="714" w:hanging="357"/>
      </w:pPr>
      <w:r w:rsidRPr="00547D70">
        <w:t>Stream metabolism (Section 6</w:t>
      </w:r>
      <w:r w:rsidR="004B25EB" w:rsidRPr="00547D70">
        <w:t>)</w:t>
      </w:r>
    </w:p>
    <w:p w14:paraId="3B4F884E" w14:textId="62E8EDDA" w:rsidR="004B25EB" w:rsidRPr="00547D70" w:rsidRDefault="004B25EB" w:rsidP="005702EF">
      <w:pPr>
        <w:pStyle w:val="ListParagraph"/>
        <w:numPr>
          <w:ilvl w:val="0"/>
          <w:numId w:val="15"/>
        </w:numPr>
        <w:spacing w:after="0" w:line="240" w:lineRule="auto"/>
        <w:ind w:left="714" w:hanging="357"/>
      </w:pPr>
      <w:r w:rsidRPr="00547D70">
        <w:t>Aquatic and river</w:t>
      </w:r>
      <w:r w:rsidR="00FA0995" w:rsidRPr="00547D70">
        <w:t>bank vegetation (Section 7</w:t>
      </w:r>
      <w:r w:rsidRPr="00547D70">
        <w:t>)</w:t>
      </w:r>
    </w:p>
    <w:p w14:paraId="3B4F884F" w14:textId="6C07F8B4" w:rsidR="004B25EB" w:rsidRPr="00547D70" w:rsidRDefault="00FA0995" w:rsidP="005702EF">
      <w:pPr>
        <w:pStyle w:val="ListParagraph"/>
        <w:numPr>
          <w:ilvl w:val="0"/>
          <w:numId w:val="15"/>
        </w:numPr>
        <w:spacing w:after="120" w:line="240" w:lineRule="auto"/>
        <w:ind w:left="714" w:hanging="357"/>
      </w:pPr>
      <w:r w:rsidRPr="00547D70">
        <w:t>Fish movement</w:t>
      </w:r>
      <w:r w:rsidR="00BD5533">
        <w:t>, reproduction, recruitment, and community</w:t>
      </w:r>
      <w:r w:rsidRPr="00547D70">
        <w:t xml:space="preserve"> (Section 8</w:t>
      </w:r>
      <w:r w:rsidR="004B25EB" w:rsidRPr="00547D70">
        <w:t>)</w:t>
      </w:r>
    </w:p>
    <w:p w14:paraId="0624C486" w14:textId="77777777" w:rsidR="00D334CD" w:rsidRDefault="00D334CD" w:rsidP="00F617B5">
      <w:pPr>
        <w:spacing w:after="120" w:line="320" w:lineRule="exact"/>
        <w:contextualSpacing/>
        <w:jc w:val="left"/>
      </w:pPr>
      <w:r>
        <w:t xml:space="preserve">Responses to Commonwealth environmental water were evaluated in two ways: </w:t>
      </w:r>
    </w:p>
    <w:p w14:paraId="4B940C57" w14:textId="079D3752" w:rsidR="00D334CD" w:rsidRDefault="00D334CD" w:rsidP="0040642F">
      <w:pPr>
        <w:pStyle w:val="ListParagraph"/>
        <w:numPr>
          <w:ilvl w:val="0"/>
          <w:numId w:val="24"/>
        </w:numPr>
        <w:spacing w:after="120" w:line="320" w:lineRule="exact"/>
        <w:ind w:left="408" w:hanging="408"/>
        <w:jc w:val="left"/>
      </w:pPr>
      <w:r>
        <w:t>Indicators that respond quickly to flow (e.g. hydrology, water quality and carbon, stream metabolism, fish movement, fish spawning) were evaluated for their response to specific watering actions.</w:t>
      </w:r>
      <w:r w:rsidR="0095687A">
        <w:t xml:space="preserve"> H</w:t>
      </w:r>
      <w:r>
        <w:t>ydrological indicators were calculated on the discharge data with and without the environmental water.</w:t>
      </w:r>
    </w:p>
    <w:p w14:paraId="09AA4046" w14:textId="3DAD1B69" w:rsidR="00D334CD" w:rsidRDefault="00D334CD" w:rsidP="0040642F">
      <w:pPr>
        <w:pStyle w:val="ListParagraph"/>
        <w:numPr>
          <w:ilvl w:val="0"/>
          <w:numId w:val="24"/>
        </w:numPr>
        <w:spacing w:after="240" w:line="320" w:lineRule="exact"/>
        <w:ind w:left="408" w:hanging="408"/>
        <w:jc w:val="left"/>
      </w:pPr>
      <w:r>
        <w:t>Indicators that respond over longer time frames (e.g. riverbank and aquatic vegetation, fish recruitment</w:t>
      </w:r>
      <w:r w:rsidR="0095687A">
        <w:t>, fish community</w:t>
      </w:r>
      <w:r>
        <w:t>) were evaluated for their response to the longer-term environmental watering regimes. This was undertaken by comparing responses over multiple years</w:t>
      </w:r>
      <w:r w:rsidR="0095687A">
        <w:t>, and/or comparing responses</w:t>
      </w:r>
      <w:r>
        <w:t xml:space="preserve"> in reaches that have received environmental water</w:t>
      </w:r>
      <w:r w:rsidR="00BD5533">
        <w:t xml:space="preserve"> </w:t>
      </w:r>
      <w:r>
        <w:t>to zone</w:t>
      </w:r>
      <w:r w:rsidR="00BD5533">
        <w:t>s (e.g. upper Wakool River zone 2)</w:t>
      </w:r>
      <w:r>
        <w:t xml:space="preserve"> that has received none or minimal environmental water.</w:t>
      </w:r>
    </w:p>
    <w:p w14:paraId="2B9C4C12" w14:textId="3200E705" w:rsidR="00741C5E" w:rsidRPr="00741C5E" w:rsidRDefault="00741C5E" w:rsidP="00741C5E">
      <w:pPr>
        <w:tabs>
          <w:tab w:val="left" w:pos="9071"/>
        </w:tabs>
        <w:spacing w:after="240" w:line="320" w:lineRule="exact"/>
        <w:ind w:right="-1"/>
        <w:jc w:val="left"/>
        <w:rPr>
          <w:b/>
          <w:color w:val="31849B" w:themeColor="accent5" w:themeShade="BF"/>
          <w:sz w:val="28"/>
          <w:szCs w:val="28"/>
        </w:rPr>
      </w:pPr>
      <w:r>
        <w:rPr>
          <w:b/>
          <w:color w:val="31849B" w:themeColor="accent5" w:themeShade="BF"/>
          <w:sz w:val="28"/>
          <w:szCs w:val="28"/>
        </w:rPr>
        <w:t>3.</w:t>
      </w:r>
      <w:r w:rsidR="007B62A1">
        <w:rPr>
          <w:b/>
          <w:color w:val="31849B" w:themeColor="accent5" w:themeShade="BF"/>
          <w:sz w:val="28"/>
          <w:szCs w:val="28"/>
        </w:rPr>
        <w:t>4</w:t>
      </w:r>
      <w:r w:rsidRPr="00741C5E">
        <w:rPr>
          <w:b/>
          <w:color w:val="31849B" w:themeColor="accent5" w:themeShade="BF"/>
          <w:sz w:val="28"/>
          <w:szCs w:val="28"/>
        </w:rPr>
        <w:t xml:space="preserve">   </w:t>
      </w:r>
      <w:r w:rsidR="0075113A">
        <w:rPr>
          <w:b/>
          <w:color w:val="31849B" w:themeColor="accent5" w:themeShade="BF"/>
          <w:sz w:val="28"/>
          <w:szCs w:val="28"/>
        </w:rPr>
        <w:t>Research</w:t>
      </w:r>
    </w:p>
    <w:p w14:paraId="3EC6E8CB" w14:textId="3AD18BC9" w:rsidR="005702EF" w:rsidRDefault="005702EF" w:rsidP="0095687A">
      <w:pPr>
        <w:spacing w:after="120" w:line="276" w:lineRule="auto"/>
        <w:jc w:val="left"/>
      </w:pPr>
      <w:r>
        <w:t xml:space="preserve">An integrated </w:t>
      </w:r>
      <w:r w:rsidRPr="00357BA0">
        <w:rPr>
          <w:rFonts w:cs="Arial"/>
        </w:rPr>
        <w:t>research</w:t>
      </w:r>
      <w:r>
        <w:rPr>
          <w:rFonts w:cs="Arial"/>
        </w:rPr>
        <w:t xml:space="preserve"> project </w:t>
      </w:r>
      <w:r w:rsidR="00D14C58">
        <w:rPr>
          <w:rFonts w:cs="Arial"/>
        </w:rPr>
        <w:t>will</w:t>
      </w:r>
      <w:r>
        <w:rPr>
          <w:rFonts w:cs="Arial"/>
        </w:rPr>
        <w:t xml:space="preserve"> address knowledge </w:t>
      </w:r>
      <w:r w:rsidRPr="00357BA0">
        <w:rPr>
          <w:rFonts w:cs="Arial"/>
        </w:rPr>
        <w:t xml:space="preserve">gaps </w:t>
      </w:r>
      <w:r>
        <w:rPr>
          <w:rFonts w:cs="Arial"/>
        </w:rPr>
        <w:t>that are necessary to</w:t>
      </w:r>
      <w:r w:rsidRPr="00357BA0">
        <w:rPr>
          <w:rFonts w:cs="Arial"/>
        </w:rPr>
        <w:t xml:space="preserve"> </w:t>
      </w:r>
      <w:r>
        <w:rPr>
          <w:rFonts w:cs="Arial"/>
        </w:rPr>
        <w:t>improve</w:t>
      </w:r>
      <w:r w:rsidRPr="00357BA0">
        <w:rPr>
          <w:rFonts w:cs="Arial"/>
        </w:rPr>
        <w:t xml:space="preserve"> </w:t>
      </w:r>
      <w:r>
        <w:rPr>
          <w:rFonts w:cs="Arial"/>
        </w:rPr>
        <w:t xml:space="preserve">the delivery, </w:t>
      </w:r>
      <w:r w:rsidRPr="00357BA0">
        <w:rPr>
          <w:rFonts w:cs="Arial"/>
        </w:rPr>
        <w:t>monitoring and evaluation</w:t>
      </w:r>
      <w:r>
        <w:rPr>
          <w:rFonts w:cs="Arial"/>
        </w:rPr>
        <w:t xml:space="preserve"> of environmental water in the Edward/Kolety-Wakool system</w:t>
      </w:r>
      <w:r w:rsidRPr="00357BA0">
        <w:rPr>
          <w:rFonts w:cs="Arial"/>
        </w:rPr>
        <w:t xml:space="preserve">. </w:t>
      </w:r>
      <w:r>
        <w:t>The</w:t>
      </w:r>
      <w:r w:rsidRPr="007E2AB2">
        <w:t xml:space="preserve"> integrated </w:t>
      </w:r>
      <w:r>
        <w:t>research project</w:t>
      </w:r>
      <w:r w:rsidRPr="007E2AB2">
        <w:t xml:space="preserve"> focus</w:t>
      </w:r>
      <w:r>
        <w:t>ses</w:t>
      </w:r>
      <w:r w:rsidRPr="007E2AB2">
        <w:t xml:space="preserve"> on the Ed</w:t>
      </w:r>
      <w:r>
        <w:t>ward/Kolety River</w:t>
      </w:r>
      <w:r w:rsidR="00D14C58">
        <w:t xml:space="preserve">; this </w:t>
      </w:r>
      <w:r>
        <w:t xml:space="preserve">part of the system </w:t>
      </w:r>
      <w:r w:rsidR="00D14C58">
        <w:t>is</w:t>
      </w:r>
      <w:r>
        <w:t xml:space="preserve"> not monitored as part of LTIM/MER project, so there are considerable knowledge gaps</w:t>
      </w:r>
      <w:r w:rsidR="00D14C58">
        <w:t xml:space="preserve"> that need</w:t>
      </w:r>
      <w:r>
        <w:t xml:space="preserve"> to be addressed to inform the future delivery of environmental water to the Edward/Kolety River and the management of environmental water in relation to the Werai Forest, which is part of the NSW Central Murray Forests Ramsar site (NSW Office of Environment and Heritage 2018). </w:t>
      </w:r>
    </w:p>
    <w:p w14:paraId="268CCE25" w14:textId="0569DDCF" w:rsidR="00F617B5" w:rsidRDefault="005702EF" w:rsidP="0095687A">
      <w:pPr>
        <w:spacing w:after="120" w:line="276" w:lineRule="auto"/>
        <w:jc w:val="left"/>
      </w:pPr>
      <w:r>
        <w:t xml:space="preserve">This integrated research project includes physical, </w:t>
      </w:r>
      <w:r w:rsidR="0095687A">
        <w:t>ecological, and social research</w:t>
      </w:r>
      <w:r>
        <w:t xml:space="preserve"> that will </w:t>
      </w:r>
      <w:r w:rsidR="0095687A">
        <w:t>address questions (Table 3.4) relating to</w:t>
      </w:r>
      <w:r w:rsidRPr="007E2AB2">
        <w:t xml:space="preserve"> how managed flows </w:t>
      </w:r>
      <w:r>
        <w:t>in the Edward</w:t>
      </w:r>
      <w:r w:rsidR="0091645A">
        <w:t>/Kolety</w:t>
      </w:r>
      <w:r>
        <w:t xml:space="preserve"> River, </w:t>
      </w:r>
      <w:r w:rsidRPr="007E2AB2">
        <w:t>and the operation of Stevens Weir</w:t>
      </w:r>
      <w:r>
        <w:t>,</w:t>
      </w:r>
      <w:r w:rsidRPr="007E2AB2">
        <w:t xml:space="preserve"> influence physical aspects (e.g. </w:t>
      </w:r>
      <w:r>
        <w:t>lateral</w:t>
      </w:r>
      <w:r w:rsidRPr="007E2AB2">
        <w:t xml:space="preserve"> connectivity and physical form) and ecological processes</w:t>
      </w:r>
      <w:r>
        <w:t>,</w:t>
      </w:r>
      <w:r w:rsidRPr="007E2AB2">
        <w:t xml:space="preserve"> such as river productivity, wetland plant emergence and survival, turtle movement and condition, and fish spawning. </w:t>
      </w:r>
      <w:r>
        <w:t xml:space="preserve">In addition, an e-DNA approach will be used to determine the </w:t>
      </w:r>
      <w:r w:rsidRPr="00FF1673">
        <w:rPr>
          <w:rFonts w:cstheme="minorHAnsi"/>
        </w:rPr>
        <w:t xml:space="preserve">presence and </w:t>
      </w:r>
      <w:r w:rsidRPr="002328FD">
        <w:rPr>
          <w:rFonts w:cstheme="minorHAnsi"/>
        </w:rPr>
        <w:t>spatial</w:t>
      </w:r>
      <w:r w:rsidRPr="00FF1673">
        <w:rPr>
          <w:rFonts w:cstheme="minorHAnsi"/>
        </w:rPr>
        <w:t xml:space="preserve"> distribution of threatened, uncommon and iconic </w:t>
      </w:r>
      <w:r>
        <w:rPr>
          <w:rFonts w:cstheme="minorHAnsi"/>
        </w:rPr>
        <w:t>or rare taxa that have not been the target of the LTIM/MER monitoring and evaluation. Integrated with these biophysical research themes, s</w:t>
      </w:r>
      <w:r w:rsidRPr="007E2AB2">
        <w:t xml:space="preserve">ocial research </w:t>
      </w:r>
      <w:r>
        <w:t>will be undertaken to examine</w:t>
      </w:r>
      <w:r w:rsidRPr="007E2AB2">
        <w:t xml:space="preserve"> stakeholder attitudes to, and acceptance of, the concept and use of C</w:t>
      </w:r>
      <w:r>
        <w:t xml:space="preserve">ommonwealth environmental water. </w:t>
      </w:r>
      <w:r w:rsidR="00F617B5">
        <w:t xml:space="preserve">Some of the research components have different reporting timelines (Table 3.4). The research implementation will be </w:t>
      </w:r>
      <w:r w:rsidR="00B8305D">
        <w:t xml:space="preserve">undertaken </w:t>
      </w:r>
      <w:r w:rsidR="00F617B5">
        <w:t xml:space="preserve">throughout the </w:t>
      </w:r>
      <w:r w:rsidR="00B8305D">
        <w:t>MER project (2019-2022)</w:t>
      </w:r>
      <w:r w:rsidR="00F617B5">
        <w:t xml:space="preserve">, </w:t>
      </w:r>
      <w:r w:rsidR="00B8305D">
        <w:t>and</w:t>
      </w:r>
      <w:r w:rsidR="00F617B5">
        <w:t xml:space="preserve"> the </w:t>
      </w:r>
      <w:r w:rsidR="00B8305D">
        <w:t>integrated research outcomes will be</w:t>
      </w:r>
      <w:r w:rsidR="00F617B5">
        <w:t xml:space="preserve"> in the final MER report in 2022.</w:t>
      </w:r>
    </w:p>
    <w:p w14:paraId="6B4C3577" w14:textId="77777777" w:rsidR="00F617B5" w:rsidRDefault="00F617B5">
      <w:pPr>
        <w:spacing w:after="0" w:line="240" w:lineRule="auto"/>
        <w:jc w:val="left"/>
      </w:pPr>
      <w:r>
        <w:br w:type="page"/>
      </w:r>
    </w:p>
    <w:p w14:paraId="6515A895" w14:textId="65AC0DE4" w:rsidR="0095687A" w:rsidRDefault="0095687A" w:rsidP="0095687A">
      <w:pPr>
        <w:spacing w:after="120" w:line="320" w:lineRule="exact"/>
        <w:jc w:val="left"/>
      </w:pPr>
      <w:r>
        <w:t>An innovative aspect of this research project is that local stakeholder groups will participate in the integrated research. The Edward-Wakool Angler Association is a collaborative partner on the fish spawning research in the Edward/Kolety River. Yarkuwa Indigenous Knowledge Centre is a collaborative partner on the research on turtles and understory and groundcover vegetation in Werai Forest.</w:t>
      </w:r>
    </w:p>
    <w:p w14:paraId="149DC0D1" w14:textId="77777777" w:rsidR="00F617B5" w:rsidRPr="007E2AB2" w:rsidRDefault="00F617B5" w:rsidP="0095687A">
      <w:pPr>
        <w:spacing w:after="120" w:line="320" w:lineRule="exact"/>
        <w:jc w:val="left"/>
      </w:pPr>
    </w:p>
    <w:p w14:paraId="008CA4B6" w14:textId="73631FEB" w:rsidR="0095687A" w:rsidRPr="00DD718B" w:rsidRDefault="0095687A" w:rsidP="0095687A">
      <w:pPr>
        <w:pStyle w:val="Default"/>
        <w:ind w:right="4"/>
        <w:rPr>
          <w:rFonts w:asciiTheme="minorHAnsi" w:hAnsiTheme="minorHAnsi" w:cstheme="minorHAnsi"/>
          <w:bCs/>
          <w:sz w:val="20"/>
          <w:szCs w:val="20"/>
        </w:rPr>
      </w:pPr>
      <w:r>
        <w:rPr>
          <w:rFonts w:asciiTheme="minorHAnsi" w:hAnsiTheme="minorHAnsi" w:cstheme="minorHAnsi"/>
          <w:b/>
          <w:bCs/>
          <w:sz w:val="20"/>
          <w:szCs w:val="20"/>
        </w:rPr>
        <w:t>Table 3.4</w:t>
      </w:r>
      <w:r w:rsidRPr="00DD718B">
        <w:rPr>
          <w:rFonts w:asciiTheme="minorHAnsi" w:hAnsiTheme="minorHAnsi" w:cstheme="minorHAnsi"/>
          <w:b/>
          <w:bCs/>
          <w:sz w:val="20"/>
          <w:szCs w:val="20"/>
        </w:rPr>
        <w:t xml:space="preserve"> </w:t>
      </w:r>
      <w:r w:rsidRPr="00DD718B">
        <w:rPr>
          <w:rFonts w:asciiTheme="minorHAnsi" w:hAnsiTheme="minorHAnsi" w:cstheme="minorHAnsi"/>
          <w:bCs/>
          <w:sz w:val="20"/>
          <w:szCs w:val="20"/>
        </w:rPr>
        <w:t xml:space="preserve">Summary of </w:t>
      </w:r>
      <w:r>
        <w:rPr>
          <w:rFonts w:asciiTheme="minorHAnsi" w:hAnsiTheme="minorHAnsi" w:cstheme="minorHAnsi"/>
          <w:bCs/>
          <w:sz w:val="20"/>
          <w:szCs w:val="20"/>
        </w:rPr>
        <w:t>research questions for the Edward/Kolety integrated research project</w:t>
      </w:r>
      <w:r w:rsidR="00F617B5">
        <w:rPr>
          <w:rFonts w:asciiTheme="minorHAnsi" w:hAnsiTheme="minorHAnsi" w:cstheme="minorHAnsi"/>
          <w:bCs/>
          <w:sz w:val="20"/>
          <w:szCs w:val="20"/>
        </w:rPr>
        <w:t>, and timeline for reporting for each theme</w:t>
      </w:r>
    </w:p>
    <w:tbl>
      <w:tblPr>
        <w:tblStyle w:val="TableGrid"/>
        <w:tblW w:w="9351" w:type="dxa"/>
        <w:tblLayout w:type="fixed"/>
        <w:tblLook w:val="04A0" w:firstRow="1" w:lastRow="0" w:firstColumn="1" w:lastColumn="0" w:noHBand="0" w:noVBand="1"/>
      </w:tblPr>
      <w:tblGrid>
        <w:gridCol w:w="2405"/>
        <w:gridCol w:w="4617"/>
        <w:gridCol w:w="1337"/>
        <w:gridCol w:w="992"/>
      </w:tblGrid>
      <w:tr w:rsidR="004B4B4B" w:rsidRPr="007D4621" w14:paraId="32D8C9B8" w14:textId="637FCA86" w:rsidTr="000F20B5">
        <w:trPr>
          <w:cantSplit/>
          <w:trHeight w:val="641"/>
        </w:trPr>
        <w:tc>
          <w:tcPr>
            <w:tcW w:w="2405" w:type="dxa"/>
            <w:shd w:val="clear" w:color="auto" w:fill="92CDDC" w:themeFill="accent5" w:themeFillTint="99"/>
            <w:noWrap/>
            <w:tcMar>
              <w:left w:w="57" w:type="dxa"/>
              <w:right w:w="57" w:type="dxa"/>
            </w:tcMar>
          </w:tcPr>
          <w:p w14:paraId="4F883B0E" w14:textId="6E09B0BC" w:rsidR="004B4B4B" w:rsidRDefault="004B4B4B" w:rsidP="004B4B4B">
            <w:pPr>
              <w:tabs>
                <w:tab w:val="right" w:pos="2291"/>
              </w:tabs>
              <w:spacing w:after="0" w:line="240" w:lineRule="auto"/>
              <w:contextualSpacing/>
              <w:jc w:val="left"/>
              <w:rPr>
                <w:b/>
                <w:color w:val="000000" w:themeColor="text1"/>
              </w:rPr>
            </w:pPr>
            <w:r>
              <w:rPr>
                <w:b/>
                <w:color w:val="000000" w:themeColor="text1"/>
              </w:rPr>
              <w:t>Research Area</w:t>
            </w:r>
            <w:r>
              <w:rPr>
                <w:b/>
                <w:color w:val="000000" w:themeColor="text1"/>
              </w:rPr>
              <w:tab/>
            </w:r>
          </w:p>
        </w:tc>
        <w:tc>
          <w:tcPr>
            <w:tcW w:w="4617" w:type="dxa"/>
            <w:shd w:val="clear" w:color="auto" w:fill="92CDDC" w:themeFill="accent5" w:themeFillTint="99"/>
          </w:tcPr>
          <w:p w14:paraId="384E672C" w14:textId="61FCCAF0" w:rsidR="004B4B4B" w:rsidRPr="004B4B4B" w:rsidRDefault="004B4B4B" w:rsidP="00D14C58">
            <w:pPr>
              <w:spacing w:after="0" w:line="240" w:lineRule="auto"/>
              <w:ind w:right="253"/>
              <w:contextualSpacing/>
              <w:jc w:val="left"/>
              <w:rPr>
                <w:b/>
                <w:sz w:val="20"/>
              </w:rPr>
            </w:pPr>
            <w:r w:rsidRPr="004B4B4B">
              <w:rPr>
                <w:b/>
                <w:sz w:val="20"/>
              </w:rPr>
              <w:t>Research Question</w:t>
            </w:r>
          </w:p>
        </w:tc>
        <w:tc>
          <w:tcPr>
            <w:tcW w:w="1337" w:type="dxa"/>
            <w:shd w:val="clear" w:color="auto" w:fill="92CDDC" w:themeFill="accent5" w:themeFillTint="99"/>
            <w:tcMar>
              <w:left w:w="57" w:type="dxa"/>
              <w:right w:w="57" w:type="dxa"/>
            </w:tcMar>
          </w:tcPr>
          <w:p w14:paraId="1C031248" w14:textId="49E88886" w:rsidR="004B4B4B" w:rsidRPr="004B4B4B" w:rsidRDefault="004B4B4B" w:rsidP="004B4B4B">
            <w:pPr>
              <w:spacing w:after="0" w:line="240" w:lineRule="auto"/>
              <w:ind w:right="253"/>
              <w:contextualSpacing/>
              <w:jc w:val="left"/>
              <w:rPr>
                <w:b/>
                <w:sz w:val="20"/>
              </w:rPr>
            </w:pPr>
            <w:r w:rsidRPr="004B4B4B">
              <w:rPr>
                <w:b/>
                <w:sz w:val="20"/>
              </w:rPr>
              <w:t>Research timeframe</w:t>
            </w:r>
          </w:p>
        </w:tc>
        <w:tc>
          <w:tcPr>
            <w:tcW w:w="992" w:type="dxa"/>
            <w:shd w:val="clear" w:color="auto" w:fill="92CDDC" w:themeFill="accent5" w:themeFillTint="99"/>
            <w:tcMar>
              <w:left w:w="57" w:type="dxa"/>
              <w:right w:w="57" w:type="dxa"/>
            </w:tcMar>
          </w:tcPr>
          <w:p w14:paraId="38896965" w14:textId="0BA65E3C" w:rsidR="004B4B4B" w:rsidRPr="004B4B4B" w:rsidRDefault="004B4B4B" w:rsidP="004B4B4B">
            <w:pPr>
              <w:spacing w:after="0" w:line="240" w:lineRule="auto"/>
              <w:ind w:right="253"/>
              <w:contextualSpacing/>
              <w:jc w:val="left"/>
              <w:rPr>
                <w:b/>
                <w:sz w:val="20"/>
              </w:rPr>
            </w:pPr>
            <w:r w:rsidRPr="004B4B4B">
              <w:rPr>
                <w:b/>
                <w:sz w:val="20"/>
              </w:rPr>
              <w:t>Final report</w:t>
            </w:r>
          </w:p>
        </w:tc>
      </w:tr>
      <w:tr w:rsidR="00971740" w:rsidRPr="007D4621" w14:paraId="0C2D9DC2" w14:textId="77777777" w:rsidTr="00F617B5">
        <w:trPr>
          <w:cantSplit/>
          <w:trHeight w:val="641"/>
        </w:trPr>
        <w:tc>
          <w:tcPr>
            <w:tcW w:w="2405" w:type="dxa"/>
            <w:shd w:val="clear" w:color="auto" w:fill="auto"/>
            <w:noWrap/>
            <w:tcMar>
              <w:left w:w="57" w:type="dxa"/>
              <w:right w:w="57" w:type="dxa"/>
            </w:tcMar>
          </w:tcPr>
          <w:p w14:paraId="30FA5FCB" w14:textId="4D09DBD7" w:rsidR="00971740" w:rsidRDefault="00971740" w:rsidP="00D14C58">
            <w:pPr>
              <w:spacing w:after="0" w:line="240" w:lineRule="auto"/>
              <w:contextualSpacing/>
              <w:jc w:val="left"/>
              <w:rPr>
                <w:b/>
                <w:color w:val="000000" w:themeColor="text1"/>
              </w:rPr>
            </w:pPr>
            <w:r>
              <w:rPr>
                <w:b/>
                <w:color w:val="000000" w:themeColor="text1"/>
              </w:rPr>
              <w:t>Hydraulic modelling</w:t>
            </w:r>
          </w:p>
        </w:tc>
        <w:tc>
          <w:tcPr>
            <w:tcW w:w="4617" w:type="dxa"/>
          </w:tcPr>
          <w:p w14:paraId="1039B39C" w14:textId="0630CEE3" w:rsidR="00971740" w:rsidRPr="00D14C58" w:rsidRDefault="00971740" w:rsidP="00971740">
            <w:pPr>
              <w:spacing w:after="0" w:line="240" w:lineRule="auto"/>
              <w:ind w:right="253"/>
              <w:contextualSpacing/>
              <w:jc w:val="left"/>
              <w:rPr>
                <w:sz w:val="20"/>
              </w:rPr>
            </w:pPr>
            <w:r>
              <w:rPr>
                <w:sz w:val="20"/>
              </w:rPr>
              <w:t>Inundation models will be developed to link with the research questions relating to the Edward/Kolety River and Werai Forest</w:t>
            </w:r>
          </w:p>
        </w:tc>
        <w:tc>
          <w:tcPr>
            <w:tcW w:w="1337" w:type="dxa"/>
            <w:tcMar>
              <w:left w:w="57" w:type="dxa"/>
              <w:right w:w="57" w:type="dxa"/>
            </w:tcMar>
          </w:tcPr>
          <w:p w14:paraId="10AC1861" w14:textId="0E43A212" w:rsidR="00971740" w:rsidRDefault="00971740" w:rsidP="004B4B4B">
            <w:pPr>
              <w:spacing w:after="0" w:line="240" w:lineRule="auto"/>
              <w:ind w:right="253"/>
              <w:contextualSpacing/>
              <w:jc w:val="left"/>
              <w:rPr>
                <w:sz w:val="20"/>
              </w:rPr>
            </w:pPr>
            <w:r>
              <w:rPr>
                <w:sz w:val="20"/>
              </w:rPr>
              <w:t>2019-2022</w:t>
            </w:r>
          </w:p>
        </w:tc>
        <w:tc>
          <w:tcPr>
            <w:tcW w:w="992" w:type="dxa"/>
          </w:tcPr>
          <w:p w14:paraId="352FF743" w14:textId="53AD53A5" w:rsidR="00971740" w:rsidRDefault="00971740" w:rsidP="004B4B4B">
            <w:pPr>
              <w:spacing w:after="0" w:line="240" w:lineRule="auto"/>
              <w:ind w:right="253"/>
              <w:contextualSpacing/>
              <w:jc w:val="left"/>
              <w:rPr>
                <w:sz w:val="20"/>
              </w:rPr>
            </w:pPr>
            <w:r>
              <w:rPr>
                <w:sz w:val="20"/>
              </w:rPr>
              <w:t>2022</w:t>
            </w:r>
          </w:p>
        </w:tc>
      </w:tr>
      <w:tr w:rsidR="004B4B4B" w:rsidRPr="007D4621" w14:paraId="43BA9207" w14:textId="0A9D250E" w:rsidTr="00F617B5">
        <w:trPr>
          <w:cantSplit/>
          <w:trHeight w:val="641"/>
        </w:trPr>
        <w:tc>
          <w:tcPr>
            <w:tcW w:w="2405" w:type="dxa"/>
            <w:shd w:val="clear" w:color="auto" w:fill="auto"/>
            <w:noWrap/>
            <w:tcMar>
              <w:left w:w="57" w:type="dxa"/>
              <w:right w:w="57" w:type="dxa"/>
            </w:tcMar>
          </w:tcPr>
          <w:p w14:paraId="0C090909" w14:textId="5D34FAC4" w:rsidR="004B4B4B" w:rsidRPr="004E727D" w:rsidRDefault="004B4B4B" w:rsidP="00D14C58">
            <w:pPr>
              <w:spacing w:after="0" w:line="240" w:lineRule="auto"/>
              <w:contextualSpacing/>
              <w:jc w:val="left"/>
              <w:rPr>
                <w:b/>
              </w:rPr>
            </w:pPr>
            <w:r>
              <w:rPr>
                <w:b/>
                <w:color w:val="000000" w:themeColor="text1"/>
              </w:rPr>
              <w:t>Physical condition of riverbanks</w:t>
            </w:r>
          </w:p>
        </w:tc>
        <w:tc>
          <w:tcPr>
            <w:tcW w:w="4617" w:type="dxa"/>
          </w:tcPr>
          <w:p w14:paraId="7E6A0123" w14:textId="0CA8E917" w:rsidR="004B4B4B" w:rsidRPr="00D14C58" w:rsidRDefault="004B4B4B" w:rsidP="00D14C58">
            <w:pPr>
              <w:spacing w:after="0" w:line="240" w:lineRule="auto"/>
              <w:ind w:right="253"/>
              <w:contextualSpacing/>
              <w:jc w:val="left"/>
              <w:rPr>
                <w:sz w:val="20"/>
              </w:rPr>
            </w:pPr>
            <w:r w:rsidRPr="00D14C58">
              <w:rPr>
                <w:sz w:val="20"/>
              </w:rPr>
              <w:t>What are the features of the flow regime in the Edward/Kolety River that drive erosion and deposition</w:t>
            </w:r>
            <w:r>
              <w:rPr>
                <w:sz w:val="20"/>
              </w:rPr>
              <w:t>?</w:t>
            </w:r>
          </w:p>
        </w:tc>
        <w:tc>
          <w:tcPr>
            <w:tcW w:w="1337" w:type="dxa"/>
            <w:tcMar>
              <w:left w:w="57" w:type="dxa"/>
              <w:right w:w="57" w:type="dxa"/>
            </w:tcMar>
          </w:tcPr>
          <w:p w14:paraId="23725B0C" w14:textId="687034DB" w:rsidR="004B4B4B" w:rsidRPr="00D14C58" w:rsidRDefault="004B4B4B" w:rsidP="004B4B4B">
            <w:pPr>
              <w:spacing w:after="0" w:line="240" w:lineRule="auto"/>
              <w:ind w:right="253"/>
              <w:contextualSpacing/>
              <w:jc w:val="left"/>
              <w:rPr>
                <w:sz w:val="20"/>
              </w:rPr>
            </w:pPr>
            <w:r>
              <w:rPr>
                <w:sz w:val="20"/>
              </w:rPr>
              <w:t>2019-20</w:t>
            </w:r>
          </w:p>
        </w:tc>
        <w:tc>
          <w:tcPr>
            <w:tcW w:w="992" w:type="dxa"/>
          </w:tcPr>
          <w:p w14:paraId="49A34A00" w14:textId="746BA820" w:rsidR="004B4B4B" w:rsidRDefault="004B4B4B" w:rsidP="004B4B4B">
            <w:pPr>
              <w:spacing w:after="0" w:line="240" w:lineRule="auto"/>
              <w:ind w:right="253"/>
              <w:contextualSpacing/>
              <w:jc w:val="left"/>
              <w:rPr>
                <w:sz w:val="20"/>
              </w:rPr>
            </w:pPr>
            <w:r>
              <w:rPr>
                <w:sz w:val="20"/>
              </w:rPr>
              <w:t>2020</w:t>
            </w:r>
          </w:p>
        </w:tc>
      </w:tr>
      <w:tr w:rsidR="004B4B4B" w:rsidRPr="007D4621" w14:paraId="3686C440" w14:textId="185AB985" w:rsidTr="00F617B5">
        <w:trPr>
          <w:cantSplit/>
          <w:trHeight w:val="551"/>
        </w:trPr>
        <w:tc>
          <w:tcPr>
            <w:tcW w:w="2405" w:type="dxa"/>
            <w:shd w:val="clear" w:color="auto" w:fill="auto"/>
            <w:noWrap/>
            <w:tcMar>
              <w:left w:w="57" w:type="dxa"/>
              <w:right w:w="57" w:type="dxa"/>
            </w:tcMar>
          </w:tcPr>
          <w:p w14:paraId="7AC0291D" w14:textId="5415FB0F" w:rsidR="004B4B4B" w:rsidRPr="004E727D" w:rsidRDefault="004B4B4B" w:rsidP="00D14C58">
            <w:pPr>
              <w:spacing w:after="0" w:line="240" w:lineRule="auto"/>
              <w:contextualSpacing/>
              <w:jc w:val="left"/>
            </w:pPr>
            <w:r>
              <w:rPr>
                <w:b/>
                <w:color w:val="000000" w:themeColor="text1"/>
              </w:rPr>
              <w:t>Stream metabolism</w:t>
            </w:r>
          </w:p>
        </w:tc>
        <w:tc>
          <w:tcPr>
            <w:tcW w:w="4617" w:type="dxa"/>
          </w:tcPr>
          <w:p w14:paraId="17FBEB83" w14:textId="1F637017" w:rsidR="004B4B4B" w:rsidRPr="007D4621" w:rsidRDefault="004B4B4B" w:rsidP="00D14C58">
            <w:pPr>
              <w:spacing w:after="0" w:line="240" w:lineRule="auto"/>
              <w:ind w:right="253"/>
              <w:contextualSpacing/>
              <w:jc w:val="left"/>
              <w:rPr>
                <w:sz w:val="20"/>
              </w:rPr>
            </w:pPr>
            <w:r w:rsidRPr="00D14C58">
              <w:rPr>
                <w:sz w:val="20"/>
              </w:rPr>
              <w:t>Does connectivity</w:t>
            </w:r>
            <w:r w:rsidR="00971740">
              <w:rPr>
                <w:sz w:val="20"/>
              </w:rPr>
              <w:t xml:space="preserve"> </w:t>
            </w:r>
            <w:r w:rsidRPr="00D14C58">
              <w:rPr>
                <w:sz w:val="20"/>
              </w:rPr>
              <w:t>of flows into Werai Forest contribute to primary productivity outcomes in the Edward/Kolety River?</w:t>
            </w:r>
          </w:p>
        </w:tc>
        <w:tc>
          <w:tcPr>
            <w:tcW w:w="1337" w:type="dxa"/>
            <w:tcMar>
              <w:left w:w="57" w:type="dxa"/>
              <w:right w:w="57" w:type="dxa"/>
            </w:tcMar>
          </w:tcPr>
          <w:p w14:paraId="3F5D013B" w14:textId="0733172F" w:rsidR="004B4B4B" w:rsidRPr="00D14C58" w:rsidRDefault="004B4B4B" w:rsidP="004B4B4B">
            <w:pPr>
              <w:spacing w:after="0" w:line="240" w:lineRule="auto"/>
              <w:ind w:right="253"/>
              <w:contextualSpacing/>
              <w:jc w:val="left"/>
              <w:rPr>
                <w:sz w:val="20"/>
              </w:rPr>
            </w:pPr>
            <w:r>
              <w:rPr>
                <w:sz w:val="20"/>
              </w:rPr>
              <w:t>2019-2022</w:t>
            </w:r>
          </w:p>
        </w:tc>
        <w:tc>
          <w:tcPr>
            <w:tcW w:w="992" w:type="dxa"/>
          </w:tcPr>
          <w:p w14:paraId="6B8BDCC9" w14:textId="611DCEE1" w:rsidR="004B4B4B" w:rsidRDefault="004B4B4B" w:rsidP="004B4B4B">
            <w:pPr>
              <w:spacing w:after="0" w:line="240" w:lineRule="auto"/>
              <w:ind w:right="253"/>
              <w:contextualSpacing/>
              <w:jc w:val="left"/>
              <w:rPr>
                <w:sz w:val="20"/>
              </w:rPr>
            </w:pPr>
            <w:r>
              <w:rPr>
                <w:sz w:val="20"/>
              </w:rPr>
              <w:t>2022</w:t>
            </w:r>
          </w:p>
        </w:tc>
      </w:tr>
      <w:tr w:rsidR="004B4B4B" w:rsidRPr="007D4621" w14:paraId="60674218" w14:textId="6FA1F112" w:rsidTr="00F617B5">
        <w:trPr>
          <w:cantSplit/>
          <w:trHeight w:val="842"/>
        </w:trPr>
        <w:tc>
          <w:tcPr>
            <w:tcW w:w="2405" w:type="dxa"/>
            <w:shd w:val="clear" w:color="auto" w:fill="auto"/>
            <w:noWrap/>
            <w:tcMar>
              <w:left w:w="57" w:type="dxa"/>
              <w:right w:w="57" w:type="dxa"/>
            </w:tcMar>
          </w:tcPr>
          <w:p w14:paraId="6B23A5E9" w14:textId="30A8E9C4" w:rsidR="004B4B4B" w:rsidRPr="004E727D" w:rsidRDefault="004B4B4B" w:rsidP="00D14C58">
            <w:pPr>
              <w:spacing w:after="0" w:line="240" w:lineRule="auto"/>
              <w:contextualSpacing/>
              <w:jc w:val="left"/>
              <w:rPr>
                <w:b/>
                <w:color w:val="000000" w:themeColor="text1"/>
              </w:rPr>
            </w:pPr>
            <w:r>
              <w:rPr>
                <w:b/>
                <w:color w:val="000000" w:themeColor="text1"/>
              </w:rPr>
              <w:t>Understorey and groundcover vegetation in Werai Forest</w:t>
            </w:r>
          </w:p>
        </w:tc>
        <w:tc>
          <w:tcPr>
            <w:tcW w:w="4617" w:type="dxa"/>
          </w:tcPr>
          <w:p w14:paraId="01E8F0B7" w14:textId="2F35FEC7" w:rsidR="004B4B4B" w:rsidRPr="007D4621" w:rsidRDefault="004B4B4B" w:rsidP="00D14C58">
            <w:pPr>
              <w:spacing w:after="0" w:line="240" w:lineRule="auto"/>
              <w:ind w:right="253"/>
              <w:contextualSpacing/>
              <w:jc w:val="left"/>
              <w:rPr>
                <w:sz w:val="20"/>
              </w:rPr>
            </w:pPr>
            <w:r>
              <w:rPr>
                <w:sz w:val="20"/>
              </w:rPr>
              <w:t xml:space="preserve">How do understorey and groundcover vegetation species in low lying parts of Werai Forest respond to small inundation events via Tumudgery Creek? </w:t>
            </w:r>
          </w:p>
        </w:tc>
        <w:tc>
          <w:tcPr>
            <w:tcW w:w="1337" w:type="dxa"/>
            <w:tcMar>
              <w:left w:w="57" w:type="dxa"/>
              <w:right w:w="57" w:type="dxa"/>
            </w:tcMar>
          </w:tcPr>
          <w:p w14:paraId="5271AB91" w14:textId="4E0D252A" w:rsidR="004B4B4B" w:rsidRDefault="004B4B4B" w:rsidP="004B4B4B">
            <w:pPr>
              <w:spacing w:after="0" w:line="240" w:lineRule="auto"/>
              <w:ind w:right="253"/>
              <w:contextualSpacing/>
              <w:jc w:val="left"/>
              <w:rPr>
                <w:sz w:val="20"/>
              </w:rPr>
            </w:pPr>
            <w:r>
              <w:rPr>
                <w:sz w:val="20"/>
              </w:rPr>
              <w:t>2019-2022</w:t>
            </w:r>
          </w:p>
        </w:tc>
        <w:tc>
          <w:tcPr>
            <w:tcW w:w="992" w:type="dxa"/>
          </w:tcPr>
          <w:p w14:paraId="32AA28AA" w14:textId="4F96864C" w:rsidR="004B4B4B" w:rsidRDefault="004B4B4B" w:rsidP="004B4B4B">
            <w:pPr>
              <w:spacing w:after="0" w:line="240" w:lineRule="auto"/>
              <w:ind w:right="253"/>
              <w:contextualSpacing/>
              <w:jc w:val="left"/>
              <w:rPr>
                <w:sz w:val="20"/>
              </w:rPr>
            </w:pPr>
            <w:r>
              <w:rPr>
                <w:sz w:val="20"/>
              </w:rPr>
              <w:t>2022</w:t>
            </w:r>
          </w:p>
        </w:tc>
      </w:tr>
      <w:tr w:rsidR="004B4B4B" w:rsidRPr="007D4621" w14:paraId="4B3061C2" w14:textId="44E6D59A" w:rsidTr="00F617B5">
        <w:trPr>
          <w:cantSplit/>
          <w:trHeight w:val="550"/>
        </w:trPr>
        <w:tc>
          <w:tcPr>
            <w:tcW w:w="2405" w:type="dxa"/>
            <w:shd w:val="clear" w:color="auto" w:fill="auto"/>
            <w:noWrap/>
            <w:tcMar>
              <w:left w:w="57" w:type="dxa"/>
              <w:right w:w="57" w:type="dxa"/>
            </w:tcMar>
          </w:tcPr>
          <w:p w14:paraId="745F739A" w14:textId="50A1F2D0" w:rsidR="004B4B4B" w:rsidRPr="004E727D" w:rsidRDefault="004B4B4B" w:rsidP="00D14C58">
            <w:pPr>
              <w:spacing w:after="0" w:line="240" w:lineRule="auto"/>
              <w:contextualSpacing/>
              <w:jc w:val="left"/>
              <w:rPr>
                <w:b/>
                <w:color w:val="000000" w:themeColor="text1"/>
              </w:rPr>
            </w:pPr>
            <w:r>
              <w:rPr>
                <w:b/>
                <w:color w:val="000000" w:themeColor="text1"/>
              </w:rPr>
              <w:t>Turtles</w:t>
            </w:r>
          </w:p>
        </w:tc>
        <w:tc>
          <w:tcPr>
            <w:tcW w:w="4617" w:type="dxa"/>
            <w:vAlign w:val="center"/>
          </w:tcPr>
          <w:p w14:paraId="72E4B63E" w14:textId="55B8918F" w:rsidR="004B4B4B" w:rsidRPr="007D4621" w:rsidRDefault="000F20B5" w:rsidP="00D14C58">
            <w:pPr>
              <w:pStyle w:val="NoSpacing"/>
              <w:contextualSpacing/>
              <w:jc w:val="left"/>
              <w:rPr>
                <w:sz w:val="20"/>
              </w:rPr>
            </w:pPr>
            <w:r>
              <w:rPr>
                <w:sz w:val="20"/>
              </w:rPr>
              <w:t>How</w:t>
            </w:r>
            <w:r w:rsidR="004B4B4B">
              <w:rPr>
                <w:sz w:val="20"/>
              </w:rPr>
              <w:t xml:space="preserve"> does connectivity of wetlands along the Edward/Kolety River affect turtle distribution, movement and body condition?</w:t>
            </w:r>
          </w:p>
        </w:tc>
        <w:tc>
          <w:tcPr>
            <w:tcW w:w="1337" w:type="dxa"/>
            <w:tcMar>
              <w:left w:w="57" w:type="dxa"/>
              <w:right w:w="57" w:type="dxa"/>
            </w:tcMar>
          </w:tcPr>
          <w:p w14:paraId="563788D4" w14:textId="695793D9" w:rsidR="004B4B4B" w:rsidRDefault="004B4B4B" w:rsidP="004B4B4B">
            <w:pPr>
              <w:spacing w:after="0" w:line="240" w:lineRule="auto"/>
              <w:ind w:right="253"/>
              <w:contextualSpacing/>
              <w:jc w:val="left"/>
              <w:rPr>
                <w:sz w:val="20"/>
              </w:rPr>
            </w:pPr>
            <w:r>
              <w:rPr>
                <w:sz w:val="20"/>
              </w:rPr>
              <w:t>2019-2021</w:t>
            </w:r>
          </w:p>
        </w:tc>
        <w:tc>
          <w:tcPr>
            <w:tcW w:w="992" w:type="dxa"/>
          </w:tcPr>
          <w:p w14:paraId="669D5899" w14:textId="5CAAF56A" w:rsidR="004B4B4B" w:rsidRDefault="004B4B4B" w:rsidP="004B4B4B">
            <w:pPr>
              <w:spacing w:after="0" w:line="240" w:lineRule="auto"/>
              <w:ind w:right="253"/>
              <w:contextualSpacing/>
              <w:jc w:val="left"/>
              <w:rPr>
                <w:sz w:val="20"/>
              </w:rPr>
            </w:pPr>
            <w:r>
              <w:rPr>
                <w:sz w:val="20"/>
              </w:rPr>
              <w:t>2021</w:t>
            </w:r>
          </w:p>
        </w:tc>
      </w:tr>
      <w:tr w:rsidR="004B4B4B" w:rsidRPr="007D4621" w14:paraId="2929D9F1" w14:textId="3D5CD5C0" w:rsidTr="00F617B5">
        <w:trPr>
          <w:cantSplit/>
          <w:trHeight w:val="423"/>
        </w:trPr>
        <w:tc>
          <w:tcPr>
            <w:tcW w:w="2405" w:type="dxa"/>
            <w:shd w:val="clear" w:color="auto" w:fill="auto"/>
            <w:noWrap/>
            <w:tcMar>
              <w:left w:w="57" w:type="dxa"/>
              <w:right w:w="57" w:type="dxa"/>
            </w:tcMar>
          </w:tcPr>
          <w:p w14:paraId="1A23256C" w14:textId="74E7C386" w:rsidR="004B4B4B" w:rsidRPr="004E727D" w:rsidRDefault="004B4B4B" w:rsidP="00D14C58">
            <w:pPr>
              <w:spacing w:after="0" w:line="240" w:lineRule="auto"/>
              <w:contextualSpacing/>
              <w:jc w:val="left"/>
              <w:rPr>
                <w:b/>
                <w:color w:val="000000" w:themeColor="text1"/>
              </w:rPr>
            </w:pPr>
            <w:r w:rsidRPr="004E727D">
              <w:rPr>
                <w:b/>
                <w:color w:val="000000" w:themeColor="text1"/>
              </w:rPr>
              <w:t xml:space="preserve">Fish </w:t>
            </w:r>
            <w:r>
              <w:rPr>
                <w:b/>
                <w:color w:val="000000" w:themeColor="text1"/>
              </w:rPr>
              <w:t>spawning</w:t>
            </w:r>
          </w:p>
        </w:tc>
        <w:tc>
          <w:tcPr>
            <w:tcW w:w="4617" w:type="dxa"/>
          </w:tcPr>
          <w:p w14:paraId="4DB4B8FE" w14:textId="56CC99CC" w:rsidR="004B4B4B" w:rsidRPr="007D4621" w:rsidRDefault="004B4B4B" w:rsidP="00D14C58">
            <w:pPr>
              <w:pStyle w:val="NoSpacing"/>
              <w:contextualSpacing/>
              <w:jc w:val="left"/>
              <w:rPr>
                <w:sz w:val="20"/>
              </w:rPr>
            </w:pPr>
            <w:r>
              <w:rPr>
                <w:sz w:val="20"/>
              </w:rPr>
              <w:t>Do golden perch and silver perch spawn in the Edward/Kolety River?</w:t>
            </w:r>
          </w:p>
        </w:tc>
        <w:tc>
          <w:tcPr>
            <w:tcW w:w="1337" w:type="dxa"/>
            <w:tcMar>
              <w:left w:w="57" w:type="dxa"/>
              <w:right w:w="57" w:type="dxa"/>
            </w:tcMar>
          </w:tcPr>
          <w:p w14:paraId="4426423B" w14:textId="3F00AB0A" w:rsidR="004B4B4B" w:rsidRDefault="004B4B4B" w:rsidP="004B4B4B">
            <w:pPr>
              <w:spacing w:after="0" w:line="240" w:lineRule="auto"/>
              <w:ind w:right="253"/>
              <w:contextualSpacing/>
              <w:jc w:val="left"/>
              <w:rPr>
                <w:sz w:val="20"/>
              </w:rPr>
            </w:pPr>
            <w:r>
              <w:rPr>
                <w:sz w:val="20"/>
              </w:rPr>
              <w:t>2019-2022</w:t>
            </w:r>
          </w:p>
        </w:tc>
        <w:tc>
          <w:tcPr>
            <w:tcW w:w="992" w:type="dxa"/>
          </w:tcPr>
          <w:p w14:paraId="2D80FD5E" w14:textId="2595BB40" w:rsidR="004B4B4B" w:rsidRDefault="004B4B4B" w:rsidP="004B4B4B">
            <w:pPr>
              <w:spacing w:after="0" w:line="240" w:lineRule="auto"/>
              <w:ind w:right="253"/>
              <w:contextualSpacing/>
              <w:jc w:val="left"/>
              <w:rPr>
                <w:sz w:val="20"/>
              </w:rPr>
            </w:pPr>
            <w:r>
              <w:rPr>
                <w:sz w:val="20"/>
              </w:rPr>
              <w:t>2022</w:t>
            </w:r>
          </w:p>
        </w:tc>
      </w:tr>
      <w:tr w:rsidR="004B4B4B" w:rsidRPr="007D4621" w14:paraId="35A20027" w14:textId="4884D817" w:rsidTr="00F617B5">
        <w:trPr>
          <w:cantSplit/>
          <w:trHeight w:val="423"/>
        </w:trPr>
        <w:tc>
          <w:tcPr>
            <w:tcW w:w="2405" w:type="dxa"/>
            <w:shd w:val="clear" w:color="auto" w:fill="auto"/>
            <w:noWrap/>
            <w:tcMar>
              <w:left w:w="57" w:type="dxa"/>
              <w:right w:w="57" w:type="dxa"/>
            </w:tcMar>
          </w:tcPr>
          <w:p w14:paraId="1C4F383E" w14:textId="041E5E87" w:rsidR="004B4B4B" w:rsidRPr="004E727D" w:rsidRDefault="004B4B4B" w:rsidP="00D14C58">
            <w:pPr>
              <w:spacing w:after="0" w:line="240" w:lineRule="auto"/>
              <w:contextualSpacing/>
              <w:jc w:val="left"/>
              <w:rPr>
                <w:b/>
                <w:color w:val="000000" w:themeColor="text1"/>
              </w:rPr>
            </w:pPr>
            <w:r>
              <w:rPr>
                <w:b/>
                <w:color w:val="000000" w:themeColor="text1"/>
              </w:rPr>
              <w:t>Biodiversity (e-DNA)</w:t>
            </w:r>
          </w:p>
        </w:tc>
        <w:tc>
          <w:tcPr>
            <w:tcW w:w="4617" w:type="dxa"/>
            <w:vAlign w:val="center"/>
          </w:tcPr>
          <w:p w14:paraId="262D5EFE" w14:textId="1C1D17AB" w:rsidR="004B4B4B" w:rsidRDefault="004B4B4B" w:rsidP="00D14C58">
            <w:pPr>
              <w:pStyle w:val="NoSpacing"/>
              <w:contextualSpacing/>
              <w:jc w:val="left"/>
              <w:rPr>
                <w:sz w:val="20"/>
              </w:rPr>
            </w:pPr>
            <w:r>
              <w:rPr>
                <w:sz w:val="20"/>
              </w:rPr>
              <w:t>Can a targeted single-species e-DNA approach be used to identify the presence and spatial distribution of threatened, uncommon and iconic species of crustacean, turtles, fish and aquatic mamals in the Edward/Kolety system</w:t>
            </w:r>
          </w:p>
        </w:tc>
        <w:tc>
          <w:tcPr>
            <w:tcW w:w="1337" w:type="dxa"/>
            <w:tcMar>
              <w:left w:w="57" w:type="dxa"/>
              <w:right w:w="57" w:type="dxa"/>
            </w:tcMar>
          </w:tcPr>
          <w:p w14:paraId="264ACD66" w14:textId="17AE6EF5" w:rsidR="004B4B4B" w:rsidRDefault="004B4B4B" w:rsidP="004B4B4B">
            <w:pPr>
              <w:spacing w:after="0" w:line="240" w:lineRule="auto"/>
              <w:ind w:right="253"/>
              <w:contextualSpacing/>
              <w:jc w:val="left"/>
              <w:rPr>
                <w:sz w:val="20"/>
              </w:rPr>
            </w:pPr>
            <w:r>
              <w:rPr>
                <w:sz w:val="20"/>
              </w:rPr>
              <w:t>2019-2020</w:t>
            </w:r>
          </w:p>
        </w:tc>
        <w:tc>
          <w:tcPr>
            <w:tcW w:w="992" w:type="dxa"/>
          </w:tcPr>
          <w:p w14:paraId="2B62B523" w14:textId="7C3D549F" w:rsidR="004B4B4B" w:rsidRDefault="004B4B4B" w:rsidP="004B4B4B">
            <w:pPr>
              <w:spacing w:after="0" w:line="240" w:lineRule="auto"/>
              <w:ind w:right="253"/>
              <w:contextualSpacing/>
              <w:jc w:val="left"/>
              <w:rPr>
                <w:sz w:val="20"/>
              </w:rPr>
            </w:pPr>
            <w:r>
              <w:rPr>
                <w:sz w:val="20"/>
              </w:rPr>
              <w:t>2020</w:t>
            </w:r>
          </w:p>
        </w:tc>
      </w:tr>
      <w:tr w:rsidR="004B4B4B" w:rsidRPr="007D4621" w14:paraId="5F4F1219" w14:textId="04CBBDD6" w:rsidTr="00F617B5">
        <w:trPr>
          <w:cantSplit/>
          <w:trHeight w:val="1022"/>
        </w:trPr>
        <w:tc>
          <w:tcPr>
            <w:tcW w:w="2405" w:type="dxa"/>
            <w:shd w:val="clear" w:color="auto" w:fill="auto"/>
            <w:noWrap/>
            <w:tcMar>
              <w:left w:w="57" w:type="dxa"/>
              <w:right w:w="57" w:type="dxa"/>
            </w:tcMar>
          </w:tcPr>
          <w:p w14:paraId="459ABB15" w14:textId="4AEAB2B7" w:rsidR="004B4B4B" w:rsidRPr="004E727D" w:rsidRDefault="004B4B4B" w:rsidP="00D14C58">
            <w:pPr>
              <w:spacing w:after="0" w:line="240" w:lineRule="auto"/>
              <w:contextualSpacing/>
              <w:jc w:val="left"/>
              <w:rPr>
                <w:b/>
                <w:color w:val="000000" w:themeColor="text1"/>
              </w:rPr>
            </w:pPr>
            <w:r>
              <w:rPr>
                <w:b/>
                <w:color w:val="000000" w:themeColor="text1"/>
              </w:rPr>
              <w:t>Social research</w:t>
            </w:r>
          </w:p>
        </w:tc>
        <w:tc>
          <w:tcPr>
            <w:tcW w:w="4617" w:type="dxa"/>
            <w:vAlign w:val="center"/>
          </w:tcPr>
          <w:p w14:paraId="4E70FAB7" w14:textId="2DB15621" w:rsidR="004B4B4B" w:rsidRPr="007D4621" w:rsidRDefault="004B4B4B" w:rsidP="00D14C58">
            <w:pPr>
              <w:pStyle w:val="NoSpacing"/>
              <w:contextualSpacing/>
              <w:jc w:val="left"/>
              <w:rPr>
                <w:sz w:val="20"/>
              </w:rPr>
            </w:pPr>
            <w:r>
              <w:rPr>
                <w:sz w:val="20"/>
              </w:rPr>
              <w:t>This will be a co-designed research project, with questions to be developed during the first phase in collaboration with community and managers. Focus may include: knowledge, information and learning; stakeholder attitudes to and acceptance of the concept and use of environmental water</w:t>
            </w:r>
          </w:p>
        </w:tc>
        <w:tc>
          <w:tcPr>
            <w:tcW w:w="1337" w:type="dxa"/>
            <w:tcMar>
              <w:left w:w="57" w:type="dxa"/>
              <w:right w:w="57" w:type="dxa"/>
            </w:tcMar>
          </w:tcPr>
          <w:p w14:paraId="5E7072E5" w14:textId="19E37C0E" w:rsidR="004B4B4B" w:rsidRDefault="004B4B4B" w:rsidP="004B4B4B">
            <w:pPr>
              <w:spacing w:after="0" w:line="240" w:lineRule="auto"/>
              <w:ind w:right="253"/>
              <w:contextualSpacing/>
              <w:jc w:val="left"/>
              <w:rPr>
                <w:sz w:val="20"/>
              </w:rPr>
            </w:pPr>
            <w:r>
              <w:rPr>
                <w:sz w:val="20"/>
              </w:rPr>
              <w:t>2020-2021</w:t>
            </w:r>
          </w:p>
        </w:tc>
        <w:tc>
          <w:tcPr>
            <w:tcW w:w="992" w:type="dxa"/>
          </w:tcPr>
          <w:p w14:paraId="173E5E1C" w14:textId="57E457D0" w:rsidR="004B4B4B" w:rsidRDefault="004B4B4B" w:rsidP="004B4B4B">
            <w:pPr>
              <w:spacing w:after="0" w:line="240" w:lineRule="auto"/>
              <w:ind w:right="253"/>
              <w:contextualSpacing/>
              <w:jc w:val="left"/>
              <w:rPr>
                <w:sz w:val="20"/>
              </w:rPr>
            </w:pPr>
            <w:r>
              <w:rPr>
                <w:sz w:val="20"/>
              </w:rPr>
              <w:t>2021</w:t>
            </w:r>
          </w:p>
        </w:tc>
      </w:tr>
    </w:tbl>
    <w:p w14:paraId="62F3F8C1" w14:textId="77777777" w:rsidR="0095687A" w:rsidRDefault="0095687A">
      <w:pPr>
        <w:spacing w:after="0" w:line="240" w:lineRule="auto"/>
        <w:jc w:val="left"/>
      </w:pPr>
    </w:p>
    <w:p w14:paraId="45B6A2F8" w14:textId="77777777" w:rsidR="00D76240" w:rsidRPr="002D5DB6" w:rsidRDefault="00D76240">
      <w:pPr>
        <w:spacing w:after="0" w:line="240" w:lineRule="auto"/>
        <w:jc w:val="left"/>
      </w:pPr>
      <w:r>
        <w:br w:type="page"/>
      </w:r>
    </w:p>
    <w:p w14:paraId="3B4F8853" w14:textId="66FAF7ED" w:rsidR="00BB47D7" w:rsidRDefault="00523069" w:rsidP="00836CDD">
      <w:pPr>
        <w:pStyle w:val="Heading1"/>
      </w:pPr>
      <w:bookmarkStart w:id="19" w:name="_Toc69846016"/>
      <w:r>
        <w:t>4</w:t>
      </w:r>
      <w:r w:rsidR="006714EB">
        <w:tab/>
      </w:r>
      <w:r w:rsidR="00FA0995">
        <w:t>Hydrolog</w:t>
      </w:r>
      <w:r w:rsidR="00C94FDB">
        <w:t>y</w:t>
      </w:r>
      <w:bookmarkEnd w:id="19"/>
    </w:p>
    <w:p w14:paraId="346F3201" w14:textId="7218F698" w:rsidR="00A30448" w:rsidRPr="00A30448" w:rsidRDefault="00A30448" w:rsidP="00A30448">
      <w:pPr>
        <w:spacing w:after="240" w:line="259" w:lineRule="auto"/>
        <w:rPr>
          <w:lang w:val="en-US" w:eastAsia="en-AU"/>
        </w:rPr>
      </w:pPr>
      <w:r>
        <w:rPr>
          <w:lang w:val="en-US" w:eastAsia="en-AU"/>
        </w:rPr>
        <w:t>Author: Robyn Watts</w:t>
      </w:r>
    </w:p>
    <w:tbl>
      <w:tblPr>
        <w:tblStyle w:val="TableGrid"/>
        <w:tblW w:w="8784" w:type="dxa"/>
        <w:tblLayout w:type="fixed"/>
        <w:tblLook w:val="04A0" w:firstRow="1" w:lastRow="0" w:firstColumn="1" w:lastColumn="0" w:noHBand="0" w:noVBand="1"/>
      </w:tblPr>
      <w:tblGrid>
        <w:gridCol w:w="1696"/>
        <w:gridCol w:w="7088"/>
      </w:tblGrid>
      <w:tr w:rsidR="008078D3" w:rsidRPr="00A4337E" w14:paraId="21033253" w14:textId="77777777" w:rsidTr="00E02EEA">
        <w:trPr>
          <w:trHeight w:val="696"/>
        </w:trPr>
        <w:tc>
          <w:tcPr>
            <w:tcW w:w="8784" w:type="dxa"/>
            <w:gridSpan w:val="2"/>
            <w:shd w:val="clear" w:color="auto" w:fill="31849B" w:themeFill="accent5" w:themeFillShade="BF"/>
          </w:tcPr>
          <w:p w14:paraId="0C79356C" w14:textId="41C1D2B3" w:rsidR="008078D3" w:rsidRPr="008078D3" w:rsidRDefault="008078D3" w:rsidP="00FB6941">
            <w:pPr>
              <w:autoSpaceDE w:val="0"/>
              <w:autoSpaceDN w:val="0"/>
              <w:adjustRightInd w:val="0"/>
              <w:spacing w:before="120" w:after="120" w:line="240" w:lineRule="auto"/>
              <w:jc w:val="left"/>
              <w:rPr>
                <w:rFonts w:asciiTheme="minorHAnsi" w:hAnsiTheme="minorHAnsi" w:cstheme="minorHAnsi"/>
                <w:b/>
                <w:szCs w:val="22"/>
              </w:rPr>
            </w:pPr>
            <w:r w:rsidRPr="004D5149">
              <w:rPr>
                <w:b/>
                <w:color w:val="FFFFFF" w:themeColor="background1"/>
                <w:sz w:val="32"/>
                <w:szCs w:val="32"/>
              </w:rPr>
              <w:t xml:space="preserve">Key </w:t>
            </w:r>
            <w:r w:rsidR="00FB6941">
              <w:rPr>
                <w:b/>
                <w:color w:val="FFFFFF" w:themeColor="background1"/>
                <w:sz w:val="32"/>
                <w:szCs w:val="32"/>
              </w:rPr>
              <w:t>findings</w:t>
            </w:r>
          </w:p>
        </w:tc>
      </w:tr>
      <w:tr w:rsidR="008078D3" w:rsidRPr="00A4337E" w14:paraId="765C2799" w14:textId="77777777" w:rsidTr="004F79A2">
        <w:trPr>
          <w:trHeight w:val="815"/>
        </w:trPr>
        <w:tc>
          <w:tcPr>
            <w:tcW w:w="1696" w:type="dxa"/>
            <w:shd w:val="clear" w:color="auto" w:fill="B6DDE8" w:themeFill="accent5" w:themeFillTint="66"/>
          </w:tcPr>
          <w:p w14:paraId="5F11DF3E"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Maximum and minimum discharge</w:t>
            </w:r>
          </w:p>
        </w:tc>
        <w:tc>
          <w:tcPr>
            <w:tcW w:w="7088" w:type="dxa"/>
          </w:tcPr>
          <w:p w14:paraId="55A31C4E" w14:textId="6E2916B2" w:rsidR="00EC5A82" w:rsidRPr="00EC5A82" w:rsidRDefault="00EC5A82" w:rsidP="00A30448">
            <w:pPr>
              <w:pStyle w:val="NoSpacing"/>
              <w:spacing w:line="259" w:lineRule="auto"/>
              <w:jc w:val="left"/>
              <w:rPr>
                <w:rFonts w:asciiTheme="minorHAnsi" w:hAnsiTheme="minorHAnsi" w:cstheme="minorHAnsi"/>
                <w:szCs w:val="22"/>
              </w:rPr>
            </w:pPr>
            <w:r w:rsidRPr="00EC5A82">
              <w:rPr>
                <w:rFonts w:asciiTheme="minorHAnsi" w:hAnsiTheme="minorHAnsi" w:cstheme="minorHAnsi"/>
                <w:szCs w:val="22"/>
              </w:rPr>
              <w:t xml:space="preserve">The winter watering action (action 1) maintained </w:t>
            </w:r>
            <w:r w:rsidR="00E02EEA">
              <w:rPr>
                <w:rFonts w:asciiTheme="minorHAnsi" w:hAnsiTheme="minorHAnsi" w:cstheme="minorHAnsi"/>
                <w:szCs w:val="22"/>
              </w:rPr>
              <w:t>base flows</w:t>
            </w:r>
            <w:r w:rsidRPr="00EC5A82">
              <w:rPr>
                <w:rFonts w:asciiTheme="minorHAnsi" w:hAnsiTheme="minorHAnsi" w:cstheme="minorHAnsi"/>
                <w:szCs w:val="22"/>
              </w:rPr>
              <w:t xml:space="preserve"> in Yallakool Creek, the mid and lower Wakool River, and the Colligen-Niemur system. In the absence of environmental water there would have been an extended period of cease to flow in these rivers.</w:t>
            </w:r>
          </w:p>
          <w:p w14:paraId="4BAE3CB7" w14:textId="3153B22C" w:rsidR="00BB51AA" w:rsidRPr="00EC5A82" w:rsidRDefault="001029C7" w:rsidP="00A30448">
            <w:pPr>
              <w:pStyle w:val="NoSpacing"/>
              <w:spacing w:line="259" w:lineRule="auto"/>
              <w:jc w:val="left"/>
              <w:rPr>
                <w:rFonts w:asciiTheme="minorHAnsi" w:hAnsiTheme="minorHAnsi" w:cstheme="minorHAnsi"/>
                <w:szCs w:val="22"/>
                <w:highlight w:val="yellow"/>
              </w:rPr>
            </w:pPr>
            <w:r w:rsidRPr="00EC5A82">
              <w:rPr>
                <w:rFonts w:asciiTheme="minorHAnsi" w:hAnsiTheme="minorHAnsi" w:cstheme="minorHAnsi"/>
                <w:szCs w:val="22"/>
              </w:rPr>
              <w:t xml:space="preserve">Watering action </w:t>
            </w:r>
            <w:r w:rsidR="00EC5A82" w:rsidRPr="00EC5A82">
              <w:rPr>
                <w:rFonts w:asciiTheme="minorHAnsi" w:hAnsiTheme="minorHAnsi" w:cstheme="minorHAnsi"/>
                <w:szCs w:val="22"/>
              </w:rPr>
              <w:t>3</w:t>
            </w:r>
            <w:r w:rsidRPr="00EC5A82">
              <w:rPr>
                <w:rFonts w:asciiTheme="minorHAnsi" w:hAnsiTheme="minorHAnsi" w:cstheme="minorHAnsi"/>
                <w:szCs w:val="22"/>
              </w:rPr>
              <w:t xml:space="preserve"> increased the maximum discharge in all zones compared to operational flows. </w:t>
            </w:r>
          </w:p>
        </w:tc>
      </w:tr>
      <w:tr w:rsidR="008078D3" w:rsidRPr="00A4337E" w14:paraId="2E8E6088" w14:textId="77777777" w:rsidTr="004F79A2">
        <w:trPr>
          <w:trHeight w:val="684"/>
        </w:trPr>
        <w:tc>
          <w:tcPr>
            <w:tcW w:w="1696" w:type="dxa"/>
            <w:shd w:val="clear" w:color="auto" w:fill="B6DDE8" w:themeFill="accent5" w:themeFillTint="66"/>
          </w:tcPr>
          <w:p w14:paraId="486800BB" w14:textId="6D81CBC0"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Flow variability</w:t>
            </w:r>
          </w:p>
        </w:tc>
        <w:tc>
          <w:tcPr>
            <w:tcW w:w="7088" w:type="dxa"/>
          </w:tcPr>
          <w:p w14:paraId="58F0F25B" w14:textId="3958A120" w:rsidR="00BB51AA" w:rsidRPr="001D3E36" w:rsidRDefault="000379C1" w:rsidP="00A30448">
            <w:pPr>
              <w:spacing w:after="0" w:line="259" w:lineRule="auto"/>
              <w:jc w:val="left"/>
              <w:rPr>
                <w:highlight w:val="yellow"/>
              </w:rPr>
            </w:pPr>
            <w:r w:rsidRPr="00E02EEA">
              <w:t>W</w:t>
            </w:r>
            <w:r w:rsidR="00E60D7C" w:rsidRPr="00E02EEA">
              <w:t xml:space="preserve">atering action </w:t>
            </w:r>
            <w:r w:rsidR="00E02EEA" w:rsidRPr="00E02EEA">
              <w:t>3</w:t>
            </w:r>
            <w:r w:rsidRPr="00E02EEA">
              <w:t xml:space="preserve"> </w:t>
            </w:r>
            <w:r w:rsidR="00E60D7C" w:rsidRPr="00E02EEA">
              <w:t xml:space="preserve">increased the coefficient of variation of discharge </w:t>
            </w:r>
            <w:r w:rsidR="004764E0" w:rsidRPr="00E02EEA">
              <w:t>compared to operational flows</w:t>
            </w:r>
            <w:r w:rsidR="00E60D7C" w:rsidRPr="00E02EEA">
              <w:t>.</w:t>
            </w:r>
            <w:r w:rsidR="00BB51AA" w:rsidRPr="00E02EEA">
              <w:t xml:space="preserve"> </w:t>
            </w:r>
            <w:r w:rsidR="00E02EEA">
              <w:t>In the absence of this watering action there would have been extended period of low variability of flows.</w:t>
            </w:r>
          </w:p>
        </w:tc>
      </w:tr>
      <w:tr w:rsidR="008078D3" w:rsidRPr="00A4337E" w14:paraId="7E944CDB" w14:textId="77777777" w:rsidTr="004F79A2">
        <w:trPr>
          <w:trHeight w:val="1098"/>
        </w:trPr>
        <w:tc>
          <w:tcPr>
            <w:tcW w:w="1696" w:type="dxa"/>
            <w:shd w:val="clear" w:color="auto" w:fill="B6DDE8" w:themeFill="accent5" w:themeFillTint="66"/>
          </w:tcPr>
          <w:p w14:paraId="271A0239"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Longitudinal connectivity</w:t>
            </w:r>
          </w:p>
        </w:tc>
        <w:tc>
          <w:tcPr>
            <w:tcW w:w="7088" w:type="dxa"/>
          </w:tcPr>
          <w:p w14:paraId="2BD3FCC1" w14:textId="247BB544" w:rsidR="008078D3" w:rsidRPr="001D3E36" w:rsidRDefault="00E60D7C" w:rsidP="00A30448">
            <w:pPr>
              <w:pStyle w:val="NoSpacing"/>
              <w:spacing w:line="259" w:lineRule="auto"/>
              <w:jc w:val="left"/>
              <w:rPr>
                <w:rFonts w:asciiTheme="minorHAnsi" w:hAnsiTheme="minorHAnsi" w:cstheme="minorHAnsi"/>
                <w:szCs w:val="22"/>
                <w:highlight w:val="yellow"/>
              </w:rPr>
            </w:pPr>
            <w:r w:rsidRPr="00E02EEA">
              <w:rPr>
                <w:rFonts w:asciiTheme="minorHAnsi" w:hAnsiTheme="minorHAnsi" w:cstheme="minorHAnsi"/>
                <w:szCs w:val="22"/>
              </w:rPr>
              <w:t>Watering action 1 (</w:t>
            </w:r>
            <w:r w:rsidR="00E02EEA" w:rsidRPr="00E02EEA">
              <w:rPr>
                <w:rFonts w:asciiTheme="minorHAnsi" w:hAnsiTheme="minorHAnsi" w:cstheme="minorHAnsi"/>
                <w:szCs w:val="22"/>
              </w:rPr>
              <w:t>winter watering action</w:t>
            </w:r>
            <w:r w:rsidRPr="00E02EEA">
              <w:rPr>
                <w:rFonts w:asciiTheme="minorHAnsi" w:hAnsiTheme="minorHAnsi" w:cstheme="minorHAnsi"/>
                <w:szCs w:val="22"/>
              </w:rPr>
              <w:t xml:space="preserve">) maintained longitudinal connectivity in </w:t>
            </w:r>
            <w:r w:rsidR="00E02EEA" w:rsidRPr="00E02EEA">
              <w:rPr>
                <w:rFonts w:asciiTheme="minorHAnsi" w:hAnsiTheme="minorHAnsi" w:cstheme="minorHAnsi"/>
                <w:szCs w:val="22"/>
              </w:rPr>
              <w:t>Yallakool Creek, the mid and lower Wakool River, and the Colligen-Niemur system</w:t>
            </w:r>
            <w:r w:rsidRPr="00E02EEA">
              <w:rPr>
                <w:rFonts w:asciiTheme="minorHAnsi" w:hAnsiTheme="minorHAnsi" w:cstheme="minorHAnsi"/>
                <w:szCs w:val="22"/>
              </w:rPr>
              <w:t xml:space="preserve">. </w:t>
            </w:r>
          </w:p>
        </w:tc>
      </w:tr>
      <w:tr w:rsidR="008078D3" w:rsidRPr="00A4337E" w14:paraId="4AF5E752" w14:textId="77777777" w:rsidTr="004F79A2">
        <w:tc>
          <w:tcPr>
            <w:tcW w:w="1696" w:type="dxa"/>
            <w:shd w:val="clear" w:color="auto" w:fill="B6DDE8" w:themeFill="accent5" w:themeFillTint="66"/>
          </w:tcPr>
          <w:p w14:paraId="1A55581C"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Lateral connectivity</w:t>
            </w:r>
          </w:p>
        </w:tc>
        <w:tc>
          <w:tcPr>
            <w:tcW w:w="7088" w:type="dxa"/>
          </w:tcPr>
          <w:p w14:paraId="5721E909" w14:textId="2D7F53C1" w:rsidR="00E60D7C" w:rsidRPr="001D3E36" w:rsidRDefault="000379C1" w:rsidP="00A30448">
            <w:pPr>
              <w:spacing w:after="0" w:line="259" w:lineRule="auto"/>
              <w:jc w:val="left"/>
              <w:rPr>
                <w:szCs w:val="22"/>
                <w:highlight w:val="yellow"/>
              </w:rPr>
            </w:pPr>
            <w:r w:rsidRPr="00E02EEA">
              <w:rPr>
                <w:color w:val="222222"/>
              </w:rPr>
              <w:t xml:space="preserve">Watering action </w:t>
            </w:r>
            <w:r w:rsidR="00E02EEA" w:rsidRPr="00E02EEA">
              <w:rPr>
                <w:color w:val="222222"/>
              </w:rPr>
              <w:t xml:space="preserve">3 </w:t>
            </w:r>
            <w:r w:rsidR="00E60D7C" w:rsidRPr="00E02EEA">
              <w:rPr>
                <w:lang w:val="en-US"/>
              </w:rPr>
              <w:t xml:space="preserve">increased lateral connectivity </w:t>
            </w:r>
            <w:r w:rsidR="00E02EEA" w:rsidRPr="00E02EEA">
              <w:rPr>
                <w:lang w:val="en-US"/>
              </w:rPr>
              <w:t>compared to the modelled connectivity under operational flows</w:t>
            </w:r>
            <w:r w:rsidR="00E60D7C" w:rsidRPr="00E02EEA">
              <w:rPr>
                <w:lang w:val="en-US"/>
              </w:rPr>
              <w:t xml:space="preserve">. </w:t>
            </w:r>
          </w:p>
        </w:tc>
      </w:tr>
    </w:tbl>
    <w:p w14:paraId="08BCDBCC" w14:textId="77777777" w:rsidR="00E02EEA" w:rsidRDefault="00E02EEA" w:rsidP="00EC5AB4">
      <w:pPr>
        <w:tabs>
          <w:tab w:val="left" w:pos="9071"/>
        </w:tabs>
        <w:spacing w:after="120" w:line="320" w:lineRule="exact"/>
        <w:jc w:val="left"/>
        <w:rPr>
          <w:b/>
          <w:color w:val="31849B" w:themeColor="accent5" w:themeShade="BF"/>
          <w:sz w:val="28"/>
          <w:szCs w:val="28"/>
        </w:rPr>
      </w:pPr>
    </w:p>
    <w:p w14:paraId="35D09F5E" w14:textId="206C5959" w:rsidR="00C9652F" w:rsidRDefault="00C9652F" w:rsidP="00EC5AB4">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 xml:space="preserve">4.1 </w:t>
      </w:r>
      <w:r w:rsidR="0028536F">
        <w:rPr>
          <w:b/>
          <w:color w:val="31849B" w:themeColor="accent5" w:themeShade="BF"/>
          <w:sz w:val="28"/>
          <w:szCs w:val="28"/>
        </w:rPr>
        <w:t xml:space="preserve">  </w:t>
      </w:r>
      <w:r>
        <w:rPr>
          <w:b/>
          <w:color w:val="31849B" w:themeColor="accent5" w:themeShade="BF"/>
          <w:sz w:val="28"/>
          <w:szCs w:val="28"/>
        </w:rPr>
        <w:t>Background</w:t>
      </w:r>
    </w:p>
    <w:p w14:paraId="4BBD105B" w14:textId="2CC0BF08" w:rsidR="00111BF7" w:rsidRPr="0035316B" w:rsidRDefault="00111BF7" w:rsidP="006B54E8">
      <w:pPr>
        <w:tabs>
          <w:tab w:val="left" w:pos="9071"/>
        </w:tabs>
        <w:spacing w:after="120" w:line="320" w:lineRule="exact"/>
        <w:jc w:val="left"/>
        <w:rPr>
          <w:szCs w:val="22"/>
        </w:rPr>
      </w:pPr>
      <w:r w:rsidRPr="0035316B">
        <w:rPr>
          <w:szCs w:val="22"/>
        </w:rPr>
        <w:t xml:space="preserve">Like many rivers of the MDB, the flow regimes of rivers in the </w:t>
      </w:r>
      <w:r w:rsidR="008E27F6" w:rsidRPr="0035316B">
        <w:rPr>
          <w:szCs w:val="22"/>
        </w:rPr>
        <w:t>Edward/Kolety-Wakool</w:t>
      </w:r>
      <w:r w:rsidRPr="0035316B">
        <w:rPr>
          <w:szCs w:val="22"/>
        </w:rPr>
        <w:t xml:space="preserve"> system have been significantly altered by river regulation (Green 2001; Hale and SKM 2011). Natural </w:t>
      </w:r>
      <w:r w:rsidRPr="0035316B">
        <w:t xml:space="preserve">flows in this system are strongly seasonal, with high flows typically occurring from July to November. </w:t>
      </w:r>
      <w:r w:rsidRPr="0035316B">
        <w:rPr>
          <w:szCs w:val="22"/>
        </w:rPr>
        <w:t xml:space="preserve">Analysis of </w:t>
      </w:r>
      <w:r w:rsidRPr="0035316B">
        <w:t xml:space="preserve">long-term modelled flow data show that flow regulation has resulted in a marked reduction in winter high flows, including extreme high flow events and average daily flows during the winter period (Watts et al. </w:t>
      </w:r>
      <w:r w:rsidR="00622DAE" w:rsidRPr="0035316B">
        <w:t>2015</w:t>
      </w:r>
      <w:r w:rsidRPr="0035316B">
        <w:t xml:space="preserve">). </w:t>
      </w:r>
      <w:r w:rsidRPr="0035316B">
        <w:rPr>
          <w:rFonts w:asciiTheme="minorHAnsi" w:hAnsiTheme="minorHAnsi"/>
        </w:rPr>
        <w:t>There is also</w:t>
      </w:r>
      <w:r w:rsidRPr="0035316B">
        <w:t xml:space="preserve"> an elevated frequency of low to median flows and reduced frequency of moderate high flows. </w:t>
      </w:r>
      <w:r w:rsidRPr="0035316B">
        <w:rPr>
          <w:rFonts w:asciiTheme="minorHAnsi" w:hAnsiTheme="minorHAnsi"/>
        </w:rPr>
        <w:t xml:space="preserve">These flow changes reflect the typical effects of flow-regime reversal observed in systems used to deliver dry-season irrigation flows </w:t>
      </w:r>
      <w:r w:rsidRPr="0035316B">
        <w:rPr>
          <w:rFonts w:asciiTheme="minorHAnsi" w:hAnsiTheme="minorHAnsi"/>
        </w:rPr>
        <w:fldChar w:fldCharType="begin"/>
      </w:r>
      <w:r w:rsidRPr="0035316B">
        <w:rPr>
          <w:rFonts w:asciiTheme="minorHAnsi" w:hAnsiTheme="minorHAnsi"/>
        </w:rPr>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Pr="0035316B">
        <w:rPr>
          <w:rFonts w:asciiTheme="minorHAnsi" w:hAnsiTheme="minorHAnsi"/>
        </w:rPr>
        <w:fldChar w:fldCharType="separate"/>
      </w:r>
      <w:r w:rsidRPr="0035316B">
        <w:rPr>
          <w:rFonts w:asciiTheme="minorHAnsi" w:hAnsiTheme="minorHAnsi" w:cs="Cambria"/>
          <w:lang w:val="en-US"/>
        </w:rPr>
        <w:t>(Maheshwari et al. 1995)</w:t>
      </w:r>
      <w:r w:rsidRPr="0035316B">
        <w:rPr>
          <w:rFonts w:asciiTheme="minorHAnsi" w:hAnsiTheme="minorHAnsi"/>
        </w:rPr>
        <w:fldChar w:fldCharType="end"/>
      </w:r>
      <w:r w:rsidRPr="0035316B">
        <w:rPr>
          <w:rFonts w:asciiTheme="minorHAnsi" w:hAnsiTheme="minorHAnsi"/>
        </w:rPr>
        <w:t>.</w:t>
      </w:r>
    </w:p>
    <w:p w14:paraId="1D9B5977" w14:textId="496F0891" w:rsidR="003A7DAD" w:rsidRPr="0035316B" w:rsidRDefault="00111BF7" w:rsidP="003A7DAD">
      <w:pPr>
        <w:tabs>
          <w:tab w:val="left" w:pos="9071"/>
        </w:tabs>
        <w:spacing w:after="120" w:line="320" w:lineRule="exact"/>
        <w:jc w:val="left"/>
        <w:rPr>
          <w:rFonts w:asciiTheme="minorHAnsi" w:hAnsiTheme="minorHAnsi"/>
        </w:rPr>
      </w:pPr>
      <w:r w:rsidRPr="0035316B">
        <w:rPr>
          <w:rFonts w:asciiTheme="minorHAnsi" w:hAnsiTheme="minorHAnsi"/>
          <w:szCs w:val="22"/>
        </w:rPr>
        <w:t xml:space="preserve">The </w:t>
      </w:r>
      <w:r w:rsidR="008E27F6" w:rsidRPr="0035316B">
        <w:rPr>
          <w:rFonts w:asciiTheme="minorHAnsi" w:hAnsiTheme="minorHAnsi"/>
          <w:szCs w:val="22"/>
        </w:rPr>
        <w:t>Edward/Kolety-Wakool</w:t>
      </w:r>
      <w:r w:rsidRPr="0035316B">
        <w:rPr>
          <w:rFonts w:asciiTheme="minorHAnsi" w:hAnsiTheme="minorHAnsi"/>
          <w:szCs w:val="22"/>
        </w:rPr>
        <w:t xml:space="preserve"> system has experienced a wide range of flow conditions over the past 15 years, and these antecedent conditions </w:t>
      </w:r>
      <w:r w:rsidR="00FD279A" w:rsidRPr="0035316B">
        <w:rPr>
          <w:rFonts w:asciiTheme="minorHAnsi" w:hAnsiTheme="minorHAnsi"/>
          <w:szCs w:val="22"/>
        </w:rPr>
        <w:t xml:space="preserve">will </w:t>
      </w:r>
      <w:r w:rsidRPr="0035316B">
        <w:rPr>
          <w:rFonts w:asciiTheme="minorHAnsi" w:hAnsiTheme="minorHAnsi"/>
          <w:szCs w:val="22"/>
        </w:rPr>
        <w:t>influence the way in which the ecosystem responds to Commonwealth environmental watering.</w:t>
      </w:r>
      <w:r w:rsidR="00E02EEA">
        <w:rPr>
          <w:rFonts w:asciiTheme="minorHAnsi" w:hAnsiTheme="minorHAnsi"/>
          <w:szCs w:val="22"/>
        </w:rPr>
        <w:t xml:space="preserve"> </w:t>
      </w:r>
      <w:r w:rsidRPr="0035316B">
        <w:rPr>
          <w:rFonts w:asciiTheme="minorHAnsi" w:hAnsiTheme="minorHAnsi"/>
          <w:szCs w:val="22"/>
        </w:rPr>
        <w:t>From 1998 to 2010 south-eastern Australia experienced a prolonged drought (</w:t>
      </w:r>
      <w:r w:rsidR="00117248" w:rsidRPr="0035316B">
        <w:rPr>
          <w:rFonts w:asciiTheme="minorHAnsi" w:hAnsiTheme="minorHAnsi"/>
          <w:szCs w:val="22"/>
        </w:rPr>
        <w:t>referred to</w:t>
      </w:r>
      <w:r w:rsidRPr="0035316B">
        <w:rPr>
          <w:rFonts w:asciiTheme="minorHAnsi" w:hAnsiTheme="minorHAnsi"/>
          <w:szCs w:val="22"/>
        </w:rPr>
        <w:t xml:space="preserve"> as the </w:t>
      </w:r>
      <w:r w:rsidR="00EC5AB4" w:rsidRPr="0035316B">
        <w:rPr>
          <w:rFonts w:asciiTheme="minorHAnsi" w:hAnsiTheme="minorHAnsi"/>
          <w:szCs w:val="22"/>
        </w:rPr>
        <w:t>Millennium</w:t>
      </w:r>
      <w:r w:rsidRPr="0035316B">
        <w:rPr>
          <w:rFonts w:asciiTheme="minorHAnsi" w:hAnsiTheme="minorHAnsi"/>
          <w:szCs w:val="22"/>
        </w:rPr>
        <w:t xml:space="preserve"> drought) and flows in the MDB were at record low levels (van Dijk 2013; Chiew et al. 2014).</w:t>
      </w:r>
      <w:r w:rsidRPr="0035316B">
        <w:rPr>
          <w:rFonts w:asciiTheme="minorHAnsi" w:hAnsiTheme="minorHAnsi"/>
        </w:rPr>
        <w:t xml:space="preserve"> During this period t</w:t>
      </w:r>
      <w:r w:rsidRPr="0035316B">
        <w:rPr>
          <w:rFonts w:asciiTheme="minorHAnsi" w:hAnsiTheme="minorHAnsi"/>
          <w:szCs w:val="22"/>
        </w:rPr>
        <w:t>he regulators controlling flows from the Edward</w:t>
      </w:r>
      <w:r w:rsidR="0091645A">
        <w:rPr>
          <w:rFonts w:asciiTheme="minorHAnsi" w:hAnsiTheme="minorHAnsi"/>
          <w:szCs w:val="22"/>
        </w:rPr>
        <w:t>/Kolety</w:t>
      </w:r>
      <w:r w:rsidRPr="0035316B">
        <w:rPr>
          <w:rFonts w:asciiTheme="minorHAnsi" w:hAnsiTheme="minorHAnsi"/>
          <w:szCs w:val="22"/>
        </w:rPr>
        <w:t xml:space="preserve"> River into tributary rivers such as Yallakool Creek and the Wakool River were closed for periods of time. Consequently, between February 2006 and September 2010 there were periods of minimal or no flow in the Wakool River. During this period localised fish deaths were recorded on a number of occasions including in 2006 and 2009. </w:t>
      </w:r>
      <w:r w:rsidRPr="0035316B">
        <w:rPr>
          <w:rFonts w:asciiTheme="minorHAnsi" w:hAnsiTheme="minorHAnsi"/>
        </w:rPr>
        <w:t>At the break of the drought after many years without overbank flows, a</w:t>
      </w:r>
      <w:r w:rsidRPr="0035316B">
        <w:rPr>
          <w:rFonts w:asciiTheme="minorHAnsi" w:hAnsiTheme="minorHAnsi"/>
          <w:lang w:eastAsia="en-AU"/>
        </w:rPr>
        <w:t xml:space="preserve"> sequence of unregulated flow events </w:t>
      </w:r>
      <w:r w:rsidRPr="0035316B">
        <w:rPr>
          <w:rFonts w:asciiTheme="minorHAnsi" w:hAnsiTheme="minorHAnsi"/>
          <w:szCs w:val="22"/>
        </w:rPr>
        <w:t xml:space="preserve">between September 2010 and April 2011 </w:t>
      </w:r>
      <w:r w:rsidRPr="0035316B">
        <w:rPr>
          <w:rFonts w:asciiTheme="minorHAnsi" w:hAnsiTheme="minorHAnsi"/>
          <w:lang w:eastAsia="en-AU"/>
        </w:rPr>
        <w:t xml:space="preserve">triggered a widespread hypoxic (low oxygen) blackwater event in the mid-Murray </w:t>
      </w:r>
      <w:r w:rsidRPr="0035316B">
        <w:rPr>
          <w:rFonts w:asciiTheme="minorHAnsi" w:hAnsiTheme="minorHAnsi"/>
        </w:rPr>
        <w:t>(MDBA 2011; Whitworth et al. 2012</w:t>
      </w:r>
      <w:r w:rsidR="003A7DAD" w:rsidRPr="0035316B">
        <w:rPr>
          <w:rFonts w:asciiTheme="minorHAnsi" w:hAnsiTheme="minorHAnsi"/>
        </w:rPr>
        <w:t>; Watts et al. 2017a</w:t>
      </w:r>
      <w:r w:rsidRPr="0035316B">
        <w:rPr>
          <w:rFonts w:asciiTheme="minorHAnsi" w:hAnsiTheme="minorHAnsi"/>
        </w:rPr>
        <w:t>).</w:t>
      </w:r>
    </w:p>
    <w:p w14:paraId="2B004338" w14:textId="76CA703E" w:rsidR="00C9652F" w:rsidRPr="0035316B" w:rsidRDefault="00111BF7" w:rsidP="003A7DAD">
      <w:pPr>
        <w:tabs>
          <w:tab w:val="left" w:pos="9071"/>
        </w:tabs>
        <w:spacing w:after="120" w:line="320" w:lineRule="exact"/>
        <w:jc w:val="left"/>
      </w:pPr>
      <w:r w:rsidRPr="0035316B">
        <w:t>In late 2016 there was a widespread flood in the southern-MDB associated with record-bre</w:t>
      </w:r>
      <w:r w:rsidR="00EC5AB4" w:rsidRPr="0035316B">
        <w:t>aking rainfall in the catchment</w:t>
      </w:r>
      <w:r w:rsidRPr="0035316B">
        <w:t>. Some areas of the floodplain were inundated that had not been flooded for more than 20 years. In the Murray catchment, Murray River flows at Yarrawonga in October were the highest since 1993 (MDBA River Murray Weekly Report, 7</w:t>
      </w:r>
      <w:r w:rsidRPr="0035316B">
        <w:rPr>
          <w:vertAlign w:val="superscript"/>
        </w:rPr>
        <w:t>th</w:t>
      </w:r>
      <w:r w:rsidRPr="0035316B">
        <w:t xml:space="preserve"> Dec</w:t>
      </w:r>
      <w:r w:rsidR="00622DAE" w:rsidRPr="0035316B">
        <w:t xml:space="preserve"> 2017</w:t>
      </w:r>
      <w:r w:rsidRPr="0035316B">
        <w:t xml:space="preserve">). The unregulated flows from the Murray River inundated the floodplain including Barmah Forest and Koondrook–Perricoota Forests and agricultural land, and resulted in a very large flood event in the </w:t>
      </w:r>
      <w:r w:rsidR="008E27F6" w:rsidRPr="0035316B">
        <w:t>Edward/Kolety-Wakool</w:t>
      </w:r>
      <w:r w:rsidRPr="0035316B">
        <w:t xml:space="preserve"> system (BOM 2017). In association with the floods there was a hypoxic blackwater event that extended throughout the Murray River system, including the </w:t>
      </w:r>
      <w:r w:rsidR="008E27F6" w:rsidRPr="0035316B">
        <w:t>Edward/Kolety-Wakool</w:t>
      </w:r>
      <w:r w:rsidRPr="0035316B">
        <w:t xml:space="preserve"> system.</w:t>
      </w:r>
    </w:p>
    <w:p w14:paraId="5BA30036" w14:textId="1E591CD4" w:rsidR="0035316B" w:rsidRDefault="00EC5AB4" w:rsidP="001D0033">
      <w:pPr>
        <w:pStyle w:val="NoSpacing"/>
        <w:spacing w:after="120" w:line="320" w:lineRule="exact"/>
        <w:jc w:val="left"/>
      </w:pPr>
      <w:r w:rsidRPr="0035316B">
        <w:t xml:space="preserve">This chapter reports on the hydrology of the </w:t>
      </w:r>
      <w:r w:rsidR="008E27F6" w:rsidRPr="0035316B">
        <w:t>Edward/Kolety-Wakool</w:t>
      </w:r>
      <w:r w:rsidRPr="0035316B">
        <w:t xml:space="preserve"> system from 1 </w:t>
      </w:r>
      <w:r w:rsidR="00182331">
        <w:t>M</w:t>
      </w:r>
      <w:r w:rsidR="0035316B" w:rsidRPr="0035316B">
        <w:t>ay</w:t>
      </w:r>
      <w:r w:rsidRPr="0035316B">
        <w:t xml:space="preserve"> 201</w:t>
      </w:r>
      <w:r w:rsidR="0035316B" w:rsidRPr="0035316B">
        <w:t>9 to 30 June 2020</w:t>
      </w:r>
      <w:r w:rsidR="006B54E8" w:rsidRPr="0035316B">
        <w:t xml:space="preserve">. </w:t>
      </w:r>
      <w:r w:rsidR="0035316B" w:rsidRPr="0035316B">
        <w:t xml:space="preserve">This </w:t>
      </w:r>
      <w:r w:rsidR="00182331">
        <w:t>reporting period commences in May 2019 to enable</w:t>
      </w:r>
      <w:r w:rsidR="0035316B" w:rsidRPr="0035316B">
        <w:t xml:space="preserve"> an evaluation of the winter watering action that commenced in May 2019</w:t>
      </w:r>
      <w:r w:rsidR="006B54E8" w:rsidRPr="0035316B">
        <w:t>.</w:t>
      </w:r>
    </w:p>
    <w:p w14:paraId="49D77436" w14:textId="3749841D" w:rsidR="004C71B4" w:rsidRPr="005F5394" w:rsidRDefault="004C71B4" w:rsidP="004C71B4">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t>4</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targeting</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hydrology</w:t>
      </w:r>
      <w:r w:rsidRPr="005F5394">
        <w:rPr>
          <w:rFonts w:asciiTheme="minorHAnsi" w:hAnsiTheme="minorHAnsi"/>
          <w:b/>
          <w:color w:val="31849B" w:themeColor="accent5" w:themeShade="BF"/>
          <w:sz w:val="28"/>
          <w:szCs w:val="28"/>
        </w:rPr>
        <w:t xml:space="preserve"> outcomes</w:t>
      </w:r>
    </w:p>
    <w:p w14:paraId="0497EAC1" w14:textId="7B1F8353" w:rsidR="00D9354D" w:rsidRDefault="0035316B" w:rsidP="00A30448">
      <w:pPr>
        <w:spacing w:after="160" w:line="259" w:lineRule="auto"/>
        <w:ind w:right="-286"/>
        <w:contextualSpacing/>
        <w:jc w:val="left"/>
      </w:pPr>
      <w:r w:rsidRPr="005379B5">
        <w:rPr>
          <w:color w:val="000000" w:themeColor="text1"/>
        </w:rPr>
        <w:t>Three watering actions were planned by the Commonwealth Environmental Water Office for the 2019-20 water year in the Wakool-Yallakool system and the Colligen-Niemur system (</w:t>
      </w:r>
      <w:r>
        <w:rPr>
          <w:color w:val="000000" w:themeColor="text1"/>
        </w:rPr>
        <w:t>Table 4.1</w:t>
      </w:r>
      <w:r w:rsidRPr="005379B5">
        <w:rPr>
          <w:color w:val="000000" w:themeColor="text1"/>
        </w:rPr>
        <w:t>)</w:t>
      </w:r>
      <w:r>
        <w:rPr>
          <w:color w:val="000000" w:themeColor="text1"/>
        </w:rPr>
        <w:t xml:space="preserve">. </w:t>
      </w:r>
      <w:r>
        <w:t xml:space="preserve">Some of the water during these actions was sourced as </w:t>
      </w:r>
      <w:r w:rsidRPr="00A14E1A">
        <w:t>return flows from the Southern</w:t>
      </w:r>
      <w:r w:rsidRPr="005379B5">
        <w:rPr>
          <w:b/>
        </w:rPr>
        <w:t xml:space="preserve"> </w:t>
      </w:r>
      <w:r>
        <w:t>Connected F</w:t>
      </w:r>
      <w:r w:rsidRPr="00A14E1A">
        <w:t>low</w:t>
      </w:r>
      <w:r w:rsidRPr="005379B5">
        <w:rPr>
          <w:b/>
        </w:rPr>
        <w:t xml:space="preserve"> </w:t>
      </w:r>
      <w:r w:rsidRPr="004C0F90">
        <w:t>in the Murray River</w:t>
      </w:r>
      <w:r>
        <w:t>. This influenced flows in the Edward/Kolety-Wakool system from 28 August to 9 September 2019, and 23 September to 1 October 2019. The return flows from Millewa Forest may have affected the water quality in the Edward/Kolety-Wakool system on these dates, and on later dates at sites further downstream.</w:t>
      </w:r>
      <w:r w:rsidR="00D9354D">
        <w:t xml:space="preserve"> Actions 1 and 3a specifically targeted hydrology outcomes of connectivity.</w:t>
      </w:r>
    </w:p>
    <w:p w14:paraId="0339B1DB" w14:textId="33613D3C" w:rsidR="0035316B" w:rsidRDefault="0035316B" w:rsidP="0035316B">
      <w:pPr>
        <w:pStyle w:val="BodyText"/>
        <w:spacing w:line="240" w:lineRule="auto"/>
        <w:ind w:right="-284"/>
        <w:jc w:val="left"/>
        <w:rPr>
          <w:rFonts w:asciiTheme="minorHAnsi" w:hAnsiTheme="minorHAnsi" w:cstheme="minorHAnsi"/>
          <w:sz w:val="20"/>
        </w:rPr>
      </w:pPr>
      <w:r w:rsidRPr="00A24586">
        <w:rPr>
          <w:rFonts w:asciiTheme="minorHAnsi" w:hAnsiTheme="minorHAnsi" w:cstheme="minorHAnsi"/>
          <w:b/>
          <w:sz w:val="20"/>
        </w:rPr>
        <w:t xml:space="preserve">Table </w:t>
      </w:r>
      <w:r>
        <w:rPr>
          <w:rFonts w:asciiTheme="minorHAnsi" w:hAnsiTheme="minorHAnsi" w:cstheme="minorHAnsi"/>
          <w:b/>
          <w:sz w:val="20"/>
        </w:rPr>
        <w:t>4.1</w:t>
      </w:r>
      <w:r w:rsidRPr="00A24586">
        <w:rPr>
          <w:rFonts w:asciiTheme="minorHAnsi" w:hAnsiTheme="minorHAnsi" w:cstheme="minorHAnsi"/>
          <w:b/>
          <w:sz w:val="20"/>
        </w:rPr>
        <w:t xml:space="preserve"> </w:t>
      </w:r>
      <w:r>
        <w:rPr>
          <w:rFonts w:asciiTheme="minorHAnsi" w:hAnsiTheme="minorHAnsi" w:cstheme="minorHAnsi"/>
          <w:sz w:val="20"/>
        </w:rPr>
        <w:t>Planned Commonwealth environmental watering actions in 2019-20 in the Edward/Kolety-</w:t>
      </w:r>
      <w:r w:rsidRPr="00A24586">
        <w:rPr>
          <w:rFonts w:asciiTheme="minorHAnsi" w:hAnsiTheme="minorHAnsi" w:cstheme="minorHAnsi"/>
          <w:sz w:val="20"/>
        </w:rPr>
        <w:t>Wakool River system</w:t>
      </w:r>
      <w:r>
        <w:rPr>
          <w:rFonts w:asciiTheme="minorHAnsi" w:hAnsiTheme="minorHAnsi" w:cstheme="minorHAnsi"/>
          <w:sz w:val="20"/>
        </w:rPr>
        <w:t xml:space="preserve">. </w:t>
      </w:r>
    </w:p>
    <w:tbl>
      <w:tblPr>
        <w:tblStyle w:val="TableGrid"/>
        <w:tblW w:w="93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391"/>
        <w:gridCol w:w="2373"/>
        <w:gridCol w:w="4326"/>
        <w:gridCol w:w="1256"/>
      </w:tblGrid>
      <w:tr w:rsidR="0035316B" w14:paraId="3EA6E627" w14:textId="77777777" w:rsidTr="009A6FB9">
        <w:trPr>
          <w:trHeight w:val="507"/>
        </w:trPr>
        <w:tc>
          <w:tcPr>
            <w:tcW w:w="1391" w:type="dxa"/>
            <w:tcBorders>
              <w:top w:val="single" w:sz="4" w:space="0" w:color="auto"/>
              <w:bottom w:val="single" w:sz="4" w:space="0" w:color="auto"/>
            </w:tcBorders>
            <w:shd w:val="clear" w:color="auto" w:fill="92CDDC"/>
          </w:tcPr>
          <w:p w14:paraId="5768CFC9" w14:textId="77777777" w:rsidR="0035316B" w:rsidRDefault="0035316B" w:rsidP="009A6FB9">
            <w:pPr>
              <w:spacing w:after="0" w:line="240" w:lineRule="auto"/>
              <w:rPr>
                <w:b/>
              </w:rPr>
            </w:pPr>
            <w:r>
              <w:rPr>
                <w:b/>
              </w:rPr>
              <w:t>Watering Action No</w:t>
            </w:r>
          </w:p>
        </w:tc>
        <w:tc>
          <w:tcPr>
            <w:tcW w:w="2373" w:type="dxa"/>
            <w:tcBorders>
              <w:top w:val="single" w:sz="4" w:space="0" w:color="auto"/>
              <w:bottom w:val="single" w:sz="4" w:space="0" w:color="auto"/>
            </w:tcBorders>
            <w:shd w:val="clear" w:color="auto" w:fill="92CDDC"/>
          </w:tcPr>
          <w:p w14:paraId="6AF838D2" w14:textId="77777777" w:rsidR="0035316B" w:rsidRDefault="0035316B" w:rsidP="009A6FB9">
            <w:pPr>
              <w:spacing w:after="0" w:line="240" w:lineRule="auto"/>
              <w:rPr>
                <w:b/>
              </w:rPr>
            </w:pPr>
            <w:r>
              <w:rPr>
                <w:b/>
              </w:rPr>
              <w:t>Name</w:t>
            </w:r>
          </w:p>
        </w:tc>
        <w:tc>
          <w:tcPr>
            <w:tcW w:w="4326" w:type="dxa"/>
            <w:tcBorders>
              <w:top w:val="single" w:sz="4" w:space="0" w:color="auto"/>
              <w:bottom w:val="single" w:sz="4" w:space="0" w:color="auto"/>
            </w:tcBorders>
            <w:shd w:val="clear" w:color="auto" w:fill="92CDDC"/>
          </w:tcPr>
          <w:p w14:paraId="4FA8C939" w14:textId="77777777" w:rsidR="0035316B" w:rsidRDefault="0035316B" w:rsidP="009A6FB9">
            <w:pPr>
              <w:spacing w:after="0" w:line="240" w:lineRule="auto"/>
              <w:rPr>
                <w:b/>
              </w:rPr>
            </w:pPr>
            <w:r>
              <w:rPr>
                <w:b/>
              </w:rPr>
              <w:t>Objectives (from CEWO)</w:t>
            </w:r>
          </w:p>
        </w:tc>
        <w:tc>
          <w:tcPr>
            <w:tcW w:w="1256" w:type="dxa"/>
            <w:tcBorders>
              <w:top w:val="single" w:sz="4" w:space="0" w:color="auto"/>
              <w:bottom w:val="single" w:sz="4" w:space="0" w:color="auto"/>
            </w:tcBorders>
            <w:shd w:val="clear" w:color="auto" w:fill="92CDDC"/>
          </w:tcPr>
          <w:p w14:paraId="193C7024" w14:textId="77777777" w:rsidR="0035316B" w:rsidRDefault="0035316B" w:rsidP="009A6FB9">
            <w:pPr>
              <w:spacing w:after="0" w:line="240" w:lineRule="auto"/>
              <w:rPr>
                <w:b/>
              </w:rPr>
            </w:pPr>
            <w:r>
              <w:rPr>
                <w:b/>
              </w:rPr>
              <w:t>Dates</w:t>
            </w:r>
          </w:p>
        </w:tc>
      </w:tr>
      <w:tr w:rsidR="0035316B" w14:paraId="6D592482" w14:textId="77777777" w:rsidTr="009A6FB9">
        <w:trPr>
          <w:trHeight w:val="687"/>
        </w:trPr>
        <w:tc>
          <w:tcPr>
            <w:tcW w:w="1391" w:type="dxa"/>
            <w:tcBorders>
              <w:top w:val="single" w:sz="4" w:space="0" w:color="auto"/>
            </w:tcBorders>
            <w:shd w:val="clear" w:color="auto" w:fill="FFFFFF" w:themeFill="background1"/>
          </w:tcPr>
          <w:p w14:paraId="23D82E2D"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Action 1</w:t>
            </w:r>
          </w:p>
        </w:tc>
        <w:tc>
          <w:tcPr>
            <w:tcW w:w="2373" w:type="dxa"/>
            <w:tcBorders>
              <w:top w:val="single" w:sz="4" w:space="0" w:color="auto"/>
            </w:tcBorders>
            <w:shd w:val="clear" w:color="auto" w:fill="FFFFFF" w:themeFill="background1"/>
          </w:tcPr>
          <w:p w14:paraId="37703D2E"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Winter base flow</w:t>
            </w:r>
          </w:p>
        </w:tc>
        <w:tc>
          <w:tcPr>
            <w:tcW w:w="4326" w:type="dxa"/>
            <w:tcBorders>
              <w:top w:val="single" w:sz="4" w:space="0" w:color="auto"/>
            </w:tcBorders>
            <w:shd w:val="clear" w:color="auto" w:fill="FFFFFF" w:themeFill="background1"/>
          </w:tcPr>
          <w:p w14:paraId="67E7D677"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sz w:val="20"/>
              </w:rPr>
              <w:t xml:space="preserve">For native fish condition and movement, vegetation in-channel, </w:t>
            </w:r>
            <w:r w:rsidRPr="0035316B">
              <w:rPr>
                <w:rFonts w:asciiTheme="minorHAnsi" w:hAnsiTheme="minorHAnsi" w:cstheme="minorHAnsi"/>
                <w:b/>
                <w:sz w:val="20"/>
              </w:rPr>
              <w:t>longitudinal connectivity;</w:t>
            </w:r>
            <w:r w:rsidRPr="00780317">
              <w:rPr>
                <w:rFonts w:asciiTheme="minorHAnsi" w:hAnsiTheme="minorHAnsi" w:cstheme="minorHAnsi"/>
                <w:sz w:val="20"/>
              </w:rPr>
              <w:t xml:space="preserve"> refuge habitat during irrigation shut-down period</w:t>
            </w:r>
          </w:p>
        </w:tc>
        <w:tc>
          <w:tcPr>
            <w:tcW w:w="1256" w:type="dxa"/>
            <w:tcBorders>
              <w:top w:val="single" w:sz="4" w:space="0" w:color="auto"/>
            </w:tcBorders>
            <w:shd w:val="clear" w:color="auto" w:fill="FFFFFF" w:themeFill="background1"/>
          </w:tcPr>
          <w:p w14:paraId="441B7B62"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15/05/19 - 9/08/2019</w:t>
            </w:r>
          </w:p>
        </w:tc>
      </w:tr>
      <w:tr w:rsidR="0035316B" w14:paraId="528AB232" w14:textId="77777777" w:rsidTr="009A6FB9">
        <w:trPr>
          <w:trHeight w:val="927"/>
        </w:trPr>
        <w:tc>
          <w:tcPr>
            <w:tcW w:w="1391" w:type="dxa"/>
            <w:shd w:val="clear" w:color="auto" w:fill="FFFFFF" w:themeFill="background1"/>
          </w:tcPr>
          <w:p w14:paraId="0FDA7B20"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Action 2</w:t>
            </w:r>
          </w:p>
        </w:tc>
        <w:tc>
          <w:tcPr>
            <w:tcW w:w="2373" w:type="dxa"/>
            <w:shd w:val="clear" w:color="auto" w:fill="FFFFFF" w:themeFill="background1"/>
          </w:tcPr>
          <w:p w14:paraId="4BB243AE"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Winter to spring transition flow</w:t>
            </w:r>
          </w:p>
        </w:tc>
        <w:tc>
          <w:tcPr>
            <w:tcW w:w="4326" w:type="dxa"/>
            <w:shd w:val="clear" w:color="auto" w:fill="FFFFFF" w:themeFill="background1"/>
          </w:tcPr>
          <w:p w14:paraId="10DB47E0"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sz w:val="20"/>
              </w:rPr>
              <w:t>At this time, there was no operational demand so CEW was used to prevent water levels reducing to low levels for a short period between action 1 and action 3.</w:t>
            </w:r>
          </w:p>
        </w:tc>
        <w:tc>
          <w:tcPr>
            <w:tcW w:w="1256" w:type="dxa"/>
            <w:shd w:val="clear" w:color="auto" w:fill="FFFFFF" w:themeFill="background1"/>
          </w:tcPr>
          <w:p w14:paraId="476111CC"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 xml:space="preserve">10/08/19 - 27/08/19 </w:t>
            </w:r>
          </w:p>
          <w:p w14:paraId="71F4AC81" w14:textId="77777777" w:rsidR="0035316B" w:rsidRPr="00780317" w:rsidRDefault="0035316B" w:rsidP="009A6FB9">
            <w:pPr>
              <w:spacing w:after="0" w:line="240" w:lineRule="auto"/>
              <w:rPr>
                <w:rFonts w:asciiTheme="minorHAnsi" w:hAnsiTheme="minorHAnsi" w:cstheme="minorHAnsi"/>
                <w:sz w:val="20"/>
              </w:rPr>
            </w:pPr>
          </w:p>
        </w:tc>
      </w:tr>
      <w:tr w:rsidR="0035316B" w14:paraId="26060788" w14:textId="77777777" w:rsidTr="009A6FB9">
        <w:trPr>
          <w:trHeight w:val="1151"/>
        </w:trPr>
        <w:tc>
          <w:tcPr>
            <w:tcW w:w="1391" w:type="dxa"/>
            <w:shd w:val="clear" w:color="auto" w:fill="FFFFFF" w:themeFill="background1"/>
          </w:tcPr>
          <w:p w14:paraId="2DE30035" w14:textId="77777777" w:rsidR="0035316B" w:rsidRPr="00780317" w:rsidRDefault="0035316B" w:rsidP="009A6F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3a</w:t>
            </w:r>
          </w:p>
        </w:tc>
        <w:tc>
          <w:tcPr>
            <w:tcW w:w="2373" w:type="dxa"/>
            <w:shd w:val="clear" w:color="auto" w:fill="FFFFFF" w:themeFill="background1"/>
          </w:tcPr>
          <w:p w14:paraId="788BB523"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Winter/spring early fresh</w:t>
            </w:r>
          </w:p>
        </w:tc>
        <w:tc>
          <w:tcPr>
            <w:tcW w:w="4326" w:type="dxa"/>
            <w:shd w:val="clear" w:color="auto" w:fill="FFFFFF" w:themeFill="background1"/>
          </w:tcPr>
          <w:p w14:paraId="22B0EF49"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rPr>
              <w:t xml:space="preserve">To provide early season </w:t>
            </w:r>
            <w:r w:rsidRPr="00D9354D">
              <w:rPr>
                <w:rFonts w:asciiTheme="minorHAnsi" w:hAnsiTheme="minorHAnsi" w:cstheme="minorHAnsi"/>
                <w:b/>
                <w:color w:val="000000" w:themeColor="text1"/>
                <w:sz w:val="20"/>
              </w:rPr>
              <w:t>rise in river level to contribute to connectivity</w:t>
            </w:r>
            <w:r w:rsidRPr="00780317">
              <w:rPr>
                <w:rFonts w:asciiTheme="minorHAnsi" w:hAnsiTheme="minorHAnsi" w:cstheme="minorHAnsi"/>
                <w:color w:val="000000" w:themeColor="text1"/>
                <w:sz w:val="20"/>
              </w:rPr>
              <w:t>, water quality, stimulating early growth of in-stream aquatic vegetation, pre-spawning condition of native fish and/or spawning in early spawning native fish.</w:t>
            </w:r>
          </w:p>
        </w:tc>
        <w:tc>
          <w:tcPr>
            <w:tcW w:w="1256" w:type="dxa"/>
            <w:shd w:val="clear" w:color="auto" w:fill="FFFFFF" w:themeFill="background1"/>
          </w:tcPr>
          <w:p w14:paraId="78D888D3"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28/08/19 - 4/09/19</w:t>
            </w:r>
          </w:p>
        </w:tc>
      </w:tr>
      <w:tr w:rsidR="0035316B" w14:paraId="4D6B7BE8" w14:textId="77777777" w:rsidTr="009A6FB9">
        <w:trPr>
          <w:trHeight w:val="455"/>
        </w:trPr>
        <w:tc>
          <w:tcPr>
            <w:tcW w:w="1391" w:type="dxa"/>
            <w:shd w:val="clear" w:color="auto" w:fill="FFFFFF" w:themeFill="background1"/>
          </w:tcPr>
          <w:p w14:paraId="505BB011" w14:textId="77777777" w:rsidR="0035316B" w:rsidRPr="00780317" w:rsidRDefault="0035316B" w:rsidP="009A6F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3b</w:t>
            </w:r>
          </w:p>
        </w:tc>
        <w:tc>
          <w:tcPr>
            <w:tcW w:w="2373" w:type="dxa"/>
            <w:shd w:val="clear" w:color="auto" w:fill="FFFFFF" w:themeFill="background1"/>
          </w:tcPr>
          <w:p w14:paraId="687E56D6"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Early spring elevated base flow</w:t>
            </w:r>
          </w:p>
        </w:tc>
        <w:tc>
          <w:tcPr>
            <w:tcW w:w="4326" w:type="dxa"/>
            <w:shd w:val="clear" w:color="auto" w:fill="FFFFFF" w:themeFill="background1"/>
          </w:tcPr>
          <w:p w14:paraId="51D647B4"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maintain nesting habitat for Murray Cod, and inundation for aquatic vegetation growth.</w:t>
            </w:r>
          </w:p>
        </w:tc>
        <w:tc>
          <w:tcPr>
            <w:tcW w:w="1256" w:type="dxa"/>
            <w:shd w:val="clear" w:color="auto" w:fill="FFFFFF" w:themeFill="background1"/>
          </w:tcPr>
          <w:p w14:paraId="248996D0"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5/09/19 - 22/09/19</w:t>
            </w:r>
          </w:p>
        </w:tc>
      </w:tr>
      <w:tr w:rsidR="0035316B" w14:paraId="5A7E7DDB" w14:textId="77777777" w:rsidTr="009A6FB9">
        <w:trPr>
          <w:trHeight w:val="1151"/>
        </w:trPr>
        <w:tc>
          <w:tcPr>
            <w:tcW w:w="1391" w:type="dxa"/>
            <w:shd w:val="clear" w:color="auto" w:fill="FFFFFF" w:themeFill="background1"/>
          </w:tcPr>
          <w:p w14:paraId="2F7D6506" w14:textId="77777777" w:rsidR="0035316B" w:rsidRPr="00780317" w:rsidRDefault="0035316B" w:rsidP="009A6F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3c</w:t>
            </w:r>
          </w:p>
        </w:tc>
        <w:tc>
          <w:tcPr>
            <w:tcW w:w="2373" w:type="dxa"/>
            <w:shd w:val="clear" w:color="auto" w:fill="FFFFFF" w:themeFill="background1"/>
          </w:tcPr>
          <w:p w14:paraId="789966AD"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Late spring fresh</w:t>
            </w:r>
          </w:p>
        </w:tc>
        <w:tc>
          <w:tcPr>
            <w:tcW w:w="4326" w:type="dxa"/>
            <w:shd w:val="clear" w:color="auto" w:fill="FFFFFF" w:themeFill="background1"/>
          </w:tcPr>
          <w:p w14:paraId="3004F056"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 xml:space="preserve">To promote silver perch spawning, influence and encourage fish movement, may be coordinated with wider Murray River actions to maximise benefit. May also assist with dispersal of larvae and juveniles of a number of fish species. </w:t>
            </w:r>
          </w:p>
        </w:tc>
        <w:tc>
          <w:tcPr>
            <w:tcW w:w="1256" w:type="dxa"/>
            <w:shd w:val="clear" w:color="auto" w:fill="FFFFFF" w:themeFill="background1"/>
          </w:tcPr>
          <w:p w14:paraId="4884E5E3"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23/09/19 - 11/10/19</w:t>
            </w:r>
          </w:p>
          <w:p w14:paraId="2D741CB8" w14:textId="77777777" w:rsidR="0035316B" w:rsidRPr="00780317" w:rsidRDefault="0035316B" w:rsidP="009A6FB9">
            <w:pPr>
              <w:spacing w:after="0" w:line="240" w:lineRule="auto"/>
              <w:rPr>
                <w:rFonts w:asciiTheme="minorHAnsi" w:hAnsiTheme="minorHAnsi" w:cstheme="minorHAnsi"/>
                <w:sz w:val="20"/>
              </w:rPr>
            </w:pPr>
          </w:p>
        </w:tc>
      </w:tr>
      <w:tr w:rsidR="0035316B" w14:paraId="62B41DB1" w14:textId="77777777" w:rsidTr="009A6FB9">
        <w:trPr>
          <w:trHeight w:val="927"/>
        </w:trPr>
        <w:tc>
          <w:tcPr>
            <w:tcW w:w="1391" w:type="dxa"/>
            <w:tcBorders>
              <w:bottom w:val="single" w:sz="4" w:space="0" w:color="FFFFFF" w:themeColor="background1"/>
            </w:tcBorders>
            <w:shd w:val="clear" w:color="auto" w:fill="FFFFFF" w:themeFill="background1"/>
          </w:tcPr>
          <w:p w14:paraId="41AF318C" w14:textId="77777777" w:rsidR="0035316B" w:rsidRPr="00780317" w:rsidRDefault="0035316B" w:rsidP="009A6F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3d</w:t>
            </w:r>
          </w:p>
        </w:tc>
        <w:tc>
          <w:tcPr>
            <w:tcW w:w="2373" w:type="dxa"/>
            <w:tcBorders>
              <w:bottom w:val="single" w:sz="4" w:space="0" w:color="FFFFFF" w:themeColor="background1"/>
            </w:tcBorders>
            <w:shd w:val="clear" w:color="auto" w:fill="FFFFFF" w:themeFill="background1"/>
          </w:tcPr>
          <w:p w14:paraId="790C8C6A"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Late spring elevated base flow</w:t>
            </w:r>
          </w:p>
        </w:tc>
        <w:tc>
          <w:tcPr>
            <w:tcW w:w="4326" w:type="dxa"/>
            <w:tcBorders>
              <w:bottom w:val="single" w:sz="4" w:space="0" w:color="FFFFFF" w:themeColor="background1"/>
            </w:tcBorders>
            <w:shd w:val="clear" w:color="auto" w:fill="FFFFFF" w:themeFill="background1"/>
          </w:tcPr>
          <w:p w14:paraId="7173C66D" w14:textId="77777777" w:rsidR="0035316B" w:rsidRPr="00780317" w:rsidRDefault="0035316B" w:rsidP="00A30448">
            <w:pPr>
              <w:spacing w:after="0" w:line="240" w:lineRule="auto"/>
              <w:jc w:val="left"/>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To influence and encourage fish movement, may be coordinated with wider Murray River actions to maximise benefit. May also assist with dispersal of larvae and juveniles of a number of fish species.</w:t>
            </w:r>
          </w:p>
        </w:tc>
        <w:tc>
          <w:tcPr>
            <w:tcW w:w="1256" w:type="dxa"/>
            <w:tcBorders>
              <w:bottom w:val="single" w:sz="4" w:space="0" w:color="FFFFFF" w:themeColor="background1"/>
            </w:tcBorders>
            <w:shd w:val="clear" w:color="auto" w:fill="FFFFFF" w:themeFill="background1"/>
          </w:tcPr>
          <w:p w14:paraId="0190309F"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12/10/19 - 30/11/19</w:t>
            </w:r>
          </w:p>
          <w:p w14:paraId="13A60254" w14:textId="77777777" w:rsidR="0035316B" w:rsidRPr="00780317" w:rsidRDefault="0035316B" w:rsidP="009A6FB9">
            <w:pPr>
              <w:spacing w:after="0" w:line="240" w:lineRule="auto"/>
              <w:rPr>
                <w:rFonts w:asciiTheme="minorHAnsi" w:hAnsiTheme="minorHAnsi" w:cstheme="minorHAnsi"/>
                <w:sz w:val="20"/>
              </w:rPr>
            </w:pPr>
          </w:p>
        </w:tc>
      </w:tr>
      <w:tr w:rsidR="0035316B" w14:paraId="61B3FF2C" w14:textId="77777777" w:rsidTr="009A6FB9">
        <w:trPr>
          <w:trHeight w:val="455"/>
        </w:trPr>
        <w:tc>
          <w:tcPr>
            <w:tcW w:w="1391" w:type="dxa"/>
            <w:tcBorders>
              <w:bottom w:val="single" w:sz="4" w:space="0" w:color="auto"/>
            </w:tcBorders>
            <w:shd w:val="clear" w:color="auto" w:fill="FFFFFF" w:themeFill="background1"/>
          </w:tcPr>
          <w:p w14:paraId="32E3F817" w14:textId="77777777" w:rsidR="0035316B" w:rsidRPr="00780317" w:rsidRDefault="0035316B" w:rsidP="009A6FB9">
            <w:pPr>
              <w:spacing w:after="0" w:line="240" w:lineRule="auto"/>
              <w:ind w:left="29"/>
              <w:rPr>
                <w:rFonts w:asciiTheme="minorHAnsi" w:hAnsiTheme="minorHAnsi" w:cstheme="minorHAnsi"/>
                <w:sz w:val="20"/>
              </w:rPr>
            </w:pPr>
            <w:r w:rsidRPr="00780317">
              <w:rPr>
                <w:rFonts w:asciiTheme="minorHAnsi" w:hAnsiTheme="minorHAnsi" w:cstheme="minorHAnsi"/>
                <w:sz w:val="20"/>
              </w:rPr>
              <w:t>Action 3e</w:t>
            </w:r>
          </w:p>
        </w:tc>
        <w:tc>
          <w:tcPr>
            <w:tcW w:w="2373" w:type="dxa"/>
            <w:tcBorders>
              <w:bottom w:val="single" w:sz="4" w:space="0" w:color="auto"/>
            </w:tcBorders>
            <w:shd w:val="clear" w:color="auto" w:fill="FFFFFF" w:themeFill="background1"/>
          </w:tcPr>
          <w:p w14:paraId="6EB151FC"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Recession</w:t>
            </w:r>
          </w:p>
        </w:tc>
        <w:tc>
          <w:tcPr>
            <w:tcW w:w="4326" w:type="dxa"/>
            <w:tcBorders>
              <w:bottom w:val="single" w:sz="4" w:space="0" w:color="auto"/>
            </w:tcBorders>
            <w:shd w:val="clear" w:color="auto" w:fill="FFFFFF" w:themeFill="background1"/>
          </w:tcPr>
          <w:p w14:paraId="23A32344"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color w:val="000000" w:themeColor="text1"/>
                <w:sz w:val="20"/>
                <w14:props3d w14:extrusionH="0" w14:contourW="0" w14:prstMaterial="matte"/>
              </w:rPr>
              <w:t>Slow recessions for instream water plants</w:t>
            </w:r>
          </w:p>
        </w:tc>
        <w:tc>
          <w:tcPr>
            <w:tcW w:w="1256" w:type="dxa"/>
            <w:tcBorders>
              <w:bottom w:val="single" w:sz="4" w:space="0" w:color="auto"/>
            </w:tcBorders>
            <w:shd w:val="clear" w:color="auto" w:fill="FFFFFF" w:themeFill="background1"/>
          </w:tcPr>
          <w:p w14:paraId="448C9EC7" w14:textId="77777777" w:rsidR="0035316B" w:rsidRPr="00780317" w:rsidRDefault="0035316B" w:rsidP="009A6FB9">
            <w:pPr>
              <w:spacing w:after="0" w:line="240" w:lineRule="auto"/>
              <w:rPr>
                <w:rFonts w:asciiTheme="minorHAnsi" w:hAnsiTheme="minorHAnsi" w:cstheme="minorHAnsi"/>
                <w:sz w:val="20"/>
              </w:rPr>
            </w:pPr>
            <w:r w:rsidRPr="00780317">
              <w:rPr>
                <w:rFonts w:asciiTheme="minorHAnsi" w:hAnsiTheme="minorHAnsi" w:cstheme="minorHAnsi"/>
                <w:sz w:val="20"/>
              </w:rPr>
              <w:t>1/12/19 - 22/12/19</w:t>
            </w:r>
          </w:p>
        </w:tc>
      </w:tr>
    </w:tbl>
    <w:p w14:paraId="13232053" w14:textId="4C0355C7" w:rsidR="00C9652F"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4.3</w:t>
      </w:r>
      <w:r w:rsidR="00C9652F">
        <w:rPr>
          <w:b/>
          <w:color w:val="31849B" w:themeColor="accent5" w:themeShade="BF"/>
          <w:sz w:val="28"/>
          <w:szCs w:val="28"/>
        </w:rPr>
        <w:t xml:space="preserve"> </w:t>
      </w:r>
      <w:r w:rsidR="007906BA">
        <w:rPr>
          <w:b/>
          <w:color w:val="31849B" w:themeColor="accent5" w:themeShade="BF"/>
          <w:sz w:val="28"/>
          <w:szCs w:val="28"/>
        </w:rPr>
        <w:t xml:space="preserve">  </w:t>
      </w:r>
      <w:r w:rsidR="00744E13">
        <w:rPr>
          <w:b/>
          <w:color w:val="31849B" w:themeColor="accent5" w:themeShade="BF"/>
          <w:sz w:val="28"/>
          <w:szCs w:val="28"/>
        </w:rPr>
        <w:t>Selected Area e</w:t>
      </w:r>
      <w:r w:rsidR="00E6757C">
        <w:rPr>
          <w:b/>
          <w:color w:val="31849B" w:themeColor="accent5" w:themeShade="BF"/>
          <w:sz w:val="28"/>
          <w:szCs w:val="28"/>
        </w:rPr>
        <w:t>valuation q</w:t>
      </w:r>
      <w:r w:rsidR="00C9652F">
        <w:rPr>
          <w:b/>
          <w:color w:val="31849B" w:themeColor="accent5" w:themeShade="BF"/>
          <w:sz w:val="28"/>
          <w:szCs w:val="28"/>
        </w:rPr>
        <w:t>uestions</w:t>
      </w:r>
    </w:p>
    <w:p w14:paraId="3A5CBF49" w14:textId="46B141BE" w:rsidR="00C9652F" w:rsidRPr="004A7F7B" w:rsidRDefault="00E6757C" w:rsidP="0040642F">
      <w:pPr>
        <w:pStyle w:val="NoSpacing"/>
        <w:numPr>
          <w:ilvl w:val="0"/>
          <w:numId w:val="20"/>
        </w:numPr>
        <w:spacing w:line="320" w:lineRule="exact"/>
        <w:ind w:left="357" w:hanging="357"/>
        <w:jc w:val="left"/>
        <w:rPr>
          <w:i/>
          <w:szCs w:val="22"/>
        </w:rPr>
      </w:pPr>
      <w:r w:rsidRPr="004A7F7B">
        <w:rPr>
          <w:i/>
          <w:szCs w:val="22"/>
        </w:rPr>
        <w:t xml:space="preserve">What </w:t>
      </w:r>
      <w:r w:rsidR="00B57F40" w:rsidRPr="004A7F7B">
        <w:rPr>
          <w:i/>
          <w:szCs w:val="22"/>
        </w:rPr>
        <w:t>was</w:t>
      </w:r>
      <w:r w:rsidRPr="004A7F7B">
        <w:rPr>
          <w:i/>
          <w:szCs w:val="22"/>
        </w:rPr>
        <w:t xml:space="preserve"> the effect of Commonwealth environmental water on the hydrology of the </w:t>
      </w:r>
      <w:r w:rsidR="008E27F6" w:rsidRPr="004A7F7B">
        <w:rPr>
          <w:i/>
          <w:szCs w:val="22"/>
        </w:rPr>
        <w:t>Edward/Kolety-Wakool</w:t>
      </w:r>
      <w:r w:rsidRPr="004A7F7B">
        <w:rPr>
          <w:i/>
          <w:szCs w:val="22"/>
        </w:rPr>
        <w:t xml:space="preserve"> system?</w:t>
      </w:r>
    </w:p>
    <w:p w14:paraId="4BD27765" w14:textId="72069915" w:rsidR="00E6757C" w:rsidRPr="00D9354D" w:rsidRDefault="00E6757C" w:rsidP="0040642F">
      <w:pPr>
        <w:pStyle w:val="NoSpacing"/>
        <w:numPr>
          <w:ilvl w:val="0"/>
          <w:numId w:val="20"/>
        </w:numPr>
        <w:spacing w:line="320" w:lineRule="exact"/>
        <w:ind w:left="357" w:hanging="357"/>
        <w:jc w:val="left"/>
        <w:rPr>
          <w:i/>
          <w:szCs w:val="22"/>
        </w:rPr>
      </w:pPr>
      <w:r w:rsidRPr="004A7F7B">
        <w:rPr>
          <w:i/>
          <w:szCs w:val="22"/>
        </w:rPr>
        <w:t xml:space="preserve">What did Commonwealth environmental water contribute to longitudinal hydrological </w:t>
      </w:r>
      <w:r w:rsidRPr="00D9354D">
        <w:rPr>
          <w:i/>
          <w:szCs w:val="22"/>
        </w:rPr>
        <w:t>connectivity?</w:t>
      </w:r>
    </w:p>
    <w:p w14:paraId="50A00617" w14:textId="26168ECD" w:rsidR="00E6757C" w:rsidRPr="00D9354D" w:rsidRDefault="00E6757C" w:rsidP="0040642F">
      <w:pPr>
        <w:pStyle w:val="NoSpacing"/>
        <w:numPr>
          <w:ilvl w:val="0"/>
          <w:numId w:val="20"/>
        </w:numPr>
        <w:spacing w:line="320" w:lineRule="exact"/>
        <w:ind w:left="357" w:hanging="357"/>
        <w:jc w:val="left"/>
        <w:rPr>
          <w:szCs w:val="22"/>
        </w:rPr>
      </w:pPr>
      <w:r w:rsidRPr="00D9354D">
        <w:rPr>
          <w:rFonts w:asciiTheme="minorHAnsi" w:hAnsiTheme="minorHAnsi"/>
          <w:i/>
          <w:szCs w:val="22"/>
        </w:rPr>
        <w:t>What did Commonwealth environmental water contribute to lateral connectivity?</w:t>
      </w:r>
    </w:p>
    <w:p w14:paraId="76841A3F" w14:textId="77777777" w:rsidR="00E02EEA" w:rsidRDefault="00E02EEA">
      <w:pPr>
        <w:spacing w:after="0" w:line="240" w:lineRule="auto"/>
        <w:jc w:val="left"/>
        <w:rPr>
          <w:b/>
          <w:color w:val="31849B" w:themeColor="accent5" w:themeShade="BF"/>
          <w:sz w:val="28"/>
          <w:szCs w:val="28"/>
        </w:rPr>
      </w:pPr>
    </w:p>
    <w:p w14:paraId="0B2E4BE1" w14:textId="02FE0230" w:rsidR="007906BA" w:rsidRPr="004C71B4"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4.4</w:t>
      </w:r>
      <w:r w:rsidR="0028536F" w:rsidRPr="004C71B4">
        <w:rPr>
          <w:b/>
          <w:color w:val="31849B" w:themeColor="accent5" w:themeShade="BF"/>
          <w:sz w:val="28"/>
          <w:szCs w:val="28"/>
        </w:rPr>
        <w:t xml:space="preserve">   </w:t>
      </w:r>
      <w:r w:rsidR="00C9652F" w:rsidRPr="004C71B4">
        <w:rPr>
          <w:b/>
          <w:color w:val="31849B" w:themeColor="accent5" w:themeShade="BF"/>
          <w:sz w:val="28"/>
          <w:szCs w:val="28"/>
        </w:rPr>
        <w:t>Methods</w:t>
      </w:r>
    </w:p>
    <w:p w14:paraId="09A2FE44" w14:textId="77777777" w:rsidR="004A7F7B" w:rsidRPr="004A7F7B" w:rsidRDefault="00C9652F" w:rsidP="00C6350A">
      <w:pPr>
        <w:pStyle w:val="NoSpacing"/>
        <w:spacing w:after="120" w:line="320" w:lineRule="exact"/>
        <w:jc w:val="left"/>
        <w:rPr>
          <w:rFonts w:asciiTheme="minorHAnsi" w:hAnsiTheme="minorHAnsi" w:cs="Courier New"/>
          <w:color w:val="000000"/>
          <w:szCs w:val="22"/>
        </w:rPr>
      </w:pPr>
      <w:r w:rsidRPr="004A7F7B">
        <w:rPr>
          <w:rFonts w:asciiTheme="minorHAnsi" w:hAnsiTheme="minorHAnsi" w:cs="Courier New"/>
          <w:color w:val="000000"/>
          <w:szCs w:val="22"/>
        </w:rPr>
        <w:t xml:space="preserve">Daily discharge data for automated hydrometric gauges </w:t>
      </w:r>
      <w:r w:rsidR="00223958" w:rsidRPr="004A7F7B">
        <w:rPr>
          <w:rFonts w:asciiTheme="minorHAnsi" w:hAnsiTheme="minorHAnsi" w:cs="Courier New"/>
          <w:color w:val="000000"/>
          <w:szCs w:val="22"/>
        </w:rPr>
        <w:t>(Table 4.</w:t>
      </w:r>
      <w:r w:rsidR="00701431" w:rsidRPr="004A7F7B">
        <w:rPr>
          <w:rFonts w:asciiTheme="minorHAnsi" w:hAnsiTheme="minorHAnsi" w:cs="Courier New"/>
          <w:color w:val="000000"/>
          <w:szCs w:val="22"/>
        </w:rPr>
        <w:t>2</w:t>
      </w:r>
      <w:r w:rsidR="00223958" w:rsidRPr="004A7F7B">
        <w:rPr>
          <w:rFonts w:asciiTheme="minorHAnsi" w:hAnsiTheme="minorHAnsi" w:cs="Courier New"/>
          <w:color w:val="000000"/>
          <w:szCs w:val="22"/>
        </w:rPr>
        <w:t xml:space="preserve">) </w:t>
      </w:r>
      <w:r w:rsidRPr="004A7F7B">
        <w:rPr>
          <w:rFonts w:asciiTheme="minorHAnsi" w:hAnsiTheme="minorHAnsi" w:cs="Courier New"/>
          <w:color w:val="000000"/>
          <w:szCs w:val="22"/>
        </w:rPr>
        <w:t xml:space="preserve">were obtained from the </w:t>
      </w:r>
      <w:r w:rsidRPr="004A7F7B">
        <w:t>New South</w:t>
      </w:r>
      <w:r w:rsidR="00223958" w:rsidRPr="004A7F7B">
        <w:t xml:space="preserve"> Wales Office of Water website (</w:t>
      </w:r>
      <w:hyperlink r:id="rId43" w:history="1">
        <w:r w:rsidR="00223958" w:rsidRPr="004A7F7B">
          <w:rPr>
            <w:rStyle w:val="Hyperlink"/>
          </w:rPr>
          <w:t>https://realtimedata.waternsw.com.au/water.stm</w:t>
        </w:r>
      </w:hyperlink>
      <w:r w:rsidR="00223958" w:rsidRPr="004A7F7B">
        <w:t>). D</w:t>
      </w:r>
      <w:r w:rsidR="00223958" w:rsidRPr="004A7F7B">
        <w:rPr>
          <w:rFonts w:asciiTheme="minorHAnsi" w:hAnsiTheme="minorHAnsi" w:cs="Courier New"/>
          <w:color w:val="000000"/>
          <w:szCs w:val="22"/>
        </w:rPr>
        <w:t>aily discharge data for non-automated sites, such as the Wakool escape from Mulwala Canal, and daily usage of Commonwealth environmental water were obtained from WaterNSW.</w:t>
      </w:r>
      <w:r w:rsidR="00C6350A" w:rsidRPr="004A7F7B">
        <w:rPr>
          <w:rFonts w:asciiTheme="minorHAnsi" w:hAnsiTheme="minorHAnsi" w:cs="Courier New"/>
          <w:color w:val="000000"/>
          <w:szCs w:val="22"/>
        </w:rPr>
        <w:t xml:space="preserve"> </w:t>
      </w:r>
    </w:p>
    <w:p w14:paraId="0699717C" w14:textId="41D2CBD7" w:rsidR="009C2F51" w:rsidRDefault="004A7F7B" w:rsidP="00C6350A">
      <w:pPr>
        <w:pStyle w:val="NoSpacing"/>
        <w:spacing w:after="120" w:line="320" w:lineRule="exact"/>
        <w:jc w:val="left"/>
        <w:rPr>
          <w:rFonts w:asciiTheme="minorHAnsi" w:hAnsiTheme="minorHAnsi" w:cs="Courier New"/>
          <w:color w:val="000000"/>
          <w:szCs w:val="22"/>
        </w:rPr>
      </w:pPr>
      <w:r w:rsidRPr="004A7F7B">
        <w:rPr>
          <w:rFonts w:cstheme="minorHAnsi"/>
        </w:rPr>
        <w:t xml:space="preserve">Some of the study reaches do not have hydrometric gauging stations. </w:t>
      </w:r>
      <w:r w:rsidR="00C9652F" w:rsidRPr="004A7F7B">
        <w:rPr>
          <w:rFonts w:asciiTheme="minorHAnsi" w:hAnsiTheme="minorHAnsi" w:cs="Courier New"/>
          <w:color w:val="000000"/>
          <w:szCs w:val="22"/>
        </w:rPr>
        <w:t xml:space="preserve">The daily discharge data for </w:t>
      </w:r>
      <w:r w:rsidR="00E6757C" w:rsidRPr="004A7F7B">
        <w:rPr>
          <w:rFonts w:asciiTheme="minorHAnsi" w:hAnsiTheme="minorHAnsi" w:cs="Courier New"/>
          <w:color w:val="000000"/>
          <w:szCs w:val="22"/>
        </w:rPr>
        <w:t>sites in the</w:t>
      </w:r>
      <w:r w:rsidR="00C9652F" w:rsidRPr="004A7F7B">
        <w:rPr>
          <w:rFonts w:asciiTheme="minorHAnsi" w:hAnsiTheme="minorHAnsi" w:cs="Courier New"/>
          <w:color w:val="000000"/>
          <w:szCs w:val="22"/>
        </w:rPr>
        <w:t xml:space="preserve"> Wakool River zone 2 </w:t>
      </w:r>
      <w:r w:rsidR="00223958" w:rsidRPr="004A7F7B">
        <w:rPr>
          <w:rFonts w:asciiTheme="minorHAnsi" w:hAnsiTheme="minorHAnsi" w:cs="Courier New"/>
          <w:color w:val="000000"/>
          <w:szCs w:val="22"/>
        </w:rPr>
        <w:t>was estimated by adding the discharge</w:t>
      </w:r>
      <w:r w:rsidR="00C9652F" w:rsidRPr="004A7F7B">
        <w:rPr>
          <w:rFonts w:asciiTheme="minorHAnsi" w:hAnsiTheme="minorHAnsi" w:cs="Courier New"/>
          <w:color w:val="000000"/>
          <w:szCs w:val="22"/>
        </w:rPr>
        <w:t xml:space="preserve"> from gauge </w:t>
      </w:r>
      <w:r w:rsidR="00223958" w:rsidRPr="004A7F7B">
        <w:rPr>
          <w:rFonts w:asciiTheme="minorHAnsi" w:hAnsiTheme="minorHAnsi" w:cs="Courier New"/>
          <w:color w:val="000000"/>
          <w:szCs w:val="22"/>
        </w:rPr>
        <w:t xml:space="preserve">409019 </w:t>
      </w:r>
      <w:r w:rsidR="00C9652F" w:rsidRPr="004A7F7B">
        <w:rPr>
          <w:rFonts w:asciiTheme="minorHAnsi" w:hAnsiTheme="minorHAnsi" w:cs="Courier New"/>
          <w:color w:val="000000"/>
          <w:szCs w:val="22"/>
        </w:rPr>
        <w:t>Wakool River offtake regulator</w:t>
      </w:r>
      <w:r w:rsidR="00223958" w:rsidRPr="004A7F7B">
        <w:rPr>
          <w:rFonts w:asciiTheme="minorHAnsi" w:hAnsiTheme="minorHAnsi" w:cs="Courier New"/>
          <w:color w:val="000000"/>
          <w:szCs w:val="22"/>
        </w:rPr>
        <w:t xml:space="preserve"> </w:t>
      </w:r>
      <w:r w:rsidR="00C9652F" w:rsidRPr="004A7F7B">
        <w:rPr>
          <w:rFonts w:asciiTheme="minorHAnsi" w:hAnsiTheme="minorHAnsi" w:cs="Courier New"/>
          <w:color w:val="000000"/>
          <w:szCs w:val="22"/>
        </w:rPr>
        <w:t>to the discharge data from the Wakool escape</w:t>
      </w:r>
      <w:r w:rsidR="00223958" w:rsidRPr="004A7F7B">
        <w:rPr>
          <w:rFonts w:asciiTheme="minorHAnsi" w:hAnsiTheme="minorHAnsi" w:cs="Courier New"/>
          <w:color w:val="000000"/>
          <w:szCs w:val="22"/>
        </w:rPr>
        <w:t xml:space="preserve"> from Mulwala canal.</w:t>
      </w:r>
      <w:r w:rsidR="0069390C" w:rsidRPr="004A7F7B">
        <w:rPr>
          <w:rFonts w:asciiTheme="minorHAnsi" w:hAnsiTheme="minorHAnsi" w:cs="Courier New"/>
          <w:color w:val="000000"/>
          <w:szCs w:val="22"/>
        </w:rPr>
        <w:t xml:space="preserve"> </w:t>
      </w:r>
      <w:r w:rsidR="00C9652F" w:rsidRPr="004A7F7B">
        <w:rPr>
          <w:rFonts w:asciiTheme="minorHAnsi" w:hAnsiTheme="minorHAnsi" w:cs="Courier New"/>
          <w:color w:val="000000"/>
          <w:szCs w:val="22"/>
        </w:rPr>
        <w:t xml:space="preserve">The daily discharge data for Wakool River zone 3 was estimated by </w:t>
      </w:r>
      <w:r w:rsidR="00223958" w:rsidRPr="004A7F7B">
        <w:rPr>
          <w:rFonts w:asciiTheme="minorHAnsi" w:hAnsiTheme="minorHAnsi" w:cs="Courier New"/>
          <w:color w:val="000000"/>
          <w:szCs w:val="22"/>
        </w:rPr>
        <w:t>adding</w:t>
      </w:r>
      <w:r w:rsidR="00C9652F" w:rsidRPr="004A7F7B">
        <w:rPr>
          <w:rFonts w:asciiTheme="minorHAnsi" w:hAnsiTheme="minorHAnsi" w:cs="Courier New"/>
          <w:color w:val="000000"/>
          <w:szCs w:val="22"/>
        </w:rPr>
        <w:t xml:space="preserve"> daily discharge data from Yallakool Creek </w:t>
      </w:r>
      <w:r w:rsidR="00223958" w:rsidRPr="004A7F7B">
        <w:rPr>
          <w:rFonts w:asciiTheme="minorHAnsi" w:hAnsiTheme="minorHAnsi" w:cs="Courier New"/>
          <w:color w:val="000000"/>
          <w:szCs w:val="22"/>
        </w:rPr>
        <w:t>offtake</w:t>
      </w:r>
      <w:r w:rsidR="00A14EA5" w:rsidRPr="004A7F7B">
        <w:rPr>
          <w:rFonts w:asciiTheme="minorHAnsi" w:hAnsiTheme="minorHAnsi" w:cs="Courier New"/>
          <w:color w:val="000000"/>
          <w:szCs w:val="22"/>
        </w:rPr>
        <w:t xml:space="preserve"> (gauge 409020)</w:t>
      </w:r>
      <w:r w:rsidR="00C9652F" w:rsidRPr="004A7F7B">
        <w:rPr>
          <w:rFonts w:asciiTheme="minorHAnsi" w:hAnsiTheme="minorHAnsi" w:cs="Courier New"/>
          <w:color w:val="000000"/>
          <w:szCs w:val="22"/>
        </w:rPr>
        <w:t xml:space="preserve">, the Wakool offtake </w:t>
      </w:r>
      <w:r w:rsidR="00223958" w:rsidRPr="004A7F7B">
        <w:rPr>
          <w:rFonts w:asciiTheme="minorHAnsi" w:hAnsiTheme="minorHAnsi" w:cs="Courier New"/>
          <w:color w:val="000000"/>
          <w:szCs w:val="22"/>
        </w:rPr>
        <w:t>regulator</w:t>
      </w:r>
      <w:r w:rsidR="00A14EA5" w:rsidRPr="004A7F7B">
        <w:rPr>
          <w:rFonts w:asciiTheme="minorHAnsi" w:hAnsiTheme="minorHAnsi" w:cs="Courier New"/>
          <w:color w:val="000000"/>
          <w:szCs w:val="22"/>
        </w:rPr>
        <w:t xml:space="preserve"> (gauge 409019)</w:t>
      </w:r>
      <w:r w:rsidR="00223958" w:rsidRPr="004A7F7B">
        <w:rPr>
          <w:rFonts w:asciiTheme="minorHAnsi" w:hAnsiTheme="minorHAnsi" w:cs="Courier New"/>
          <w:color w:val="000000"/>
          <w:szCs w:val="22"/>
        </w:rPr>
        <w:t xml:space="preserve"> and the Wakool E</w:t>
      </w:r>
      <w:r w:rsidR="00C9652F" w:rsidRPr="004A7F7B">
        <w:rPr>
          <w:rFonts w:asciiTheme="minorHAnsi" w:hAnsiTheme="minorHAnsi" w:cs="Courier New"/>
          <w:color w:val="000000"/>
          <w:szCs w:val="22"/>
        </w:rPr>
        <w:t xml:space="preserve">scape </w:t>
      </w:r>
      <w:r w:rsidR="00223958" w:rsidRPr="004A7F7B">
        <w:rPr>
          <w:rFonts w:asciiTheme="minorHAnsi" w:hAnsiTheme="minorHAnsi" w:cs="Courier New"/>
          <w:color w:val="000000"/>
          <w:szCs w:val="22"/>
        </w:rPr>
        <w:t xml:space="preserve">from Mulwala Canal </w:t>
      </w:r>
      <w:r w:rsidR="00C9652F" w:rsidRPr="004A7F7B">
        <w:rPr>
          <w:rFonts w:asciiTheme="minorHAnsi" w:hAnsiTheme="minorHAnsi" w:cs="Courier New"/>
          <w:color w:val="000000"/>
          <w:szCs w:val="22"/>
        </w:rPr>
        <w:t>with an adjustment during regulated flows to account for travel time (4 days) and estimated 20% losses (V. Kelly, WaterNSW pers. comm.) between the offtakes and the confluence of Yallakool Creek and the Wakool River.</w:t>
      </w:r>
      <w:r w:rsidR="00286333">
        <w:rPr>
          <w:rFonts w:asciiTheme="minorHAnsi" w:hAnsiTheme="minorHAnsi" w:cs="Courier New"/>
          <w:color w:val="000000"/>
          <w:szCs w:val="22"/>
        </w:rPr>
        <w:t xml:space="preserve"> </w:t>
      </w:r>
    </w:p>
    <w:p w14:paraId="576939B3" w14:textId="4143E28D" w:rsidR="001537FE" w:rsidRPr="00223958" w:rsidRDefault="0069390C" w:rsidP="008243BB">
      <w:pPr>
        <w:pStyle w:val="NoSpacing"/>
        <w:ind w:right="567"/>
        <w:contextualSpacing/>
        <w:jc w:val="left"/>
        <w:rPr>
          <w:sz w:val="20"/>
        </w:rPr>
      </w:pPr>
      <w:r w:rsidRPr="00223958">
        <w:rPr>
          <w:b/>
          <w:sz w:val="20"/>
        </w:rPr>
        <w:t>Table 4.</w:t>
      </w:r>
      <w:r>
        <w:rPr>
          <w:b/>
          <w:sz w:val="20"/>
        </w:rPr>
        <w:t>2</w:t>
      </w:r>
      <w:r w:rsidRPr="00223958">
        <w:rPr>
          <w:sz w:val="20"/>
        </w:rPr>
        <w:t xml:space="preserve"> Details of Water NSW hydrometric gauges used to obtain discharge data</w:t>
      </w:r>
      <w:r>
        <w:rPr>
          <w:sz w:val="20"/>
        </w:rPr>
        <w:t>. Zone codes are as described in Figure 3.1 and Table 3.1.</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2268"/>
        <w:gridCol w:w="986"/>
        <w:gridCol w:w="1567"/>
        <w:gridCol w:w="3260"/>
      </w:tblGrid>
      <w:tr w:rsidR="0069390C" w14:paraId="2790C2FF" w14:textId="77777777" w:rsidTr="009F42D2">
        <w:trPr>
          <w:jc w:val="center"/>
        </w:trPr>
        <w:tc>
          <w:tcPr>
            <w:tcW w:w="2268" w:type="dxa"/>
            <w:tcBorders>
              <w:top w:val="single" w:sz="4" w:space="0" w:color="1F497D" w:themeColor="text2"/>
              <w:left w:val="nil"/>
              <w:bottom w:val="single" w:sz="4" w:space="0" w:color="1F497D" w:themeColor="text2"/>
            </w:tcBorders>
            <w:shd w:val="clear" w:color="auto" w:fill="92CDDC" w:themeFill="accent5" w:themeFillTint="99"/>
          </w:tcPr>
          <w:p w14:paraId="4ABA6D49" w14:textId="77777777" w:rsidR="0069390C" w:rsidRPr="001812C7" w:rsidRDefault="0069390C" w:rsidP="008243BB">
            <w:pPr>
              <w:pStyle w:val="NoSpacing"/>
              <w:spacing w:after="80"/>
              <w:contextualSpacing/>
              <w:jc w:val="left"/>
              <w:rPr>
                <w:b/>
                <w:sz w:val="20"/>
              </w:rPr>
            </w:pPr>
            <w:r w:rsidRPr="001812C7">
              <w:rPr>
                <w:b/>
                <w:sz w:val="20"/>
              </w:rPr>
              <w:t>River</w:t>
            </w:r>
          </w:p>
        </w:tc>
        <w:tc>
          <w:tcPr>
            <w:tcW w:w="986" w:type="dxa"/>
            <w:tcBorders>
              <w:top w:val="single" w:sz="4" w:space="0" w:color="1F497D" w:themeColor="text2"/>
              <w:bottom w:val="single" w:sz="4" w:space="0" w:color="1F497D" w:themeColor="text2"/>
            </w:tcBorders>
            <w:shd w:val="clear" w:color="auto" w:fill="92CDDC" w:themeFill="accent5" w:themeFillTint="99"/>
          </w:tcPr>
          <w:p w14:paraId="6CFF71AB" w14:textId="77777777" w:rsidR="0069390C" w:rsidRPr="001812C7" w:rsidRDefault="0069390C" w:rsidP="008243BB">
            <w:pPr>
              <w:pStyle w:val="NoSpacing"/>
              <w:spacing w:after="80"/>
              <w:contextualSpacing/>
              <w:jc w:val="center"/>
              <w:rPr>
                <w:b/>
                <w:sz w:val="20"/>
              </w:rPr>
            </w:pPr>
            <w:r w:rsidRPr="001812C7">
              <w:rPr>
                <w:b/>
                <w:sz w:val="20"/>
              </w:rPr>
              <w:t>LTIM zone</w:t>
            </w:r>
          </w:p>
        </w:tc>
        <w:tc>
          <w:tcPr>
            <w:tcW w:w="1567" w:type="dxa"/>
            <w:tcBorders>
              <w:top w:val="single" w:sz="4" w:space="0" w:color="1F497D" w:themeColor="text2"/>
              <w:bottom w:val="single" w:sz="4" w:space="0" w:color="1F497D" w:themeColor="text2"/>
            </w:tcBorders>
            <w:shd w:val="clear" w:color="auto" w:fill="92CDDC" w:themeFill="accent5" w:themeFillTint="99"/>
          </w:tcPr>
          <w:p w14:paraId="1EB89965" w14:textId="77777777" w:rsidR="0069390C" w:rsidRPr="001812C7" w:rsidRDefault="0069390C" w:rsidP="008243BB">
            <w:pPr>
              <w:pStyle w:val="NoSpacing"/>
              <w:spacing w:after="80"/>
              <w:contextualSpacing/>
              <w:jc w:val="center"/>
              <w:rPr>
                <w:b/>
                <w:sz w:val="20"/>
              </w:rPr>
            </w:pPr>
            <w:r w:rsidRPr="001812C7">
              <w:rPr>
                <w:b/>
                <w:sz w:val="20"/>
              </w:rPr>
              <w:t>Gauge number</w:t>
            </w:r>
          </w:p>
        </w:tc>
        <w:tc>
          <w:tcPr>
            <w:tcW w:w="3260" w:type="dxa"/>
            <w:tcBorders>
              <w:top w:val="single" w:sz="4" w:space="0" w:color="1F497D" w:themeColor="text2"/>
              <w:bottom w:val="single" w:sz="4" w:space="0" w:color="1F497D" w:themeColor="text2"/>
              <w:right w:val="nil"/>
            </w:tcBorders>
            <w:shd w:val="clear" w:color="auto" w:fill="92CDDC" w:themeFill="accent5" w:themeFillTint="99"/>
          </w:tcPr>
          <w:p w14:paraId="2AE17D4D" w14:textId="77777777" w:rsidR="0069390C" w:rsidRPr="001812C7" w:rsidRDefault="0069390C" w:rsidP="008243BB">
            <w:pPr>
              <w:pStyle w:val="NoSpacing"/>
              <w:spacing w:after="80"/>
              <w:contextualSpacing/>
              <w:jc w:val="left"/>
              <w:rPr>
                <w:b/>
                <w:sz w:val="20"/>
              </w:rPr>
            </w:pPr>
            <w:r w:rsidRPr="001812C7">
              <w:rPr>
                <w:b/>
                <w:sz w:val="20"/>
              </w:rPr>
              <w:t>Name of gauge</w:t>
            </w:r>
          </w:p>
        </w:tc>
      </w:tr>
      <w:tr w:rsidR="0069390C" w14:paraId="2A6AE89B" w14:textId="77777777" w:rsidTr="009F42D2">
        <w:trPr>
          <w:jc w:val="center"/>
        </w:trPr>
        <w:tc>
          <w:tcPr>
            <w:tcW w:w="2268" w:type="dxa"/>
            <w:tcBorders>
              <w:top w:val="single" w:sz="4" w:space="0" w:color="1F497D" w:themeColor="text2"/>
              <w:left w:val="nil"/>
            </w:tcBorders>
            <w:shd w:val="clear" w:color="auto" w:fill="auto"/>
          </w:tcPr>
          <w:p w14:paraId="77958A2C" w14:textId="77777777" w:rsidR="0069390C" w:rsidRPr="0083480F" w:rsidRDefault="0069390C" w:rsidP="008243BB">
            <w:pPr>
              <w:pStyle w:val="NoSpacing"/>
              <w:spacing w:after="80"/>
              <w:contextualSpacing/>
              <w:jc w:val="left"/>
              <w:rPr>
                <w:sz w:val="20"/>
              </w:rPr>
            </w:pPr>
            <w:r w:rsidRPr="0083480F">
              <w:rPr>
                <w:sz w:val="20"/>
              </w:rPr>
              <w:t>Yallakool Creek</w:t>
            </w:r>
          </w:p>
        </w:tc>
        <w:tc>
          <w:tcPr>
            <w:tcW w:w="986" w:type="dxa"/>
            <w:tcBorders>
              <w:top w:val="single" w:sz="4" w:space="0" w:color="1F497D" w:themeColor="text2"/>
            </w:tcBorders>
            <w:shd w:val="clear" w:color="auto" w:fill="auto"/>
          </w:tcPr>
          <w:p w14:paraId="3EE2BC83" w14:textId="77777777" w:rsidR="0069390C" w:rsidRPr="0083480F" w:rsidRDefault="0069390C" w:rsidP="008243BB">
            <w:pPr>
              <w:pStyle w:val="NoSpacing"/>
              <w:spacing w:after="80"/>
              <w:contextualSpacing/>
              <w:jc w:val="center"/>
              <w:rPr>
                <w:sz w:val="20"/>
              </w:rPr>
            </w:pPr>
            <w:r w:rsidRPr="0083480F">
              <w:rPr>
                <w:sz w:val="20"/>
              </w:rPr>
              <w:t>1</w:t>
            </w:r>
          </w:p>
        </w:tc>
        <w:tc>
          <w:tcPr>
            <w:tcW w:w="1567" w:type="dxa"/>
            <w:tcBorders>
              <w:top w:val="single" w:sz="4" w:space="0" w:color="1F497D" w:themeColor="text2"/>
            </w:tcBorders>
            <w:shd w:val="clear" w:color="auto" w:fill="auto"/>
          </w:tcPr>
          <w:p w14:paraId="1B66B141" w14:textId="77777777" w:rsidR="0069390C" w:rsidRPr="0083480F" w:rsidRDefault="0069390C" w:rsidP="008243BB">
            <w:pPr>
              <w:pStyle w:val="NoSpacing"/>
              <w:spacing w:after="80"/>
              <w:contextualSpacing/>
              <w:jc w:val="center"/>
              <w:rPr>
                <w:sz w:val="20"/>
              </w:rPr>
            </w:pPr>
            <w:r w:rsidRPr="0083480F">
              <w:rPr>
                <w:rFonts w:asciiTheme="minorHAnsi" w:hAnsiTheme="minorHAnsi" w:cs="Courier New"/>
                <w:color w:val="000000"/>
                <w:sz w:val="20"/>
              </w:rPr>
              <w:t>409020</w:t>
            </w:r>
          </w:p>
        </w:tc>
        <w:tc>
          <w:tcPr>
            <w:tcW w:w="3260" w:type="dxa"/>
            <w:tcBorders>
              <w:top w:val="single" w:sz="4" w:space="0" w:color="1F497D" w:themeColor="text2"/>
              <w:right w:val="nil"/>
            </w:tcBorders>
            <w:shd w:val="clear" w:color="auto" w:fill="auto"/>
          </w:tcPr>
          <w:p w14:paraId="4DAABEEA" w14:textId="77777777" w:rsidR="0069390C" w:rsidRPr="0083480F" w:rsidRDefault="0069390C" w:rsidP="008243BB">
            <w:pPr>
              <w:pStyle w:val="NoSpacing"/>
              <w:spacing w:after="80"/>
              <w:contextualSpacing/>
              <w:jc w:val="left"/>
              <w:rPr>
                <w:sz w:val="20"/>
              </w:rPr>
            </w:pPr>
            <w:r w:rsidRPr="0083480F">
              <w:rPr>
                <w:sz w:val="20"/>
              </w:rPr>
              <w:t>Yallakool Creek @ Offtake</w:t>
            </w:r>
          </w:p>
        </w:tc>
      </w:tr>
      <w:tr w:rsidR="0069390C" w14:paraId="5BC98A44" w14:textId="77777777" w:rsidTr="009F42D2">
        <w:trPr>
          <w:jc w:val="center"/>
        </w:trPr>
        <w:tc>
          <w:tcPr>
            <w:tcW w:w="2268" w:type="dxa"/>
            <w:tcBorders>
              <w:left w:val="nil"/>
            </w:tcBorders>
            <w:shd w:val="clear" w:color="auto" w:fill="auto"/>
          </w:tcPr>
          <w:p w14:paraId="626A54BA" w14:textId="77777777" w:rsidR="0069390C" w:rsidRPr="0083480F" w:rsidRDefault="0069390C" w:rsidP="008243BB">
            <w:pPr>
              <w:pStyle w:val="NoSpacing"/>
              <w:spacing w:after="80"/>
              <w:contextualSpacing/>
              <w:jc w:val="left"/>
              <w:rPr>
                <w:sz w:val="20"/>
              </w:rPr>
            </w:pPr>
            <w:r w:rsidRPr="0083480F">
              <w:rPr>
                <w:sz w:val="20"/>
              </w:rPr>
              <w:t>Wakool River</w:t>
            </w:r>
          </w:p>
        </w:tc>
        <w:tc>
          <w:tcPr>
            <w:tcW w:w="986" w:type="dxa"/>
            <w:shd w:val="clear" w:color="auto" w:fill="auto"/>
          </w:tcPr>
          <w:p w14:paraId="24415C48" w14:textId="77777777" w:rsidR="0069390C" w:rsidRPr="0083480F" w:rsidRDefault="0069390C" w:rsidP="008243BB">
            <w:pPr>
              <w:pStyle w:val="NoSpacing"/>
              <w:spacing w:after="80"/>
              <w:contextualSpacing/>
              <w:jc w:val="center"/>
              <w:rPr>
                <w:sz w:val="20"/>
              </w:rPr>
            </w:pPr>
            <w:r w:rsidRPr="0083480F">
              <w:rPr>
                <w:sz w:val="20"/>
              </w:rPr>
              <w:t>2</w:t>
            </w:r>
          </w:p>
        </w:tc>
        <w:tc>
          <w:tcPr>
            <w:tcW w:w="1567" w:type="dxa"/>
            <w:shd w:val="clear" w:color="auto" w:fill="auto"/>
          </w:tcPr>
          <w:p w14:paraId="7A7E0188" w14:textId="77777777" w:rsidR="0069390C" w:rsidRPr="0083480F" w:rsidRDefault="0069390C" w:rsidP="008243BB">
            <w:pPr>
              <w:pStyle w:val="NoSpacing"/>
              <w:spacing w:after="80"/>
              <w:contextualSpacing/>
              <w:jc w:val="center"/>
              <w:rPr>
                <w:sz w:val="20"/>
              </w:rPr>
            </w:pPr>
            <w:r w:rsidRPr="0083480F">
              <w:rPr>
                <w:rFonts w:asciiTheme="minorHAnsi" w:hAnsiTheme="minorHAnsi" w:cs="Courier New"/>
                <w:color w:val="000000"/>
                <w:sz w:val="20"/>
              </w:rPr>
              <w:t>409019</w:t>
            </w:r>
          </w:p>
        </w:tc>
        <w:tc>
          <w:tcPr>
            <w:tcW w:w="3260" w:type="dxa"/>
            <w:tcBorders>
              <w:right w:val="nil"/>
            </w:tcBorders>
            <w:shd w:val="clear" w:color="auto" w:fill="auto"/>
          </w:tcPr>
          <w:p w14:paraId="4F0DB445" w14:textId="77777777" w:rsidR="0069390C" w:rsidRPr="0083480F" w:rsidRDefault="0069390C" w:rsidP="008243BB">
            <w:pPr>
              <w:pStyle w:val="NoSpacing"/>
              <w:spacing w:after="80"/>
              <w:contextualSpacing/>
              <w:jc w:val="left"/>
              <w:rPr>
                <w:sz w:val="20"/>
              </w:rPr>
            </w:pPr>
            <w:r w:rsidRPr="0083480F">
              <w:rPr>
                <w:sz w:val="20"/>
              </w:rPr>
              <w:t>Wakool River Offtake regulator</w:t>
            </w:r>
          </w:p>
        </w:tc>
      </w:tr>
      <w:tr w:rsidR="0069390C" w14:paraId="554C1312" w14:textId="77777777" w:rsidTr="009F42D2">
        <w:trPr>
          <w:jc w:val="center"/>
        </w:trPr>
        <w:tc>
          <w:tcPr>
            <w:tcW w:w="2268" w:type="dxa"/>
            <w:tcBorders>
              <w:left w:val="nil"/>
            </w:tcBorders>
            <w:shd w:val="clear" w:color="auto" w:fill="auto"/>
          </w:tcPr>
          <w:p w14:paraId="5DCA2C51" w14:textId="77777777" w:rsidR="0069390C" w:rsidRPr="0083480F" w:rsidRDefault="0069390C" w:rsidP="008243BB">
            <w:pPr>
              <w:pStyle w:val="NoSpacing"/>
              <w:spacing w:after="80"/>
              <w:contextualSpacing/>
              <w:jc w:val="left"/>
              <w:rPr>
                <w:sz w:val="20"/>
              </w:rPr>
            </w:pPr>
            <w:r w:rsidRPr="0083480F">
              <w:rPr>
                <w:sz w:val="20"/>
              </w:rPr>
              <w:t>Wakool River</w:t>
            </w:r>
          </w:p>
        </w:tc>
        <w:tc>
          <w:tcPr>
            <w:tcW w:w="986" w:type="dxa"/>
            <w:shd w:val="clear" w:color="auto" w:fill="auto"/>
          </w:tcPr>
          <w:p w14:paraId="3013028F" w14:textId="77777777" w:rsidR="0069390C" w:rsidRPr="0083480F" w:rsidRDefault="0069390C" w:rsidP="008243BB">
            <w:pPr>
              <w:pStyle w:val="NoSpacing"/>
              <w:spacing w:after="80"/>
              <w:contextualSpacing/>
              <w:jc w:val="center"/>
              <w:rPr>
                <w:sz w:val="20"/>
              </w:rPr>
            </w:pPr>
            <w:r w:rsidRPr="0083480F">
              <w:rPr>
                <w:sz w:val="20"/>
              </w:rPr>
              <w:t>4</w:t>
            </w:r>
          </w:p>
        </w:tc>
        <w:tc>
          <w:tcPr>
            <w:tcW w:w="1567" w:type="dxa"/>
            <w:shd w:val="clear" w:color="auto" w:fill="auto"/>
          </w:tcPr>
          <w:p w14:paraId="6455E756" w14:textId="77777777" w:rsidR="0069390C" w:rsidRPr="0083480F" w:rsidRDefault="0069390C" w:rsidP="008243BB">
            <w:pPr>
              <w:pStyle w:val="NoSpacing"/>
              <w:spacing w:after="80"/>
              <w:contextualSpacing/>
              <w:jc w:val="center"/>
              <w:rPr>
                <w:sz w:val="20"/>
              </w:rPr>
            </w:pPr>
            <w:r w:rsidRPr="0083480F">
              <w:rPr>
                <w:rFonts w:asciiTheme="minorHAnsi" w:hAnsiTheme="minorHAnsi" w:cs="Courier New"/>
                <w:color w:val="000000"/>
                <w:sz w:val="20"/>
              </w:rPr>
              <w:t>409045</w:t>
            </w:r>
          </w:p>
        </w:tc>
        <w:tc>
          <w:tcPr>
            <w:tcW w:w="3260" w:type="dxa"/>
            <w:tcBorders>
              <w:right w:val="nil"/>
            </w:tcBorders>
            <w:shd w:val="clear" w:color="auto" w:fill="auto"/>
          </w:tcPr>
          <w:p w14:paraId="4E98C1B5" w14:textId="77777777" w:rsidR="0069390C" w:rsidRPr="0083480F" w:rsidRDefault="0069390C" w:rsidP="008243BB">
            <w:pPr>
              <w:pStyle w:val="NoSpacing"/>
              <w:spacing w:after="80"/>
              <w:contextualSpacing/>
              <w:jc w:val="left"/>
              <w:rPr>
                <w:sz w:val="20"/>
              </w:rPr>
            </w:pPr>
            <w:r w:rsidRPr="0083480F">
              <w:rPr>
                <w:sz w:val="20"/>
              </w:rPr>
              <w:t>Wakool @ Wakool-Barham Road</w:t>
            </w:r>
          </w:p>
        </w:tc>
      </w:tr>
      <w:tr w:rsidR="0069390C" w14:paraId="5DEE371F" w14:textId="77777777" w:rsidTr="009F42D2">
        <w:trPr>
          <w:jc w:val="center"/>
        </w:trPr>
        <w:tc>
          <w:tcPr>
            <w:tcW w:w="2268" w:type="dxa"/>
            <w:tcBorders>
              <w:left w:val="nil"/>
            </w:tcBorders>
            <w:shd w:val="clear" w:color="auto" w:fill="auto"/>
          </w:tcPr>
          <w:p w14:paraId="62847CF8" w14:textId="77777777" w:rsidR="0069390C" w:rsidRPr="0083480F" w:rsidRDefault="0069390C" w:rsidP="008243BB">
            <w:pPr>
              <w:pStyle w:val="NoSpacing"/>
              <w:spacing w:after="80"/>
              <w:contextualSpacing/>
              <w:jc w:val="left"/>
              <w:rPr>
                <w:sz w:val="20"/>
              </w:rPr>
            </w:pPr>
            <w:r w:rsidRPr="0083480F">
              <w:rPr>
                <w:sz w:val="20"/>
              </w:rPr>
              <w:t>Wakool River</w:t>
            </w:r>
          </w:p>
        </w:tc>
        <w:tc>
          <w:tcPr>
            <w:tcW w:w="986" w:type="dxa"/>
            <w:shd w:val="clear" w:color="auto" w:fill="auto"/>
          </w:tcPr>
          <w:p w14:paraId="0FBB115C" w14:textId="77777777" w:rsidR="0069390C" w:rsidRPr="0083480F" w:rsidRDefault="0069390C" w:rsidP="008243BB">
            <w:pPr>
              <w:pStyle w:val="NoSpacing"/>
              <w:spacing w:after="80"/>
              <w:contextualSpacing/>
              <w:jc w:val="center"/>
              <w:rPr>
                <w:sz w:val="20"/>
              </w:rPr>
            </w:pPr>
            <w:r w:rsidRPr="0083480F">
              <w:rPr>
                <w:sz w:val="20"/>
              </w:rPr>
              <w:t>5</w:t>
            </w:r>
          </w:p>
        </w:tc>
        <w:tc>
          <w:tcPr>
            <w:tcW w:w="1567" w:type="dxa"/>
            <w:shd w:val="clear" w:color="auto" w:fill="auto"/>
          </w:tcPr>
          <w:p w14:paraId="1695B30B" w14:textId="77777777" w:rsidR="0069390C" w:rsidRPr="0083480F" w:rsidRDefault="0069390C" w:rsidP="008243BB">
            <w:pPr>
              <w:pStyle w:val="NoSpacing"/>
              <w:spacing w:after="80"/>
              <w:contextualSpacing/>
              <w:jc w:val="center"/>
              <w:rPr>
                <w:sz w:val="20"/>
              </w:rPr>
            </w:pPr>
            <w:r w:rsidRPr="0083480F">
              <w:rPr>
                <w:sz w:val="20"/>
              </w:rPr>
              <w:t>409062</w:t>
            </w:r>
          </w:p>
        </w:tc>
        <w:tc>
          <w:tcPr>
            <w:tcW w:w="3260" w:type="dxa"/>
            <w:tcBorders>
              <w:right w:val="nil"/>
            </w:tcBorders>
            <w:shd w:val="clear" w:color="auto" w:fill="auto"/>
          </w:tcPr>
          <w:p w14:paraId="08025E74" w14:textId="77777777" w:rsidR="0069390C" w:rsidRPr="0083480F" w:rsidRDefault="0069390C" w:rsidP="008243BB">
            <w:pPr>
              <w:pStyle w:val="NoSpacing"/>
              <w:spacing w:after="80"/>
              <w:contextualSpacing/>
              <w:jc w:val="left"/>
              <w:rPr>
                <w:sz w:val="20"/>
              </w:rPr>
            </w:pPr>
            <w:r w:rsidRPr="0083480F">
              <w:rPr>
                <w:sz w:val="20"/>
              </w:rPr>
              <w:t>Wakool River Gee Gee Bridge 2</w:t>
            </w:r>
          </w:p>
        </w:tc>
      </w:tr>
      <w:tr w:rsidR="0069390C" w14:paraId="721D7FE4" w14:textId="77777777" w:rsidTr="009F42D2">
        <w:trPr>
          <w:jc w:val="center"/>
        </w:trPr>
        <w:tc>
          <w:tcPr>
            <w:tcW w:w="2268" w:type="dxa"/>
            <w:tcBorders>
              <w:left w:val="nil"/>
              <w:bottom w:val="nil"/>
            </w:tcBorders>
            <w:shd w:val="clear" w:color="auto" w:fill="auto"/>
          </w:tcPr>
          <w:p w14:paraId="16C575D5" w14:textId="77777777" w:rsidR="0069390C" w:rsidRPr="0083480F" w:rsidRDefault="0069390C" w:rsidP="008243BB">
            <w:pPr>
              <w:pStyle w:val="NoSpacing"/>
              <w:spacing w:after="80"/>
              <w:contextualSpacing/>
              <w:jc w:val="left"/>
              <w:rPr>
                <w:sz w:val="20"/>
              </w:rPr>
            </w:pPr>
            <w:r w:rsidRPr="0083480F">
              <w:rPr>
                <w:sz w:val="20"/>
              </w:rPr>
              <w:t>Wakool River</w:t>
            </w:r>
          </w:p>
        </w:tc>
        <w:tc>
          <w:tcPr>
            <w:tcW w:w="986" w:type="dxa"/>
            <w:tcBorders>
              <w:bottom w:val="nil"/>
            </w:tcBorders>
            <w:shd w:val="clear" w:color="auto" w:fill="auto"/>
          </w:tcPr>
          <w:p w14:paraId="3046307D" w14:textId="77777777" w:rsidR="0069390C" w:rsidRPr="0083480F" w:rsidRDefault="0069390C" w:rsidP="008243BB">
            <w:pPr>
              <w:pStyle w:val="NoSpacing"/>
              <w:spacing w:after="80"/>
              <w:contextualSpacing/>
              <w:jc w:val="center"/>
              <w:rPr>
                <w:sz w:val="20"/>
              </w:rPr>
            </w:pPr>
            <w:r w:rsidRPr="0083480F">
              <w:rPr>
                <w:sz w:val="20"/>
              </w:rPr>
              <w:t>6</w:t>
            </w:r>
          </w:p>
        </w:tc>
        <w:tc>
          <w:tcPr>
            <w:tcW w:w="1567" w:type="dxa"/>
            <w:tcBorders>
              <w:bottom w:val="nil"/>
            </w:tcBorders>
            <w:shd w:val="clear" w:color="auto" w:fill="auto"/>
          </w:tcPr>
          <w:p w14:paraId="0FBF0986" w14:textId="77777777" w:rsidR="0069390C" w:rsidRPr="0083480F" w:rsidRDefault="0069390C" w:rsidP="008243BB">
            <w:pPr>
              <w:pStyle w:val="NoSpacing"/>
              <w:spacing w:after="80"/>
              <w:contextualSpacing/>
              <w:jc w:val="center"/>
              <w:rPr>
                <w:sz w:val="20"/>
              </w:rPr>
            </w:pPr>
            <w:r w:rsidRPr="0083480F">
              <w:rPr>
                <w:sz w:val="20"/>
              </w:rPr>
              <w:t>409013</w:t>
            </w:r>
          </w:p>
        </w:tc>
        <w:tc>
          <w:tcPr>
            <w:tcW w:w="3260" w:type="dxa"/>
            <w:tcBorders>
              <w:bottom w:val="nil"/>
              <w:right w:val="nil"/>
            </w:tcBorders>
            <w:shd w:val="clear" w:color="auto" w:fill="auto"/>
          </w:tcPr>
          <w:p w14:paraId="2EDD128D" w14:textId="77777777" w:rsidR="0069390C" w:rsidRPr="0083480F" w:rsidRDefault="0069390C" w:rsidP="008243BB">
            <w:pPr>
              <w:pStyle w:val="NoSpacing"/>
              <w:spacing w:after="80"/>
              <w:contextualSpacing/>
              <w:jc w:val="left"/>
              <w:rPr>
                <w:sz w:val="20"/>
              </w:rPr>
            </w:pPr>
            <w:r w:rsidRPr="0083480F">
              <w:rPr>
                <w:sz w:val="20"/>
              </w:rPr>
              <w:t>Wakool @ Stoney Crossing</w:t>
            </w:r>
          </w:p>
        </w:tc>
      </w:tr>
      <w:tr w:rsidR="0069390C" w14:paraId="1F4A965E" w14:textId="77777777" w:rsidTr="009F42D2">
        <w:trPr>
          <w:jc w:val="center"/>
        </w:trPr>
        <w:tc>
          <w:tcPr>
            <w:tcW w:w="2268" w:type="dxa"/>
            <w:tcBorders>
              <w:top w:val="nil"/>
              <w:left w:val="nil"/>
              <w:bottom w:val="nil"/>
            </w:tcBorders>
            <w:shd w:val="clear" w:color="auto" w:fill="auto"/>
          </w:tcPr>
          <w:p w14:paraId="70C03168" w14:textId="77777777" w:rsidR="0069390C" w:rsidRPr="0083480F" w:rsidRDefault="0069390C" w:rsidP="008243BB">
            <w:pPr>
              <w:pStyle w:val="NoSpacing"/>
              <w:spacing w:after="80"/>
              <w:contextualSpacing/>
              <w:jc w:val="left"/>
              <w:rPr>
                <w:sz w:val="20"/>
              </w:rPr>
            </w:pPr>
            <w:r w:rsidRPr="0083480F">
              <w:rPr>
                <w:sz w:val="20"/>
              </w:rPr>
              <w:t>Colligen Creek</w:t>
            </w:r>
          </w:p>
        </w:tc>
        <w:tc>
          <w:tcPr>
            <w:tcW w:w="986" w:type="dxa"/>
            <w:tcBorders>
              <w:top w:val="nil"/>
              <w:bottom w:val="nil"/>
            </w:tcBorders>
            <w:shd w:val="clear" w:color="auto" w:fill="auto"/>
          </w:tcPr>
          <w:p w14:paraId="18344C0F" w14:textId="77777777" w:rsidR="0069390C" w:rsidRPr="0083480F" w:rsidRDefault="0069390C" w:rsidP="008243BB">
            <w:pPr>
              <w:pStyle w:val="NoSpacing"/>
              <w:spacing w:after="80"/>
              <w:contextualSpacing/>
              <w:jc w:val="center"/>
              <w:rPr>
                <w:sz w:val="20"/>
              </w:rPr>
            </w:pPr>
            <w:r w:rsidRPr="0083480F">
              <w:rPr>
                <w:sz w:val="20"/>
              </w:rPr>
              <w:t>8</w:t>
            </w:r>
          </w:p>
        </w:tc>
        <w:tc>
          <w:tcPr>
            <w:tcW w:w="1567" w:type="dxa"/>
            <w:tcBorders>
              <w:top w:val="nil"/>
              <w:bottom w:val="nil"/>
            </w:tcBorders>
            <w:shd w:val="clear" w:color="auto" w:fill="auto"/>
          </w:tcPr>
          <w:p w14:paraId="295696DE" w14:textId="77777777" w:rsidR="0069390C" w:rsidRPr="0083480F" w:rsidRDefault="0069390C" w:rsidP="008243BB">
            <w:pPr>
              <w:pStyle w:val="NoSpacing"/>
              <w:spacing w:after="80"/>
              <w:contextualSpacing/>
              <w:jc w:val="center"/>
              <w:rPr>
                <w:sz w:val="20"/>
              </w:rPr>
            </w:pPr>
            <w:r w:rsidRPr="0083480F">
              <w:rPr>
                <w:rFonts w:asciiTheme="minorHAnsi" w:hAnsiTheme="minorHAnsi" w:cs="Courier New"/>
                <w:color w:val="000000"/>
                <w:sz w:val="20"/>
              </w:rPr>
              <w:t>409024</w:t>
            </w:r>
          </w:p>
        </w:tc>
        <w:tc>
          <w:tcPr>
            <w:tcW w:w="3260" w:type="dxa"/>
            <w:tcBorders>
              <w:top w:val="nil"/>
              <w:bottom w:val="nil"/>
              <w:right w:val="nil"/>
            </w:tcBorders>
            <w:shd w:val="clear" w:color="auto" w:fill="auto"/>
          </w:tcPr>
          <w:p w14:paraId="79E69E0F" w14:textId="77777777" w:rsidR="0069390C" w:rsidRPr="0083480F" w:rsidRDefault="0069390C" w:rsidP="008243BB">
            <w:pPr>
              <w:pStyle w:val="NoSpacing"/>
              <w:spacing w:after="80"/>
              <w:contextualSpacing/>
              <w:jc w:val="left"/>
              <w:rPr>
                <w:sz w:val="20"/>
              </w:rPr>
            </w:pPr>
            <w:r w:rsidRPr="0083480F">
              <w:rPr>
                <w:sz w:val="20"/>
              </w:rPr>
              <w:t>Colligen Creek B/L regulator</w:t>
            </w:r>
          </w:p>
        </w:tc>
      </w:tr>
      <w:tr w:rsidR="0069390C" w14:paraId="7AC65B02" w14:textId="77777777" w:rsidTr="009F42D2">
        <w:trPr>
          <w:jc w:val="center"/>
        </w:trPr>
        <w:tc>
          <w:tcPr>
            <w:tcW w:w="2268" w:type="dxa"/>
            <w:tcBorders>
              <w:top w:val="nil"/>
              <w:left w:val="nil"/>
              <w:bottom w:val="nil"/>
            </w:tcBorders>
            <w:shd w:val="clear" w:color="auto" w:fill="auto"/>
          </w:tcPr>
          <w:p w14:paraId="0B7763CD" w14:textId="77777777" w:rsidR="0069390C" w:rsidRPr="0083480F" w:rsidRDefault="0069390C" w:rsidP="008243BB">
            <w:pPr>
              <w:pStyle w:val="NoSpacing"/>
              <w:spacing w:after="80"/>
              <w:contextualSpacing/>
              <w:jc w:val="left"/>
              <w:rPr>
                <w:sz w:val="20"/>
              </w:rPr>
            </w:pPr>
            <w:r>
              <w:rPr>
                <w:sz w:val="20"/>
              </w:rPr>
              <w:t>Niemur River</w:t>
            </w:r>
          </w:p>
        </w:tc>
        <w:tc>
          <w:tcPr>
            <w:tcW w:w="986" w:type="dxa"/>
            <w:tcBorders>
              <w:top w:val="nil"/>
              <w:bottom w:val="nil"/>
            </w:tcBorders>
            <w:shd w:val="clear" w:color="auto" w:fill="auto"/>
          </w:tcPr>
          <w:p w14:paraId="7E3C662B" w14:textId="136734EA" w:rsidR="0069390C" w:rsidRPr="0083480F" w:rsidRDefault="0069390C" w:rsidP="008243BB">
            <w:pPr>
              <w:pStyle w:val="NoSpacing"/>
              <w:spacing w:after="80"/>
              <w:contextualSpacing/>
              <w:jc w:val="center"/>
              <w:rPr>
                <w:sz w:val="20"/>
              </w:rPr>
            </w:pPr>
            <w:r>
              <w:rPr>
                <w:sz w:val="20"/>
              </w:rPr>
              <w:t>10</w:t>
            </w:r>
          </w:p>
        </w:tc>
        <w:tc>
          <w:tcPr>
            <w:tcW w:w="1567" w:type="dxa"/>
            <w:tcBorders>
              <w:top w:val="nil"/>
              <w:bottom w:val="nil"/>
            </w:tcBorders>
            <w:shd w:val="clear" w:color="auto" w:fill="auto"/>
          </w:tcPr>
          <w:p w14:paraId="6E287063" w14:textId="77777777" w:rsidR="0069390C" w:rsidRPr="0083480F" w:rsidRDefault="0069390C" w:rsidP="008243BB">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409086</w:t>
            </w:r>
          </w:p>
        </w:tc>
        <w:tc>
          <w:tcPr>
            <w:tcW w:w="3260" w:type="dxa"/>
            <w:tcBorders>
              <w:top w:val="nil"/>
              <w:bottom w:val="nil"/>
              <w:right w:val="nil"/>
            </w:tcBorders>
            <w:shd w:val="clear" w:color="auto" w:fill="auto"/>
          </w:tcPr>
          <w:p w14:paraId="206C6E0B" w14:textId="77777777" w:rsidR="0069390C" w:rsidRPr="0083480F" w:rsidRDefault="0069390C" w:rsidP="008243BB">
            <w:pPr>
              <w:pStyle w:val="NoSpacing"/>
              <w:spacing w:after="80"/>
              <w:contextualSpacing/>
              <w:jc w:val="left"/>
              <w:rPr>
                <w:sz w:val="20"/>
              </w:rPr>
            </w:pPr>
            <w:r>
              <w:rPr>
                <w:sz w:val="20"/>
              </w:rPr>
              <w:t>Niemur at Mallan School</w:t>
            </w:r>
          </w:p>
        </w:tc>
      </w:tr>
      <w:tr w:rsidR="0069390C" w14:paraId="7412A39D" w14:textId="77777777" w:rsidTr="009F42D2">
        <w:trPr>
          <w:jc w:val="center"/>
        </w:trPr>
        <w:tc>
          <w:tcPr>
            <w:tcW w:w="2268" w:type="dxa"/>
            <w:tcBorders>
              <w:top w:val="nil"/>
              <w:left w:val="nil"/>
              <w:bottom w:val="nil"/>
            </w:tcBorders>
            <w:shd w:val="clear" w:color="auto" w:fill="auto"/>
          </w:tcPr>
          <w:p w14:paraId="269E52B7" w14:textId="70649065" w:rsidR="0069390C" w:rsidRPr="0083480F" w:rsidRDefault="0069390C" w:rsidP="008243BB">
            <w:pPr>
              <w:pStyle w:val="NoSpacing"/>
              <w:spacing w:after="80"/>
              <w:contextualSpacing/>
              <w:jc w:val="left"/>
              <w:rPr>
                <w:sz w:val="20"/>
              </w:rPr>
            </w:pPr>
            <w:r>
              <w:rPr>
                <w:sz w:val="20"/>
              </w:rPr>
              <w:t>Edward</w:t>
            </w:r>
            <w:r w:rsidR="004A7F7B">
              <w:rPr>
                <w:sz w:val="20"/>
              </w:rPr>
              <w:t>/Kolety</w:t>
            </w:r>
            <w:r>
              <w:rPr>
                <w:sz w:val="20"/>
              </w:rPr>
              <w:t xml:space="preserve"> River</w:t>
            </w:r>
          </w:p>
        </w:tc>
        <w:tc>
          <w:tcPr>
            <w:tcW w:w="986" w:type="dxa"/>
            <w:tcBorders>
              <w:top w:val="nil"/>
              <w:bottom w:val="nil"/>
            </w:tcBorders>
            <w:shd w:val="clear" w:color="auto" w:fill="auto"/>
          </w:tcPr>
          <w:p w14:paraId="22D7FB0B" w14:textId="77777777" w:rsidR="0069390C" w:rsidRPr="0083480F" w:rsidRDefault="0069390C" w:rsidP="008243BB">
            <w:pPr>
              <w:pStyle w:val="NoSpacing"/>
              <w:spacing w:after="80"/>
              <w:contextualSpacing/>
              <w:jc w:val="center"/>
              <w:rPr>
                <w:sz w:val="20"/>
              </w:rPr>
            </w:pPr>
          </w:p>
        </w:tc>
        <w:tc>
          <w:tcPr>
            <w:tcW w:w="1567" w:type="dxa"/>
            <w:tcBorders>
              <w:top w:val="nil"/>
              <w:bottom w:val="nil"/>
            </w:tcBorders>
            <w:shd w:val="clear" w:color="auto" w:fill="auto"/>
          </w:tcPr>
          <w:p w14:paraId="52C69030" w14:textId="77777777" w:rsidR="0069390C" w:rsidRPr="0083480F" w:rsidRDefault="0069390C" w:rsidP="008243BB">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409008</w:t>
            </w:r>
          </w:p>
        </w:tc>
        <w:tc>
          <w:tcPr>
            <w:tcW w:w="3260" w:type="dxa"/>
            <w:tcBorders>
              <w:top w:val="nil"/>
              <w:bottom w:val="nil"/>
              <w:right w:val="nil"/>
            </w:tcBorders>
            <w:shd w:val="clear" w:color="auto" w:fill="auto"/>
          </w:tcPr>
          <w:p w14:paraId="26966E4F" w14:textId="77777777" w:rsidR="0069390C" w:rsidRPr="0083480F" w:rsidRDefault="0069390C" w:rsidP="008243BB">
            <w:pPr>
              <w:pStyle w:val="NoSpacing"/>
              <w:spacing w:after="80"/>
              <w:contextualSpacing/>
              <w:jc w:val="left"/>
              <w:rPr>
                <w:sz w:val="20"/>
              </w:rPr>
            </w:pPr>
            <w:r>
              <w:rPr>
                <w:sz w:val="20"/>
              </w:rPr>
              <w:t>Edward River Offtake</w:t>
            </w:r>
          </w:p>
        </w:tc>
      </w:tr>
      <w:tr w:rsidR="0069390C" w14:paraId="3C71999D" w14:textId="77777777" w:rsidTr="009F42D2">
        <w:trPr>
          <w:jc w:val="center"/>
        </w:trPr>
        <w:tc>
          <w:tcPr>
            <w:tcW w:w="2268" w:type="dxa"/>
            <w:tcBorders>
              <w:top w:val="nil"/>
              <w:left w:val="nil"/>
              <w:bottom w:val="nil"/>
            </w:tcBorders>
            <w:shd w:val="clear" w:color="auto" w:fill="auto"/>
          </w:tcPr>
          <w:p w14:paraId="0A1BB2DA" w14:textId="5D045359" w:rsidR="0069390C" w:rsidRPr="0083480F" w:rsidRDefault="0069390C" w:rsidP="008243BB">
            <w:pPr>
              <w:pStyle w:val="NoSpacing"/>
              <w:spacing w:after="80"/>
              <w:contextualSpacing/>
              <w:jc w:val="left"/>
              <w:rPr>
                <w:sz w:val="20"/>
              </w:rPr>
            </w:pPr>
            <w:r>
              <w:rPr>
                <w:sz w:val="20"/>
              </w:rPr>
              <w:t>Edward</w:t>
            </w:r>
            <w:r w:rsidR="004A7F7B">
              <w:rPr>
                <w:sz w:val="20"/>
              </w:rPr>
              <w:t>/Kolety</w:t>
            </w:r>
            <w:r>
              <w:rPr>
                <w:sz w:val="20"/>
              </w:rPr>
              <w:t xml:space="preserve"> River</w:t>
            </w:r>
          </w:p>
        </w:tc>
        <w:tc>
          <w:tcPr>
            <w:tcW w:w="986" w:type="dxa"/>
            <w:tcBorders>
              <w:top w:val="nil"/>
              <w:bottom w:val="nil"/>
            </w:tcBorders>
            <w:shd w:val="clear" w:color="auto" w:fill="auto"/>
          </w:tcPr>
          <w:p w14:paraId="63A90F90" w14:textId="7965B54B" w:rsidR="0069390C" w:rsidRPr="0083480F" w:rsidRDefault="0069390C" w:rsidP="008243BB">
            <w:pPr>
              <w:pStyle w:val="NoSpacing"/>
              <w:spacing w:after="80"/>
              <w:contextualSpacing/>
              <w:jc w:val="center"/>
              <w:rPr>
                <w:sz w:val="20"/>
              </w:rPr>
            </w:pPr>
            <w:r>
              <w:rPr>
                <w:sz w:val="20"/>
              </w:rPr>
              <w:t>11</w:t>
            </w:r>
          </w:p>
        </w:tc>
        <w:tc>
          <w:tcPr>
            <w:tcW w:w="1567" w:type="dxa"/>
            <w:tcBorders>
              <w:top w:val="nil"/>
              <w:bottom w:val="nil"/>
            </w:tcBorders>
            <w:shd w:val="clear" w:color="auto" w:fill="auto"/>
          </w:tcPr>
          <w:p w14:paraId="67C6F442" w14:textId="77777777" w:rsidR="0069390C" w:rsidRPr="0083480F" w:rsidRDefault="0069390C" w:rsidP="008243BB">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409023</w:t>
            </w:r>
          </w:p>
        </w:tc>
        <w:tc>
          <w:tcPr>
            <w:tcW w:w="3260" w:type="dxa"/>
            <w:tcBorders>
              <w:top w:val="nil"/>
              <w:bottom w:val="nil"/>
              <w:right w:val="nil"/>
            </w:tcBorders>
            <w:shd w:val="clear" w:color="auto" w:fill="auto"/>
          </w:tcPr>
          <w:p w14:paraId="569565DC" w14:textId="77777777" w:rsidR="0069390C" w:rsidRPr="0083480F" w:rsidRDefault="0069390C" w:rsidP="008243BB">
            <w:pPr>
              <w:pStyle w:val="NoSpacing"/>
              <w:spacing w:after="80"/>
              <w:contextualSpacing/>
              <w:jc w:val="left"/>
              <w:rPr>
                <w:sz w:val="20"/>
              </w:rPr>
            </w:pPr>
            <w:r>
              <w:rPr>
                <w:sz w:val="20"/>
              </w:rPr>
              <w:t>Edward River DS Stevens weir</w:t>
            </w:r>
          </w:p>
        </w:tc>
      </w:tr>
      <w:tr w:rsidR="009F42D2" w14:paraId="28AAF098" w14:textId="77777777" w:rsidTr="009F42D2">
        <w:trPr>
          <w:jc w:val="center"/>
        </w:trPr>
        <w:tc>
          <w:tcPr>
            <w:tcW w:w="2268" w:type="dxa"/>
            <w:tcBorders>
              <w:top w:val="nil"/>
              <w:left w:val="nil"/>
              <w:bottom w:val="nil"/>
            </w:tcBorders>
            <w:shd w:val="clear" w:color="auto" w:fill="auto"/>
          </w:tcPr>
          <w:p w14:paraId="2633A34D" w14:textId="59A36AF3" w:rsidR="009F42D2" w:rsidRDefault="009F42D2" w:rsidP="008243BB">
            <w:pPr>
              <w:pStyle w:val="NoSpacing"/>
              <w:spacing w:after="80"/>
              <w:contextualSpacing/>
              <w:jc w:val="left"/>
              <w:rPr>
                <w:sz w:val="20"/>
              </w:rPr>
            </w:pPr>
            <w:r>
              <w:rPr>
                <w:sz w:val="20"/>
              </w:rPr>
              <w:t>Edward/Kolety River</w:t>
            </w:r>
          </w:p>
        </w:tc>
        <w:tc>
          <w:tcPr>
            <w:tcW w:w="986" w:type="dxa"/>
            <w:tcBorders>
              <w:top w:val="nil"/>
              <w:bottom w:val="nil"/>
            </w:tcBorders>
            <w:shd w:val="clear" w:color="auto" w:fill="auto"/>
          </w:tcPr>
          <w:p w14:paraId="260C88AE" w14:textId="6D4AD0E7" w:rsidR="009F42D2" w:rsidRDefault="009F42D2" w:rsidP="008243BB">
            <w:pPr>
              <w:pStyle w:val="NoSpacing"/>
              <w:spacing w:after="80"/>
              <w:contextualSpacing/>
              <w:jc w:val="center"/>
              <w:rPr>
                <w:sz w:val="20"/>
              </w:rPr>
            </w:pPr>
            <w:r>
              <w:rPr>
                <w:sz w:val="20"/>
              </w:rPr>
              <w:t>13</w:t>
            </w:r>
          </w:p>
        </w:tc>
        <w:tc>
          <w:tcPr>
            <w:tcW w:w="1567" w:type="dxa"/>
            <w:tcBorders>
              <w:top w:val="nil"/>
              <w:bottom w:val="nil"/>
            </w:tcBorders>
            <w:shd w:val="clear" w:color="auto" w:fill="auto"/>
          </w:tcPr>
          <w:p w14:paraId="49E44E88" w14:textId="47CBD0D5" w:rsidR="009F42D2" w:rsidRDefault="009F42D2" w:rsidP="008243BB">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409104</w:t>
            </w:r>
          </w:p>
        </w:tc>
        <w:tc>
          <w:tcPr>
            <w:tcW w:w="3260" w:type="dxa"/>
            <w:tcBorders>
              <w:top w:val="nil"/>
              <w:bottom w:val="nil"/>
              <w:right w:val="nil"/>
            </w:tcBorders>
            <w:shd w:val="clear" w:color="auto" w:fill="auto"/>
          </w:tcPr>
          <w:p w14:paraId="56A590A5" w14:textId="6A3D2BF2" w:rsidR="009F42D2" w:rsidRDefault="009F42D2" w:rsidP="008243BB">
            <w:pPr>
              <w:pStyle w:val="NoSpacing"/>
              <w:spacing w:after="80"/>
              <w:contextualSpacing/>
              <w:jc w:val="left"/>
              <w:rPr>
                <w:sz w:val="20"/>
              </w:rPr>
            </w:pPr>
            <w:r>
              <w:rPr>
                <w:sz w:val="20"/>
              </w:rPr>
              <w:t>Edward River at Moulamein</w:t>
            </w:r>
          </w:p>
        </w:tc>
      </w:tr>
      <w:tr w:rsidR="0069390C" w14:paraId="3065C1C7" w14:textId="77777777" w:rsidTr="009F42D2">
        <w:trPr>
          <w:jc w:val="center"/>
        </w:trPr>
        <w:tc>
          <w:tcPr>
            <w:tcW w:w="2268" w:type="dxa"/>
            <w:tcBorders>
              <w:top w:val="nil"/>
              <w:left w:val="nil"/>
              <w:bottom w:val="single" w:sz="4" w:space="0" w:color="auto"/>
            </w:tcBorders>
            <w:shd w:val="clear" w:color="auto" w:fill="auto"/>
          </w:tcPr>
          <w:p w14:paraId="6D1EFD11" w14:textId="09FE6377" w:rsidR="0069390C" w:rsidRPr="0083480F" w:rsidRDefault="0069390C" w:rsidP="008243BB">
            <w:pPr>
              <w:pStyle w:val="NoSpacing"/>
              <w:spacing w:after="80"/>
              <w:contextualSpacing/>
              <w:jc w:val="left"/>
              <w:rPr>
                <w:sz w:val="20"/>
              </w:rPr>
            </w:pPr>
            <w:r>
              <w:rPr>
                <w:sz w:val="20"/>
              </w:rPr>
              <w:t>Edward</w:t>
            </w:r>
            <w:r w:rsidR="004A7F7B">
              <w:rPr>
                <w:sz w:val="20"/>
              </w:rPr>
              <w:t>/Kolety</w:t>
            </w:r>
            <w:r>
              <w:rPr>
                <w:sz w:val="20"/>
              </w:rPr>
              <w:t xml:space="preserve"> River</w:t>
            </w:r>
          </w:p>
        </w:tc>
        <w:tc>
          <w:tcPr>
            <w:tcW w:w="986" w:type="dxa"/>
            <w:tcBorders>
              <w:top w:val="nil"/>
              <w:bottom w:val="single" w:sz="4" w:space="0" w:color="auto"/>
            </w:tcBorders>
            <w:shd w:val="clear" w:color="auto" w:fill="auto"/>
          </w:tcPr>
          <w:p w14:paraId="58DF57A1" w14:textId="4DE8F89A" w:rsidR="0069390C" w:rsidRPr="0083480F" w:rsidRDefault="0069390C" w:rsidP="008243BB">
            <w:pPr>
              <w:pStyle w:val="NoSpacing"/>
              <w:spacing w:after="80"/>
              <w:contextualSpacing/>
              <w:jc w:val="center"/>
              <w:rPr>
                <w:sz w:val="20"/>
              </w:rPr>
            </w:pPr>
            <w:r>
              <w:rPr>
                <w:sz w:val="20"/>
              </w:rPr>
              <w:t>14</w:t>
            </w:r>
          </w:p>
        </w:tc>
        <w:tc>
          <w:tcPr>
            <w:tcW w:w="1567" w:type="dxa"/>
            <w:tcBorders>
              <w:top w:val="nil"/>
              <w:bottom w:val="single" w:sz="4" w:space="0" w:color="auto"/>
            </w:tcBorders>
            <w:shd w:val="clear" w:color="auto" w:fill="auto"/>
          </w:tcPr>
          <w:p w14:paraId="0B31AF68" w14:textId="77777777" w:rsidR="0069390C" w:rsidRPr="0083480F" w:rsidRDefault="0069390C" w:rsidP="008243BB">
            <w:pPr>
              <w:pStyle w:val="NoSpacing"/>
              <w:spacing w:after="80"/>
              <w:contextualSpacing/>
              <w:jc w:val="center"/>
              <w:rPr>
                <w:rFonts w:asciiTheme="minorHAnsi" w:hAnsiTheme="minorHAnsi" w:cs="Courier New"/>
                <w:color w:val="000000"/>
                <w:sz w:val="20"/>
              </w:rPr>
            </w:pPr>
            <w:r>
              <w:rPr>
                <w:rFonts w:asciiTheme="minorHAnsi" w:hAnsiTheme="minorHAnsi" w:cs="Courier New"/>
                <w:color w:val="000000"/>
                <w:sz w:val="20"/>
              </w:rPr>
              <w:t>409035</w:t>
            </w:r>
          </w:p>
        </w:tc>
        <w:tc>
          <w:tcPr>
            <w:tcW w:w="3260" w:type="dxa"/>
            <w:tcBorders>
              <w:top w:val="nil"/>
              <w:bottom w:val="single" w:sz="4" w:space="0" w:color="auto"/>
              <w:right w:val="nil"/>
            </w:tcBorders>
            <w:shd w:val="clear" w:color="auto" w:fill="auto"/>
          </w:tcPr>
          <w:p w14:paraId="0C22DC30" w14:textId="77777777" w:rsidR="0069390C" w:rsidRPr="0083480F" w:rsidRDefault="0069390C" w:rsidP="008243BB">
            <w:pPr>
              <w:pStyle w:val="NoSpacing"/>
              <w:spacing w:after="80"/>
              <w:contextualSpacing/>
              <w:jc w:val="left"/>
              <w:rPr>
                <w:sz w:val="20"/>
              </w:rPr>
            </w:pPr>
            <w:r>
              <w:rPr>
                <w:sz w:val="20"/>
              </w:rPr>
              <w:t>Edward River at Liewah</w:t>
            </w:r>
          </w:p>
        </w:tc>
      </w:tr>
    </w:tbl>
    <w:p w14:paraId="727967D1" w14:textId="77777777" w:rsidR="00C6350A" w:rsidRDefault="00C6350A" w:rsidP="00E02EEA">
      <w:pPr>
        <w:pStyle w:val="NoSpacing"/>
        <w:spacing w:line="320" w:lineRule="exact"/>
        <w:jc w:val="left"/>
        <w:rPr>
          <w:rFonts w:asciiTheme="minorHAnsi" w:hAnsiTheme="minorHAnsi" w:cs="Courier New"/>
          <w:color w:val="000000"/>
          <w:szCs w:val="22"/>
        </w:rPr>
      </w:pPr>
    </w:p>
    <w:p w14:paraId="19CD9CFA" w14:textId="4CFB0F58" w:rsidR="00286333" w:rsidRPr="004A7F7B" w:rsidRDefault="00286333" w:rsidP="00C6350A">
      <w:pPr>
        <w:pStyle w:val="NoSpacing"/>
        <w:spacing w:after="120" w:line="320" w:lineRule="exact"/>
        <w:jc w:val="left"/>
        <w:rPr>
          <w:rFonts w:asciiTheme="minorHAnsi" w:hAnsiTheme="minorHAnsi" w:cs="Courier New"/>
          <w:color w:val="000000"/>
          <w:szCs w:val="22"/>
          <w:highlight w:val="yellow"/>
        </w:rPr>
      </w:pPr>
      <w:r w:rsidRPr="004A7F7B">
        <w:rPr>
          <w:rFonts w:asciiTheme="minorHAnsi" w:hAnsiTheme="minorHAnsi" w:cs="Courier New"/>
          <w:color w:val="000000"/>
          <w:szCs w:val="22"/>
        </w:rPr>
        <w:t>Details of the daily v</w:t>
      </w:r>
      <w:r w:rsidR="0017634E" w:rsidRPr="004A7F7B">
        <w:rPr>
          <w:rFonts w:asciiTheme="minorHAnsi" w:hAnsiTheme="minorHAnsi" w:cs="Courier New"/>
          <w:color w:val="000000"/>
          <w:szCs w:val="22"/>
        </w:rPr>
        <w:t>olume of water (ML/d</w:t>
      </w:r>
      <w:r w:rsidRPr="004A7F7B">
        <w:rPr>
          <w:rFonts w:asciiTheme="minorHAnsi" w:hAnsiTheme="minorHAnsi" w:cs="Courier New"/>
          <w:color w:val="000000"/>
          <w:szCs w:val="22"/>
        </w:rPr>
        <w:t>) accounted for as Commonwealth environmental water was provided by WaterNSW and the Commonwealth Environmental Water Office. These data were used to produce hydrographs showing the daily discharge and the proportion of that flow that is Commonwealth environmental water for the four hydro</w:t>
      </w:r>
      <w:r w:rsidR="002A6122" w:rsidRPr="004A7F7B">
        <w:rPr>
          <w:rFonts w:asciiTheme="minorHAnsi" w:hAnsiTheme="minorHAnsi" w:cs="Courier New"/>
          <w:color w:val="000000"/>
          <w:szCs w:val="22"/>
        </w:rPr>
        <w:t>logical zones</w:t>
      </w:r>
      <w:r w:rsidRPr="004A7F7B">
        <w:rPr>
          <w:rFonts w:asciiTheme="minorHAnsi" w:hAnsiTheme="minorHAnsi" w:cs="Courier New"/>
          <w:color w:val="000000"/>
          <w:szCs w:val="22"/>
        </w:rPr>
        <w:t xml:space="preserve">. </w:t>
      </w:r>
    </w:p>
    <w:p w14:paraId="000BDC98" w14:textId="2381E1EC" w:rsidR="00286333" w:rsidRPr="00D9354D" w:rsidRDefault="00286333" w:rsidP="0069390C">
      <w:pPr>
        <w:spacing w:after="120" w:line="320" w:lineRule="exact"/>
        <w:jc w:val="left"/>
      </w:pPr>
      <w:r w:rsidRPr="00D9354D">
        <w:rPr>
          <w:rFonts w:asciiTheme="minorHAnsi" w:hAnsiTheme="minorHAnsi" w:cs="Courier New"/>
          <w:color w:val="000000"/>
          <w:szCs w:val="22"/>
        </w:rPr>
        <w:t xml:space="preserve">To evaluate to what extent </w:t>
      </w:r>
      <w:r w:rsidRPr="00D9354D">
        <w:t xml:space="preserve">Commonwealth environmental water contributed to </w:t>
      </w:r>
      <w:r w:rsidR="00457A1B" w:rsidRPr="00D9354D">
        <w:t xml:space="preserve">longitudinal </w:t>
      </w:r>
      <w:r w:rsidRPr="00D9354D">
        <w:t>hydrological connectivity</w:t>
      </w:r>
      <w:r w:rsidR="00457A1B" w:rsidRPr="00D9354D">
        <w:t>,</w:t>
      </w:r>
      <w:r w:rsidRPr="00D9354D">
        <w:t xml:space="preserve"> the hydrographs for the Wakool River at Gee Gee Br</w:t>
      </w:r>
      <w:r w:rsidR="005E6106" w:rsidRPr="00D9354D">
        <w:t xml:space="preserve">idge site 05_02 (gauge 409062) </w:t>
      </w:r>
      <w:r w:rsidRPr="00D9354D">
        <w:t>and Stoney Crossing, site 06_01 (gauge 409013) were plotted and visually compared to the shape of the hydrographs upstream that received Commonwealth environmental water.</w:t>
      </w:r>
    </w:p>
    <w:p w14:paraId="0B9B998A" w14:textId="47E3A280" w:rsidR="00D9354D" w:rsidRDefault="00D9354D">
      <w:pPr>
        <w:spacing w:after="0" w:line="240" w:lineRule="auto"/>
        <w:jc w:val="left"/>
        <w:rPr>
          <w:rFonts w:cs="Arial"/>
          <w:highlight w:val="yellow"/>
        </w:rPr>
      </w:pPr>
    </w:p>
    <w:p w14:paraId="3B4F8857" w14:textId="5E8D8513" w:rsidR="00707665" w:rsidRDefault="00F30F2F" w:rsidP="00707665">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w:t>
      </w:r>
      <w:r w:rsidR="004C71B4">
        <w:rPr>
          <w:b/>
          <w:color w:val="31849B" w:themeColor="accent5" w:themeShade="BF"/>
          <w:sz w:val="28"/>
          <w:szCs w:val="28"/>
        </w:rPr>
        <w:t>5</w:t>
      </w:r>
      <w:r w:rsidRPr="006F4E63">
        <w:rPr>
          <w:b/>
          <w:color w:val="31849B" w:themeColor="accent5" w:themeShade="BF"/>
          <w:sz w:val="28"/>
          <w:szCs w:val="28"/>
        </w:rPr>
        <w:t xml:space="preserve"> </w:t>
      </w:r>
      <w:r w:rsidR="00A14EA5">
        <w:rPr>
          <w:b/>
          <w:color w:val="31849B" w:themeColor="accent5" w:themeShade="BF"/>
          <w:sz w:val="28"/>
          <w:szCs w:val="28"/>
        </w:rPr>
        <w:t xml:space="preserve">  </w:t>
      </w:r>
      <w:r w:rsidR="00C9652F">
        <w:rPr>
          <w:b/>
          <w:color w:val="31849B" w:themeColor="accent5" w:themeShade="BF"/>
          <w:sz w:val="28"/>
          <w:szCs w:val="28"/>
        </w:rPr>
        <w:t>Results</w:t>
      </w:r>
    </w:p>
    <w:p w14:paraId="3690DC3A" w14:textId="71997FCC" w:rsidR="0070364B" w:rsidRDefault="0070364B" w:rsidP="0070364B">
      <w:pPr>
        <w:tabs>
          <w:tab w:val="left" w:pos="9071"/>
        </w:tabs>
        <w:spacing w:after="240" w:line="240" w:lineRule="auto"/>
        <w:jc w:val="left"/>
        <w:rPr>
          <w:color w:val="31849B" w:themeColor="accent5" w:themeShade="BF"/>
          <w:sz w:val="24"/>
          <w:szCs w:val="24"/>
        </w:rPr>
      </w:pPr>
      <w:r>
        <w:rPr>
          <w:b/>
          <w:i/>
          <w:color w:val="31849B" w:themeColor="accent5" w:themeShade="BF"/>
          <w:sz w:val="24"/>
          <w:szCs w:val="24"/>
        </w:rPr>
        <w:t>Hydrology in 2019-20</w:t>
      </w:r>
    </w:p>
    <w:p w14:paraId="57E84303" w14:textId="16CAD506" w:rsidR="00AC1D66" w:rsidRPr="00024E9D" w:rsidRDefault="007A1ED3" w:rsidP="008243BB">
      <w:pPr>
        <w:tabs>
          <w:tab w:val="left" w:pos="9071"/>
        </w:tabs>
        <w:spacing w:after="120" w:line="320" w:lineRule="exact"/>
        <w:jc w:val="left"/>
        <w:rPr>
          <w:color w:val="000000" w:themeColor="text1"/>
        </w:rPr>
      </w:pPr>
      <w:r w:rsidRPr="00024E9D">
        <w:rPr>
          <w:color w:val="000000" w:themeColor="text1"/>
          <w:szCs w:val="22"/>
        </w:rPr>
        <w:t xml:space="preserve">The hydrology of the rivers in the </w:t>
      </w:r>
      <w:r w:rsidR="008E27F6" w:rsidRPr="00024E9D">
        <w:rPr>
          <w:color w:val="000000" w:themeColor="text1"/>
          <w:szCs w:val="22"/>
        </w:rPr>
        <w:t>Edward/Kolety-Wakool</w:t>
      </w:r>
      <w:r w:rsidR="0070364B" w:rsidRPr="00024E9D">
        <w:rPr>
          <w:color w:val="000000" w:themeColor="text1"/>
          <w:szCs w:val="22"/>
        </w:rPr>
        <w:t xml:space="preserve"> system in 2019-20</w:t>
      </w:r>
      <w:r w:rsidRPr="00024E9D">
        <w:rPr>
          <w:color w:val="000000" w:themeColor="text1"/>
          <w:szCs w:val="22"/>
        </w:rPr>
        <w:t xml:space="preserve"> was </w:t>
      </w:r>
      <w:r w:rsidR="0070364B" w:rsidRPr="00024E9D">
        <w:rPr>
          <w:color w:val="000000" w:themeColor="text1"/>
          <w:szCs w:val="22"/>
        </w:rPr>
        <w:t>influenced by</w:t>
      </w:r>
      <w:r w:rsidRPr="00024E9D">
        <w:rPr>
          <w:color w:val="000000" w:themeColor="text1"/>
          <w:szCs w:val="22"/>
        </w:rPr>
        <w:t xml:space="preserve"> </w:t>
      </w:r>
      <w:r w:rsidR="00024E9D" w:rsidRPr="00024E9D">
        <w:rPr>
          <w:color w:val="000000" w:themeColor="text1"/>
          <w:szCs w:val="22"/>
        </w:rPr>
        <w:t xml:space="preserve">winter watering action, </w:t>
      </w:r>
      <w:r w:rsidR="0070364B" w:rsidRPr="00024E9D">
        <w:rPr>
          <w:color w:val="000000" w:themeColor="text1"/>
          <w:szCs w:val="22"/>
        </w:rPr>
        <w:t xml:space="preserve">return flows </w:t>
      </w:r>
      <w:r w:rsidR="00024E9D" w:rsidRPr="00024E9D">
        <w:rPr>
          <w:color w:val="000000" w:themeColor="text1"/>
          <w:szCs w:val="22"/>
        </w:rPr>
        <w:t>during</w:t>
      </w:r>
      <w:r w:rsidR="0070364B" w:rsidRPr="00024E9D">
        <w:rPr>
          <w:color w:val="000000" w:themeColor="text1"/>
          <w:szCs w:val="22"/>
        </w:rPr>
        <w:t xml:space="preserve"> the souther</w:t>
      </w:r>
      <w:r w:rsidR="00024E9D" w:rsidRPr="00024E9D">
        <w:rPr>
          <w:color w:val="000000" w:themeColor="text1"/>
          <w:szCs w:val="22"/>
        </w:rPr>
        <w:t>n</w:t>
      </w:r>
      <w:r w:rsidR="0070364B" w:rsidRPr="00024E9D">
        <w:rPr>
          <w:color w:val="000000" w:themeColor="text1"/>
          <w:szCs w:val="22"/>
        </w:rPr>
        <w:t xml:space="preserve"> connected flow</w:t>
      </w:r>
      <w:r w:rsidR="00024E9D" w:rsidRPr="00024E9D">
        <w:rPr>
          <w:color w:val="000000" w:themeColor="text1"/>
          <w:szCs w:val="22"/>
        </w:rPr>
        <w:t xml:space="preserve">, Commonwealth environmental watering actions from September through to December 2019, </w:t>
      </w:r>
      <w:r w:rsidR="0070364B" w:rsidRPr="00024E9D">
        <w:rPr>
          <w:color w:val="000000" w:themeColor="text1"/>
          <w:szCs w:val="22"/>
        </w:rPr>
        <w:t>and an unregulated flow pulse in May 2020</w:t>
      </w:r>
      <w:r w:rsidRPr="00024E9D">
        <w:rPr>
          <w:color w:val="000000" w:themeColor="text1"/>
          <w:szCs w:val="22"/>
        </w:rPr>
        <w:t xml:space="preserve">. </w:t>
      </w:r>
    </w:p>
    <w:p w14:paraId="5F2B6F60" w14:textId="3FB1DB23" w:rsidR="00D40452" w:rsidRPr="003F58FD" w:rsidRDefault="00AC1D66" w:rsidP="008243BB">
      <w:pPr>
        <w:tabs>
          <w:tab w:val="left" w:pos="9071"/>
        </w:tabs>
        <w:spacing w:after="120" w:line="320" w:lineRule="exact"/>
        <w:jc w:val="left"/>
        <w:rPr>
          <w:color w:val="000000" w:themeColor="text1"/>
          <w:szCs w:val="22"/>
        </w:rPr>
      </w:pPr>
      <w:r w:rsidRPr="00024E9D">
        <w:rPr>
          <w:color w:val="000000" w:themeColor="text1"/>
        </w:rPr>
        <w:t>I</w:t>
      </w:r>
      <w:r w:rsidR="00D40452" w:rsidRPr="00024E9D">
        <w:rPr>
          <w:color w:val="000000" w:themeColor="text1"/>
        </w:rPr>
        <w:t>n the Edward</w:t>
      </w:r>
      <w:r w:rsidR="00000D5A" w:rsidRPr="00024E9D">
        <w:rPr>
          <w:color w:val="000000" w:themeColor="text1"/>
        </w:rPr>
        <w:t>/Kolety</w:t>
      </w:r>
      <w:r w:rsidR="00D40452" w:rsidRPr="00024E9D">
        <w:rPr>
          <w:color w:val="000000" w:themeColor="text1"/>
        </w:rPr>
        <w:t xml:space="preserve"> River </w:t>
      </w:r>
      <w:r w:rsidR="00024E9D" w:rsidRPr="00024E9D">
        <w:rPr>
          <w:color w:val="000000" w:themeColor="text1"/>
        </w:rPr>
        <w:t xml:space="preserve">system </w:t>
      </w:r>
      <w:r w:rsidR="00D40452" w:rsidRPr="00024E9D">
        <w:rPr>
          <w:color w:val="000000" w:themeColor="text1"/>
        </w:rPr>
        <w:t xml:space="preserve">downstream of the </w:t>
      </w:r>
      <w:r w:rsidRPr="00024E9D">
        <w:rPr>
          <w:color w:val="000000" w:themeColor="text1"/>
        </w:rPr>
        <w:t xml:space="preserve">Edward </w:t>
      </w:r>
      <w:r w:rsidR="00D40452" w:rsidRPr="00024E9D">
        <w:rPr>
          <w:color w:val="000000" w:themeColor="text1"/>
        </w:rPr>
        <w:t xml:space="preserve">offtake the discharge was held steady at approximately 1550 ML/day for nine months between </w:t>
      </w:r>
      <w:r w:rsidR="00024E9D" w:rsidRPr="00024E9D">
        <w:rPr>
          <w:color w:val="000000" w:themeColor="text1"/>
        </w:rPr>
        <w:t>July</w:t>
      </w:r>
      <w:r w:rsidR="00D40452" w:rsidRPr="00024E9D">
        <w:rPr>
          <w:color w:val="000000" w:themeColor="text1"/>
        </w:rPr>
        <w:t xml:space="preserve"> 201</w:t>
      </w:r>
      <w:r w:rsidR="00024E9D" w:rsidRPr="00024E9D">
        <w:rPr>
          <w:color w:val="000000" w:themeColor="text1"/>
        </w:rPr>
        <w:t>9 and March/April 2020</w:t>
      </w:r>
      <w:r w:rsidR="00D40452" w:rsidRPr="00024E9D">
        <w:rPr>
          <w:color w:val="000000" w:themeColor="text1"/>
        </w:rPr>
        <w:t xml:space="preserve"> (Figure 4.</w:t>
      </w:r>
      <w:r w:rsidR="00FB22C3">
        <w:rPr>
          <w:color w:val="000000" w:themeColor="text1"/>
        </w:rPr>
        <w:t>1</w:t>
      </w:r>
      <w:r w:rsidR="00024E9D" w:rsidRPr="00024E9D">
        <w:rPr>
          <w:color w:val="000000" w:themeColor="text1"/>
        </w:rPr>
        <w:t>). However, i</w:t>
      </w:r>
      <w:r w:rsidR="00D40452" w:rsidRPr="00024E9D">
        <w:rPr>
          <w:color w:val="000000" w:themeColor="text1"/>
        </w:rPr>
        <w:t>n the Edward</w:t>
      </w:r>
      <w:r w:rsidR="00000D5A" w:rsidRPr="00024E9D">
        <w:rPr>
          <w:color w:val="000000" w:themeColor="text1"/>
        </w:rPr>
        <w:t>/Kolety</w:t>
      </w:r>
      <w:r w:rsidR="00D40452" w:rsidRPr="00024E9D">
        <w:rPr>
          <w:color w:val="000000" w:themeColor="text1"/>
        </w:rPr>
        <w:t xml:space="preserve"> River downstream of Stevens Weir the discharge was</w:t>
      </w:r>
      <w:r w:rsidR="00024E9D" w:rsidRPr="00024E9D">
        <w:rPr>
          <w:color w:val="000000" w:themeColor="text1"/>
        </w:rPr>
        <w:t xml:space="preserve"> considerably more variable and this variability in flows was evident right through the Edward/Kolety River to Liewah </w:t>
      </w:r>
      <w:r w:rsidR="00D40452" w:rsidRPr="00024E9D">
        <w:rPr>
          <w:color w:val="000000" w:themeColor="text1"/>
        </w:rPr>
        <w:t>(Figure 4.</w:t>
      </w:r>
      <w:r w:rsidR="00073DAC" w:rsidRPr="00024E9D">
        <w:rPr>
          <w:color w:val="000000" w:themeColor="text1"/>
        </w:rPr>
        <w:t>3</w:t>
      </w:r>
      <w:r w:rsidR="00D40452" w:rsidRPr="00024E9D">
        <w:rPr>
          <w:color w:val="000000" w:themeColor="text1"/>
        </w:rPr>
        <w:t>)</w:t>
      </w:r>
      <w:r w:rsidRPr="00024E9D">
        <w:rPr>
          <w:color w:val="000000" w:themeColor="text1"/>
        </w:rPr>
        <w:t>.</w:t>
      </w:r>
    </w:p>
    <w:p w14:paraId="163A190C" w14:textId="0DA38A61" w:rsidR="00EA7EA9" w:rsidRDefault="0070364B" w:rsidP="00E02EEA">
      <w:pPr>
        <w:tabs>
          <w:tab w:val="left" w:pos="9071"/>
        </w:tabs>
        <w:spacing w:after="0" w:line="240" w:lineRule="auto"/>
        <w:jc w:val="left"/>
        <w:rPr>
          <w:rFonts w:cs="Calibri"/>
          <w:sz w:val="20"/>
          <w:lang w:val="en-GB"/>
        </w:rPr>
      </w:pPr>
      <w:r>
        <w:rPr>
          <w:rFonts w:cs="Calibri"/>
          <w:noProof/>
          <w:sz w:val="20"/>
          <w:lang w:eastAsia="en-AU"/>
        </w:rPr>
        <w:drawing>
          <wp:inline distT="0" distB="0" distL="0" distR="0" wp14:anchorId="345F72A8" wp14:editId="2565BB35">
            <wp:extent cx="3855206" cy="4536000"/>
            <wp:effectExtent l="0" t="0" r="0" b="0"/>
            <wp:docPr id="22625" name="Picture 2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855206" cy="4536000"/>
                    </a:xfrm>
                    <a:prstGeom prst="rect">
                      <a:avLst/>
                    </a:prstGeom>
                    <a:noFill/>
                  </pic:spPr>
                </pic:pic>
              </a:graphicData>
            </a:graphic>
          </wp:inline>
        </w:drawing>
      </w:r>
    </w:p>
    <w:p w14:paraId="4DDF8CBE" w14:textId="43A88F9F" w:rsidR="00EA7EA9" w:rsidRDefault="00EA7EA9" w:rsidP="008243BB">
      <w:pPr>
        <w:tabs>
          <w:tab w:val="left" w:pos="9071"/>
        </w:tabs>
        <w:spacing w:after="120" w:line="240" w:lineRule="auto"/>
        <w:jc w:val="left"/>
        <w:rPr>
          <w:rFonts w:cs="Calibri"/>
          <w:sz w:val="20"/>
          <w:lang w:val="en-GB"/>
        </w:rPr>
      </w:pPr>
      <w:r w:rsidRPr="00E60CCC">
        <w:rPr>
          <w:rFonts w:cs="Calibri"/>
          <w:b/>
          <w:sz w:val="20"/>
          <w:lang w:val="en-GB"/>
        </w:rPr>
        <w:t>Figure 4.</w:t>
      </w:r>
      <w:r w:rsidR="00FB22C3">
        <w:rPr>
          <w:rFonts w:cs="Calibri"/>
          <w:b/>
          <w:sz w:val="20"/>
          <w:lang w:val="en-GB"/>
        </w:rPr>
        <w:t>1</w:t>
      </w:r>
      <w:r>
        <w:rPr>
          <w:rFonts w:cs="Calibri"/>
          <w:sz w:val="20"/>
          <w:lang w:val="en-GB"/>
        </w:rPr>
        <w:t xml:space="preserve"> Hydrographs</w:t>
      </w:r>
      <w:r w:rsidRPr="00BB47D7">
        <w:rPr>
          <w:rFonts w:cs="Calibri"/>
          <w:sz w:val="20"/>
          <w:lang w:val="en-GB"/>
        </w:rPr>
        <w:t xml:space="preserve"> </w:t>
      </w:r>
      <w:r>
        <w:rPr>
          <w:rFonts w:cs="Calibri"/>
          <w:sz w:val="20"/>
          <w:lang w:val="en-GB"/>
        </w:rPr>
        <w:t>for the Edward</w:t>
      </w:r>
      <w:r w:rsidR="0091645A">
        <w:rPr>
          <w:rFonts w:cs="Calibri"/>
          <w:sz w:val="20"/>
          <w:lang w:val="en-GB"/>
        </w:rPr>
        <w:t>/Kolety</w:t>
      </w:r>
      <w:r>
        <w:rPr>
          <w:rFonts w:cs="Calibri"/>
          <w:sz w:val="20"/>
          <w:lang w:val="en-GB"/>
        </w:rPr>
        <w:t xml:space="preserve"> </w:t>
      </w:r>
      <w:r w:rsidRPr="00735D61">
        <w:rPr>
          <w:rFonts w:cs="Calibri"/>
          <w:sz w:val="20"/>
          <w:lang w:val="en-GB"/>
        </w:rPr>
        <w:t xml:space="preserve">River at </w:t>
      </w:r>
      <w:r>
        <w:rPr>
          <w:rFonts w:cs="Calibri"/>
          <w:sz w:val="20"/>
          <w:lang w:val="en-GB"/>
        </w:rPr>
        <w:t xml:space="preserve">the Edward River </w:t>
      </w:r>
      <w:r w:rsidRPr="00735D61">
        <w:rPr>
          <w:rFonts w:cs="Calibri"/>
          <w:sz w:val="20"/>
          <w:lang w:val="en-GB"/>
        </w:rPr>
        <w:t>offtake (gauge 409008), downstream of Stevens Weir (gauge 409</w:t>
      </w:r>
      <w:r>
        <w:rPr>
          <w:rFonts w:cs="Calibri"/>
          <w:sz w:val="20"/>
          <w:lang w:val="en-GB"/>
        </w:rPr>
        <w:t>023</w:t>
      </w:r>
      <w:r w:rsidR="00024E9D">
        <w:rPr>
          <w:rFonts w:cs="Calibri"/>
          <w:sz w:val="20"/>
          <w:lang w:val="en-GB"/>
        </w:rPr>
        <w:t xml:space="preserve">), Moulamein (gauge </w:t>
      </w:r>
      <w:r w:rsidR="009F42D2">
        <w:rPr>
          <w:rFonts w:asciiTheme="minorHAnsi" w:hAnsiTheme="minorHAnsi" w:cs="Courier New"/>
          <w:color w:val="000000"/>
          <w:sz w:val="20"/>
        </w:rPr>
        <w:t>409104</w:t>
      </w:r>
      <w:r w:rsidR="00024E9D">
        <w:rPr>
          <w:rFonts w:cs="Calibri"/>
          <w:sz w:val="20"/>
          <w:lang w:val="en-GB"/>
        </w:rPr>
        <w:t xml:space="preserve">) </w:t>
      </w:r>
      <w:r w:rsidRPr="00735D61">
        <w:rPr>
          <w:rFonts w:cs="Calibri"/>
          <w:sz w:val="20"/>
          <w:lang w:val="en-GB"/>
        </w:rPr>
        <w:t>and at Liewah (gauge 409</w:t>
      </w:r>
      <w:r>
        <w:rPr>
          <w:rFonts w:cs="Calibri"/>
          <w:sz w:val="20"/>
          <w:lang w:val="en-GB"/>
        </w:rPr>
        <w:t>035</w:t>
      </w:r>
      <w:r w:rsidRPr="00735D61">
        <w:rPr>
          <w:rFonts w:cs="Calibri"/>
          <w:sz w:val="20"/>
          <w:lang w:val="en-GB"/>
        </w:rPr>
        <w:t xml:space="preserve">) from 1 </w:t>
      </w:r>
      <w:r w:rsidR="00024E9D">
        <w:rPr>
          <w:rFonts w:cs="Calibri"/>
          <w:sz w:val="20"/>
          <w:lang w:val="en-GB"/>
        </w:rPr>
        <w:t>May</w:t>
      </w:r>
      <w:r w:rsidRPr="00735D61">
        <w:rPr>
          <w:rFonts w:cs="Calibri"/>
          <w:sz w:val="20"/>
          <w:lang w:val="en-GB"/>
        </w:rPr>
        <w:t xml:space="preserve"> 201</w:t>
      </w:r>
      <w:r w:rsidR="00024E9D">
        <w:rPr>
          <w:rFonts w:cs="Calibri"/>
          <w:sz w:val="20"/>
          <w:lang w:val="en-GB"/>
        </w:rPr>
        <w:t>9 to 30 June 2020</w:t>
      </w:r>
      <w:r w:rsidRPr="00735D61">
        <w:rPr>
          <w:rFonts w:cs="Calibri"/>
          <w:sz w:val="20"/>
          <w:lang w:val="en-GB"/>
        </w:rPr>
        <w:t xml:space="preserve">. </w:t>
      </w:r>
    </w:p>
    <w:p w14:paraId="3938E309" w14:textId="4FC42CDC" w:rsidR="00AC1D66" w:rsidRDefault="00AC1D66" w:rsidP="008243BB">
      <w:pPr>
        <w:tabs>
          <w:tab w:val="left" w:pos="9071"/>
        </w:tabs>
        <w:spacing w:after="120" w:line="320" w:lineRule="exact"/>
        <w:jc w:val="left"/>
        <w:rPr>
          <w:rFonts w:cs="Calibri"/>
          <w:szCs w:val="22"/>
          <w:lang w:val="en-GB"/>
        </w:rPr>
      </w:pPr>
      <w:r w:rsidRPr="009F42D2">
        <w:rPr>
          <w:rFonts w:cs="Calibri"/>
          <w:szCs w:val="22"/>
          <w:lang w:val="en-GB"/>
        </w:rPr>
        <w:t xml:space="preserve">A similar pattern was evident in the Wakool River. The discharge was </w:t>
      </w:r>
      <w:r w:rsidR="009F42D2" w:rsidRPr="009F42D2">
        <w:rPr>
          <w:rFonts w:cs="Calibri"/>
          <w:szCs w:val="22"/>
          <w:lang w:val="en-GB"/>
        </w:rPr>
        <w:t xml:space="preserve">considerably </w:t>
      </w:r>
      <w:r w:rsidRPr="009F42D2">
        <w:rPr>
          <w:rFonts w:cs="Calibri"/>
          <w:szCs w:val="22"/>
          <w:lang w:val="en-GB"/>
        </w:rPr>
        <w:t xml:space="preserve">less variable </w:t>
      </w:r>
      <w:r w:rsidR="00C13931" w:rsidRPr="009F42D2">
        <w:rPr>
          <w:rFonts w:cs="Calibri"/>
          <w:szCs w:val="22"/>
          <w:lang w:val="en-GB"/>
        </w:rPr>
        <w:t xml:space="preserve">at the offtake </w:t>
      </w:r>
      <w:r w:rsidR="009F42D2" w:rsidRPr="009F42D2">
        <w:rPr>
          <w:rFonts w:cs="Calibri"/>
          <w:szCs w:val="22"/>
          <w:lang w:val="en-GB"/>
        </w:rPr>
        <w:t>but more variable</w:t>
      </w:r>
      <w:r w:rsidR="00C13931" w:rsidRPr="009F42D2">
        <w:rPr>
          <w:rFonts w:cs="Calibri"/>
          <w:szCs w:val="22"/>
          <w:lang w:val="en-GB"/>
        </w:rPr>
        <w:t xml:space="preserve"> </w:t>
      </w:r>
      <w:r w:rsidRPr="009F42D2">
        <w:rPr>
          <w:rFonts w:cs="Calibri"/>
          <w:szCs w:val="22"/>
          <w:lang w:val="en-GB"/>
        </w:rPr>
        <w:t>in the mid reaches and lower reaches of the Wakool at Stoney Crossing (Figure 4.</w:t>
      </w:r>
      <w:r w:rsidR="00FB22C3">
        <w:rPr>
          <w:rFonts w:cs="Calibri"/>
          <w:szCs w:val="22"/>
          <w:lang w:val="en-GB"/>
        </w:rPr>
        <w:t>2</w:t>
      </w:r>
      <w:r w:rsidRPr="009F42D2">
        <w:rPr>
          <w:rFonts w:cs="Calibri"/>
          <w:szCs w:val="22"/>
          <w:lang w:val="en-GB"/>
        </w:rPr>
        <w:t>)</w:t>
      </w:r>
      <w:r w:rsidR="00C13931" w:rsidRPr="009F42D2">
        <w:rPr>
          <w:rFonts w:cs="Calibri"/>
          <w:szCs w:val="22"/>
          <w:lang w:val="en-GB"/>
        </w:rPr>
        <w:t xml:space="preserve"> after inputs of flows from the Murray system</w:t>
      </w:r>
      <w:r w:rsidRPr="009F42D2">
        <w:rPr>
          <w:rFonts w:cs="Calibri"/>
          <w:szCs w:val="22"/>
          <w:lang w:val="en-GB"/>
        </w:rPr>
        <w:t xml:space="preserve">. </w:t>
      </w:r>
    </w:p>
    <w:p w14:paraId="06A6D954" w14:textId="07D5F0BD" w:rsidR="009F42D2" w:rsidRDefault="009F42D2" w:rsidP="009F42D2">
      <w:pPr>
        <w:tabs>
          <w:tab w:val="left" w:pos="9071"/>
        </w:tabs>
        <w:spacing w:after="120" w:line="240" w:lineRule="auto"/>
        <w:jc w:val="left"/>
        <w:rPr>
          <w:rFonts w:cs="Calibri"/>
          <w:szCs w:val="22"/>
          <w:lang w:val="en-GB"/>
        </w:rPr>
      </w:pPr>
      <w:r>
        <w:rPr>
          <w:rFonts w:cs="Calibri"/>
          <w:noProof/>
          <w:szCs w:val="22"/>
          <w:lang w:eastAsia="en-AU"/>
        </w:rPr>
        <w:drawing>
          <wp:inline distT="0" distB="0" distL="0" distR="0" wp14:anchorId="563C0E88" wp14:editId="06CB9EFE">
            <wp:extent cx="5367947" cy="6336000"/>
            <wp:effectExtent l="0" t="0" r="0" b="8255"/>
            <wp:docPr id="22628" name="Picture 2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67947" cy="6336000"/>
                    </a:xfrm>
                    <a:prstGeom prst="rect">
                      <a:avLst/>
                    </a:prstGeom>
                    <a:noFill/>
                  </pic:spPr>
                </pic:pic>
              </a:graphicData>
            </a:graphic>
          </wp:inline>
        </w:drawing>
      </w:r>
    </w:p>
    <w:p w14:paraId="64D859F0" w14:textId="0585BC6E" w:rsidR="009F42D2" w:rsidRDefault="009F42D2" w:rsidP="009F42D2">
      <w:pPr>
        <w:tabs>
          <w:tab w:val="left" w:pos="9071"/>
        </w:tabs>
        <w:spacing w:after="120" w:line="240" w:lineRule="auto"/>
        <w:jc w:val="left"/>
        <w:rPr>
          <w:rFonts w:cs="Calibri"/>
          <w:sz w:val="20"/>
          <w:lang w:val="en-GB"/>
        </w:rPr>
      </w:pPr>
      <w:r>
        <w:rPr>
          <w:rFonts w:cs="Calibri"/>
          <w:b/>
          <w:sz w:val="20"/>
          <w:lang w:val="en-GB"/>
        </w:rPr>
        <w:t>F</w:t>
      </w:r>
      <w:r w:rsidRPr="00E60CCC">
        <w:rPr>
          <w:rFonts w:cs="Calibri"/>
          <w:b/>
          <w:sz w:val="20"/>
          <w:lang w:val="en-GB"/>
        </w:rPr>
        <w:t>igure 4.</w:t>
      </w:r>
      <w:r w:rsidR="00FB22C3">
        <w:rPr>
          <w:rFonts w:cs="Calibri"/>
          <w:b/>
          <w:sz w:val="20"/>
          <w:lang w:val="en-GB"/>
        </w:rPr>
        <w:t>2</w:t>
      </w:r>
      <w:r>
        <w:rPr>
          <w:rFonts w:cs="Calibri"/>
          <w:sz w:val="20"/>
          <w:lang w:val="en-GB"/>
        </w:rPr>
        <w:t xml:space="preserve"> Hydrographs</w:t>
      </w:r>
      <w:r w:rsidRPr="00BB47D7">
        <w:rPr>
          <w:rFonts w:cs="Calibri"/>
          <w:sz w:val="20"/>
          <w:lang w:val="en-GB"/>
        </w:rPr>
        <w:t xml:space="preserve"> </w:t>
      </w:r>
      <w:r>
        <w:rPr>
          <w:rFonts w:cs="Calibri"/>
          <w:sz w:val="20"/>
          <w:lang w:val="en-GB"/>
        </w:rPr>
        <w:t xml:space="preserve">for the Wakool River at offtake (gauge </w:t>
      </w:r>
      <w:r w:rsidRPr="0083480F">
        <w:rPr>
          <w:rFonts w:asciiTheme="minorHAnsi" w:hAnsiTheme="minorHAnsi" w:cs="Courier New"/>
          <w:color w:val="000000"/>
          <w:sz w:val="20"/>
        </w:rPr>
        <w:t>409019</w:t>
      </w:r>
      <w:r>
        <w:rPr>
          <w:rFonts w:asciiTheme="minorHAnsi" w:hAnsiTheme="minorHAnsi" w:cs="Courier New"/>
          <w:color w:val="000000"/>
          <w:sz w:val="20"/>
        </w:rPr>
        <w:t xml:space="preserve">), </w:t>
      </w:r>
      <w:r>
        <w:rPr>
          <w:rFonts w:cs="Calibri"/>
          <w:sz w:val="20"/>
          <w:lang w:val="en-GB"/>
        </w:rPr>
        <w:t>Gee Gee B</w:t>
      </w:r>
      <w:r w:rsidRPr="0047243D">
        <w:rPr>
          <w:rFonts w:cs="Calibri"/>
          <w:sz w:val="20"/>
          <w:lang w:val="en-GB"/>
        </w:rPr>
        <w:t>ridge (gauge 409062), and at Stoney Crossing (gauge 409013) fr</w:t>
      </w:r>
      <w:r>
        <w:rPr>
          <w:rFonts w:cs="Calibri"/>
          <w:sz w:val="20"/>
          <w:lang w:val="en-GB"/>
        </w:rPr>
        <w:t>om 1 July 2018 to 30 June 2019.</w:t>
      </w:r>
    </w:p>
    <w:p w14:paraId="4910E6BC" w14:textId="77777777" w:rsidR="009F42D2" w:rsidRDefault="009F42D2" w:rsidP="009F42D2">
      <w:pPr>
        <w:tabs>
          <w:tab w:val="left" w:pos="9071"/>
        </w:tabs>
        <w:spacing w:after="120" w:line="240" w:lineRule="auto"/>
        <w:jc w:val="left"/>
        <w:rPr>
          <w:rFonts w:cs="Calibri"/>
          <w:szCs w:val="22"/>
          <w:lang w:val="en-GB"/>
        </w:rPr>
      </w:pPr>
    </w:p>
    <w:p w14:paraId="4C9F28ED" w14:textId="77777777" w:rsidR="009F42D2" w:rsidRDefault="009F42D2" w:rsidP="009F42D2">
      <w:pPr>
        <w:tabs>
          <w:tab w:val="left" w:pos="9071"/>
        </w:tabs>
        <w:spacing w:after="120" w:line="240" w:lineRule="auto"/>
        <w:jc w:val="left"/>
        <w:rPr>
          <w:rFonts w:cs="Calibri"/>
          <w:b/>
          <w:sz w:val="20"/>
          <w:lang w:val="en-GB"/>
        </w:rPr>
      </w:pPr>
    </w:p>
    <w:p w14:paraId="10F1DDD9" w14:textId="77777777" w:rsidR="009F42D2" w:rsidRDefault="009F42D2" w:rsidP="009F42D2">
      <w:pPr>
        <w:tabs>
          <w:tab w:val="left" w:pos="9071"/>
        </w:tabs>
        <w:spacing w:after="120" w:line="240" w:lineRule="auto"/>
        <w:jc w:val="left"/>
        <w:rPr>
          <w:rFonts w:cs="Calibri"/>
          <w:b/>
          <w:sz w:val="20"/>
          <w:lang w:val="en-GB"/>
        </w:rPr>
      </w:pPr>
    </w:p>
    <w:p w14:paraId="29D887D4" w14:textId="77777777" w:rsidR="009F42D2" w:rsidRDefault="009F42D2" w:rsidP="009F42D2">
      <w:pPr>
        <w:tabs>
          <w:tab w:val="left" w:pos="9071"/>
        </w:tabs>
        <w:spacing w:after="120" w:line="240" w:lineRule="auto"/>
        <w:jc w:val="left"/>
        <w:rPr>
          <w:rFonts w:cs="Calibri"/>
          <w:b/>
          <w:sz w:val="20"/>
          <w:lang w:val="en-GB"/>
        </w:rPr>
      </w:pPr>
    </w:p>
    <w:p w14:paraId="72DF9A1E" w14:textId="5612C912" w:rsidR="009F42D2" w:rsidRDefault="009F42D2" w:rsidP="009F42D2">
      <w:pPr>
        <w:tabs>
          <w:tab w:val="left" w:pos="9071"/>
        </w:tabs>
        <w:spacing w:after="120" w:line="259" w:lineRule="auto"/>
        <w:jc w:val="left"/>
        <w:rPr>
          <w:rFonts w:cs="Calibri"/>
          <w:szCs w:val="22"/>
          <w:lang w:val="en-GB"/>
        </w:rPr>
      </w:pPr>
      <w:r w:rsidRPr="00FB22C3">
        <w:rPr>
          <w:rFonts w:cs="Calibri"/>
          <w:szCs w:val="22"/>
          <w:lang w:val="en-GB"/>
        </w:rPr>
        <w:t xml:space="preserve">In the Colligen Niemur system </w:t>
      </w:r>
      <w:r w:rsidR="00FB22C3" w:rsidRPr="00FB22C3">
        <w:rPr>
          <w:rFonts w:cs="Calibri"/>
          <w:szCs w:val="22"/>
          <w:lang w:val="en-GB"/>
        </w:rPr>
        <w:t>there was a similar pattern where there was lower variability of flows at the upper reaches, with increased variability further downstream. T</w:t>
      </w:r>
      <w:r w:rsidRPr="00FB22C3">
        <w:rPr>
          <w:rFonts w:cs="Calibri"/>
          <w:szCs w:val="22"/>
          <w:lang w:val="en-GB"/>
        </w:rPr>
        <w:t xml:space="preserve">he most upstream hydrological gauge below the </w:t>
      </w:r>
      <w:r w:rsidR="00FB22C3" w:rsidRPr="00FB22C3">
        <w:rPr>
          <w:rFonts w:cs="Calibri"/>
          <w:szCs w:val="22"/>
          <w:lang w:val="en-GB"/>
        </w:rPr>
        <w:t xml:space="preserve">Colligen </w:t>
      </w:r>
      <w:r w:rsidRPr="00FB22C3">
        <w:rPr>
          <w:rFonts w:cs="Calibri"/>
          <w:szCs w:val="22"/>
          <w:lang w:val="en-GB"/>
        </w:rPr>
        <w:t xml:space="preserve">regulator shows there was </w:t>
      </w:r>
      <w:r w:rsidR="00FB22C3" w:rsidRPr="00FB22C3">
        <w:rPr>
          <w:rFonts w:cs="Calibri"/>
          <w:szCs w:val="22"/>
          <w:lang w:val="en-GB"/>
        </w:rPr>
        <w:t>a long period of time when</w:t>
      </w:r>
      <w:r w:rsidRPr="00FB22C3">
        <w:rPr>
          <w:rFonts w:cs="Calibri"/>
          <w:szCs w:val="22"/>
          <w:lang w:val="en-GB"/>
        </w:rPr>
        <w:t xml:space="preserve"> fl</w:t>
      </w:r>
      <w:r w:rsidR="00FB22C3" w:rsidRPr="00FB22C3">
        <w:rPr>
          <w:rFonts w:cs="Calibri"/>
          <w:szCs w:val="22"/>
          <w:lang w:val="en-GB"/>
        </w:rPr>
        <w:t>ows were held at approximately 2</w:t>
      </w:r>
      <w:r w:rsidRPr="00FB22C3">
        <w:rPr>
          <w:rFonts w:cs="Calibri"/>
          <w:szCs w:val="22"/>
          <w:lang w:val="en-GB"/>
        </w:rPr>
        <w:t>00 ML/day (Figure 4.</w:t>
      </w:r>
      <w:r w:rsidR="00FB22C3">
        <w:rPr>
          <w:rFonts w:cs="Calibri"/>
          <w:szCs w:val="22"/>
          <w:lang w:val="en-GB"/>
        </w:rPr>
        <w:t>3</w:t>
      </w:r>
      <w:r w:rsidRPr="00FB22C3">
        <w:rPr>
          <w:rFonts w:cs="Calibri"/>
          <w:szCs w:val="22"/>
          <w:lang w:val="en-GB"/>
        </w:rPr>
        <w:t xml:space="preserve">). Whereas further downstream in the Niemur River at </w:t>
      </w:r>
      <w:r w:rsidR="00FB22C3" w:rsidRPr="00FB22C3">
        <w:rPr>
          <w:rFonts w:cs="Calibri"/>
          <w:szCs w:val="22"/>
          <w:lang w:val="en-GB"/>
        </w:rPr>
        <w:t xml:space="preserve">Barham-Moulamein Road and at the </w:t>
      </w:r>
      <w:r w:rsidRPr="00FB22C3">
        <w:rPr>
          <w:rFonts w:cs="Calibri"/>
          <w:szCs w:val="22"/>
          <w:lang w:val="en-GB"/>
        </w:rPr>
        <w:t>Mallan School gauge</w:t>
      </w:r>
      <w:r w:rsidR="00FB22C3" w:rsidRPr="00FB22C3">
        <w:rPr>
          <w:rFonts w:cs="Calibri"/>
          <w:szCs w:val="22"/>
          <w:lang w:val="en-GB"/>
        </w:rPr>
        <w:t>s</w:t>
      </w:r>
      <w:r w:rsidRPr="00FB22C3">
        <w:rPr>
          <w:rFonts w:cs="Calibri"/>
          <w:szCs w:val="22"/>
          <w:lang w:val="en-GB"/>
        </w:rPr>
        <w:t xml:space="preserve"> the influence of other inflows </w:t>
      </w:r>
      <w:r w:rsidR="00FB22C3" w:rsidRPr="00FB22C3">
        <w:rPr>
          <w:rFonts w:cs="Calibri"/>
          <w:szCs w:val="22"/>
          <w:lang w:val="en-GB"/>
        </w:rPr>
        <w:t xml:space="preserve">into the Niemur </w:t>
      </w:r>
      <w:r w:rsidR="00FB22C3">
        <w:rPr>
          <w:rFonts w:cs="Calibri"/>
          <w:szCs w:val="22"/>
          <w:lang w:val="en-GB"/>
        </w:rPr>
        <w:t xml:space="preserve">River </w:t>
      </w:r>
      <w:r w:rsidR="00FB22C3" w:rsidRPr="00FB22C3">
        <w:rPr>
          <w:rFonts w:cs="Calibri"/>
          <w:szCs w:val="22"/>
          <w:lang w:val="en-GB"/>
        </w:rPr>
        <w:t>from the Edward/Kolety River v</w:t>
      </w:r>
      <w:r w:rsidR="00FB22C3">
        <w:rPr>
          <w:rFonts w:cs="Calibri"/>
          <w:szCs w:val="22"/>
          <w:lang w:val="en-GB"/>
        </w:rPr>
        <w:t>i</w:t>
      </w:r>
      <w:r w:rsidR="00FB22C3" w:rsidRPr="00FB22C3">
        <w:rPr>
          <w:rFonts w:cs="Calibri"/>
          <w:szCs w:val="22"/>
          <w:lang w:val="en-GB"/>
        </w:rPr>
        <w:t xml:space="preserve">a Reed beds and Niemur regulators </w:t>
      </w:r>
      <w:r w:rsidRPr="00FB22C3">
        <w:rPr>
          <w:rFonts w:cs="Calibri"/>
          <w:szCs w:val="22"/>
          <w:lang w:val="en-GB"/>
        </w:rPr>
        <w:t>has resulted in a more variable hydrograph (Figure 4.5).</w:t>
      </w:r>
    </w:p>
    <w:p w14:paraId="27346C01" w14:textId="008D1F54" w:rsidR="009F42D2" w:rsidRDefault="009F42D2" w:rsidP="009F42D2">
      <w:pPr>
        <w:tabs>
          <w:tab w:val="left" w:pos="9071"/>
        </w:tabs>
        <w:spacing w:after="120" w:line="240" w:lineRule="auto"/>
        <w:jc w:val="left"/>
        <w:rPr>
          <w:rFonts w:cs="Calibri"/>
          <w:b/>
          <w:sz w:val="20"/>
          <w:lang w:val="en-GB"/>
        </w:rPr>
      </w:pPr>
      <w:r>
        <w:rPr>
          <w:rFonts w:cs="Calibri"/>
          <w:b/>
          <w:noProof/>
          <w:sz w:val="20"/>
          <w:lang w:eastAsia="en-AU"/>
        </w:rPr>
        <w:drawing>
          <wp:inline distT="0" distB="0" distL="0" distR="0" wp14:anchorId="087F03FF" wp14:editId="61FA8C1B">
            <wp:extent cx="5864591" cy="5112000"/>
            <wp:effectExtent l="0" t="0" r="0" b="0"/>
            <wp:docPr id="22629" name="Picture 2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864591" cy="5112000"/>
                    </a:xfrm>
                    <a:prstGeom prst="rect">
                      <a:avLst/>
                    </a:prstGeom>
                    <a:noFill/>
                  </pic:spPr>
                </pic:pic>
              </a:graphicData>
            </a:graphic>
          </wp:inline>
        </w:drawing>
      </w:r>
    </w:p>
    <w:p w14:paraId="58B01596" w14:textId="1E2B189F" w:rsidR="00FB22C3" w:rsidRDefault="00FB22C3" w:rsidP="00FB22C3">
      <w:pPr>
        <w:tabs>
          <w:tab w:val="left" w:pos="9071"/>
        </w:tabs>
        <w:spacing w:after="120" w:line="240" w:lineRule="auto"/>
        <w:jc w:val="left"/>
        <w:rPr>
          <w:rFonts w:cs="Calibri"/>
          <w:sz w:val="20"/>
          <w:lang w:val="en-GB"/>
        </w:rPr>
      </w:pPr>
      <w:r>
        <w:rPr>
          <w:rFonts w:cs="Calibri"/>
          <w:b/>
          <w:sz w:val="20"/>
          <w:lang w:val="en-GB"/>
        </w:rPr>
        <w:t>Figu</w:t>
      </w:r>
      <w:r w:rsidRPr="00E60CCC">
        <w:rPr>
          <w:rFonts w:cs="Calibri"/>
          <w:b/>
          <w:sz w:val="20"/>
          <w:lang w:val="en-GB"/>
        </w:rPr>
        <w:t>re 4.</w:t>
      </w:r>
      <w:r>
        <w:rPr>
          <w:rFonts w:cs="Calibri"/>
          <w:b/>
          <w:sz w:val="20"/>
          <w:lang w:val="en-GB"/>
        </w:rPr>
        <w:t>3</w:t>
      </w:r>
      <w:r>
        <w:rPr>
          <w:rFonts w:cs="Calibri"/>
          <w:sz w:val="20"/>
          <w:lang w:val="en-GB"/>
        </w:rPr>
        <w:t xml:space="preserve"> Hydrographs</w:t>
      </w:r>
      <w:r w:rsidRPr="00BB47D7">
        <w:rPr>
          <w:rFonts w:cs="Calibri"/>
          <w:sz w:val="20"/>
          <w:lang w:val="en-GB"/>
        </w:rPr>
        <w:t xml:space="preserve"> </w:t>
      </w:r>
      <w:r>
        <w:rPr>
          <w:rFonts w:cs="Calibri"/>
          <w:sz w:val="20"/>
          <w:lang w:val="en-GB"/>
        </w:rPr>
        <w:t>for the Colligen-Niemur system at Colligen Creek below regulator</w:t>
      </w:r>
      <w:r w:rsidRPr="0047243D">
        <w:rPr>
          <w:rFonts w:cs="Calibri"/>
          <w:sz w:val="20"/>
          <w:lang w:val="en-GB"/>
        </w:rPr>
        <w:t xml:space="preserve"> (gauge 4090</w:t>
      </w:r>
      <w:r>
        <w:rPr>
          <w:rFonts w:cs="Calibri"/>
          <w:sz w:val="20"/>
          <w:lang w:val="en-GB"/>
        </w:rPr>
        <w:t>24</w:t>
      </w:r>
      <w:r w:rsidRPr="0047243D">
        <w:rPr>
          <w:rFonts w:cs="Calibri"/>
          <w:sz w:val="20"/>
          <w:lang w:val="en-GB"/>
        </w:rPr>
        <w:t xml:space="preserve">), and </w:t>
      </w:r>
      <w:r>
        <w:rPr>
          <w:rFonts w:cs="Calibri"/>
          <w:sz w:val="20"/>
          <w:lang w:val="en-GB"/>
        </w:rPr>
        <w:t xml:space="preserve">in the Niemur River at Mallan School </w:t>
      </w:r>
      <w:r w:rsidRPr="0047243D">
        <w:rPr>
          <w:rFonts w:cs="Calibri"/>
          <w:sz w:val="20"/>
          <w:lang w:val="en-GB"/>
        </w:rPr>
        <w:t>(gauge 4090</w:t>
      </w:r>
      <w:r>
        <w:rPr>
          <w:rFonts w:cs="Calibri"/>
          <w:sz w:val="20"/>
          <w:lang w:val="en-GB"/>
        </w:rPr>
        <w:t>86</w:t>
      </w:r>
      <w:r w:rsidRPr="0047243D">
        <w:rPr>
          <w:rFonts w:cs="Calibri"/>
          <w:sz w:val="20"/>
          <w:lang w:val="en-GB"/>
        </w:rPr>
        <w:t>) from 1 July 2018 to 30 June 2019</w:t>
      </w:r>
      <w:r>
        <w:rPr>
          <w:rFonts w:cs="Calibri"/>
          <w:sz w:val="20"/>
          <w:lang w:val="en-GB"/>
        </w:rPr>
        <w:t>.</w:t>
      </w:r>
    </w:p>
    <w:p w14:paraId="1C753CF4" w14:textId="77777777" w:rsidR="00FB22C3" w:rsidRDefault="00FB22C3" w:rsidP="009F42D2">
      <w:pPr>
        <w:tabs>
          <w:tab w:val="left" w:pos="9071"/>
        </w:tabs>
        <w:spacing w:after="120" w:line="240" w:lineRule="auto"/>
        <w:jc w:val="left"/>
        <w:rPr>
          <w:rFonts w:cs="Calibri"/>
          <w:b/>
          <w:sz w:val="20"/>
          <w:lang w:val="en-GB"/>
        </w:rPr>
      </w:pPr>
    </w:p>
    <w:p w14:paraId="34A10CF6" w14:textId="77777777" w:rsidR="00FB22C3" w:rsidRDefault="00FB22C3">
      <w:pPr>
        <w:spacing w:after="0" w:line="240" w:lineRule="auto"/>
        <w:jc w:val="left"/>
        <w:rPr>
          <w:b/>
          <w:i/>
          <w:color w:val="31849B" w:themeColor="accent5" w:themeShade="BF"/>
          <w:sz w:val="24"/>
          <w:szCs w:val="24"/>
        </w:rPr>
      </w:pPr>
      <w:r>
        <w:rPr>
          <w:b/>
          <w:i/>
          <w:color w:val="31849B" w:themeColor="accent5" w:themeShade="BF"/>
          <w:sz w:val="24"/>
          <w:szCs w:val="24"/>
        </w:rPr>
        <w:br w:type="page"/>
      </w:r>
    </w:p>
    <w:p w14:paraId="2F1F58F3" w14:textId="3663FB00" w:rsidR="00FB22C3" w:rsidRDefault="00FB22C3" w:rsidP="00FB22C3">
      <w:pPr>
        <w:tabs>
          <w:tab w:val="left" w:pos="9071"/>
        </w:tabs>
        <w:spacing w:after="240" w:line="240" w:lineRule="auto"/>
        <w:jc w:val="left"/>
        <w:rPr>
          <w:color w:val="31849B" w:themeColor="accent5" w:themeShade="BF"/>
          <w:sz w:val="24"/>
          <w:szCs w:val="24"/>
        </w:rPr>
      </w:pPr>
      <w:r>
        <w:rPr>
          <w:b/>
          <w:i/>
          <w:color w:val="31849B" w:themeColor="accent5" w:themeShade="BF"/>
          <w:sz w:val="24"/>
          <w:szCs w:val="24"/>
        </w:rPr>
        <w:t>Environmental Watering actions in 2019-20</w:t>
      </w:r>
    </w:p>
    <w:p w14:paraId="05270625" w14:textId="77777777" w:rsidR="00E11BF2" w:rsidRPr="00A9107D" w:rsidRDefault="00024E9D" w:rsidP="00FB22C3">
      <w:pPr>
        <w:tabs>
          <w:tab w:val="left" w:pos="9071"/>
        </w:tabs>
        <w:spacing w:after="120" w:line="259" w:lineRule="auto"/>
        <w:jc w:val="left"/>
        <w:rPr>
          <w:color w:val="000000" w:themeColor="text1"/>
          <w:szCs w:val="22"/>
        </w:rPr>
      </w:pPr>
      <w:r w:rsidRPr="00A9107D">
        <w:rPr>
          <w:color w:val="000000" w:themeColor="text1"/>
          <w:szCs w:val="22"/>
        </w:rPr>
        <w:t xml:space="preserve">The </w:t>
      </w:r>
      <w:r w:rsidR="00FB22C3" w:rsidRPr="00A9107D">
        <w:rPr>
          <w:color w:val="000000" w:themeColor="text1"/>
          <w:szCs w:val="22"/>
        </w:rPr>
        <w:t>annual</w:t>
      </w:r>
      <w:r w:rsidRPr="00A9107D">
        <w:rPr>
          <w:color w:val="000000" w:themeColor="text1"/>
          <w:szCs w:val="22"/>
        </w:rPr>
        <w:t xml:space="preserve"> hydrograph</w:t>
      </w:r>
      <w:r w:rsidR="00E11BF2" w:rsidRPr="00A9107D">
        <w:rPr>
          <w:color w:val="000000" w:themeColor="text1"/>
          <w:szCs w:val="22"/>
        </w:rPr>
        <w:t>s</w:t>
      </w:r>
      <w:r w:rsidRPr="00A9107D">
        <w:rPr>
          <w:color w:val="000000" w:themeColor="text1"/>
          <w:szCs w:val="22"/>
        </w:rPr>
        <w:t xml:space="preserve"> (1 </w:t>
      </w:r>
      <w:r w:rsidR="00FB22C3" w:rsidRPr="00A9107D">
        <w:rPr>
          <w:color w:val="000000" w:themeColor="text1"/>
          <w:szCs w:val="22"/>
        </w:rPr>
        <w:t>May 2019 to 30 June 2020</w:t>
      </w:r>
      <w:r w:rsidRPr="00A9107D">
        <w:rPr>
          <w:color w:val="000000" w:themeColor="text1"/>
          <w:szCs w:val="22"/>
        </w:rPr>
        <w:t xml:space="preserve">) </w:t>
      </w:r>
      <w:r w:rsidR="00E11BF2" w:rsidRPr="00A9107D">
        <w:rPr>
          <w:color w:val="000000" w:themeColor="text1"/>
          <w:szCs w:val="22"/>
        </w:rPr>
        <w:t xml:space="preserve">at gauges </w:t>
      </w:r>
      <w:r w:rsidRPr="00A9107D">
        <w:rPr>
          <w:color w:val="000000" w:themeColor="text1"/>
          <w:szCs w:val="22"/>
        </w:rPr>
        <w:t xml:space="preserve">in the </w:t>
      </w:r>
      <w:r w:rsidR="00FB22C3" w:rsidRPr="00A9107D">
        <w:rPr>
          <w:color w:val="000000" w:themeColor="text1"/>
          <w:szCs w:val="22"/>
        </w:rPr>
        <w:t>Yallakool-Wakool system</w:t>
      </w:r>
      <w:r w:rsidRPr="00A9107D">
        <w:rPr>
          <w:color w:val="000000" w:themeColor="text1"/>
          <w:szCs w:val="22"/>
        </w:rPr>
        <w:t xml:space="preserve"> </w:t>
      </w:r>
      <w:r w:rsidR="00E11BF2" w:rsidRPr="00A9107D">
        <w:rPr>
          <w:color w:val="000000" w:themeColor="text1"/>
          <w:szCs w:val="22"/>
        </w:rPr>
        <w:t xml:space="preserve">shows the contribution of Commonwealth environmental water to the hydrograph </w:t>
      </w:r>
      <w:r w:rsidRPr="00A9107D">
        <w:rPr>
          <w:color w:val="000000" w:themeColor="text1"/>
          <w:szCs w:val="22"/>
        </w:rPr>
        <w:t>(Figure 4.</w:t>
      </w:r>
      <w:r w:rsidR="00E11BF2" w:rsidRPr="00A9107D">
        <w:rPr>
          <w:color w:val="000000" w:themeColor="text1"/>
          <w:szCs w:val="22"/>
        </w:rPr>
        <w:t>4</w:t>
      </w:r>
      <w:r w:rsidRPr="00A9107D">
        <w:rPr>
          <w:color w:val="000000" w:themeColor="text1"/>
          <w:szCs w:val="22"/>
        </w:rPr>
        <w:t xml:space="preserve">). </w:t>
      </w:r>
    </w:p>
    <w:p w14:paraId="743B9505" w14:textId="5D0F67F0" w:rsidR="00024E9D" w:rsidRDefault="00024E9D" w:rsidP="00FB22C3">
      <w:pPr>
        <w:tabs>
          <w:tab w:val="left" w:pos="9071"/>
        </w:tabs>
        <w:spacing w:after="120" w:line="259" w:lineRule="auto"/>
        <w:jc w:val="left"/>
      </w:pPr>
      <w:r w:rsidRPr="00A9107D">
        <w:t>The continuous winter flow</w:t>
      </w:r>
      <w:r w:rsidR="00E11BF2" w:rsidRPr="00A9107D">
        <w:t xml:space="preserve"> (watering action 1)</w:t>
      </w:r>
      <w:r w:rsidRPr="00A9107D">
        <w:t xml:space="preserve"> </w:t>
      </w:r>
      <w:r w:rsidR="00382369">
        <w:t xml:space="preserve">maintained longitudinal connectivity throughout winter 2019 </w:t>
      </w:r>
      <w:r w:rsidR="00382369" w:rsidRPr="00A9107D">
        <w:t xml:space="preserve">in zones 1, 3 and 4 </w:t>
      </w:r>
      <w:r w:rsidR="00E11BF2" w:rsidRPr="00A9107D">
        <w:t xml:space="preserve">and the cease to flow in the upper Wakool River (zone 2) </w:t>
      </w:r>
      <w:r w:rsidRPr="00A9107D">
        <w:t>in 201</w:t>
      </w:r>
      <w:r w:rsidR="00E11BF2" w:rsidRPr="00A9107D">
        <w:t>9</w:t>
      </w:r>
      <w:r w:rsidRPr="00A9107D">
        <w:t xml:space="preserve"> is </w:t>
      </w:r>
      <w:r w:rsidR="00E11BF2" w:rsidRPr="00A9107D">
        <w:t xml:space="preserve">clear </w:t>
      </w:r>
      <w:r w:rsidRPr="00A9107D">
        <w:t>evident (Figure 4.</w:t>
      </w:r>
      <w:r w:rsidR="00E11BF2" w:rsidRPr="00A9107D">
        <w:t>4</w:t>
      </w:r>
      <w:r w:rsidRPr="00A9107D">
        <w:t>)</w:t>
      </w:r>
      <w:r w:rsidR="00E11BF2" w:rsidRPr="00A9107D">
        <w:t xml:space="preserve">. </w:t>
      </w:r>
    </w:p>
    <w:p w14:paraId="7B7E48AC" w14:textId="240DB29D" w:rsidR="00E11BF2" w:rsidRPr="00024E9D" w:rsidRDefault="00E11BF2" w:rsidP="00E11BF2">
      <w:pPr>
        <w:tabs>
          <w:tab w:val="left" w:pos="9071"/>
        </w:tabs>
        <w:spacing w:after="120" w:line="320" w:lineRule="exact"/>
        <w:jc w:val="left"/>
        <w:rPr>
          <w:color w:val="000000" w:themeColor="text1"/>
        </w:rPr>
      </w:pPr>
      <w:r>
        <w:rPr>
          <w:color w:val="000000" w:themeColor="text1"/>
          <w:szCs w:val="22"/>
        </w:rPr>
        <w:t>The</w:t>
      </w:r>
      <w:r w:rsidRPr="00024E9D">
        <w:rPr>
          <w:color w:val="000000" w:themeColor="text1"/>
          <w:szCs w:val="22"/>
        </w:rPr>
        <w:t xml:space="preserve"> Commonwealth environmental watering actions </w:t>
      </w:r>
      <w:r w:rsidR="00382369">
        <w:rPr>
          <w:color w:val="000000" w:themeColor="text1"/>
          <w:szCs w:val="22"/>
        </w:rPr>
        <w:t xml:space="preserve">in the Wakool-Yallakool system </w:t>
      </w:r>
      <w:r w:rsidRPr="00024E9D">
        <w:rPr>
          <w:color w:val="000000" w:themeColor="text1"/>
          <w:szCs w:val="22"/>
        </w:rPr>
        <w:t>from Sep</w:t>
      </w:r>
      <w:r w:rsidR="00382369">
        <w:rPr>
          <w:color w:val="000000" w:themeColor="text1"/>
          <w:szCs w:val="22"/>
        </w:rPr>
        <w:t>tember through to December 2019</w:t>
      </w:r>
      <w:r w:rsidRPr="00024E9D">
        <w:rPr>
          <w:color w:val="000000" w:themeColor="text1"/>
          <w:szCs w:val="22"/>
        </w:rPr>
        <w:t xml:space="preserve"> </w:t>
      </w:r>
      <w:r w:rsidR="00A9107D">
        <w:rPr>
          <w:color w:val="000000" w:themeColor="text1"/>
          <w:szCs w:val="22"/>
        </w:rPr>
        <w:t>had a significant influence on the flows in zones 1, 3 and 4. This period of time includes actions 3a through to 3</w:t>
      </w:r>
      <w:r w:rsidR="008A6044">
        <w:rPr>
          <w:color w:val="000000" w:themeColor="text1"/>
          <w:szCs w:val="22"/>
        </w:rPr>
        <w:t>e</w:t>
      </w:r>
      <w:r w:rsidR="00A9107D">
        <w:rPr>
          <w:color w:val="000000" w:themeColor="text1"/>
          <w:szCs w:val="22"/>
        </w:rPr>
        <w:t xml:space="preserve"> (Table 4.1). There was minimal environmental water delivered to zone 2 (upper Wakool River)(Figure 4.4).</w:t>
      </w:r>
      <w:r w:rsidRPr="00024E9D">
        <w:rPr>
          <w:color w:val="000000" w:themeColor="text1"/>
          <w:szCs w:val="22"/>
        </w:rPr>
        <w:t xml:space="preserve"> </w:t>
      </w:r>
    </w:p>
    <w:p w14:paraId="3C200434" w14:textId="77777777" w:rsidR="00024E9D" w:rsidRPr="00892986" w:rsidRDefault="00024E9D" w:rsidP="00024E9D">
      <w:pPr>
        <w:spacing w:after="0" w:line="240" w:lineRule="auto"/>
        <w:jc w:val="center"/>
        <w:rPr>
          <w:color w:val="000000" w:themeColor="text1"/>
          <w:szCs w:val="22"/>
        </w:rPr>
      </w:pPr>
      <w:r>
        <w:rPr>
          <w:noProof/>
          <w:color w:val="000000" w:themeColor="text1"/>
          <w:szCs w:val="22"/>
          <w:lang w:eastAsia="en-AU"/>
        </w:rPr>
        <w:drawing>
          <wp:inline distT="0" distB="0" distL="0" distR="0" wp14:anchorId="3E628B27" wp14:editId="50560F7E">
            <wp:extent cx="4819837" cy="5940000"/>
            <wp:effectExtent l="0" t="0" r="0" b="3810"/>
            <wp:docPr id="22624" name="Picture 2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19837" cy="5940000"/>
                    </a:xfrm>
                    <a:prstGeom prst="rect">
                      <a:avLst/>
                    </a:prstGeom>
                    <a:noFill/>
                  </pic:spPr>
                </pic:pic>
              </a:graphicData>
            </a:graphic>
          </wp:inline>
        </w:drawing>
      </w:r>
    </w:p>
    <w:p w14:paraId="334E192E" w14:textId="69A159B3" w:rsidR="00024E9D" w:rsidRDefault="00024E9D" w:rsidP="00024E9D">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sidR="008A6044">
        <w:rPr>
          <w:rFonts w:cs="Calibri"/>
          <w:b/>
          <w:sz w:val="20"/>
          <w:lang w:val="en-GB"/>
        </w:rPr>
        <w:t>4</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May 2019 to 30 June 2020</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Pr>
          <w:rFonts w:cs="Calibri"/>
          <w:sz w:val="20"/>
          <w:lang w:val="en-GB"/>
        </w:rPr>
        <w:t>The blue shaded sections relate to the environmental watering actions 1 and 3.</w:t>
      </w:r>
    </w:p>
    <w:p w14:paraId="0ABB4272" w14:textId="7B5F5431" w:rsidR="00382369" w:rsidRDefault="00382369" w:rsidP="00382369">
      <w:pPr>
        <w:tabs>
          <w:tab w:val="left" w:pos="9071"/>
        </w:tabs>
        <w:spacing w:after="120" w:line="259" w:lineRule="auto"/>
        <w:jc w:val="left"/>
      </w:pPr>
      <w:r w:rsidRPr="00A9107D">
        <w:t xml:space="preserve">The continuous winter flow (watering action 1) in zones </w:t>
      </w:r>
      <w:r>
        <w:t>8 in Colligen Creek</w:t>
      </w:r>
      <w:r w:rsidRPr="00A9107D">
        <w:t xml:space="preserve"> </w:t>
      </w:r>
      <w:r>
        <w:t>maintained longitudinal connectivity throughout winter 2019</w:t>
      </w:r>
      <w:r w:rsidRPr="00A9107D">
        <w:t xml:space="preserve"> (Figure 4.</w:t>
      </w:r>
      <w:r>
        <w:t>5</w:t>
      </w:r>
      <w:r w:rsidRPr="00A9107D">
        <w:t xml:space="preserve">). </w:t>
      </w:r>
    </w:p>
    <w:p w14:paraId="47BA7C29" w14:textId="4AFF179B" w:rsidR="00382369" w:rsidRPr="00024E9D" w:rsidRDefault="00382369" w:rsidP="00382369">
      <w:pPr>
        <w:tabs>
          <w:tab w:val="left" w:pos="9071"/>
        </w:tabs>
        <w:spacing w:after="120" w:line="320" w:lineRule="exact"/>
        <w:jc w:val="left"/>
        <w:rPr>
          <w:color w:val="000000" w:themeColor="text1"/>
        </w:rPr>
      </w:pPr>
      <w:r>
        <w:rPr>
          <w:color w:val="000000" w:themeColor="text1"/>
          <w:szCs w:val="22"/>
        </w:rPr>
        <w:t>Similarly, the</w:t>
      </w:r>
      <w:r w:rsidRPr="00024E9D">
        <w:rPr>
          <w:color w:val="000000" w:themeColor="text1"/>
          <w:szCs w:val="22"/>
        </w:rPr>
        <w:t xml:space="preserve"> Commonwealth environmental watering actions </w:t>
      </w:r>
      <w:r>
        <w:rPr>
          <w:color w:val="000000" w:themeColor="text1"/>
          <w:szCs w:val="22"/>
        </w:rPr>
        <w:t xml:space="preserve">in Colligen Creek </w:t>
      </w:r>
      <w:r w:rsidRPr="00024E9D">
        <w:rPr>
          <w:color w:val="000000" w:themeColor="text1"/>
          <w:szCs w:val="22"/>
        </w:rPr>
        <w:t xml:space="preserve">from September through to December 2019, </w:t>
      </w:r>
      <w:r>
        <w:rPr>
          <w:color w:val="000000" w:themeColor="text1"/>
          <w:szCs w:val="22"/>
        </w:rPr>
        <w:t>had a significant influence on the hydrology of that zone, that would have otherwise have received minimal variation in discharge over almost 6 months of the year (Figure 4.5).</w:t>
      </w:r>
    </w:p>
    <w:p w14:paraId="7CE30669" w14:textId="4E3C5C69" w:rsidR="008A6044" w:rsidRDefault="008A6044" w:rsidP="00382369">
      <w:pPr>
        <w:spacing w:after="0" w:line="240" w:lineRule="auto"/>
        <w:ind w:right="-284"/>
        <w:jc w:val="left"/>
        <w:rPr>
          <w:b/>
          <w:bCs/>
          <w:sz w:val="20"/>
        </w:rPr>
      </w:pPr>
      <w:r>
        <w:rPr>
          <w:b/>
          <w:bCs/>
          <w:noProof/>
          <w:sz w:val="20"/>
          <w:lang w:eastAsia="en-AU"/>
        </w:rPr>
        <w:drawing>
          <wp:inline distT="0" distB="0" distL="0" distR="0" wp14:anchorId="3040C597" wp14:editId="66341C93">
            <wp:extent cx="4277134" cy="2592000"/>
            <wp:effectExtent l="0" t="0" r="0" b="0"/>
            <wp:docPr id="22635" name="Picture 2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277134" cy="2592000"/>
                    </a:xfrm>
                    <a:prstGeom prst="rect">
                      <a:avLst/>
                    </a:prstGeom>
                    <a:noFill/>
                  </pic:spPr>
                </pic:pic>
              </a:graphicData>
            </a:graphic>
          </wp:inline>
        </w:drawing>
      </w:r>
    </w:p>
    <w:p w14:paraId="1DA01E8D" w14:textId="5AC1BAE8" w:rsidR="008A6044" w:rsidRDefault="008A6044" w:rsidP="008A6044">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Pr>
          <w:rFonts w:cs="Calibri"/>
          <w:b/>
          <w:sz w:val="20"/>
          <w:lang w:val="en-GB"/>
        </w:rPr>
        <w:t>5</w:t>
      </w:r>
      <w:r>
        <w:rPr>
          <w:color w:val="31849B" w:themeColor="accent5" w:themeShade="BF"/>
          <w:szCs w:val="22"/>
        </w:rPr>
        <w:t xml:space="preserve"> </w:t>
      </w:r>
      <w:r w:rsidRPr="00BB47D7">
        <w:rPr>
          <w:rFonts w:cs="Calibri"/>
          <w:sz w:val="20"/>
          <w:lang w:val="en-GB"/>
        </w:rPr>
        <w:t xml:space="preserve">Hydrographs of zones </w:t>
      </w:r>
      <w:r>
        <w:rPr>
          <w:rFonts w:cs="Calibri"/>
          <w:sz w:val="20"/>
          <w:lang w:val="en-GB"/>
        </w:rPr>
        <w:t>8</w:t>
      </w:r>
      <w:r w:rsidRPr="00BB47D7">
        <w:rPr>
          <w:rFonts w:cs="Calibri"/>
          <w:sz w:val="20"/>
          <w:lang w:val="en-GB"/>
        </w:rPr>
        <w:t xml:space="preserve"> </w:t>
      </w:r>
      <w:r>
        <w:rPr>
          <w:rFonts w:cs="Calibri"/>
          <w:sz w:val="20"/>
          <w:lang w:val="en-GB"/>
        </w:rPr>
        <w:t>Colligen Creek from 1 May 2019 to 30 June 2020</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Pr>
          <w:rFonts w:cs="Calibri"/>
          <w:sz w:val="20"/>
          <w:lang w:val="en-GB"/>
        </w:rPr>
        <w:t>The blue shaded sections relate to the environmental watering actions 1 and 3.</w:t>
      </w:r>
    </w:p>
    <w:p w14:paraId="5DDDB61B" w14:textId="77777777" w:rsidR="008A6044" w:rsidRDefault="008A6044" w:rsidP="008243BB">
      <w:pPr>
        <w:spacing w:after="120" w:line="240" w:lineRule="auto"/>
        <w:ind w:right="-284"/>
        <w:jc w:val="left"/>
        <w:rPr>
          <w:b/>
          <w:bCs/>
          <w:sz w:val="20"/>
        </w:rPr>
      </w:pPr>
    </w:p>
    <w:p w14:paraId="236D0C7B" w14:textId="5E5E14BC" w:rsidR="008A6044" w:rsidRDefault="008A6044" w:rsidP="000848AF">
      <w:pPr>
        <w:tabs>
          <w:tab w:val="left" w:pos="9071"/>
        </w:tabs>
        <w:spacing w:after="0" w:line="240" w:lineRule="auto"/>
        <w:jc w:val="left"/>
        <w:rPr>
          <w:b/>
          <w:i/>
          <w:color w:val="31849B" w:themeColor="accent5" w:themeShade="BF"/>
          <w:szCs w:val="22"/>
        </w:rPr>
      </w:pPr>
      <w:r w:rsidRPr="008A6044">
        <w:rPr>
          <w:b/>
          <w:i/>
          <w:color w:val="31849B" w:themeColor="accent5" w:themeShade="BF"/>
          <w:szCs w:val="22"/>
        </w:rPr>
        <w:t>Longitudinal connectivity</w:t>
      </w:r>
    </w:p>
    <w:p w14:paraId="5688899F" w14:textId="3358AADD" w:rsidR="008A6044" w:rsidRPr="00382369" w:rsidRDefault="00382369" w:rsidP="000848AF">
      <w:pPr>
        <w:tabs>
          <w:tab w:val="left" w:pos="9071"/>
        </w:tabs>
        <w:spacing w:after="0" w:line="240" w:lineRule="auto"/>
        <w:jc w:val="left"/>
        <w:rPr>
          <w:color w:val="000000" w:themeColor="text1"/>
          <w:szCs w:val="22"/>
        </w:rPr>
      </w:pPr>
      <w:r w:rsidRPr="00382369">
        <w:rPr>
          <w:color w:val="000000" w:themeColor="text1"/>
          <w:szCs w:val="22"/>
        </w:rPr>
        <w:t xml:space="preserve">The </w:t>
      </w:r>
      <w:r>
        <w:rPr>
          <w:color w:val="000000" w:themeColor="text1"/>
          <w:szCs w:val="22"/>
        </w:rPr>
        <w:t xml:space="preserve">benefits to </w:t>
      </w:r>
      <w:r w:rsidRPr="00382369">
        <w:rPr>
          <w:color w:val="000000" w:themeColor="text1"/>
          <w:szCs w:val="22"/>
        </w:rPr>
        <w:t xml:space="preserve">longitudinal connectivity </w:t>
      </w:r>
      <w:r>
        <w:rPr>
          <w:color w:val="000000" w:themeColor="text1"/>
          <w:szCs w:val="22"/>
        </w:rPr>
        <w:t xml:space="preserve">of the winter 2019 environmental watering action are evident when continuous river flows are mapped (Figure 4.6). In contrast, a map of refuge pools and dry sections of the Edward/Kolety-Wakool system during the millennium drought (Figure 4.7) shows that there are many section of the Wakool-Yallakool and Colligen-Niemur systems that do not continuously maintain water during cease to flow periods. </w:t>
      </w:r>
    </w:p>
    <w:p w14:paraId="2984953D" w14:textId="34A55540" w:rsidR="008A6044" w:rsidRDefault="008A6044" w:rsidP="000848AF">
      <w:pPr>
        <w:tabs>
          <w:tab w:val="left" w:pos="9071"/>
        </w:tabs>
        <w:spacing w:after="0" w:line="240" w:lineRule="auto"/>
        <w:jc w:val="left"/>
        <w:rPr>
          <w:rFonts w:cs="Calibri"/>
          <w:b/>
          <w:noProof/>
          <w:sz w:val="20"/>
          <w:lang w:eastAsia="en-AU"/>
        </w:rPr>
      </w:pPr>
      <w:r>
        <w:rPr>
          <w:rFonts w:cs="Calibri"/>
          <w:b/>
          <w:noProof/>
          <w:sz w:val="20"/>
          <w:lang w:eastAsia="en-AU"/>
        </w:rPr>
        <w:drawing>
          <wp:inline distT="0" distB="0" distL="0" distR="0" wp14:anchorId="07EF38DB" wp14:editId="4879CE93">
            <wp:extent cx="5047258" cy="2700000"/>
            <wp:effectExtent l="0" t="0" r="1270" b="5715"/>
            <wp:docPr id="22636" name="Picture 2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47258" cy="2700000"/>
                    </a:xfrm>
                    <a:prstGeom prst="rect">
                      <a:avLst/>
                    </a:prstGeom>
                    <a:noFill/>
                  </pic:spPr>
                </pic:pic>
              </a:graphicData>
            </a:graphic>
          </wp:inline>
        </w:drawing>
      </w:r>
    </w:p>
    <w:p w14:paraId="06FC829E" w14:textId="293A0A35" w:rsidR="008A6044" w:rsidRDefault="008A6044" w:rsidP="008A6044">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Pr>
          <w:rFonts w:cs="Calibri"/>
          <w:b/>
          <w:sz w:val="20"/>
          <w:lang w:val="en-GB"/>
        </w:rPr>
        <w:t>6</w:t>
      </w:r>
      <w:r>
        <w:rPr>
          <w:color w:val="31849B" w:themeColor="accent5" w:themeShade="BF"/>
          <w:szCs w:val="22"/>
        </w:rPr>
        <w:t xml:space="preserve"> </w:t>
      </w:r>
      <w:r>
        <w:rPr>
          <w:rFonts w:cs="Calibri"/>
          <w:sz w:val="20"/>
          <w:lang w:val="en-GB"/>
        </w:rPr>
        <w:t>Map of the Edward/Kolety-Wakool system showing the length of river where connectivity was maintained (in red) due to winter watering action 1 in Wakool-Yalla</w:t>
      </w:r>
      <w:r w:rsidR="00A30448">
        <w:rPr>
          <w:rFonts w:cs="Calibri"/>
          <w:sz w:val="20"/>
          <w:lang w:val="en-GB"/>
        </w:rPr>
        <w:t>kool system and Colligen Creek.</w:t>
      </w:r>
    </w:p>
    <w:p w14:paraId="4F146CC1" w14:textId="498E32A3" w:rsidR="008A6044" w:rsidRDefault="00382369" w:rsidP="000848AF">
      <w:pPr>
        <w:tabs>
          <w:tab w:val="left" w:pos="9071"/>
        </w:tabs>
        <w:spacing w:after="0" w:line="240" w:lineRule="auto"/>
        <w:jc w:val="left"/>
        <w:rPr>
          <w:rFonts w:cs="Calibri"/>
          <w:b/>
          <w:noProof/>
          <w:sz w:val="20"/>
          <w:lang w:eastAsia="en-AU"/>
        </w:rPr>
      </w:pPr>
      <w:r w:rsidRPr="00382369">
        <w:rPr>
          <w:rFonts w:cs="Calibri"/>
          <w:b/>
          <w:noProof/>
          <w:sz w:val="20"/>
          <w:lang w:eastAsia="en-AU"/>
        </w:rPr>
        <w:drawing>
          <wp:inline distT="0" distB="0" distL="0" distR="0" wp14:anchorId="6F39777F" wp14:editId="4514983D">
            <wp:extent cx="5060950" cy="3479037"/>
            <wp:effectExtent l="0" t="0" r="6350" b="7620"/>
            <wp:docPr id="1028" name="Picture 3"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3" descr="image002"/>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062533" cy="3480125"/>
                    </a:xfrm>
                    <a:prstGeom prst="rect">
                      <a:avLst/>
                    </a:prstGeom>
                    <a:noFill/>
                    <a:ln>
                      <a:noFill/>
                    </a:ln>
                    <a:extLst>
                      <a:ext uri="{53640926-AAD7-44D8-BBD7-CCE9431645EC}">
                        <a14:shadowObscured xmlns:a14="http://schemas.microsoft.com/office/drawing/2010/main"/>
                      </a:ext>
                    </a:extLst>
                  </pic:spPr>
                </pic:pic>
              </a:graphicData>
            </a:graphic>
          </wp:inline>
        </w:drawing>
      </w:r>
    </w:p>
    <w:p w14:paraId="27DEC611" w14:textId="20002D4B" w:rsidR="00382369" w:rsidRDefault="00382369" w:rsidP="00382369">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Pr>
          <w:rFonts w:cs="Calibri"/>
          <w:b/>
          <w:sz w:val="20"/>
          <w:lang w:val="en-GB"/>
        </w:rPr>
        <w:t>7</w:t>
      </w:r>
      <w:r>
        <w:rPr>
          <w:color w:val="31849B" w:themeColor="accent5" w:themeShade="BF"/>
          <w:szCs w:val="22"/>
        </w:rPr>
        <w:t xml:space="preserve"> </w:t>
      </w:r>
      <w:r>
        <w:rPr>
          <w:rFonts w:cs="Calibri"/>
          <w:sz w:val="20"/>
          <w:lang w:val="en-GB"/>
        </w:rPr>
        <w:t>Map of the Edward/Kolety-Wakool system showing the distribution of aquatic refugia, and areas that were dry on 27</w:t>
      </w:r>
      <w:r w:rsidRPr="00382369">
        <w:rPr>
          <w:rFonts w:cs="Calibri"/>
          <w:sz w:val="20"/>
          <w:vertAlign w:val="superscript"/>
          <w:lang w:val="en-GB"/>
        </w:rPr>
        <w:t>th</w:t>
      </w:r>
      <w:r>
        <w:rPr>
          <w:rFonts w:cs="Calibri"/>
          <w:sz w:val="20"/>
          <w:lang w:val="en-GB"/>
        </w:rPr>
        <w:t xml:space="preserve"> November 2007 during the Millenium drought (Source Gilligan, Vey and Asmus 2009). </w:t>
      </w:r>
    </w:p>
    <w:p w14:paraId="3C6E60EC" w14:textId="77777777" w:rsidR="00382369" w:rsidRDefault="00382369" w:rsidP="000848AF">
      <w:pPr>
        <w:tabs>
          <w:tab w:val="left" w:pos="9071"/>
        </w:tabs>
        <w:spacing w:after="0" w:line="240" w:lineRule="auto"/>
        <w:jc w:val="left"/>
        <w:rPr>
          <w:rFonts w:cs="Calibri"/>
          <w:b/>
          <w:noProof/>
          <w:sz w:val="20"/>
          <w:lang w:eastAsia="en-AU"/>
        </w:rPr>
      </w:pPr>
    </w:p>
    <w:p w14:paraId="7CB20DF8" w14:textId="6B07C066" w:rsidR="008A6044" w:rsidRDefault="008A6044" w:rsidP="000848AF">
      <w:pPr>
        <w:tabs>
          <w:tab w:val="left" w:pos="9071"/>
        </w:tabs>
        <w:spacing w:after="0" w:line="240" w:lineRule="auto"/>
        <w:jc w:val="left"/>
        <w:rPr>
          <w:b/>
          <w:i/>
          <w:color w:val="31849B" w:themeColor="accent5" w:themeShade="BF"/>
          <w:szCs w:val="22"/>
        </w:rPr>
      </w:pPr>
      <w:r w:rsidRPr="008A6044">
        <w:rPr>
          <w:b/>
          <w:i/>
          <w:color w:val="31849B" w:themeColor="accent5" w:themeShade="BF"/>
          <w:szCs w:val="22"/>
        </w:rPr>
        <w:t>Lateral connectivity</w:t>
      </w:r>
    </w:p>
    <w:p w14:paraId="05FFCD6B" w14:textId="33E5EEF0" w:rsidR="00382369" w:rsidRPr="00382369" w:rsidRDefault="00382369" w:rsidP="00382369">
      <w:pPr>
        <w:tabs>
          <w:tab w:val="left" w:pos="9071"/>
        </w:tabs>
        <w:spacing w:after="0" w:line="240" w:lineRule="auto"/>
        <w:jc w:val="left"/>
        <w:rPr>
          <w:color w:val="000000" w:themeColor="text1"/>
          <w:szCs w:val="22"/>
        </w:rPr>
      </w:pPr>
      <w:r>
        <w:rPr>
          <w:color w:val="000000" w:themeColor="text1"/>
          <w:szCs w:val="22"/>
        </w:rPr>
        <w:t>An example of lateral</w:t>
      </w:r>
      <w:r w:rsidRPr="00382369">
        <w:rPr>
          <w:color w:val="000000" w:themeColor="text1"/>
          <w:szCs w:val="22"/>
        </w:rPr>
        <w:t xml:space="preserve"> connectivity </w:t>
      </w:r>
      <w:r>
        <w:rPr>
          <w:color w:val="000000" w:themeColor="text1"/>
          <w:szCs w:val="22"/>
        </w:rPr>
        <w:t>during watering action 3 is shown in Figure 4.8</w:t>
      </w:r>
      <w:r w:rsidR="0097138B">
        <w:rPr>
          <w:color w:val="000000" w:themeColor="text1"/>
          <w:szCs w:val="22"/>
        </w:rPr>
        <w:t xml:space="preserve"> using results of hydraulic models</w:t>
      </w:r>
      <w:r>
        <w:rPr>
          <w:color w:val="000000" w:themeColor="text1"/>
          <w:szCs w:val="22"/>
        </w:rPr>
        <w:t xml:space="preserve">. This demonstrates the increased lateral connectivity between the river channel and low lying wetlands that would have occurred during </w:t>
      </w:r>
      <w:r w:rsidR="0097138B">
        <w:rPr>
          <w:color w:val="000000" w:themeColor="text1"/>
          <w:szCs w:val="22"/>
        </w:rPr>
        <w:t xml:space="preserve">watering action 3, compared to what would have occurred under operational flows. </w:t>
      </w:r>
      <w:r w:rsidR="00A30448">
        <w:rPr>
          <w:color w:val="000000" w:themeColor="text1"/>
          <w:szCs w:val="22"/>
        </w:rPr>
        <w:t>Results of hydraulic modelling at other reaches in the Edward/Kolety-Wakool system are presented in Watts et al. (2015).</w:t>
      </w:r>
    </w:p>
    <w:p w14:paraId="663DB580" w14:textId="477C7FFC" w:rsidR="000848AF" w:rsidRDefault="000848AF" w:rsidP="000848AF">
      <w:pPr>
        <w:tabs>
          <w:tab w:val="left" w:pos="9071"/>
        </w:tabs>
        <w:spacing w:after="0" w:line="240" w:lineRule="auto"/>
        <w:jc w:val="left"/>
        <w:rPr>
          <w:rFonts w:cs="Calibri"/>
          <w:b/>
          <w:noProof/>
          <w:sz w:val="20"/>
          <w:lang w:eastAsia="en-AU"/>
        </w:rPr>
      </w:pPr>
      <w:r>
        <w:rPr>
          <w:rFonts w:cs="Calibri"/>
          <w:b/>
          <w:noProof/>
          <w:sz w:val="20"/>
          <w:lang w:eastAsia="en-AU"/>
        </w:rPr>
        <w:drawing>
          <wp:inline distT="0" distB="0" distL="0" distR="0" wp14:anchorId="1B9B6B42" wp14:editId="5668F828">
            <wp:extent cx="5190428" cy="3024000"/>
            <wp:effectExtent l="0" t="0" r="0" b="5080"/>
            <wp:docPr id="22630" name="Picture 2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190428" cy="3024000"/>
                    </a:xfrm>
                    <a:prstGeom prst="rect">
                      <a:avLst/>
                    </a:prstGeom>
                    <a:noFill/>
                  </pic:spPr>
                </pic:pic>
              </a:graphicData>
            </a:graphic>
          </wp:inline>
        </w:drawing>
      </w:r>
    </w:p>
    <w:p w14:paraId="0E46C243" w14:textId="7EE1A0DD" w:rsidR="000848AF" w:rsidRDefault="000848AF" w:rsidP="000848AF">
      <w:pPr>
        <w:tabs>
          <w:tab w:val="left" w:pos="9071"/>
        </w:tabs>
        <w:spacing w:after="0" w:line="240" w:lineRule="auto"/>
        <w:jc w:val="left"/>
        <w:rPr>
          <w:rFonts w:cs="Calibri"/>
          <w:b/>
          <w:noProof/>
          <w:sz w:val="20"/>
          <w:lang w:eastAsia="en-AU"/>
        </w:rPr>
      </w:pPr>
      <w:r>
        <w:rPr>
          <w:rFonts w:cs="Calibri"/>
          <w:b/>
          <w:noProof/>
          <w:sz w:val="20"/>
          <w:lang w:eastAsia="en-AU"/>
        </w:rPr>
        <w:t xml:space="preserve">Figure </w:t>
      </w:r>
      <w:r w:rsidR="008A6044">
        <w:rPr>
          <w:rFonts w:cs="Calibri"/>
          <w:b/>
          <w:noProof/>
          <w:sz w:val="20"/>
          <w:lang w:eastAsia="en-AU"/>
        </w:rPr>
        <w:t>4.</w:t>
      </w:r>
      <w:r w:rsidR="0097138B">
        <w:rPr>
          <w:rFonts w:cs="Calibri"/>
          <w:b/>
          <w:noProof/>
          <w:sz w:val="20"/>
          <w:lang w:eastAsia="en-AU"/>
        </w:rPr>
        <w:t>8</w:t>
      </w:r>
      <w:r w:rsidR="008A6044">
        <w:rPr>
          <w:rFonts w:cs="Calibri"/>
          <w:b/>
          <w:noProof/>
          <w:sz w:val="20"/>
          <w:lang w:eastAsia="en-AU"/>
        </w:rPr>
        <w:t xml:space="preserve">  </w:t>
      </w:r>
      <w:r w:rsidR="008A6044" w:rsidRPr="008A6044">
        <w:rPr>
          <w:rFonts w:cs="Calibri"/>
          <w:noProof/>
          <w:sz w:val="20"/>
          <w:lang w:eastAsia="en-AU"/>
        </w:rPr>
        <w:t>Results of hydralic modelling</w:t>
      </w:r>
      <w:r w:rsidR="008A6044">
        <w:rPr>
          <w:rFonts w:cs="Calibri"/>
          <w:noProof/>
          <w:sz w:val="20"/>
          <w:lang w:eastAsia="en-AU"/>
        </w:rPr>
        <w:t xml:space="preserve"> for the Wakool River at the Wakool-Barham Road </w:t>
      </w:r>
      <w:r w:rsidR="008A6044" w:rsidRPr="008A6044">
        <w:rPr>
          <w:rFonts w:cs="Calibri"/>
          <w:noProof/>
          <w:sz w:val="20"/>
          <w:lang w:eastAsia="en-AU"/>
        </w:rPr>
        <w:t>showing</w:t>
      </w:r>
      <w:r w:rsidR="008A6044">
        <w:rPr>
          <w:rFonts w:cs="Calibri"/>
          <w:noProof/>
          <w:sz w:val="20"/>
          <w:lang w:eastAsia="en-AU"/>
        </w:rPr>
        <w:t xml:space="preserve"> difference in</w:t>
      </w:r>
      <w:r w:rsidR="008A6044" w:rsidRPr="008A6044">
        <w:rPr>
          <w:rFonts w:cs="Calibri"/>
          <w:noProof/>
          <w:sz w:val="20"/>
          <w:lang w:eastAsia="en-AU"/>
        </w:rPr>
        <w:t xml:space="preserve"> inundated area under</w:t>
      </w:r>
      <w:r w:rsidR="008A6044">
        <w:rPr>
          <w:rFonts w:cs="Calibri"/>
          <w:b/>
          <w:noProof/>
          <w:sz w:val="20"/>
          <w:lang w:eastAsia="en-AU"/>
        </w:rPr>
        <w:t xml:space="preserve"> </w:t>
      </w:r>
      <w:r w:rsidR="008A6044" w:rsidRPr="008A6044">
        <w:rPr>
          <w:rFonts w:cs="Calibri"/>
          <w:noProof/>
          <w:sz w:val="20"/>
          <w:lang w:eastAsia="en-AU"/>
        </w:rPr>
        <w:t>170 ML/day operational flow</w:t>
      </w:r>
      <w:r w:rsidR="008A6044">
        <w:rPr>
          <w:rFonts w:cs="Calibri"/>
          <w:noProof/>
          <w:sz w:val="20"/>
          <w:lang w:eastAsia="en-AU"/>
        </w:rPr>
        <w:t xml:space="preserve"> (left)</w:t>
      </w:r>
      <w:r w:rsidR="008A6044" w:rsidRPr="008A6044">
        <w:rPr>
          <w:rFonts w:cs="Calibri"/>
          <w:noProof/>
          <w:sz w:val="20"/>
          <w:lang w:eastAsia="en-AU"/>
        </w:rPr>
        <w:t xml:space="preserve"> and 450 ML/day environmental flow</w:t>
      </w:r>
      <w:r w:rsidR="008A6044">
        <w:rPr>
          <w:rFonts w:cs="Calibri"/>
          <w:noProof/>
          <w:sz w:val="20"/>
          <w:lang w:eastAsia="en-AU"/>
        </w:rPr>
        <w:t xml:space="preserve"> (right) that was similar discharge to the peak of the watering action in September 2019.</w:t>
      </w:r>
    </w:p>
    <w:p w14:paraId="32A664A1" w14:textId="77777777" w:rsidR="00A30448" w:rsidRDefault="00A30448" w:rsidP="008243BB">
      <w:pPr>
        <w:tabs>
          <w:tab w:val="left" w:pos="9071"/>
        </w:tabs>
        <w:spacing w:after="240" w:line="320" w:lineRule="exact"/>
        <w:jc w:val="left"/>
        <w:rPr>
          <w:b/>
          <w:color w:val="31849B" w:themeColor="accent5" w:themeShade="BF"/>
          <w:sz w:val="28"/>
          <w:szCs w:val="28"/>
        </w:rPr>
      </w:pPr>
    </w:p>
    <w:p w14:paraId="6CAE3BC1" w14:textId="4BBFAD1F" w:rsidR="00C9652F" w:rsidRPr="006F4E63" w:rsidRDefault="00C9652F" w:rsidP="008243BB">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w:t>
      </w:r>
      <w:r w:rsidR="004C71B4">
        <w:rPr>
          <w:b/>
          <w:color w:val="31849B" w:themeColor="accent5" w:themeShade="BF"/>
          <w:sz w:val="28"/>
          <w:szCs w:val="28"/>
        </w:rPr>
        <w:t>6</w:t>
      </w:r>
      <w:r w:rsidRPr="006F4E63">
        <w:rPr>
          <w:b/>
          <w:color w:val="31849B" w:themeColor="accent5" w:themeShade="BF"/>
          <w:sz w:val="28"/>
          <w:szCs w:val="28"/>
        </w:rPr>
        <w:t xml:space="preserve"> </w:t>
      </w:r>
      <w:r w:rsidR="0028536F">
        <w:rPr>
          <w:b/>
          <w:color w:val="31849B" w:themeColor="accent5" w:themeShade="BF"/>
          <w:sz w:val="28"/>
          <w:szCs w:val="28"/>
        </w:rPr>
        <w:t xml:space="preserve">  </w:t>
      </w:r>
      <w:r>
        <w:rPr>
          <w:b/>
          <w:color w:val="31849B" w:themeColor="accent5" w:themeShade="BF"/>
          <w:sz w:val="28"/>
          <w:szCs w:val="28"/>
        </w:rPr>
        <w:t>Discussion</w:t>
      </w:r>
    </w:p>
    <w:p w14:paraId="6C08F0E8" w14:textId="4A69775F" w:rsidR="00C70B14" w:rsidRPr="008905C3" w:rsidRDefault="00B57F40" w:rsidP="008243BB">
      <w:pPr>
        <w:pStyle w:val="NoSpacing"/>
        <w:spacing w:after="120" w:line="320" w:lineRule="exact"/>
        <w:jc w:val="left"/>
        <w:rPr>
          <w:rFonts w:eastAsia="Times New Roman"/>
          <w:b/>
          <w:szCs w:val="22"/>
        </w:rPr>
      </w:pPr>
      <w:r w:rsidRPr="008905C3">
        <w:rPr>
          <w:b/>
          <w:i/>
          <w:color w:val="31849B" w:themeColor="accent5" w:themeShade="BF"/>
          <w:szCs w:val="22"/>
        </w:rPr>
        <w:t>What was</w:t>
      </w:r>
      <w:r w:rsidR="007F7725" w:rsidRPr="008905C3">
        <w:rPr>
          <w:b/>
          <w:i/>
          <w:color w:val="31849B" w:themeColor="accent5" w:themeShade="BF"/>
          <w:szCs w:val="22"/>
        </w:rPr>
        <w:t xml:space="preserve"> the effect of Comm</w:t>
      </w:r>
      <w:r w:rsidR="0097138B">
        <w:rPr>
          <w:b/>
          <w:i/>
          <w:color w:val="31849B" w:themeColor="accent5" w:themeShade="BF"/>
          <w:szCs w:val="22"/>
        </w:rPr>
        <w:t xml:space="preserve">onwealth environmental water of </w:t>
      </w:r>
      <w:r w:rsidR="007F7725" w:rsidRPr="008905C3">
        <w:rPr>
          <w:b/>
          <w:i/>
          <w:color w:val="31849B" w:themeColor="accent5" w:themeShade="BF"/>
          <w:szCs w:val="22"/>
        </w:rPr>
        <w:t xml:space="preserve">the </w:t>
      </w:r>
      <w:r w:rsidR="008E27F6">
        <w:rPr>
          <w:b/>
          <w:i/>
          <w:color w:val="31849B" w:themeColor="accent5" w:themeShade="BF"/>
          <w:szCs w:val="22"/>
        </w:rPr>
        <w:t>Edward/Kolety-Wakool</w:t>
      </w:r>
      <w:r w:rsidR="007F7725" w:rsidRPr="008905C3">
        <w:rPr>
          <w:b/>
          <w:i/>
          <w:color w:val="31849B" w:themeColor="accent5" w:themeShade="BF"/>
          <w:szCs w:val="22"/>
        </w:rPr>
        <w:t xml:space="preserve"> system?</w:t>
      </w:r>
    </w:p>
    <w:p w14:paraId="7C870A07" w14:textId="60601B21" w:rsidR="00D31A2E" w:rsidRPr="00D31A2E" w:rsidRDefault="0097138B" w:rsidP="008243BB">
      <w:pPr>
        <w:spacing w:after="120" w:line="320" w:lineRule="exact"/>
        <w:ind w:right="-284"/>
        <w:jc w:val="left"/>
        <w:rPr>
          <w:rFonts w:asciiTheme="minorHAnsi" w:hAnsiTheme="minorHAnsi" w:cstheme="minorHAnsi"/>
          <w:szCs w:val="22"/>
        </w:rPr>
      </w:pPr>
      <w:r w:rsidRPr="0097138B">
        <w:rPr>
          <w:rFonts w:asciiTheme="minorHAnsi" w:hAnsiTheme="minorHAnsi" w:cstheme="minorHAnsi"/>
          <w:szCs w:val="22"/>
        </w:rPr>
        <w:t>Watering actions in the Edward/Kolety system in 2019-20</w:t>
      </w:r>
      <w:r w:rsidR="00C70B14" w:rsidRPr="0097138B">
        <w:rPr>
          <w:rFonts w:asciiTheme="minorHAnsi" w:hAnsiTheme="minorHAnsi" w:cstheme="minorHAnsi"/>
          <w:szCs w:val="22"/>
        </w:rPr>
        <w:t xml:space="preserve"> increased the maximum discharge </w:t>
      </w:r>
      <w:r w:rsidR="00D31A2E" w:rsidRPr="0097138B">
        <w:rPr>
          <w:color w:val="000000" w:themeColor="text1"/>
        </w:rPr>
        <w:t>in all zones compared to operational flows</w:t>
      </w:r>
      <w:r w:rsidR="00E93730" w:rsidRPr="0097138B">
        <w:rPr>
          <w:color w:val="000000" w:themeColor="text1"/>
        </w:rPr>
        <w:t xml:space="preserve">. </w:t>
      </w:r>
      <w:r w:rsidRPr="0097138B">
        <w:rPr>
          <w:rFonts w:asciiTheme="minorHAnsi" w:hAnsiTheme="minorHAnsi" w:cstheme="minorHAnsi"/>
          <w:szCs w:val="22"/>
        </w:rPr>
        <w:t>The maximum discharge</w:t>
      </w:r>
      <w:r w:rsidR="00511143" w:rsidRPr="0097138B">
        <w:rPr>
          <w:rFonts w:asciiTheme="minorHAnsi" w:hAnsiTheme="minorHAnsi" w:cstheme="minorHAnsi"/>
          <w:szCs w:val="22"/>
        </w:rPr>
        <w:t xml:space="preserve"> was considerably </w:t>
      </w:r>
      <w:r w:rsidR="00846B8E">
        <w:rPr>
          <w:rFonts w:asciiTheme="minorHAnsi" w:hAnsiTheme="minorHAnsi" w:cstheme="minorHAnsi"/>
          <w:szCs w:val="22"/>
        </w:rPr>
        <w:t xml:space="preserve">more </w:t>
      </w:r>
      <w:r w:rsidRPr="0097138B">
        <w:rPr>
          <w:rFonts w:asciiTheme="minorHAnsi" w:hAnsiTheme="minorHAnsi" w:cstheme="minorHAnsi"/>
          <w:szCs w:val="22"/>
        </w:rPr>
        <w:t>than would have been experienced under operational flows</w:t>
      </w:r>
      <w:r w:rsidR="00511143" w:rsidRPr="0097138B">
        <w:rPr>
          <w:rFonts w:asciiTheme="minorHAnsi" w:hAnsiTheme="minorHAnsi" w:cstheme="minorHAnsi"/>
          <w:szCs w:val="22"/>
        </w:rPr>
        <w:t xml:space="preserve">. </w:t>
      </w:r>
    </w:p>
    <w:p w14:paraId="702F9837" w14:textId="77777777" w:rsidR="00C70B14" w:rsidRPr="00D31A2E" w:rsidRDefault="007F7725" w:rsidP="008243BB">
      <w:pPr>
        <w:pStyle w:val="NoSpacing"/>
        <w:spacing w:after="120" w:line="320" w:lineRule="exact"/>
        <w:jc w:val="left"/>
        <w:rPr>
          <w:rFonts w:eastAsia="Times New Roman"/>
          <w:b/>
          <w:szCs w:val="22"/>
        </w:rPr>
      </w:pPr>
      <w:r w:rsidRPr="00D31A2E">
        <w:rPr>
          <w:b/>
          <w:i/>
          <w:color w:val="31849B" w:themeColor="accent5" w:themeShade="BF"/>
          <w:szCs w:val="22"/>
        </w:rPr>
        <w:t>What did Commonwealth environmental water contribute to longitudinal hydrological connectivity</w:t>
      </w:r>
      <w:r w:rsidRPr="00D31A2E">
        <w:rPr>
          <w:b/>
          <w:i/>
          <w:szCs w:val="22"/>
        </w:rPr>
        <w:t>?</w:t>
      </w:r>
    </w:p>
    <w:p w14:paraId="72353F2A" w14:textId="40759C40" w:rsidR="00380431" w:rsidRPr="0097138B" w:rsidRDefault="00D31A2E" w:rsidP="008243BB">
      <w:pPr>
        <w:pStyle w:val="NoSpacing"/>
        <w:spacing w:after="240" w:line="320" w:lineRule="exact"/>
        <w:jc w:val="left"/>
        <w:rPr>
          <w:rFonts w:asciiTheme="minorHAnsi" w:hAnsiTheme="minorHAnsi" w:cstheme="minorHAnsi"/>
          <w:szCs w:val="22"/>
        </w:rPr>
      </w:pPr>
      <w:r w:rsidRPr="0097138B">
        <w:rPr>
          <w:rFonts w:asciiTheme="minorHAnsi" w:hAnsiTheme="minorHAnsi" w:cstheme="minorHAnsi"/>
          <w:szCs w:val="22"/>
        </w:rPr>
        <w:t xml:space="preserve">Watering action 1 </w:t>
      </w:r>
      <w:r w:rsidR="0097138B" w:rsidRPr="0097138B">
        <w:rPr>
          <w:rFonts w:asciiTheme="minorHAnsi" w:hAnsiTheme="minorHAnsi" w:cstheme="minorHAnsi"/>
          <w:szCs w:val="22"/>
        </w:rPr>
        <w:t>(winter flow)</w:t>
      </w:r>
      <w:r w:rsidRPr="0097138B">
        <w:rPr>
          <w:rFonts w:asciiTheme="minorHAnsi" w:hAnsiTheme="minorHAnsi" w:cstheme="minorHAnsi"/>
          <w:szCs w:val="22"/>
        </w:rPr>
        <w:t xml:space="preserve"> </w:t>
      </w:r>
      <w:r w:rsidR="00380431" w:rsidRPr="0097138B">
        <w:rPr>
          <w:rFonts w:asciiTheme="minorHAnsi" w:hAnsiTheme="minorHAnsi" w:cstheme="minorHAnsi"/>
          <w:szCs w:val="22"/>
        </w:rPr>
        <w:t xml:space="preserve">maintained </w:t>
      </w:r>
      <w:r w:rsidR="00C70B14" w:rsidRPr="0097138B">
        <w:rPr>
          <w:rFonts w:asciiTheme="minorHAnsi" w:hAnsiTheme="minorHAnsi" w:cstheme="minorHAnsi"/>
          <w:szCs w:val="22"/>
        </w:rPr>
        <w:t xml:space="preserve">longitudinal </w:t>
      </w:r>
      <w:r w:rsidR="00380431" w:rsidRPr="0097138B">
        <w:rPr>
          <w:rFonts w:asciiTheme="minorHAnsi" w:hAnsiTheme="minorHAnsi" w:cstheme="minorHAnsi"/>
          <w:szCs w:val="22"/>
        </w:rPr>
        <w:t>connectivity in Yallakool Creek</w:t>
      </w:r>
      <w:r w:rsidR="0097138B" w:rsidRPr="0097138B">
        <w:rPr>
          <w:rFonts w:asciiTheme="minorHAnsi" w:hAnsiTheme="minorHAnsi" w:cstheme="minorHAnsi"/>
          <w:szCs w:val="22"/>
        </w:rPr>
        <w:t xml:space="preserve">, </w:t>
      </w:r>
      <w:r w:rsidR="00C70B14" w:rsidRPr="0097138B">
        <w:rPr>
          <w:rFonts w:asciiTheme="minorHAnsi" w:hAnsiTheme="minorHAnsi" w:cstheme="minorHAnsi"/>
          <w:szCs w:val="22"/>
        </w:rPr>
        <w:t>the mid and lower Wakool River</w:t>
      </w:r>
      <w:r w:rsidR="0097138B" w:rsidRPr="0097138B">
        <w:rPr>
          <w:rFonts w:asciiTheme="minorHAnsi" w:hAnsiTheme="minorHAnsi" w:cstheme="minorHAnsi"/>
          <w:szCs w:val="22"/>
        </w:rPr>
        <w:t>, and the Colligen-Niemur system.</w:t>
      </w:r>
      <w:r w:rsidR="0097138B">
        <w:rPr>
          <w:rFonts w:asciiTheme="minorHAnsi" w:hAnsiTheme="minorHAnsi" w:cstheme="minorHAnsi"/>
          <w:szCs w:val="22"/>
        </w:rPr>
        <w:t xml:space="preserve"> Maintaining longitudinal connectivity and preventing cease to flow in winter has many ecosystem benefits including preventing exposure of acid sulphate soils in the lower part of the system, enabling movement of fish into and out of the river system, enabling sedentary fish and other organisms to maintain their local habitat over winter, and preventing frost damage of aquatic vegetation and exposure of rhizomes to damage by pigs.</w:t>
      </w:r>
    </w:p>
    <w:p w14:paraId="04593808" w14:textId="78A009F1" w:rsidR="00C70B14" w:rsidRPr="0097138B" w:rsidRDefault="007F7725" w:rsidP="008243BB">
      <w:pPr>
        <w:pStyle w:val="NoSpacing"/>
        <w:spacing w:after="120" w:line="320" w:lineRule="exact"/>
        <w:jc w:val="left"/>
        <w:rPr>
          <w:rFonts w:eastAsia="Times New Roman"/>
          <w:b/>
          <w:szCs w:val="22"/>
        </w:rPr>
      </w:pPr>
      <w:r w:rsidRPr="0097138B">
        <w:rPr>
          <w:b/>
          <w:i/>
          <w:color w:val="31849B" w:themeColor="accent5" w:themeShade="BF"/>
          <w:szCs w:val="22"/>
        </w:rPr>
        <w:t>What did Commonwealth environmental water contribute to lateral connectivity?</w:t>
      </w:r>
    </w:p>
    <w:p w14:paraId="123E2B37" w14:textId="1AEB53C1" w:rsidR="00A50011" w:rsidRPr="0097138B" w:rsidRDefault="0097138B" w:rsidP="0097138B">
      <w:pPr>
        <w:spacing w:after="120" w:line="320" w:lineRule="exact"/>
        <w:jc w:val="left"/>
        <w:rPr>
          <w:szCs w:val="22"/>
        </w:rPr>
      </w:pPr>
      <w:r w:rsidRPr="0097138B">
        <w:rPr>
          <w:color w:val="222222"/>
        </w:rPr>
        <w:t xml:space="preserve">Watering action 3 (spring watering action) </w:t>
      </w:r>
      <w:r w:rsidR="00380DBA" w:rsidRPr="0097138B">
        <w:rPr>
          <w:lang w:val="en-US"/>
        </w:rPr>
        <w:t>increased lateral connec</w:t>
      </w:r>
      <w:r w:rsidRPr="0097138B">
        <w:rPr>
          <w:lang w:val="en-US"/>
        </w:rPr>
        <w:t xml:space="preserve">tivity within the river system, and would have resulted in a </w:t>
      </w:r>
      <w:r w:rsidRPr="0097138B">
        <w:rPr>
          <w:rFonts w:cs="Calibri"/>
        </w:rPr>
        <w:t>considerable</w:t>
      </w:r>
      <w:r w:rsidR="00380DBA" w:rsidRPr="0097138B">
        <w:rPr>
          <w:rFonts w:cs="Calibri"/>
        </w:rPr>
        <w:t xml:space="preserve"> </w:t>
      </w:r>
      <w:r w:rsidRPr="0097138B">
        <w:rPr>
          <w:rFonts w:cs="Calibri"/>
        </w:rPr>
        <w:t xml:space="preserve">increase in </w:t>
      </w:r>
      <w:r w:rsidR="00380DBA" w:rsidRPr="0097138B">
        <w:rPr>
          <w:rFonts w:cs="Calibri"/>
        </w:rPr>
        <w:t xml:space="preserve">wetted area. </w:t>
      </w:r>
      <w:r w:rsidR="007209FB" w:rsidRPr="0097138B">
        <w:rPr>
          <w:szCs w:val="22"/>
        </w:rPr>
        <w:t>Increasing the extent and duration of l</w:t>
      </w:r>
      <w:r w:rsidR="00300BB6" w:rsidRPr="0097138B">
        <w:rPr>
          <w:szCs w:val="22"/>
        </w:rPr>
        <w:t xml:space="preserve">ateral connectivity </w:t>
      </w:r>
      <w:r w:rsidR="007209FB" w:rsidRPr="0097138B">
        <w:rPr>
          <w:szCs w:val="22"/>
        </w:rPr>
        <w:t xml:space="preserve">can play an important role in river productivity, increasing the opportunity for dissolved carbon inputs to the stream from the sediment or organic materials, such as leaves, biofilms, grasses and other inundated vegetation. The </w:t>
      </w:r>
      <w:r w:rsidRPr="0097138B">
        <w:rPr>
          <w:szCs w:val="22"/>
        </w:rPr>
        <w:t>inundation also provides</w:t>
      </w:r>
      <w:r w:rsidR="007209FB" w:rsidRPr="0097138B">
        <w:rPr>
          <w:szCs w:val="22"/>
        </w:rPr>
        <w:t xml:space="preserve"> opportunities for growth and increased cover of submerged and amphibious macrophytes which can increase habitat for</w:t>
      </w:r>
      <w:r>
        <w:rPr>
          <w:szCs w:val="22"/>
        </w:rPr>
        <w:t xml:space="preserve"> invertebrates, frogs and fish.</w:t>
      </w:r>
    </w:p>
    <w:p w14:paraId="1BB75BCC" w14:textId="5AC59E33" w:rsidR="000742BD" w:rsidRDefault="000742BD" w:rsidP="008243BB">
      <w:pPr>
        <w:spacing w:after="240" w:line="320" w:lineRule="exact"/>
        <w:jc w:val="left"/>
        <w:rPr>
          <w:rFonts w:cs="Calibri"/>
        </w:rPr>
      </w:pPr>
      <w:r>
        <w:rPr>
          <w:rFonts w:cs="Calibri"/>
        </w:rPr>
        <w:br w:type="page"/>
      </w:r>
    </w:p>
    <w:p w14:paraId="2CEDB591" w14:textId="21F2A5C7" w:rsidR="00421736" w:rsidRPr="00A86703" w:rsidRDefault="00523069" w:rsidP="00836CDD">
      <w:pPr>
        <w:pStyle w:val="Heading1"/>
        <w:rPr>
          <w:rFonts w:eastAsia="Calibri"/>
        </w:rPr>
      </w:pPr>
      <w:bookmarkStart w:id="20" w:name="_Toc69846017"/>
      <w:r w:rsidRPr="00A86703">
        <w:t>5</w:t>
      </w:r>
      <w:r w:rsidR="00F673E1" w:rsidRPr="00A86703">
        <w:tab/>
      </w:r>
      <w:r w:rsidR="00421736" w:rsidRPr="00A86703">
        <w:rPr>
          <w:rFonts w:eastAsia="Calibri"/>
        </w:rPr>
        <w:t>Water quality and carbon</w:t>
      </w:r>
      <w:bookmarkEnd w:id="20"/>
    </w:p>
    <w:p w14:paraId="6E1F888B" w14:textId="3174AA11" w:rsidR="00373180" w:rsidRDefault="00A30448" w:rsidP="00373180">
      <w:pPr>
        <w:spacing w:after="120" w:line="259" w:lineRule="auto"/>
      </w:pPr>
      <w:r>
        <w:t xml:space="preserve">Authors: </w:t>
      </w:r>
      <w:r w:rsidR="00373180" w:rsidRPr="00A86703">
        <w:t>Xiaoying Liu and Nicole McCasker</w:t>
      </w:r>
    </w:p>
    <w:p w14:paraId="2A9BD126" w14:textId="77777777" w:rsidR="00373180" w:rsidRPr="00373180" w:rsidRDefault="00373180" w:rsidP="00373180">
      <w:pPr>
        <w:spacing w:after="120" w:line="259" w:lineRule="auto"/>
        <w:rPr>
          <w:lang w:val="en-US" w:eastAsia="en-AU"/>
        </w:rPr>
      </w:pPr>
    </w:p>
    <w:tbl>
      <w:tblPr>
        <w:tblStyle w:val="GridTable5Dark-Accent1"/>
        <w:tblW w:w="9067" w:type="dxa"/>
        <w:tblLook w:val="04A0" w:firstRow="1" w:lastRow="0" w:firstColumn="1" w:lastColumn="0" w:noHBand="0" w:noVBand="1"/>
      </w:tblPr>
      <w:tblGrid>
        <w:gridCol w:w="2122"/>
        <w:gridCol w:w="6945"/>
      </w:tblGrid>
      <w:tr w:rsidR="00784A1F" w14:paraId="4AD92F59" w14:textId="77777777" w:rsidTr="005D0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2"/>
            <w:tcBorders>
              <w:top w:val="single" w:sz="4" w:space="0" w:color="auto"/>
              <w:left w:val="single" w:sz="4" w:space="0" w:color="auto"/>
              <w:bottom w:val="single" w:sz="4" w:space="0" w:color="auto"/>
              <w:right w:val="single" w:sz="4" w:space="0" w:color="auto"/>
            </w:tcBorders>
            <w:shd w:val="clear" w:color="auto" w:fill="31849B"/>
          </w:tcPr>
          <w:p w14:paraId="394FF0E4" w14:textId="77777777" w:rsidR="00784A1F" w:rsidRPr="00D95859" w:rsidRDefault="00784A1F" w:rsidP="00784A1F">
            <w:pPr>
              <w:spacing w:after="240" w:line="259" w:lineRule="auto"/>
            </w:pPr>
            <w:r w:rsidRPr="00D95859">
              <w:rPr>
                <w:sz w:val="32"/>
              </w:rPr>
              <w:t>Key findings</w:t>
            </w:r>
          </w:p>
        </w:tc>
      </w:tr>
      <w:tr w:rsidR="00784A1F" w14:paraId="3C1D601C" w14:textId="77777777" w:rsidTr="005D0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auto"/>
              <w:left w:val="single" w:sz="4" w:space="0" w:color="auto"/>
              <w:bottom w:val="single" w:sz="4" w:space="0" w:color="auto"/>
              <w:right w:val="single" w:sz="4" w:space="0" w:color="auto"/>
            </w:tcBorders>
            <w:shd w:val="clear" w:color="auto" w:fill="87C7D9"/>
          </w:tcPr>
          <w:p w14:paraId="08FA3EFB" w14:textId="77777777" w:rsidR="00784A1F" w:rsidRPr="0032535A" w:rsidRDefault="00784A1F" w:rsidP="00784A1F">
            <w:pPr>
              <w:spacing w:after="120" w:line="259" w:lineRule="auto"/>
              <w:jc w:val="left"/>
              <w:rPr>
                <w:color w:val="auto"/>
              </w:rPr>
            </w:pPr>
            <w:r w:rsidRPr="0032535A">
              <w:rPr>
                <w:color w:val="auto"/>
              </w:rPr>
              <w:t>Dissolved oxygen concentrations</w:t>
            </w:r>
          </w:p>
        </w:tc>
        <w:tc>
          <w:tcPr>
            <w:tcW w:w="6945" w:type="dxa"/>
            <w:tcBorders>
              <w:top w:val="single" w:sz="4" w:space="0" w:color="auto"/>
              <w:left w:val="single" w:sz="4" w:space="0" w:color="auto"/>
              <w:bottom w:val="single" w:sz="4" w:space="0" w:color="auto"/>
              <w:right w:val="single" w:sz="4" w:space="0" w:color="auto"/>
            </w:tcBorders>
            <w:shd w:val="clear" w:color="auto" w:fill="auto"/>
          </w:tcPr>
          <w:p w14:paraId="034EC7E7" w14:textId="77777777" w:rsidR="00784A1F" w:rsidRPr="00784A1F" w:rsidRDefault="00784A1F" w:rsidP="00784A1F">
            <w:pPr>
              <w:pStyle w:val="Default"/>
              <w:spacing w:after="120" w:line="259"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4A1F">
              <w:rPr>
                <w:rFonts w:asciiTheme="minorHAnsi" w:hAnsiTheme="minorHAnsi" w:cstheme="minorHAnsi"/>
                <w:sz w:val="22"/>
                <w:szCs w:val="22"/>
              </w:rPr>
              <w:t>In 2019-20 water year, dissolved oxygen concentration was consistently higher during late summer and early autumn in zones 1, 3 and 4 than zone 2. Zones 1, 3 and 4 received more Commonwealth environmental water than zone 2.</w:t>
            </w:r>
          </w:p>
          <w:p w14:paraId="00579C8C" w14:textId="6D7CF0D2" w:rsidR="00784A1F" w:rsidRPr="00784A1F" w:rsidRDefault="00784A1F" w:rsidP="006E65C5">
            <w:pPr>
              <w:spacing w:after="120" w:line="259" w:lineRule="auto"/>
              <w:jc w:val="left"/>
              <w:cnfStyle w:val="000000100000" w:firstRow="0" w:lastRow="0" w:firstColumn="0" w:lastColumn="0" w:oddVBand="0" w:evenVBand="0" w:oddHBand="1" w:evenHBand="0" w:firstRowFirstColumn="0" w:firstRowLastColumn="0" w:lastRowFirstColumn="0" w:lastRowLastColumn="0"/>
              <w:rPr>
                <w:rFonts w:cstheme="minorHAnsi"/>
              </w:rPr>
            </w:pPr>
            <w:r w:rsidRPr="00784A1F">
              <w:rPr>
                <w:rFonts w:cstheme="minorHAnsi"/>
              </w:rPr>
              <w:t>Concentrations of dissolved oxygen in the Edward/Kolety River, Wakool River and the Colligen-Niemur River were above the range of concern to fish populations (4 mg/L). The expected seasonal variations were observed, with higher concentrations in winter and lower concentrations correlating to the periods of higher water temperature.</w:t>
            </w:r>
          </w:p>
        </w:tc>
      </w:tr>
      <w:tr w:rsidR="00784A1F" w14:paraId="75C51459" w14:textId="77777777" w:rsidTr="005D0C92">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auto"/>
              <w:left w:val="single" w:sz="4" w:space="0" w:color="auto"/>
              <w:bottom w:val="single" w:sz="4" w:space="0" w:color="auto"/>
              <w:right w:val="single" w:sz="4" w:space="0" w:color="auto"/>
            </w:tcBorders>
            <w:shd w:val="clear" w:color="auto" w:fill="87C7D9"/>
          </w:tcPr>
          <w:p w14:paraId="4DFCD3F4" w14:textId="77777777" w:rsidR="00784A1F" w:rsidRPr="0032535A" w:rsidRDefault="00784A1F" w:rsidP="00784A1F">
            <w:pPr>
              <w:spacing w:after="120" w:line="259" w:lineRule="auto"/>
              <w:jc w:val="left"/>
              <w:rPr>
                <w:color w:val="auto"/>
              </w:rPr>
            </w:pPr>
            <w:r w:rsidRPr="0032535A">
              <w:rPr>
                <w:color w:val="auto"/>
              </w:rPr>
              <w:t xml:space="preserve">Nutrient concentrations </w:t>
            </w:r>
          </w:p>
        </w:tc>
        <w:tc>
          <w:tcPr>
            <w:tcW w:w="6945" w:type="dxa"/>
            <w:tcBorders>
              <w:top w:val="single" w:sz="4" w:space="0" w:color="auto"/>
              <w:left w:val="single" w:sz="4" w:space="0" w:color="auto"/>
              <w:bottom w:val="single" w:sz="4" w:space="0" w:color="auto"/>
              <w:right w:val="single" w:sz="4" w:space="0" w:color="auto"/>
            </w:tcBorders>
          </w:tcPr>
          <w:p w14:paraId="775C13A6" w14:textId="77777777" w:rsidR="00784A1F" w:rsidRPr="00784A1F" w:rsidRDefault="00784A1F" w:rsidP="00784A1F">
            <w:pPr>
              <w:pStyle w:val="Default"/>
              <w:spacing w:after="12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84A1F">
              <w:rPr>
                <w:rFonts w:asciiTheme="minorHAnsi" w:hAnsiTheme="minorHAnsi" w:cstheme="minorHAnsi"/>
                <w:sz w:val="22"/>
                <w:szCs w:val="22"/>
              </w:rPr>
              <w:t>Total Phosphorus and Total Nitrogen were slightly elevated, likely due to greater turbidity (particles suspended in the water column) but bioavailable nutrient remained low. The absence of overbank flows meant that substantial nutrient inputs were not expected in the system, although a general downstream increase in TN and TP were observed in the zones which received the majority of flow (zones 1, 3 and 4).</w:t>
            </w:r>
          </w:p>
          <w:p w14:paraId="226AC99B" w14:textId="77777777" w:rsidR="00784A1F" w:rsidRPr="00784A1F" w:rsidRDefault="00784A1F" w:rsidP="00784A1F">
            <w:pPr>
              <w:pStyle w:val="Default"/>
              <w:spacing w:after="12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84A1F">
              <w:rPr>
                <w:rFonts w:asciiTheme="minorHAnsi" w:hAnsiTheme="minorHAnsi" w:cstheme="minorHAnsi"/>
                <w:sz w:val="22"/>
                <w:szCs w:val="22"/>
              </w:rPr>
              <w:t>Nutrients in the Edward/Kolety River, Wakool River and Colligen-Niemur River were similar, remaining in the acceptable range.</w:t>
            </w:r>
          </w:p>
        </w:tc>
      </w:tr>
      <w:tr w:rsidR="00784A1F" w14:paraId="4DF01C1B" w14:textId="77777777" w:rsidTr="005D0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auto"/>
              <w:left w:val="single" w:sz="4" w:space="0" w:color="auto"/>
              <w:bottom w:val="single" w:sz="4" w:space="0" w:color="auto"/>
              <w:right w:val="single" w:sz="4" w:space="0" w:color="auto"/>
            </w:tcBorders>
            <w:shd w:val="clear" w:color="auto" w:fill="87C7D9"/>
          </w:tcPr>
          <w:p w14:paraId="24AAA0C1" w14:textId="77777777" w:rsidR="00784A1F" w:rsidRPr="0032535A" w:rsidRDefault="00784A1F" w:rsidP="00784A1F">
            <w:pPr>
              <w:spacing w:after="120" w:line="259" w:lineRule="auto"/>
              <w:jc w:val="left"/>
              <w:rPr>
                <w:color w:val="auto"/>
              </w:rPr>
            </w:pPr>
            <w:r w:rsidRPr="0032535A">
              <w:rPr>
                <w:color w:val="auto"/>
              </w:rPr>
              <w:t xml:space="preserve">Temperature regimes </w:t>
            </w:r>
          </w:p>
        </w:tc>
        <w:tc>
          <w:tcPr>
            <w:tcW w:w="6945" w:type="dxa"/>
            <w:tcBorders>
              <w:top w:val="single" w:sz="4" w:space="0" w:color="auto"/>
              <w:left w:val="single" w:sz="4" w:space="0" w:color="auto"/>
              <w:bottom w:val="single" w:sz="4" w:space="0" w:color="auto"/>
              <w:right w:val="single" w:sz="4" w:space="0" w:color="auto"/>
            </w:tcBorders>
            <w:shd w:val="clear" w:color="auto" w:fill="auto"/>
          </w:tcPr>
          <w:p w14:paraId="40E5E0DC" w14:textId="77777777" w:rsidR="00784A1F" w:rsidRPr="00784A1F" w:rsidRDefault="00784A1F" w:rsidP="00784A1F">
            <w:pPr>
              <w:pStyle w:val="Default"/>
              <w:spacing w:after="120" w:line="259"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84A1F">
              <w:rPr>
                <w:rFonts w:asciiTheme="minorHAnsi" w:hAnsiTheme="minorHAnsi" w:cstheme="minorHAnsi"/>
                <w:sz w:val="22"/>
                <w:szCs w:val="22"/>
              </w:rPr>
              <w:t>None of the watering actions targeted temperature. Water temperatures in the system were primarily controlled by the prevailing weather conditions.</w:t>
            </w:r>
          </w:p>
        </w:tc>
      </w:tr>
      <w:tr w:rsidR="00784A1F" w14:paraId="4BBF4242" w14:textId="77777777" w:rsidTr="005D0C92">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auto"/>
              <w:left w:val="single" w:sz="4" w:space="0" w:color="auto"/>
              <w:bottom w:val="single" w:sz="4" w:space="0" w:color="auto"/>
              <w:right w:val="single" w:sz="4" w:space="0" w:color="auto"/>
            </w:tcBorders>
            <w:shd w:val="clear" w:color="auto" w:fill="87C7D9"/>
          </w:tcPr>
          <w:p w14:paraId="0F731CE4" w14:textId="77777777" w:rsidR="00784A1F" w:rsidRPr="0032535A" w:rsidRDefault="00784A1F" w:rsidP="00784A1F">
            <w:pPr>
              <w:spacing w:after="120" w:line="259" w:lineRule="auto"/>
              <w:jc w:val="left"/>
              <w:rPr>
                <w:color w:val="auto"/>
              </w:rPr>
            </w:pPr>
            <w:r w:rsidRPr="0032535A">
              <w:rPr>
                <w:color w:val="auto"/>
              </w:rPr>
              <w:t>Type and amount of dissolved organic matter</w:t>
            </w:r>
          </w:p>
        </w:tc>
        <w:tc>
          <w:tcPr>
            <w:tcW w:w="6945" w:type="dxa"/>
            <w:tcBorders>
              <w:top w:val="single" w:sz="4" w:space="0" w:color="auto"/>
              <w:left w:val="single" w:sz="4" w:space="0" w:color="auto"/>
              <w:bottom w:val="single" w:sz="4" w:space="0" w:color="auto"/>
              <w:right w:val="single" w:sz="4" w:space="0" w:color="auto"/>
            </w:tcBorders>
          </w:tcPr>
          <w:p w14:paraId="4E280B94" w14:textId="3AB12B11" w:rsidR="00784A1F" w:rsidRPr="00784A1F" w:rsidRDefault="00784A1F" w:rsidP="00784A1F">
            <w:pPr>
              <w:pStyle w:val="Default"/>
              <w:spacing w:after="12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84A1F">
              <w:rPr>
                <w:rFonts w:asciiTheme="minorHAnsi" w:hAnsiTheme="minorHAnsi" w:cstheme="minorHAnsi"/>
                <w:sz w:val="22"/>
                <w:szCs w:val="22"/>
              </w:rPr>
              <w:t>There was no detectable effect of environmental watering actions on this indicator in 2019-20</w:t>
            </w:r>
            <w:r w:rsidR="00D446D5">
              <w:rPr>
                <w:rFonts w:asciiTheme="minorHAnsi" w:hAnsiTheme="minorHAnsi" w:cstheme="minorHAnsi"/>
                <w:sz w:val="22"/>
                <w:szCs w:val="22"/>
              </w:rPr>
              <w:t xml:space="preserve"> and there were no adverse water quality outcomes</w:t>
            </w:r>
            <w:r w:rsidRPr="00784A1F">
              <w:rPr>
                <w:rFonts w:asciiTheme="minorHAnsi" w:hAnsiTheme="minorHAnsi" w:cstheme="minorHAnsi"/>
                <w:sz w:val="22"/>
                <w:szCs w:val="22"/>
              </w:rPr>
              <w:t>. The watering actions in 2019-20 did not specifically target the transport of dissolved organic matter. Dissolved organic carbon was not elevated outside the normal range and remained well below concentrations associated with blackwater events.</w:t>
            </w:r>
          </w:p>
          <w:p w14:paraId="715101CE" w14:textId="77777777" w:rsidR="00784A1F" w:rsidRPr="00784A1F" w:rsidRDefault="00784A1F" w:rsidP="00784A1F">
            <w:pPr>
              <w:pStyle w:val="Default"/>
              <w:spacing w:after="12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84A1F">
              <w:rPr>
                <w:rFonts w:asciiTheme="minorHAnsi" w:hAnsiTheme="minorHAnsi" w:cstheme="minorHAnsi"/>
                <w:sz w:val="22"/>
                <w:szCs w:val="22"/>
              </w:rPr>
              <w:t xml:space="preserve">Dissolved organic carbon in the Edward/Kolety River, Wakool River and Colligen-Niemur River were similar, remaining in the acceptable range. </w:t>
            </w:r>
          </w:p>
        </w:tc>
      </w:tr>
    </w:tbl>
    <w:p w14:paraId="035DB2B9" w14:textId="77777777" w:rsidR="00784A1F" w:rsidRDefault="00784A1F" w:rsidP="00784A1F">
      <w:pPr>
        <w:spacing w:after="120" w:line="259" w:lineRule="auto"/>
      </w:pPr>
    </w:p>
    <w:p w14:paraId="24413DDD" w14:textId="77777777" w:rsidR="00373180" w:rsidRDefault="00373180">
      <w:pPr>
        <w:spacing w:after="0" w:line="240" w:lineRule="auto"/>
        <w:jc w:val="left"/>
        <w:rPr>
          <w:rFonts w:cstheme="minorHAnsi"/>
          <w:b/>
          <w:color w:val="31849B"/>
          <w:sz w:val="28"/>
          <w:szCs w:val="28"/>
        </w:rPr>
      </w:pPr>
      <w:r>
        <w:rPr>
          <w:rFonts w:cstheme="minorHAnsi"/>
          <w:b/>
          <w:color w:val="31849B"/>
          <w:sz w:val="28"/>
          <w:szCs w:val="28"/>
        </w:rPr>
        <w:br w:type="page"/>
      </w:r>
    </w:p>
    <w:p w14:paraId="3C9E2764" w14:textId="0EE28CD3" w:rsidR="00784A1F" w:rsidRPr="00D95859" w:rsidRDefault="00784A1F" w:rsidP="00784A1F">
      <w:pPr>
        <w:spacing w:after="120" w:line="259" w:lineRule="auto"/>
        <w:rPr>
          <w:rFonts w:cstheme="minorHAnsi"/>
          <w:b/>
          <w:color w:val="31849B"/>
          <w:sz w:val="28"/>
          <w:szCs w:val="28"/>
        </w:rPr>
      </w:pPr>
      <w:r w:rsidRPr="00D95859">
        <w:rPr>
          <w:rFonts w:cstheme="minorHAnsi"/>
          <w:b/>
          <w:color w:val="31849B"/>
          <w:sz w:val="28"/>
          <w:szCs w:val="28"/>
        </w:rPr>
        <w:t>5.1 Background</w:t>
      </w:r>
    </w:p>
    <w:p w14:paraId="1A5A0C69" w14:textId="77777777" w:rsidR="00784A1F" w:rsidRPr="00E83276" w:rsidRDefault="00784A1F" w:rsidP="00784A1F">
      <w:pPr>
        <w:spacing w:after="120" w:line="259" w:lineRule="auto"/>
        <w:jc w:val="left"/>
      </w:pPr>
      <w:r w:rsidRPr="00E83276">
        <w:t>Water quality is a key indicator of aquatic ecosystem health</w:t>
      </w:r>
      <w:r>
        <w:t>,</w:t>
      </w:r>
      <w:r w:rsidRPr="00E83276">
        <w:t xml:space="preserve"> and flow plays an important role in the maintenance of water quality in lowland rivers. </w:t>
      </w:r>
      <w:r>
        <w:t xml:space="preserve">Water quality parameters will often respond to changes in flow regimes very quickly. </w:t>
      </w:r>
      <w:r w:rsidRPr="00E83276">
        <w:t xml:space="preserve">Changes in flow in a river system can influence water quality both positively and negatively with the outcome dependent on the source of the water, </w:t>
      </w:r>
      <w:r>
        <w:t>magnitude</w:t>
      </w:r>
      <w:r w:rsidRPr="00E83276">
        <w:t xml:space="preserve"> and duration of the flow, time of the year and other catchment conditions. High flow events </w:t>
      </w:r>
      <w:r>
        <w:t xml:space="preserve">caused increases in wetted benthic areas </w:t>
      </w:r>
      <w:r w:rsidRPr="00E83276">
        <w:t xml:space="preserve">can result in exchange of nutrients and carbon between the river and the adjacent floodplain, and/or previously disconnected in-channel areas (Baldwin 1999; Baldwin and Mitchell 2000; </w:t>
      </w:r>
      <w:r>
        <w:t xml:space="preserve">Robertson </w:t>
      </w:r>
      <w:r w:rsidRPr="00E83276">
        <w:t>et al. 2016) and environmental flows play a key role in restoring carbon exchange that has been lost due to extensive river regulation and modification of chann</w:t>
      </w:r>
      <w:r>
        <w:t>el and bank features (Baldwin</w:t>
      </w:r>
      <w:r w:rsidRPr="00E83276">
        <w:t xml:space="preserve"> et al. 2016)</w:t>
      </w:r>
      <w:r>
        <w:t>.</w:t>
      </w:r>
    </w:p>
    <w:p w14:paraId="0B9ACCE6" w14:textId="77777777" w:rsidR="00784A1F" w:rsidRPr="00E83276" w:rsidRDefault="00784A1F" w:rsidP="00784A1F">
      <w:pPr>
        <w:spacing w:after="120" w:line="259" w:lineRule="auto"/>
        <w:jc w:val="left"/>
      </w:pPr>
      <w:r w:rsidRPr="00E83276">
        <w:t xml:space="preserve">A range of parameters can be measured as indicators of water quality in river systems and many of these parameters </w:t>
      </w:r>
      <w:r>
        <w:t xml:space="preserve">as water quality targets in the Murray-Darling Basin Plan 2012 </w:t>
      </w:r>
      <w:r w:rsidRPr="00E83276">
        <w:t xml:space="preserve">are directly or indirectly influenced by alterations in flow. For example, </w:t>
      </w:r>
      <w:r>
        <w:t>DO</w:t>
      </w:r>
      <w:r w:rsidRPr="00E83276">
        <w:t xml:space="preserve"> can be influenced by flow </w:t>
      </w:r>
      <w:r>
        <w:t>through changes in water volume and</w:t>
      </w:r>
      <w:r w:rsidRPr="00E83276">
        <w:t xml:space="preserve"> turbulence</w:t>
      </w:r>
      <w:r>
        <w:t>,</w:t>
      </w:r>
      <w:r w:rsidRPr="00E83276">
        <w:t xml:space="preserve"> and </w:t>
      </w:r>
      <w:r>
        <w:t>through indirect processes</w:t>
      </w:r>
      <w:r w:rsidRPr="00E83276">
        <w:t xml:space="preserve"> such as alterations in rates of bacterial metabolism and photosynthesis. This, in turn, will directly influence the suitability of the water quality for aquatic organisms, such as fish. Nutrients and organic matter concentrations may be influenced by flow, either by dilution or through inputs associated with water contacting parts of the channel or floodplain which were previously dry and which have stores of nutrients and carbon in both plant materials and the soil (Baldwin 1999; Baldwin and Mitchell 2000).</w:t>
      </w:r>
    </w:p>
    <w:p w14:paraId="4CB3423C" w14:textId="77777777" w:rsidR="00784A1F" w:rsidRDefault="00784A1F" w:rsidP="00784A1F">
      <w:pPr>
        <w:spacing w:after="120" w:line="259" w:lineRule="auto"/>
        <w:jc w:val="left"/>
      </w:pPr>
      <w:r w:rsidRPr="00E83276">
        <w:t>Australian riverine ecosystems can be heavily reliant on both algal and terrestrial dissolved organic matter for microbial productivity and can be limited by dissolved organic</w:t>
      </w:r>
      <w:r>
        <w:t xml:space="preserve"> carbon concentrations (Hadwen </w:t>
      </w:r>
      <w:r w:rsidRPr="00E83276">
        <w:t>et al. 2010). Aquatic environments naturally have quite variable dissolved organic matter concentrations and there are no optimal concentrations or trigger values provided for organic matter (ANZECC 2000).</w:t>
      </w:r>
    </w:p>
    <w:p w14:paraId="1400D7DC" w14:textId="77777777" w:rsidR="00784A1F" w:rsidRDefault="00784A1F" w:rsidP="00784A1F">
      <w:pPr>
        <w:spacing w:after="120" w:line="259" w:lineRule="auto"/>
        <w:jc w:val="left"/>
      </w:pPr>
      <w:r>
        <w:t>Organic matter is made up of a complex mixture of compounds with different properties and variable availability to the microbial population. This mixture contains many different types of compounds with a diverse range of sources and the most fundamental use of broad categories of organic matter in natural waters are non-humic substances and humic substances (Choudhry 1984). Non-humic substances include relatively simple compounds belonging to recognised groups such as carbohydrates, proteins, peptides, fats and other low molecular weight organic compounds. However, the much larger molecules that make up of humic substances can dominate in many waters and in contrast are poorly characterised (Choudhry 1984). Humic substances can be further classified into two groups (including humic and fulvic acids) based on their properties rather than chemical structure. Humic substances are predominantly derived from the processing of plant residues and can involve complex chains and aromatic rings which contribute to their strong yellow-brown colour.</w:t>
      </w:r>
    </w:p>
    <w:p w14:paraId="7F65C126" w14:textId="77777777" w:rsidR="00784A1F" w:rsidRPr="00E83276" w:rsidRDefault="00784A1F" w:rsidP="00784A1F">
      <w:pPr>
        <w:spacing w:after="120" w:line="259" w:lineRule="auto"/>
        <w:jc w:val="left"/>
      </w:pPr>
      <w:r>
        <w:t>Microbial communities do not respond to all types of organic matter in the same way (Baldwin 1999; O'Connell et al. 2000; Howitt et al. 2008) although it has been shown that bacterial communities can respond to changes in organic carbon source quite rapidly (Wehr et al. 1999). The very large, complex type of organic matter referred to as humic substances has been shown to be less available to bacterial communities than simpler non-humic carbon (Moran and Hodson 1990) although this can be altered over time with exposure to ultraviolet light (Moran and Zepp 1997; Howitt et al. 2008). These differences in microbial response to different types of organic matter mean that it is important to consider not just the total amount of dissolved organic matter in the rivers but to monitor changes in the type of organic matter present. Both absorbance and fluorescence spectra are used to examine the organic matter in this study. As a general guide, absorbance at longer wavelengths indicates larger, more complex organic matter (Bertilsson and Bergh 1999). Absorbance at a particular wavelength may be increased by increasing concentration of organic matter or a change in the type of organic matter.</w:t>
      </w:r>
    </w:p>
    <w:p w14:paraId="7DAFD1C7" w14:textId="77777777" w:rsidR="00784A1F" w:rsidRDefault="00784A1F" w:rsidP="00784A1F">
      <w:pPr>
        <w:spacing w:after="120" w:line="259" w:lineRule="auto"/>
        <w:jc w:val="left"/>
      </w:pPr>
      <w:r>
        <w:t>Reconnection of the stream channel with backwater areas and dry sections of the floodplain and channel may result in additional nutrients and organic carbon. Inputs of these substances may have a positive influence on the river community through the stimulation of productivity and increased food availability for downstream communities (Robertson et al. 1999) and the connection between the river and floodplain has been shown to generate essential carbon stores to sustain the system through drier periods (Baldwin et al</w:t>
      </w:r>
      <w:r>
        <w:rPr>
          <w:i/>
          <w:iCs/>
        </w:rPr>
        <w:t xml:space="preserve">. </w:t>
      </w:r>
      <w:r>
        <w:t xml:space="preserve">2013). However, excessive nutrient and organic carbon inputs can result in poor water quality through the development of algal blooms or blackwater events resulting in very low dissolved oxygen concentrations (Howitt et al. 2007; Hladyz et al. 2011). Inputs of large amounts of organic matter and nutrients during hot weather are particularly problematic due to the influence of temperature on the rates of microbial processes and organic matter leaching (Howitt et al. 2007; Whitworth et al. 2014). </w:t>
      </w:r>
      <w:r w:rsidRPr="00203CE6">
        <w:t>This chapter reports on changes in water qual</w:t>
      </w:r>
      <w:r>
        <w:t xml:space="preserve">ity in response to flows from July </w:t>
      </w:r>
      <w:r w:rsidRPr="00203CE6">
        <w:t>201</w:t>
      </w:r>
      <w:r>
        <w:t>9</w:t>
      </w:r>
      <w:r w:rsidRPr="00203CE6">
        <w:t xml:space="preserve"> to 30 June 20</w:t>
      </w:r>
      <w:r>
        <w:t>20</w:t>
      </w:r>
      <w:r w:rsidRPr="00203CE6">
        <w:t xml:space="preserve"> and will consider changes in both the quantity and type of organic matter present in the system.</w:t>
      </w:r>
      <w:r w:rsidRPr="0004486B">
        <w:t xml:space="preserve"> </w:t>
      </w:r>
      <w:r w:rsidRPr="00E83276">
        <w:t xml:space="preserve">Specifically, this work will </w:t>
      </w:r>
      <w:r>
        <w:t>address</w:t>
      </w:r>
      <w:r w:rsidRPr="00E83276">
        <w:t xml:space="preserve"> the </w:t>
      </w:r>
      <w:r>
        <w:t xml:space="preserve">evaluation </w:t>
      </w:r>
      <w:r w:rsidRPr="00E83276">
        <w:t xml:space="preserve">questions </w:t>
      </w:r>
      <w:r w:rsidRPr="00C01C40">
        <w:t>in section 5.3.</w:t>
      </w:r>
    </w:p>
    <w:p w14:paraId="3D5DDD79" w14:textId="77777777" w:rsidR="00784A1F" w:rsidRPr="00D95859" w:rsidRDefault="00784A1F" w:rsidP="00784A1F">
      <w:pPr>
        <w:spacing w:after="120" w:line="259" w:lineRule="auto"/>
        <w:jc w:val="left"/>
        <w:rPr>
          <w:rFonts w:cstheme="minorHAnsi"/>
          <w:b/>
          <w:color w:val="31849B"/>
          <w:sz w:val="28"/>
          <w:szCs w:val="28"/>
        </w:rPr>
      </w:pPr>
      <w:r w:rsidRPr="00D95859">
        <w:rPr>
          <w:rFonts w:cstheme="minorHAnsi"/>
          <w:b/>
          <w:color w:val="31849B"/>
          <w:sz w:val="28"/>
          <w:szCs w:val="28"/>
        </w:rPr>
        <w:t>5.2 Environmental watering actions t</w:t>
      </w:r>
      <w:r>
        <w:rPr>
          <w:rFonts w:cstheme="minorHAnsi"/>
          <w:b/>
          <w:color w:val="31849B"/>
          <w:sz w:val="28"/>
          <w:szCs w:val="28"/>
        </w:rPr>
        <w:t>argeting water quality outcomes</w:t>
      </w:r>
    </w:p>
    <w:p w14:paraId="55064E03" w14:textId="77777777" w:rsidR="00784A1F" w:rsidRDefault="00784A1F" w:rsidP="00373180">
      <w:pPr>
        <w:spacing w:after="120" w:line="259" w:lineRule="auto"/>
        <w:ind w:right="-144"/>
        <w:jc w:val="left"/>
      </w:pPr>
      <w:r>
        <w:t>Three Commonwealth environmental watering actions were delivered in the Edward/Kolety-Wakool system in 2019-2020 (Table 5.1). This report will cover water quality data from July 2019 to June 2020.</w:t>
      </w:r>
    </w:p>
    <w:p w14:paraId="6DEBA7DF" w14:textId="77777777" w:rsidR="00784A1F" w:rsidRDefault="00784A1F" w:rsidP="00373180">
      <w:pPr>
        <w:spacing w:after="0" w:line="259" w:lineRule="auto"/>
        <w:jc w:val="left"/>
        <w:rPr>
          <w:rFonts w:cstheme="minorHAnsi"/>
          <w:sz w:val="20"/>
        </w:rPr>
      </w:pPr>
      <w:r w:rsidRPr="00D95859">
        <w:rPr>
          <w:b/>
        </w:rPr>
        <w:t>Table 5.1</w:t>
      </w:r>
      <w:r>
        <w:t xml:space="preserve"> </w:t>
      </w:r>
      <w:r>
        <w:rPr>
          <w:rFonts w:cstheme="minorHAnsi"/>
          <w:sz w:val="20"/>
        </w:rPr>
        <w:t>Commonwealth environmental watering actions in 2019-20 in the</w:t>
      </w:r>
      <w:r w:rsidRPr="00A24586">
        <w:rPr>
          <w:rFonts w:cstheme="minorHAnsi"/>
          <w:sz w:val="20"/>
        </w:rPr>
        <w:t xml:space="preserve"> Edward</w:t>
      </w:r>
      <w:r>
        <w:rPr>
          <w:rFonts w:cstheme="minorHAnsi"/>
          <w:sz w:val="20"/>
        </w:rPr>
        <w:t>/Kolety-</w:t>
      </w:r>
      <w:r w:rsidRPr="00A24586">
        <w:rPr>
          <w:rFonts w:cstheme="minorHAnsi"/>
          <w:sz w:val="20"/>
        </w:rPr>
        <w:t>Wakool system</w:t>
      </w:r>
      <w:r>
        <w:rPr>
          <w:rFonts w:cstheme="minorHAnsi"/>
          <w:sz w:val="20"/>
        </w:rPr>
        <w:t>.</w:t>
      </w:r>
    </w:p>
    <w:tbl>
      <w:tblPr>
        <w:tblStyle w:val="TableGrid2"/>
        <w:tblW w:w="9209" w:type="dxa"/>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3"/>
        <w:gridCol w:w="1732"/>
        <w:gridCol w:w="4857"/>
        <w:gridCol w:w="1207"/>
      </w:tblGrid>
      <w:tr w:rsidR="00784A1F" w14:paraId="0249D32B" w14:textId="77777777" w:rsidTr="00784A1F">
        <w:tc>
          <w:tcPr>
            <w:tcW w:w="1413" w:type="dxa"/>
            <w:tcBorders>
              <w:top w:val="single" w:sz="4" w:space="0" w:color="auto"/>
              <w:bottom w:val="single" w:sz="4" w:space="0" w:color="auto"/>
            </w:tcBorders>
            <w:shd w:val="clear" w:color="auto" w:fill="92CDDC"/>
          </w:tcPr>
          <w:p w14:paraId="04940D9A" w14:textId="77777777" w:rsidR="00784A1F" w:rsidRDefault="00784A1F" w:rsidP="000742BD">
            <w:pPr>
              <w:spacing w:after="0" w:line="240" w:lineRule="auto"/>
              <w:jc w:val="left"/>
              <w:rPr>
                <w:b/>
              </w:rPr>
            </w:pPr>
            <w:r>
              <w:rPr>
                <w:b/>
              </w:rPr>
              <w:t>Watering Action</w:t>
            </w:r>
          </w:p>
        </w:tc>
        <w:tc>
          <w:tcPr>
            <w:tcW w:w="1732" w:type="dxa"/>
            <w:tcBorders>
              <w:top w:val="single" w:sz="4" w:space="0" w:color="auto"/>
              <w:bottom w:val="single" w:sz="4" w:space="0" w:color="auto"/>
            </w:tcBorders>
            <w:shd w:val="clear" w:color="auto" w:fill="92CDDC"/>
          </w:tcPr>
          <w:p w14:paraId="3EDA7C86" w14:textId="77777777" w:rsidR="00784A1F" w:rsidRDefault="00784A1F" w:rsidP="000742BD">
            <w:pPr>
              <w:spacing w:after="0" w:line="240" w:lineRule="auto"/>
              <w:jc w:val="left"/>
              <w:rPr>
                <w:b/>
              </w:rPr>
            </w:pPr>
            <w:r>
              <w:rPr>
                <w:b/>
              </w:rPr>
              <w:t>Name</w:t>
            </w:r>
          </w:p>
        </w:tc>
        <w:tc>
          <w:tcPr>
            <w:tcW w:w="4857" w:type="dxa"/>
            <w:tcBorders>
              <w:top w:val="single" w:sz="4" w:space="0" w:color="auto"/>
              <w:bottom w:val="single" w:sz="4" w:space="0" w:color="auto"/>
            </w:tcBorders>
            <w:shd w:val="clear" w:color="auto" w:fill="92CDDC"/>
          </w:tcPr>
          <w:p w14:paraId="5EE807A1" w14:textId="77777777" w:rsidR="00784A1F" w:rsidRDefault="00784A1F" w:rsidP="000742BD">
            <w:pPr>
              <w:spacing w:after="0" w:line="240" w:lineRule="auto"/>
              <w:jc w:val="left"/>
              <w:rPr>
                <w:b/>
              </w:rPr>
            </w:pPr>
            <w:r>
              <w:rPr>
                <w:b/>
              </w:rPr>
              <w:t>Objectives (from CEWO)</w:t>
            </w:r>
          </w:p>
        </w:tc>
        <w:tc>
          <w:tcPr>
            <w:tcW w:w="1207" w:type="dxa"/>
            <w:tcBorders>
              <w:top w:val="single" w:sz="4" w:space="0" w:color="auto"/>
              <w:bottom w:val="single" w:sz="4" w:space="0" w:color="auto"/>
            </w:tcBorders>
            <w:shd w:val="clear" w:color="auto" w:fill="92CDDC"/>
          </w:tcPr>
          <w:p w14:paraId="06799B5C" w14:textId="77777777" w:rsidR="00784A1F" w:rsidRDefault="00784A1F" w:rsidP="000742BD">
            <w:pPr>
              <w:spacing w:after="0" w:line="240" w:lineRule="auto"/>
              <w:jc w:val="left"/>
              <w:rPr>
                <w:b/>
              </w:rPr>
            </w:pPr>
            <w:r>
              <w:rPr>
                <w:b/>
              </w:rPr>
              <w:t>Dates</w:t>
            </w:r>
          </w:p>
        </w:tc>
      </w:tr>
      <w:tr w:rsidR="00784A1F" w:rsidRPr="002C710E" w14:paraId="2891CEF1" w14:textId="77777777" w:rsidTr="00784A1F">
        <w:tc>
          <w:tcPr>
            <w:tcW w:w="1413" w:type="dxa"/>
            <w:tcBorders>
              <w:top w:val="single" w:sz="4" w:space="0" w:color="auto"/>
            </w:tcBorders>
            <w:shd w:val="clear" w:color="auto" w:fill="FFFFFF" w:themeFill="background1"/>
          </w:tcPr>
          <w:p w14:paraId="6536DBAE" w14:textId="77777777" w:rsidR="00784A1F" w:rsidRPr="002C710E" w:rsidRDefault="00784A1F" w:rsidP="000742BD">
            <w:pPr>
              <w:spacing w:after="0" w:line="240" w:lineRule="auto"/>
              <w:jc w:val="left"/>
              <w:rPr>
                <w:sz w:val="20"/>
              </w:rPr>
            </w:pPr>
            <w:r w:rsidRPr="002C710E">
              <w:rPr>
                <w:sz w:val="20"/>
              </w:rPr>
              <w:t>Action 1</w:t>
            </w:r>
          </w:p>
        </w:tc>
        <w:tc>
          <w:tcPr>
            <w:tcW w:w="1732" w:type="dxa"/>
            <w:tcBorders>
              <w:top w:val="single" w:sz="4" w:space="0" w:color="auto"/>
            </w:tcBorders>
            <w:shd w:val="clear" w:color="auto" w:fill="FFFFFF" w:themeFill="background1"/>
          </w:tcPr>
          <w:p w14:paraId="049691DC" w14:textId="77777777" w:rsidR="00784A1F" w:rsidRPr="002C710E" w:rsidRDefault="00784A1F" w:rsidP="000742BD">
            <w:pPr>
              <w:spacing w:after="0" w:line="240" w:lineRule="auto"/>
              <w:jc w:val="left"/>
              <w:rPr>
                <w:sz w:val="20"/>
              </w:rPr>
            </w:pPr>
            <w:r w:rsidRPr="002C710E">
              <w:rPr>
                <w:sz w:val="20"/>
              </w:rPr>
              <w:t>Winter base flow</w:t>
            </w:r>
          </w:p>
        </w:tc>
        <w:tc>
          <w:tcPr>
            <w:tcW w:w="4857" w:type="dxa"/>
            <w:tcBorders>
              <w:top w:val="single" w:sz="4" w:space="0" w:color="auto"/>
            </w:tcBorders>
            <w:shd w:val="clear" w:color="auto" w:fill="FFFFFF" w:themeFill="background1"/>
          </w:tcPr>
          <w:p w14:paraId="35C16290" w14:textId="4508AC92" w:rsidR="00784A1F" w:rsidRPr="002C710E" w:rsidRDefault="00784A1F" w:rsidP="000742BD">
            <w:pPr>
              <w:spacing w:after="0" w:line="240" w:lineRule="auto"/>
              <w:jc w:val="left"/>
              <w:rPr>
                <w:sz w:val="20"/>
              </w:rPr>
            </w:pPr>
            <w:r w:rsidRPr="002C710E">
              <w:rPr>
                <w:sz w:val="20"/>
              </w:rPr>
              <w:t>For native fish condition and movement, vegetation in-channel, longitudinal connectivity; refuge habitat during irrigation shut-down period</w:t>
            </w:r>
          </w:p>
        </w:tc>
        <w:tc>
          <w:tcPr>
            <w:tcW w:w="1207" w:type="dxa"/>
            <w:tcBorders>
              <w:top w:val="single" w:sz="4" w:space="0" w:color="auto"/>
            </w:tcBorders>
            <w:shd w:val="clear" w:color="auto" w:fill="FFFFFF" w:themeFill="background1"/>
          </w:tcPr>
          <w:p w14:paraId="56EEF74B" w14:textId="77777777" w:rsidR="00784A1F" w:rsidRPr="002C710E" w:rsidRDefault="00784A1F" w:rsidP="000742BD">
            <w:pPr>
              <w:spacing w:after="0" w:line="240" w:lineRule="auto"/>
              <w:jc w:val="left"/>
              <w:rPr>
                <w:sz w:val="20"/>
              </w:rPr>
            </w:pPr>
            <w:r w:rsidRPr="002C710E">
              <w:rPr>
                <w:sz w:val="20"/>
              </w:rPr>
              <w:t>15/05/19 - 9/08/2019</w:t>
            </w:r>
          </w:p>
        </w:tc>
      </w:tr>
      <w:tr w:rsidR="00784A1F" w:rsidRPr="002C710E" w14:paraId="7815FC15" w14:textId="77777777" w:rsidTr="00784A1F">
        <w:tc>
          <w:tcPr>
            <w:tcW w:w="1413" w:type="dxa"/>
            <w:shd w:val="clear" w:color="auto" w:fill="FFFFFF" w:themeFill="background1"/>
          </w:tcPr>
          <w:p w14:paraId="7CBCAD18" w14:textId="77777777" w:rsidR="00784A1F" w:rsidRPr="002C710E" w:rsidRDefault="00784A1F" w:rsidP="000742BD">
            <w:pPr>
              <w:spacing w:after="0" w:line="240" w:lineRule="auto"/>
              <w:jc w:val="left"/>
              <w:rPr>
                <w:sz w:val="20"/>
              </w:rPr>
            </w:pPr>
            <w:r w:rsidRPr="002C710E">
              <w:rPr>
                <w:sz w:val="20"/>
              </w:rPr>
              <w:t>Action 2</w:t>
            </w:r>
          </w:p>
        </w:tc>
        <w:tc>
          <w:tcPr>
            <w:tcW w:w="1732" w:type="dxa"/>
            <w:shd w:val="clear" w:color="auto" w:fill="FFFFFF" w:themeFill="background1"/>
          </w:tcPr>
          <w:p w14:paraId="6D495EBD" w14:textId="77777777" w:rsidR="00784A1F" w:rsidRPr="002C710E" w:rsidRDefault="00784A1F" w:rsidP="000742BD">
            <w:pPr>
              <w:spacing w:after="0" w:line="240" w:lineRule="auto"/>
              <w:jc w:val="left"/>
              <w:rPr>
                <w:sz w:val="20"/>
              </w:rPr>
            </w:pPr>
            <w:r w:rsidRPr="002C710E">
              <w:rPr>
                <w:sz w:val="20"/>
              </w:rPr>
              <w:t>Winter to spring transition flow</w:t>
            </w:r>
          </w:p>
        </w:tc>
        <w:tc>
          <w:tcPr>
            <w:tcW w:w="4857" w:type="dxa"/>
            <w:shd w:val="clear" w:color="auto" w:fill="FFFFFF" w:themeFill="background1"/>
          </w:tcPr>
          <w:p w14:paraId="3247371C" w14:textId="78D1482F" w:rsidR="00784A1F" w:rsidRPr="002C710E" w:rsidRDefault="00784A1F" w:rsidP="000742BD">
            <w:pPr>
              <w:spacing w:after="0" w:line="240" w:lineRule="auto"/>
              <w:jc w:val="left"/>
              <w:rPr>
                <w:sz w:val="20"/>
              </w:rPr>
            </w:pPr>
            <w:r w:rsidRPr="002C710E">
              <w:rPr>
                <w:sz w:val="20"/>
              </w:rPr>
              <w:t>At this time, there was no operational demand so CEW was used to prevent water levels reducing to low levels for a short period between action 1 and action 3.</w:t>
            </w:r>
          </w:p>
        </w:tc>
        <w:tc>
          <w:tcPr>
            <w:tcW w:w="1207" w:type="dxa"/>
            <w:shd w:val="clear" w:color="auto" w:fill="FFFFFF" w:themeFill="background1"/>
          </w:tcPr>
          <w:p w14:paraId="7119EB0F" w14:textId="77777777" w:rsidR="00784A1F" w:rsidRPr="002C710E" w:rsidRDefault="00784A1F" w:rsidP="000742BD">
            <w:pPr>
              <w:spacing w:after="0" w:line="240" w:lineRule="auto"/>
              <w:jc w:val="left"/>
              <w:rPr>
                <w:sz w:val="20"/>
              </w:rPr>
            </w:pPr>
            <w:r w:rsidRPr="002C710E">
              <w:rPr>
                <w:sz w:val="20"/>
              </w:rPr>
              <w:t xml:space="preserve">10/08/19 - 27/08/19 </w:t>
            </w:r>
          </w:p>
          <w:p w14:paraId="0A5BA001" w14:textId="77777777" w:rsidR="00784A1F" w:rsidRPr="002C710E" w:rsidRDefault="00784A1F" w:rsidP="000742BD">
            <w:pPr>
              <w:spacing w:after="0" w:line="240" w:lineRule="auto"/>
              <w:jc w:val="left"/>
              <w:rPr>
                <w:sz w:val="20"/>
              </w:rPr>
            </w:pPr>
          </w:p>
        </w:tc>
      </w:tr>
      <w:tr w:rsidR="00784A1F" w:rsidRPr="002C710E" w14:paraId="5164F314" w14:textId="77777777" w:rsidTr="00784A1F">
        <w:tc>
          <w:tcPr>
            <w:tcW w:w="1413" w:type="dxa"/>
            <w:shd w:val="clear" w:color="auto" w:fill="FFFFFF" w:themeFill="background1"/>
          </w:tcPr>
          <w:p w14:paraId="7E74BAE5" w14:textId="77777777" w:rsidR="00784A1F" w:rsidRPr="002C710E" w:rsidRDefault="00784A1F" w:rsidP="000742BD">
            <w:pPr>
              <w:spacing w:after="0" w:line="240" w:lineRule="auto"/>
              <w:ind w:left="29"/>
              <w:jc w:val="left"/>
              <w:rPr>
                <w:sz w:val="20"/>
              </w:rPr>
            </w:pPr>
            <w:r w:rsidRPr="002C710E">
              <w:rPr>
                <w:sz w:val="20"/>
              </w:rPr>
              <w:t>Action 3a</w:t>
            </w:r>
          </w:p>
        </w:tc>
        <w:tc>
          <w:tcPr>
            <w:tcW w:w="1732" w:type="dxa"/>
            <w:shd w:val="clear" w:color="auto" w:fill="FFFFFF" w:themeFill="background1"/>
          </w:tcPr>
          <w:p w14:paraId="5F32DA67" w14:textId="77777777" w:rsidR="00784A1F" w:rsidRPr="002C710E" w:rsidRDefault="00784A1F" w:rsidP="000742BD">
            <w:pPr>
              <w:spacing w:after="0" w:line="240" w:lineRule="auto"/>
              <w:jc w:val="left"/>
              <w:rPr>
                <w:sz w:val="20"/>
              </w:rPr>
            </w:pPr>
            <w:r w:rsidRPr="002C710E">
              <w:rPr>
                <w:sz w:val="20"/>
              </w:rPr>
              <w:t>Winter/spring early fresh</w:t>
            </w:r>
          </w:p>
        </w:tc>
        <w:tc>
          <w:tcPr>
            <w:tcW w:w="4857" w:type="dxa"/>
            <w:shd w:val="clear" w:color="auto" w:fill="FFFFFF" w:themeFill="background1"/>
          </w:tcPr>
          <w:p w14:paraId="1706E52B" w14:textId="0FCB298A" w:rsidR="00784A1F" w:rsidRPr="002C710E" w:rsidRDefault="00784A1F" w:rsidP="000742BD">
            <w:pPr>
              <w:spacing w:after="0" w:line="240" w:lineRule="auto"/>
              <w:jc w:val="left"/>
              <w:rPr>
                <w:sz w:val="20"/>
              </w:rPr>
            </w:pPr>
            <w:r w:rsidRPr="002C710E">
              <w:rPr>
                <w:rFonts w:cs="Arial"/>
                <w:color w:val="000000" w:themeColor="text1"/>
                <w:sz w:val="20"/>
              </w:rPr>
              <w:t>To provide early season rise in river level to contribute to connectivity, water quality, stimulating early growth of in-stream aquatic vegetation, pre-spawning condition of native fish and/or spawning in early spawning native fish.</w:t>
            </w:r>
          </w:p>
        </w:tc>
        <w:tc>
          <w:tcPr>
            <w:tcW w:w="1207" w:type="dxa"/>
            <w:shd w:val="clear" w:color="auto" w:fill="FFFFFF" w:themeFill="background1"/>
          </w:tcPr>
          <w:p w14:paraId="7E926621" w14:textId="77777777" w:rsidR="00784A1F" w:rsidRPr="002C710E" w:rsidRDefault="00784A1F" w:rsidP="000742BD">
            <w:pPr>
              <w:spacing w:after="0" w:line="240" w:lineRule="auto"/>
              <w:jc w:val="left"/>
              <w:rPr>
                <w:sz w:val="20"/>
              </w:rPr>
            </w:pPr>
            <w:r w:rsidRPr="002C710E">
              <w:rPr>
                <w:sz w:val="20"/>
              </w:rPr>
              <w:t>28/08/19 - 4/09/19</w:t>
            </w:r>
          </w:p>
        </w:tc>
      </w:tr>
      <w:tr w:rsidR="00784A1F" w:rsidRPr="002C710E" w14:paraId="311D8201" w14:textId="77777777" w:rsidTr="00373180">
        <w:tc>
          <w:tcPr>
            <w:tcW w:w="1413" w:type="dxa"/>
            <w:shd w:val="clear" w:color="auto" w:fill="FFFFFF" w:themeFill="background1"/>
          </w:tcPr>
          <w:p w14:paraId="28CE201B" w14:textId="77777777" w:rsidR="00784A1F" w:rsidRPr="002C710E" w:rsidRDefault="00784A1F" w:rsidP="000742BD">
            <w:pPr>
              <w:spacing w:after="0" w:line="240" w:lineRule="auto"/>
              <w:ind w:left="29"/>
              <w:jc w:val="left"/>
              <w:rPr>
                <w:sz w:val="20"/>
              </w:rPr>
            </w:pPr>
            <w:r w:rsidRPr="002C710E">
              <w:rPr>
                <w:sz w:val="20"/>
              </w:rPr>
              <w:t>Action 3b</w:t>
            </w:r>
          </w:p>
        </w:tc>
        <w:tc>
          <w:tcPr>
            <w:tcW w:w="1732" w:type="dxa"/>
            <w:shd w:val="clear" w:color="auto" w:fill="FFFFFF" w:themeFill="background1"/>
            <w:tcMar>
              <w:left w:w="57" w:type="dxa"/>
              <w:right w:w="57" w:type="dxa"/>
            </w:tcMar>
          </w:tcPr>
          <w:p w14:paraId="06B27D7C" w14:textId="77777777" w:rsidR="00784A1F" w:rsidRPr="002C710E" w:rsidRDefault="00784A1F" w:rsidP="000742BD">
            <w:pPr>
              <w:spacing w:after="0" w:line="240" w:lineRule="auto"/>
              <w:jc w:val="left"/>
              <w:rPr>
                <w:sz w:val="20"/>
              </w:rPr>
            </w:pPr>
            <w:r w:rsidRPr="002C710E">
              <w:rPr>
                <w:sz w:val="20"/>
              </w:rPr>
              <w:t>Early spring elevated base flow</w:t>
            </w:r>
          </w:p>
        </w:tc>
        <w:tc>
          <w:tcPr>
            <w:tcW w:w="4857" w:type="dxa"/>
            <w:shd w:val="clear" w:color="auto" w:fill="FFFFFF" w:themeFill="background1"/>
          </w:tcPr>
          <w:p w14:paraId="6589F420" w14:textId="00054D5B" w:rsidR="00784A1F" w:rsidRPr="002C710E" w:rsidRDefault="00784A1F" w:rsidP="000742BD">
            <w:pPr>
              <w:spacing w:after="0" w:line="240" w:lineRule="auto"/>
              <w:jc w:val="left"/>
              <w:rPr>
                <w:sz w:val="20"/>
              </w:rPr>
            </w:pPr>
            <w:r w:rsidRPr="002C710E">
              <w:rPr>
                <w:rFonts w:cs="Arial"/>
                <w:color w:val="000000" w:themeColor="text1"/>
                <w:sz w:val="20"/>
                <w14:props3d w14:extrusionH="0" w14:contourW="0" w14:prstMaterial="matte"/>
              </w:rPr>
              <w:t>To maintain nesting habitat for Murray Cod, and inundation for aquatic vegetation growth.</w:t>
            </w:r>
          </w:p>
        </w:tc>
        <w:tc>
          <w:tcPr>
            <w:tcW w:w="1207" w:type="dxa"/>
            <w:shd w:val="clear" w:color="auto" w:fill="FFFFFF" w:themeFill="background1"/>
          </w:tcPr>
          <w:p w14:paraId="786761BD" w14:textId="77777777" w:rsidR="00784A1F" w:rsidRPr="002C710E" w:rsidRDefault="00784A1F" w:rsidP="000742BD">
            <w:pPr>
              <w:spacing w:after="0" w:line="240" w:lineRule="auto"/>
              <w:jc w:val="left"/>
              <w:rPr>
                <w:sz w:val="20"/>
              </w:rPr>
            </w:pPr>
            <w:r w:rsidRPr="002C710E">
              <w:rPr>
                <w:sz w:val="20"/>
              </w:rPr>
              <w:t>5/09/19 - 22/09/19</w:t>
            </w:r>
          </w:p>
        </w:tc>
      </w:tr>
      <w:tr w:rsidR="00784A1F" w:rsidRPr="002C710E" w14:paraId="0C1A96F2" w14:textId="77777777" w:rsidTr="00784A1F">
        <w:tc>
          <w:tcPr>
            <w:tcW w:w="1413" w:type="dxa"/>
            <w:shd w:val="clear" w:color="auto" w:fill="FFFFFF" w:themeFill="background1"/>
          </w:tcPr>
          <w:p w14:paraId="54111B08" w14:textId="77777777" w:rsidR="00784A1F" w:rsidRPr="002C710E" w:rsidRDefault="00784A1F" w:rsidP="000742BD">
            <w:pPr>
              <w:spacing w:after="0" w:line="240" w:lineRule="auto"/>
              <w:ind w:left="29"/>
              <w:jc w:val="left"/>
              <w:rPr>
                <w:sz w:val="20"/>
              </w:rPr>
            </w:pPr>
            <w:r w:rsidRPr="002C710E">
              <w:rPr>
                <w:sz w:val="20"/>
              </w:rPr>
              <w:t>Action 3c</w:t>
            </w:r>
          </w:p>
        </w:tc>
        <w:tc>
          <w:tcPr>
            <w:tcW w:w="1732" w:type="dxa"/>
            <w:shd w:val="clear" w:color="auto" w:fill="FFFFFF" w:themeFill="background1"/>
          </w:tcPr>
          <w:p w14:paraId="2F46E45D" w14:textId="77777777" w:rsidR="00784A1F" w:rsidRPr="002C710E" w:rsidRDefault="00784A1F" w:rsidP="000742BD">
            <w:pPr>
              <w:spacing w:after="0" w:line="240" w:lineRule="auto"/>
              <w:jc w:val="left"/>
              <w:rPr>
                <w:sz w:val="20"/>
              </w:rPr>
            </w:pPr>
            <w:r w:rsidRPr="002C710E">
              <w:rPr>
                <w:sz w:val="20"/>
              </w:rPr>
              <w:t>Late spring fresh</w:t>
            </w:r>
          </w:p>
        </w:tc>
        <w:tc>
          <w:tcPr>
            <w:tcW w:w="4857" w:type="dxa"/>
            <w:shd w:val="clear" w:color="auto" w:fill="FFFFFF" w:themeFill="background1"/>
          </w:tcPr>
          <w:p w14:paraId="7CD5AA43" w14:textId="667554B4" w:rsidR="00784A1F" w:rsidRPr="002C710E" w:rsidRDefault="00784A1F" w:rsidP="000742BD">
            <w:pPr>
              <w:spacing w:after="0" w:line="240" w:lineRule="auto"/>
              <w:jc w:val="left"/>
              <w:rPr>
                <w:sz w:val="20"/>
              </w:rPr>
            </w:pPr>
            <w:r w:rsidRPr="002C710E">
              <w:rPr>
                <w:color w:val="000000" w:themeColor="text1"/>
                <w:sz w:val="20"/>
                <w14:props3d w14:extrusionH="0" w14:contourW="0" w14:prstMaterial="matte"/>
              </w:rPr>
              <w:t xml:space="preserve">To promote silver perch spawning, influence and encourage fish movement, may be coordinated with wider Murray River actions to maximise benefit. May also assist with dispersal of larvae and juveniles of a number of fish species. </w:t>
            </w:r>
          </w:p>
        </w:tc>
        <w:tc>
          <w:tcPr>
            <w:tcW w:w="1207" w:type="dxa"/>
            <w:shd w:val="clear" w:color="auto" w:fill="FFFFFF" w:themeFill="background1"/>
          </w:tcPr>
          <w:p w14:paraId="2BF1C5A6" w14:textId="77777777" w:rsidR="00784A1F" w:rsidRPr="002C710E" w:rsidRDefault="00784A1F" w:rsidP="000742BD">
            <w:pPr>
              <w:spacing w:after="0" w:line="240" w:lineRule="auto"/>
              <w:jc w:val="left"/>
              <w:rPr>
                <w:sz w:val="20"/>
              </w:rPr>
            </w:pPr>
            <w:r w:rsidRPr="002C710E">
              <w:rPr>
                <w:sz w:val="20"/>
              </w:rPr>
              <w:t>23/09/19 - 11/10/19</w:t>
            </w:r>
          </w:p>
          <w:p w14:paraId="75384E23" w14:textId="77777777" w:rsidR="00784A1F" w:rsidRPr="002C710E" w:rsidRDefault="00784A1F" w:rsidP="000742BD">
            <w:pPr>
              <w:spacing w:after="0" w:line="240" w:lineRule="auto"/>
              <w:jc w:val="left"/>
              <w:rPr>
                <w:sz w:val="20"/>
              </w:rPr>
            </w:pPr>
          </w:p>
        </w:tc>
      </w:tr>
      <w:tr w:rsidR="00784A1F" w:rsidRPr="002C710E" w14:paraId="12A555A8" w14:textId="77777777" w:rsidTr="00784A1F">
        <w:tc>
          <w:tcPr>
            <w:tcW w:w="1413" w:type="dxa"/>
            <w:tcBorders>
              <w:bottom w:val="single" w:sz="4" w:space="0" w:color="FFFFFF" w:themeColor="background1"/>
            </w:tcBorders>
            <w:shd w:val="clear" w:color="auto" w:fill="FFFFFF" w:themeFill="background1"/>
          </w:tcPr>
          <w:p w14:paraId="731D69B3" w14:textId="77777777" w:rsidR="00784A1F" w:rsidRPr="002C710E" w:rsidRDefault="00784A1F" w:rsidP="000742BD">
            <w:pPr>
              <w:spacing w:after="0" w:line="240" w:lineRule="auto"/>
              <w:ind w:left="29"/>
              <w:jc w:val="left"/>
              <w:rPr>
                <w:sz w:val="20"/>
              </w:rPr>
            </w:pPr>
            <w:r w:rsidRPr="002C710E">
              <w:rPr>
                <w:sz w:val="20"/>
              </w:rPr>
              <w:t>Action 3d</w:t>
            </w:r>
          </w:p>
        </w:tc>
        <w:tc>
          <w:tcPr>
            <w:tcW w:w="1732" w:type="dxa"/>
            <w:tcBorders>
              <w:bottom w:val="single" w:sz="4" w:space="0" w:color="FFFFFF" w:themeColor="background1"/>
            </w:tcBorders>
            <w:shd w:val="clear" w:color="auto" w:fill="FFFFFF" w:themeFill="background1"/>
          </w:tcPr>
          <w:p w14:paraId="4A6CE32D" w14:textId="77777777" w:rsidR="00784A1F" w:rsidRPr="002C710E" w:rsidRDefault="00784A1F" w:rsidP="000742BD">
            <w:pPr>
              <w:spacing w:after="0" w:line="240" w:lineRule="auto"/>
              <w:jc w:val="left"/>
              <w:rPr>
                <w:sz w:val="20"/>
              </w:rPr>
            </w:pPr>
            <w:r w:rsidRPr="002C710E">
              <w:rPr>
                <w:sz w:val="20"/>
              </w:rPr>
              <w:t>Late spring elevated base flow</w:t>
            </w:r>
          </w:p>
        </w:tc>
        <w:tc>
          <w:tcPr>
            <w:tcW w:w="4857" w:type="dxa"/>
            <w:tcBorders>
              <w:bottom w:val="single" w:sz="4" w:space="0" w:color="FFFFFF" w:themeColor="background1"/>
            </w:tcBorders>
            <w:shd w:val="clear" w:color="auto" w:fill="FFFFFF" w:themeFill="background1"/>
          </w:tcPr>
          <w:p w14:paraId="086786AB" w14:textId="3E3F6385" w:rsidR="00784A1F" w:rsidRPr="002C710E" w:rsidRDefault="00784A1F" w:rsidP="000742BD">
            <w:pPr>
              <w:spacing w:after="0" w:line="240" w:lineRule="auto"/>
              <w:jc w:val="left"/>
              <w:rPr>
                <w:sz w:val="20"/>
              </w:rPr>
            </w:pPr>
            <w:r w:rsidRPr="002C710E">
              <w:rPr>
                <w:color w:val="000000" w:themeColor="text1"/>
                <w:sz w:val="20"/>
                <w14:props3d w14:extrusionH="0" w14:contourW="0" w14:prstMaterial="matte"/>
              </w:rPr>
              <w:t>To influence and encourage fish movement, may be coordinated with wider Murray River actions to maximise benefit. May also assist with dispersal of larvae and juveniles of a number of fish species.</w:t>
            </w:r>
          </w:p>
        </w:tc>
        <w:tc>
          <w:tcPr>
            <w:tcW w:w="1207" w:type="dxa"/>
            <w:tcBorders>
              <w:bottom w:val="single" w:sz="4" w:space="0" w:color="FFFFFF" w:themeColor="background1"/>
            </w:tcBorders>
            <w:shd w:val="clear" w:color="auto" w:fill="FFFFFF" w:themeFill="background1"/>
          </w:tcPr>
          <w:p w14:paraId="06A5F78F" w14:textId="77777777" w:rsidR="00784A1F" w:rsidRPr="002C710E" w:rsidRDefault="00784A1F" w:rsidP="000742BD">
            <w:pPr>
              <w:spacing w:after="0" w:line="240" w:lineRule="auto"/>
              <w:jc w:val="left"/>
              <w:rPr>
                <w:sz w:val="20"/>
              </w:rPr>
            </w:pPr>
            <w:r w:rsidRPr="002C710E">
              <w:rPr>
                <w:sz w:val="20"/>
              </w:rPr>
              <w:t>12/10/19 - 30/11/19</w:t>
            </w:r>
          </w:p>
          <w:p w14:paraId="2816ED96" w14:textId="77777777" w:rsidR="00784A1F" w:rsidRPr="002C710E" w:rsidRDefault="00784A1F" w:rsidP="000742BD">
            <w:pPr>
              <w:spacing w:after="0" w:line="240" w:lineRule="auto"/>
              <w:jc w:val="left"/>
              <w:rPr>
                <w:sz w:val="20"/>
              </w:rPr>
            </w:pPr>
          </w:p>
        </w:tc>
      </w:tr>
      <w:tr w:rsidR="00784A1F" w:rsidRPr="002C710E" w14:paraId="05A7E4F2" w14:textId="77777777" w:rsidTr="00784A1F">
        <w:tc>
          <w:tcPr>
            <w:tcW w:w="1413" w:type="dxa"/>
            <w:tcBorders>
              <w:bottom w:val="single" w:sz="4" w:space="0" w:color="auto"/>
            </w:tcBorders>
            <w:shd w:val="clear" w:color="auto" w:fill="FFFFFF" w:themeFill="background1"/>
          </w:tcPr>
          <w:p w14:paraId="6BD3D06A" w14:textId="77777777" w:rsidR="00784A1F" w:rsidRPr="002C710E" w:rsidRDefault="00784A1F" w:rsidP="000742BD">
            <w:pPr>
              <w:spacing w:after="0" w:line="240" w:lineRule="auto"/>
              <w:ind w:left="29"/>
              <w:jc w:val="left"/>
              <w:rPr>
                <w:sz w:val="20"/>
              </w:rPr>
            </w:pPr>
            <w:r w:rsidRPr="002C710E">
              <w:rPr>
                <w:sz w:val="20"/>
              </w:rPr>
              <w:t>Action 3e</w:t>
            </w:r>
          </w:p>
        </w:tc>
        <w:tc>
          <w:tcPr>
            <w:tcW w:w="1732" w:type="dxa"/>
            <w:tcBorders>
              <w:bottom w:val="single" w:sz="4" w:space="0" w:color="auto"/>
            </w:tcBorders>
            <w:shd w:val="clear" w:color="auto" w:fill="FFFFFF" w:themeFill="background1"/>
          </w:tcPr>
          <w:p w14:paraId="37EF702A" w14:textId="77777777" w:rsidR="00784A1F" w:rsidRPr="002C710E" w:rsidRDefault="00784A1F" w:rsidP="000742BD">
            <w:pPr>
              <w:spacing w:after="0" w:line="240" w:lineRule="auto"/>
              <w:jc w:val="left"/>
              <w:rPr>
                <w:sz w:val="20"/>
              </w:rPr>
            </w:pPr>
            <w:r w:rsidRPr="002C710E">
              <w:rPr>
                <w:sz w:val="20"/>
              </w:rPr>
              <w:t>Recession</w:t>
            </w:r>
          </w:p>
        </w:tc>
        <w:tc>
          <w:tcPr>
            <w:tcW w:w="4857" w:type="dxa"/>
            <w:tcBorders>
              <w:bottom w:val="single" w:sz="4" w:space="0" w:color="auto"/>
            </w:tcBorders>
            <w:shd w:val="clear" w:color="auto" w:fill="FFFFFF" w:themeFill="background1"/>
          </w:tcPr>
          <w:p w14:paraId="77AEC642" w14:textId="77777777" w:rsidR="00784A1F" w:rsidRPr="002C710E" w:rsidRDefault="00784A1F" w:rsidP="000742BD">
            <w:pPr>
              <w:spacing w:after="0" w:line="240" w:lineRule="auto"/>
              <w:jc w:val="left"/>
              <w:rPr>
                <w:sz w:val="20"/>
              </w:rPr>
            </w:pPr>
            <w:r w:rsidRPr="002C710E">
              <w:rPr>
                <w:color w:val="000000" w:themeColor="text1"/>
                <w:sz w:val="20"/>
                <w14:props3d w14:extrusionH="0" w14:contourW="0" w14:prstMaterial="matte"/>
              </w:rPr>
              <w:t>Slow recessions for instream water plants</w:t>
            </w:r>
          </w:p>
        </w:tc>
        <w:tc>
          <w:tcPr>
            <w:tcW w:w="1207" w:type="dxa"/>
            <w:tcBorders>
              <w:bottom w:val="single" w:sz="4" w:space="0" w:color="auto"/>
            </w:tcBorders>
            <w:shd w:val="clear" w:color="auto" w:fill="FFFFFF" w:themeFill="background1"/>
          </w:tcPr>
          <w:p w14:paraId="119E6C28" w14:textId="20D9BCC3" w:rsidR="00784A1F" w:rsidRPr="002C710E" w:rsidRDefault="00784A1F" w:rsidP="000742BD">
            <w:pPr>
              <w:spacing w:after="0" w:line="240" w:lineRule="auto"/>
              <w:jc w:val="left"/>
              <w:rPr>
                <w:sz w:val="20"/>
              </w:rPr>
            </w:pPr>
            <w:r w:rsidRPr="002C710E">
              <w:rPr>
                <w:sz w:val="20"/>
              </w:rPr>
              <w:t>1/12/19 - 22/12/19</w:t>
            </w:r>
          </w:p>
        </w:tc>
      </w:tr>
    </w:tbl>
    <w:p w14:paraId="58FA891A" w14:textId="77777777" w:rsidR="00784A1F" w:rsidRPr="00D95859" w:rsidRDefault="00784A1F" w:rsidP="00784A1F">
      <w:pPr>
        <w:spacing w:after="120" w:line="259" w:lineRule="auto"/>
        <w:jc w:val="left"/>
        <w:rPr>
          <w:rFonts w:cstheme="minorHAnsi"/>
          <w:b/>
          <w:color w:val="31849B"/>
          <w:sz w:val="28"/>
          <w:szCs w:val="28"/>
        </w:rPr>
      </w:pPr>
      <w:r w:rsidRPr="00D95859">
        <w:rPr>
          <w:rFonts w:cstheme="minorHAnsi"/>
          <w:b/>
          <w:color w:val="31849B"/>
          <w:sz w:val="28"/>
          <w:szCs w:val="28"/>
        </w:rPr>
        <w:t>5.3 Sel</w:t>
      </w:r>
      <w:r>
        <w:rPr>
          <w:rFonts w:cstheme="minorHAnsi"/>
          <w:b/>
          <w:color w:val="31849B"/>
          <w:sz w:val="28"/>
          <w:szCs w:val="28"/>
        </w:rPr>
        <w:t>ected Area evaluation questions</w:t>
      </w:r>
    </w:p>
    <w:p w14:paraId="1E6AA0AF" w14:textId="77777777" w:rsidR="00784A1F" w:rsidRDefault="00784A1F" w:rsidP="00784A1F">
      <w:pPr>
        <w:spacing w:after="120" w:line="259" w:lineRule="auto"/>
        <w:jc w:val="left"/>
        <w:rPr>
          <w:rFonts w:cs="Calibri"/>
        </w:rPr>
      </w:pPr>
      <w:r w:rsidRPr="002F23AF">
        <w:rPr>
          <w:rFonts w:cs="Calibri"/>
        </w:rPr>
        <w:t xml:space="preserve">As described above, the relationship between flow and water quality is complex and can be influenced by how changes in flow influence wetted </w:t>
      </w:r>
      <w:bookmarkStart w:id="21" w:name="_Hlk58409395"/>
      <w:r w:rsidRPr="002F23AF">
        <w:rPr>
          <w:rFonts w:cs="Calibri"/>
        </w:rPr>
        <w:t>benthic</w:t>
      </w:r>
      <w:bookmarkEnd w:id="21"/>
      <w:r w:rsidRPr="002F23AF">
        <w:rPr>
          <w:rFonts w:cs="Calibri"/>
        </w:rPr>
        <w:t xml:space="preserve"> area, water depth, rate of flow and c</w:t>
      </w:r>
      <w:r>
        <w:rPr>
          <w:rFonts w:cs="Calibri"/>
        </w:rPr>
        <w:t xml:space="preserve">onnectivity to the floodplain. </w:t>
      </w:r>
      <w:r w:rsidRPr="002F23AF">
        <w:rPr>
          <w:rFonts w:cs="Calibri"/>
        </w:rPr>
        <w:t>Water quality parameters may be affected in different ways due to the direct effects of changes in flow, or due to intera</w:t>
      </w:r>
      <w:r>
        <w:rPr>
          <w:rFonts w:cs="Calibri"/>
        </w:rPr>
        <w:t xml:space="preserve">ctions between the parameters. </w:t>
      </w:r>
      <w:r w:rsidRPr="002F23AF">
        <w:rPr>
          <w:rFonts w:cs="Calibri"/>
        </w:rPr>
        <w:t>In order to obtain an understanding of the impact of environmental water deliveries to the Edward</w:t>
      </w:r>
      <w:r>
        <w:rPr>
          <w:rFonts w:cs="Calibri"/>
        </w:rPr>
        <w:t>/Kolety</w:t>
      </w:r>
      <w:r w:rsidRPr="002F23AF">
        <w:rPr>
          <w:rFonts w:cs="Calibri"/>
        </w:rPr>
        <w:t xml:space="preserve">-Wakool </w:t>
      </w:r>
      <w:r>
        <w:rPr>
          <w:rFonts w:cs="Calibri"/>
        </w:rPr>
        <w:t>system on the water quality</w:t>
      </w:r>
      <w:r w:rsidRPr="002F23AF">
        <w:rPr>
          <w:rFonts w:cs="Calibri"/>
        </w:rPr>
        <w:t xml:space="preserve"> </w:t>
      </w:r>
      <w:r>
        <w:rPr>
          <w:rFonts w:cs="Calibri"/>
        </w:rPr>
        <w:t>in a broader range of sites (</w:t>
      </w:r>
      <w:r w:rsidRPr="00212AAF">
        <w:rPr>
          <w:rFonts w:cs="Calibri"/>
        </w:rPr>
        <w:t>the Wakool-Yallakool system,</w:t>
      </w:r>
      <w:r>
        <w:rPr>
          <w:rFonts w:cs="Calibri"/>
        </w:rPr>
        <w:t xml:space="preserve"> Edward/Kolety River, the Colligen-Niemur River and Tuppal Creek), </w:t>
      </w:r>
      <w:r w:rsidRPr="002F23AF">
        <w:rPr>
          <w:rFonts w:cs="Calibri"/>
        </w:rPr>
        <w:t xml:space="preserve">we monitor a number of parameters </w:t>
      </w:r>
      <w:r>
        <w:rPr>
          <w:rFonts w:cs="Calibri"/>
        </w:rPr>
        <w:t>at</w:t>
      </w:r>
      <w:r w:rsidRPr="002F23AF">
        <w:rPr>
          <w:rFonts w:cs="Calibri"/>
        </w:rPr>
        <w:t xml:space="preserve"> each site through a combination of continuous logging, spot readings on site and sample collection for laboratory analysis. Water quality will generally respond very rapidly to changes in flow, </w:t>
      </w:r>
      <w:r w:rsidRPr="00212AAF">
        <w:rPr>
          <w:rFonts w:cs="Calibri"/>
        </w:rPr>
        <w:t xml:space="preserve">but trends may also develop over a longer period, so the questions below are considered on </w:t>
      </w:r>
      <w:r w:rsidRPr="0095586D">
        <w:rPr>
          <w:rFonts w:cs="Calibri"/>
        </w:rPr>
        <w:t>a 1-3 year</w:t>
      </w:r>
      <w:r w:rsidRPr="00212AAF">
        <w:rPr>
          <w:rFonts w:cs="Calibri"/>
        </w:rPr>
        <w:t xml:space="preserve"> basis.</w:t>
      </w:r>
      <w:r w:rsidRPr="002F23AF">
        <w:rPr>
          <w:rFonts w:cs="Calibri"/>
        </w:rPr>
        <w:t xml:space="preserve"> </w:t>
      </w:r>
    </w:p>
    <w:p w14:paraId="7BA3252C" w14:textId="77777777" w:rsidR="00784A1F" w:rsidRDefault="00784A1F" w:rsidP="00784A1F">
      <w:pPr>
        <w:spacing w:after="120" w:line="259" w:lineRule="auto"/>
        <w:jc w:val="left"/>
        <w:rPr>
          <w:rFonts w:cs="Calibri"/>
        </w:rPr>
      </w:pPr>
      <w:r>
        <w:rPr>
          <w:rFonts w:cs="Calibri"/>
        </w:rPr>
        <w:t>In 2019-20 the key questions relating to the CEW actions were:</w:t>
      </w:r>
    </w:p>
    <w:p w14:paraId="3CD613C1" w14:textId="77777777" w:rsidR="00784A1F" w:rsidRPr="0095586D" w:rsidRDefault="00784A1F" w:rsidP="00784A1F">
      <w:pPr>
        <w:numPr>
          <w:ilvl w:val="0"/>
          <w:numId w:val="14"/>
        </w:numPr>
        <w:spacing w:after="120" w:line="259" w:lineRule="auto"/>
        <w:ind w:left="714" w:hanging="357"/>
        <w:jc w:val="left"/>
        <w:rPr>
          <w:rFonts w:cs="Calibri"/>
        </w:rPr>
      </w:pPr>
      <w:r w:rsidRPr="0095586D">
        <w:rPr>
          <w:rFonts w:cs="Calibri"/>
        </w:rPr>
        <w:t>What did Commonwealth environmental water contribute to DO concentrations?</w:t>
      </w:r>
    </w:p>
    <w:p w14:paraId="7BC095DF" w14:textId="77777777" w:rsidR="00784A1F" w:rsidRPr="0095586D" w:rsidRDefault="00784A1F" w:rsidP="00784A1F">
      <w:pPr>
        <w:numPr>
          <w:ilvl w:val="0"/>
          <w:numId w:val="14"/>
        </w:numPr>
        <w:spacing w:after="120" w:line="259" w:lineRule="auto"/>
        <w:ind w:left="714" w:hanging="357"/>
        <w:jc w:val="left"/>
        <w:rPr>
          <w:rFonts w:cs="Calibri"/>
        </w:rPr>
      </w:pPr>
      <w:r w:rsidRPr="0095586D">
        <w:rPr>
          <w:rFonts w:cs="Calibri"/>
        </w:rPr>
        <w:t>What did Commonwealth environmental water contribute to nutrient concentrations?</w:t>
      </w:r>
    </w:p>
    <w:p w14:paraId="26428626" w14:textId="77777777" w:rsidR="00784A1F" w:rsidRPr="0095586D" w:rsidRDefault="00784A1F" w:rsidP="00784A1F">
      <w:pPr>
        <w:numPr>
          <w:ilvl w:val="0"/>
          <w:numId w:val="14"/>
        </w:numPr>
        <w:spacing w:after="120" w:line="259" w:lineRule="auto"/>
        <w:ind w:left="714" w:hanging="357"/>
        <w:jc w:val="left"/>
        <w:rPr>
          <w:rFonts w:cs="Calibri"/>
        </w:rPr>
      </w:pPr>
      <w:r w:rsidRPr="0095586D">
        <w:rPr>
          <w:rFonts w:cs="Calibri"/>
        </w:rPr>
        <w:t>What did Commonwealth environmental water contribute to modification of the type and amount of dissolved organic matter through reconnection with previously dry or disconnected in-channel habitat?</w:t>
      </w:r>
    </w:p>
    <w:p w14:paraId="61211647" w14:textId="77777777" w:rsidR="00784A1F" w:rsidRPr="0095586D" w:rsidRDefault="00784A1F" w:rsidP="00784A1F">
      <w:pPr>
        <w:spacing w:after="120" w:line="259" w:lineRule="auto"/>
        <w:ind w:right="-142"/>
        <w:jc w:val="left"/>
        <w:rPr>
          <w:rFonts w:cs="Calibri"/>
        </w:rPr>
      </w:pPr>
      <w:r w:rsidRPr="0095586D">
        <w:rPr>
          <w:rFonts w:cs="Calibri"/>
        </w:rPr>
        <w:t>The remaining question was not addressed as these conditions were not present in the system:</w:t>
      </w:r>
    </w:p>
    <w:p w14:paraId="4D607DA8" w14:textId="77777777" w:rsidR="00784A1F" w:rsidRDefault="00784A1F" w:rsidP="00784A1F">
      <w:pPr>
        <w:numPr>
          <w:ilvl w:val="0"/>
          <w:numId w:val="14"/>
        </w:numPr>
        <w:spacing w:after="120" w:line="259" w:lineRule="auto"/>
        <w:ind w:left="714" w:hanging="357"/>
        <w:jc w:val="left"/>
        <w:rPr>
          <w:rFonts w:cs="Calibri"/>
        </w:rPr>
      </w:pPr>
      <w:r w:rsidRPr="0095586D">
        <w:rPr>
          <w:rFonts w:cs="Calibri"/>
        </w:rPr>
        <w:t>What did Commonwealth environmental water contribute to reducing the impact of blackwater or other adverse water quality events in the system?</w:t>
      </w:r>
    </w:p>
    <w:p w14:paraId="09C16409" w14:textId="77777777" w:rsidR="00784A1F" w:rsidRPr="0095586D" w:rsidRDefault="00784A1F" w:rsidP="00784A1F">
      <w:pPr>
        <w:spacing w:after="120" w:line="259" w:lineRule="auto"/>
        <w:ind w:left="357"/>
        <w:jc w:val="left"/>
        <w:rPr>
          <w:rFonts w:cs="Calibri"/>
        </w:rPr>
      </w:pPr>
    </w:p>
    <w:p w14:paraId="5B27641E" w14:textId="77777777" w:rsidR="00784A1F" w:rsidRPr="00D95859" w:rsidRDefault="00784A1F" w:rsidP="00784A1F">
      <w:pPr>
        <w:spacing w:after="120" w:line="259" w:lineRule="auto"/>
        <w:jc w:val="left"/>
        <w:rPr>
          <w:rFonts w:cstheme="minorHAnsi"/>
          <w:b/>
          <w:color w:val="31849B"/>
          <w:sz w:val="28"/>
          <w:szCs w:val="28"/>
        </w:rPr>
      </w:pPr>
      <w:r w:rsidRPr="00D95859">
        <w:rPr>
          <w:rFonts w:cstheme="minorHAnsi"/>
          <w:b/>
          <w:color w:val="31849B"/>
          <w:sz w:val="28"/>
          <w:szCs w:val="28"/>
        </w:rPr>
        <w:t>5.4 Monitoring sites</w:t>
      </w:r>
    </w:p>
    <w:p w14:paraId="1138AB3E" w14:textId="77777777" w:rsidR="00784A1F" w:rsidRPr="0095586D" w:rsidRDefault="00784A1F" w:rsidP="00784A1F">
      <w:pPr>
        <w:spacing w:after="120" w:line="259" w:lineRule="auto"/>
        <w:jc w:val="left"/>
        <w:rPr>
          <w:rFonts w:cs="Calibri"/>
        </w:rPr>
      </w:pPr>
      <w:r w:rsidRPr="0095586D">
        <w:rPr>
          <w:rFonts w:cs="Calibri"/>
        </w:rPr>
        <w:t xml:space="preserve">The core carbon fluorescence and water quality data have been collected at sites shown in </w:t>
      </w:r>
      <w:r>
        <w:rPr>
          <w:rFonts w:cs="Calibri"/>
        </w:rPr>
        <w:t xml:space="preserve">Table 5.2 and </w:t>
      </w:r>
      <w:r w:rsidRPr="0095586D">
        <w:rPr>
          <w:rFonts w:cs="Calibri"/>
        </w:rPr>
        <w:t xml:space="preserve">Figure </w:t>
      </w:r>
      <w:r>
        <w:rPr>
          <w:rFonts w:cs="Calibri"/>
        </w:rPr>
        <w:t>5.1</w:t>
      </w:r>
      <w:r w:rsidRPr="0095586D">
        <w:rPr>
          <w:rFonts w:cs="Calibri"/>
        </w:rPr>
        <w:t xml:space="preserve"> and includes ongoing monitoring at established sites in Yallakool Creek (Zone 1), Wakool River (Zones 2 to 4), and source water for these sites from the Mulwala Canal and the Edward</w:t>
      </w:r>
      <w:r>
        <w:rPr>
          <w:rFonts w:cs="Calibri"/>
        </w:rPr>
        <w:t>/Kolety</w:t>
      </w:r>
      <w:r w:rsidRPr="0095586D">
        <w:rPr>
          <w:rFonts w:cs="Calibri"/>
        </w:rPr>
        <w:t xml:space="preserve"> River at Stevens Weir. New sites </w:t>
      </w:r>
      <w:r>
        <w:rPr>
          <w:rFonts w:cs="Calibri"/>
        </w:rPr>
        <w:t>for the</w:t>
      </w:r>
      <w:r w:rsidRPr="0095586D">
        <w:rPr>
          <w:rFonts w:cs="Calibri"/>
        </w:rPr>
        <w:t xml:space="preserve"> </w:t>
      </w:r>
      <w:r>
        <w:rPr>
          <w:rFonts w:cs="Calibri"/>
        </w:rPr>
        <w:t>Flow-</w:t>
      </w:r>
      <w:r w:rsidRPr="0095586D">
        <w:rPr>
          <w:rFonts w:cs="Calibri"/>
        </w:rPr>
        <w:t>MER project expand</w:t>
      </w:r>
      <w:r>
        <w:rPr>
          <w:rFonts w:cs="Calibri"/>
        </w:rPr>
        <w:t>ed</w:t>
      </w:r>
      <w:r w:rsidRPr="0095586D">
        <w:rPr>
          <w:rFonts w:cs="Calibri"/>
        </w:rPr>
        <w:t xml:space="preserve"> the water quality monitoring further downstream in the Wakool River and to Tuppal Creek, the Edward</w:t>
      </w:r>
      <w:r>
        <w:rPr>
          <w:rFonts w:cs="Calibri"/>
        </w:rPr>
        <w:t>/Kolety</w:t>
      </w:r>
      <w:r w:rsidRPr="0095586D">
        <w:rPr>
          <w:rFonts w:cs="Calibri"/>
        </w:rPr>
        <w:t xml:space="preserve"> River, and the Colligen-Niemur River to better capture the impact of environmental water in the broader system. Sites 5 and 6 (Edward</w:t>
      </w:r>
      <w:r>
        <w:rPr>
          <w:rFonts w:cs="Calibri"/>
        </w:rPr>
        <w:t>/Kolety</w:t>
      </w:r>
      <w:r w:rsidRPr="0095586D">
        <w:rPr>
          <w:rFonts w:cs="Calibri"/>
        </w:rPr>
        <w:t xml:space="preserve"> River) together with 9, 10 and 11 (the Colligen-Niemur</w:t>
      </w:r>
      <w:r>
        <w:rPr>
          <w:rFonts w:cs="Calibri"/>
        </w:rPr>
        <w:t xml:space="preserve"> River</w:t>
      </w:r>
      <w:r w:rsidRPr="0095586D">
        <w:rPr>
          <w:rFonts w:cs="Calibri"/>
        </w:rPr>
        <w:t xml:space="preserve"> system) may be used in combination to assess carbon and nutrient exchange between the river systems and the Werai Forest should an appropriate overbank flow occur.</w:t>
      </w:r>
    </w:p>
    <w:p w14:paraId="460E22EB" w14:textId="77777777" w:rsidR="00784A1F" w:rsidRDefault="00784A1F" w:rsidP="00784A1F">
      <w:pPr>
        <w:spacing w:after="120" w:line="259" w:lineRule="auto"/>
        <w:jc w:val="left"/>
      </w:pPr>
      <w:r w:rsidRPr="0095586D">
        <w:rPr>
          <w:rFonts w:cs="Calibri"/>
        </w:rPr>
        <w:t>The focus of the annual monitoring is the assessment of organic matter inputs and water quality changes during in-stream flows. Sampling consists of water samples collected from each site on a monthly basis throughout the</w:t>
      </w:r>
      <w:r>
        <w:t xml:space="preserve"> year.</w:t>
      </w:r>
    </w:p>
    <w:p w14:paraId="275E7075" w14:textId="77777777" w:rsidR="00784A1F" w:rsidRDefault="00784A1F" w:rsidP="00784A1F">
      <w:pPr>
        <w:spacing w:after="120" w:line="259" w:lineRule="auto"/>
        <w:jc w:val="left"/>
        <w:rPr>
          <w:sz w:val="20"/>
        </w:rPr>
      </w:pPr>
      <w:r>
        <w:rPr>
          <w:sz w:val="20"/>
        </w:rPr>
        <w:br w:type="page"/>
      </w:r>
    </w:p>
    <w:p w14:paraId="6D0CFF3C" w14:textId="5C2B3757" w:rsidR="00784A1F" w:rsidRPr="00C01C40" w:rsidRDefault="00784A1F" w:rsidP="00784A1F">
      <w:pPr>
        <w:spacing w:after="0" w:line="259" w:lineRule="auto"/>
        <w:jc w:val="left"/>
        <w:rPr>
          <w:sz w:val="20"/>
        </w:rPr>
      </w:pPr>
      <w:r w:rsidRPr="00AE2B4D">
        <w:rPr>
          <w:b/>
          <w:sz w:val="20"/>
        </w:rPr>
        <w:t>Table 5.2</w:t>
      </w:r>
      <w:r w:rsidRPr="00C01C40">
        <w:rPr>
          <w:sz w:val="20"/>
        </w:rPr>
        <w:t xml:space="preserve"> Sites for water quality and carbon routine monitoring.</w:t>
      </w:r>
      <w:r>
        <w:rPr>
          <w:sz w:val="20"/>
        </w:rPr>
        <w:t xml:space="preserve"> Colours in this table relate to the colours on the map in Figure 5.1.</w:t>
      </w:r>
    </w:p>
    <w:tbl>
      <w:tblPr>
        <w:tblStyle w:val="TableGrid"/>
        <w:tblW w:w="9634" w:type="dxa"/>
        <w:tblLayout w:type="fixed"/>
        <w:tblLook w:val="04A0" w:firstRow="1" w:lastRow="0" w:firstColumn="1" w:lastColumn="0" w:noHBand="0" w:noVBand="1"/>
      </w:tblPr>
      <w:tblGrid>
        <w:gridCol w:w="538"/>
        <w:gridCol w:w="1515"/>
        <w:gridCol w:w="1486"/>
        <w:gridCol w:w="1134"/>
        <w:gridCol w:w="992"/>
        <w:gridCol w:w="1134"/>
        <w:gridCol w:w="1113"/>
        <w:gridCol w:w="1722"/>
      </w:tblGrid>
      <w:tr w:rsidR="00784A1F" w:rsidRPr="003C418C" w14:paraId="674B8956" w14:textId="77777777" w:rsidTr="001A703E">
        <w:tc>
          <w:tcPr>
            <w:tcW w:w="538" w:type="dxa"/>
          </w:tcPr>
          <w:p w14:paraId="26A88C9F" w14:textId="77777777" w:rsidR="00784A1F" w:rsidRPr="003C418C" w:rsidRDefault="00784A1F" w:rsidP="00784A1F">
            <w:pPr>
              <w:spacing w:after="0" w:line="240" w:lineRule="auto"/>
              <w:jc w:val="left"/>
              <w:rPr>
                <w:rFonts w:cstheme="minorHAnsi"/>
                <w:sz w:val="20"/>
              </w:rPr>
            </w:pPr>
            <w:r w:rsidRPr="003C418C">
              <w:rPr>
                <w:rFonts w:cstheme="minorHAnsi"/>
                <w:sz w:val="20"/>
              </w:rPr>
              <w:t>No.</w:t>
            </w:r>
          </w:p>
        </w:tc>
        <w:tc>
          <w:tcPr>
            <w:tcW w:w="1515" w:type="dxa"/>
          </w:tcPr>
          <w:p w14:paraId="2B2771ED" w14:textId="77777777" w:rsidR="00784A1F" w:rsidRPr="003C418C" w:rsidRDefault="00784A1F" w:rsidP="00784A1F">
            <w:pPr>
              <w:spacing w:after="0" w:line="240" w:lineRule="auto"/>
              <w:jc w:val="left"/>
              <w:rPr>
                <w:rFonts w:cstheme="minorHAnsi"/>
                <w:sz w:val="20"/>
              </w:rPr>
            </w:pPr>
            <w:r w:rsidRPr="003C418C">
              <w:rPr>
                <w:rFonts w:cstheme="minorHAnsi"/>
                <w:sz w:val="20"/>
              </w:rPr>
              <w:t>Site name</w:t>
            </w:r>
          </w:p>
        </w:tc>
        <w:tc>
          <w:tcPr>
            <w:tcW w:w="1486" w:type="dxa"/>
          </w:tcPr>
          <w:p w14:paraId="234A537C" w14:textId="77777777" w:rsidR="00784A1F" w:rsidRPr="003C418C" w:rsidRDefault="00784A1F" w:rsidP="00784A1F">
            <w:pPr>
              <w:spacing w:after="0" w:line="240" w:lineRule="auto"/>
              <w:jc w:val="left"/>
              <w:rPr>
                <w:rFonts w:cstheme="minorHAnsi"/>
                <w:sz w:val="20"/>
              </w:rPr>
            </w:pPr>
            <w:r w:rsidRPr="003C418C">
              <w:rPr>
                <w:rFonts w:cstheme="minorHAnsi"/>
                <w:sz w:val="20"/>
              </w:rPr>
              <w:t>River system</w:t>
            </w:r>
          </w:p>
        </w:tc>
        <w:tc>
          <w:tcPr>
            <w:tcW w:w="1134" w:type="dxa"/>
          </w:tcPr>
          <w:p w14:paraId="75719356" w14:textId="77777777" w:rsidR="00784A1F" w:rsidRPr="003C418C" w:rsidRDefault="00784A1F" w:rsidP="00784A1F">
            <w:pPr>
              <w:spacing w:after="0" w:line="240" w:lineRule="auto"/>
              <w:jc w:val="left"/>
              <w:rPr>
                <w:rFonts w:cstheme="minorHAnsi"/>
                <w:sz w:val="20"/>
              </w:rPr>
            </w:pPr>
            <w:r>
              <w:rPr>
                <w:rFonts w:cstheme="minorHAnsi"/>
                <w:sz w:val="20"/>
              </w:rPr>
              <w:t>Gauge</w:t>
            </w:r>
            <w:r w:rsidRPr="003C418C">
              <w:rPr>
                <w:rFonts w:cstheme="minorHAnsi"/>
                <w:sz w:val="20"/>
              </w:rPr>
              <w:t xml:space="preserve"> number</w:t>
            </w:r>
          </w:p>
        </w:tc>
        <w:tc>
          <w:tcPr>
            <w:tcW w:w="992" w:type="dxa"/>
          </w:tcPr>
          <w:p w14:paraId="212E3B89" w14:textId="77777777" w:rsidR="00784A1F" w:rsidRPr="003C418C" w:rsidRDefault="00784A1F" w:rsidP="00784A1F">
            <w:pPr>
              <w:spacing w:after="0" w:line="240" w:lineRule="auto"/>
              <w:jc w:val="left"/>
              <w:rPr>
                <w:rFonts w:cstheme="minorHAnsi"/>
                <w:sz w:val="20"/>
              </w:rPr>
            </w:pPr>
            <w:r>
              <w:rPr>
                <w:rFonts w:cstheme="minorHAnsi"/>
                <w:sz w:val="20"/>
              </w:rPr>
              <w:t xml:space="preserve">LTIM </w:t>
            </w:r>
            <w:r w:rsidRPr="003C418C">
              <w:rPr>
                <w:rFonts w:cstheme="minorHAnsi"/>
                <w:sz w:val="20"/>
              </w:rPr>
              <w:t xml:space="preserve">DO logger </w:t>
            </w:r>
          </w:p>
        </w:tc>
        <w:tc>
          <w:tcPr>
            <w:tcW w:w="1134" w:type="dxa"/>
          </w:tcPr>
          <w:p w14:paraId="05AEC2D3" w14:textId="77777777" w:rsidR="00784A1F" w:rsidRPr="003C418C" w:rsidRDefault="00784A1F" w:rsidP="00784A1F">
            <w:pPr>
              <w:spacing w:after="0" w:line="240" w:lineRule="auto"/>
              <w:jc w:val="left"/>
              <w:rPr>
                <w:rFonts w:cstheme="minorHAnsi"/>
                <w:sz w:val="20"/>
              </w:rPr>
            </w:pPr>
            <w:r w:rsidRPr="003C418C">
              <w:rPr>
                <w:rFonts w:cstheme="minorHAnsi"/>
                <w:sz w:val="20"/>
              </w:rPr>
              <w:t xml:space="preserve">WaterNSW DO </w:t>
            </w:r>
            <w:r>
              <w:rPr>
                <w:rFonts w:cstheme="minorHAnsi"/>
                <w:sz w:val="20"/>
              </w:rPr>
              <w:t>logge</w:t>
            </w:r>
          </w:p>
        </w:tc>
        <w:tc>
          <w:tcPr>
            <w:tcW w:w="1113" w:type="dxa"/>
          </w:tcPr>
          <w:p w14:paraId="1C74DA24" w14:textId="77777777" w:rsidR="00784A1F" w:rsidRPr="003C418C" w:rsidRDefault="00784A1F" w:rsidP="00784A1F">
            <w:pPr>
              <w:spacing w:after="0" w:line="240" w:lineRule="auto"/>
              <w:jc w:val="left"/>
              <w:rPr>
                <w:rFonts w:cstheme="minorHAnsi"/>
                <w:sz w:val="20"/>
              </w:rPr>
            </w:pPr>
            <w:r w:rsidRPr="003C418C">
              <w:rPr>
                <w:rFonts w:cstheme="minorHAnsi"/>
                <w:sz w:val="20"/>
              </w:rPr>
              <w:t xml:space="preserve">New </w:t>
            </w:r>
            <w:r>
              <w:rPr>
                <w:rFonts w:cstheme="minorHAnsi"/>
                <w:sz w:val="20"/>
              </w:rPr>
              <w:t>Flow-</w:t>
            </w:r>
            <w:r w:rsidRPr="003C418C">
              <w:rPr>
                <w:rFonts w:cstheme="minorHAnsi"/>
                <w:sz w:val="20"/>
              </w:rPr>
              <w:t xml:space="preserve">MER DO logger </w:t>
            </w:r>
          </w:p>
        </w:tc>
        <w:tc>
          <w:tcPr>
            <w:tcW w:w="1722" w:type="dxa"/>
          </w:tcPr>
          <w:p w14:paraId="49E1677A" w14:textId="77777777" w:rsidR="00784A1F" w:rsidRPr="003C418C" w:rsidRDefault="00784A1F" w:rsidP="00784A1F">
            <w:pPr>
              <w:spacing w:after="0" w:line="240" w:lineRule="auto"/>
              <w:jc w:val="left"/>
              <w:rPr>
                <w:rFonts w:cstheme="minorHAnsi"/>
                <w:sz w:val="20"/>
              </w:rPr>
            </w:pPr>
            <w:r>
              <w:rPr>
                <w:rFonts w:cstheme="minorHAnsi"/>
                <w:sz w:val="20"/>
              </w:rPr>
              <w:t>Sites labels on figures</w:t>
            </w:r>
          </w:p>
        </w:tc>
      </w:tr>
      <w:tr w:rsidR="00784A1F" w:rsidRPr="003C418C" w14:paraId="658BDD73" w14:textId="77777777" w:rsidTr="001A703E">
        <w:tc>
          <w:tcPr>
            <w:tcW w:w="538" w:type="dxa"/>
          </w:tcPr>
          <w:p w14:paraId="57E09629"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w:t>
            </w:r>
          </w:p>
        </w:tc>
        <w:tc>
          <w:tcPr>
            <w:tcW w:w="1515" w:type="dxa"/>
          </w:tcPr>
          <w:p w14:paraId="5DED8EA4"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Tuppal Creek</w:t>
            </w:r>
          </w:p>
        </w:tc>
        <w:tc>
          <w:tcPr>
            <w:tcW w:w="1486" w:type="dxa"/>
          </w:tcPr>
          <w:p w14:paraId="7D860B0E"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Tuppal Creek</w:t>
            </w:r>
          </w:p>
        </w:tc>
        <w:tc>
          <w:tcPr>
            <w:tcW w:w="1134" w:type="dxa"/>
          </w:tcPr>
          <w:p w14:paraId="1A63245B"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409056</w:t>
            </w:r>
          </w:p>
        </w:tc>
        <w:tc>
          <w:tcPr>
            <w:tcW w:w="992" w:type="dxa"/>
          </w:tcPr>
          <w:p w14:paraId="68766BBB" w14:textId="77777777" w:rsidR="00784A1F" w:rsidRPr="003C418C" w:rsidRDefault="00784A1F" w:rsidP="00784A1F">
            <w:pPr>
              <w:spacing w:after="120" w:line="240" w:lineRule="auto"/>
              <w:contextualSpacing/>
              <w:jc w:val="left"/>
              <w:rPr>
                <w:rFonts w:eastAsia="Adobe Fan Heiti Std B" w:cstheme="minorHAnsi"/>
                <w:sz w:val="20"/>
                <w:highlight w:val="red"/>
              </w:rPr>
            </w:pPr>
          </w:p>
        </w:tc>
        <w:tc>
          <w:tcPr>
            <w:tcW w:w="1134" w:type="dxa"/>
          </w:tcPr>
          <w:p w14:paraId="220FD960" w14:textId="77777777" w:rsidR="00784A1F" w:rsidRPr="003C418C" w:rsidRDefault="00784A1F" w:rsidP="00784A1F">
            <w:pPr>
              <w:spacing w:after="120" w:line="240" w:lineRule="auto"/>
              <w:contextualSpacing/>
              <w:jc w:val="left"/>
              <w:rPr>
                <w:rFonts w:cstheme="minorHAnsi"/>
                <w:sz w:val="20"/>
              </w:rPr>
            </w:pPr>
          </w:p>
        </w:tc>
        <w:tc>
          <w:tcPr>
            <w:tcW w:w="1113" w:type="dxa"/>
          </w:tcPr>
          <w:p w14:paraId="5512F5B1" w14:textId="77777777" w:rsidR="00784A1F" w:rsidRPr="003C418C" w:rsidRDefault="00784A1F" w:rsidP="00784A1F">
            <w:pPr>
              <w:spacing w:after="120" w:line="240" w:lineRule="auto"/>
              <w:contextualSpacing/>
              <w:jc w:val="left"/>
              <w:rPr>
                <w:rFonts w:cstheme="minorHAnsi"/>
                <w:sz w:val="20"/>
              </w:rPr>
            </w:pPr>
            <w:r w:rsidRPr="003C418C">
              <w:rPr>
                <w:rFonts w:eastAsia="Adobe Fan Heiti Std B" w:cstheme="minorHAnsi"/>
                <w:sz w:val="20"/>
                <w:highlight w:val="yellow"/>
              </w:rPr>
              <w:t>ˇ</w:t>
            </w:r>
          </w:p>
        </w:tc>
        <w:tc>
          <w:tcPr>
            <w:tcW w:w="1722" w:type="dxa"/>
          </w:tcPr>
          <w:p w14:paraId="53685B85" w14:textId="77777777" w:rsidR="00784A1F" w:rsidRPr="003C418C" w:rsidRDefault="00784A1F" w:rsidP="00784A1F">
            <w:pPr>
              <w:spacing w:after="120" w:line="240" w:lineRule="auto"/>
              <w:contextualSpacing/>
              <w:jc w:val="left"/>
              <w:rPr>
                <w:rFonts w:eastAsia="Adobe Fan Heiti Std B" w:cstheme="minorHAnsi"/>
                <w:sz w:val="20"/>
                <w:highlight w:val="yellow"/>
              </w:rPr>
            </w:pPr>
            <w:r w:rsidRPr="007F2427">
              <w:rPr>
                <w:rFonts w:eastAsia="Adobe Fan Heiti Std B" w:cstheme="minorHAnsi"/>
                <w:sz w:val="20"/>
              </w:rPr>
              <w:t>Aratula_Rd</w:t>
            </w:r>
          </w:p>
        </w:tc>
      </w:tr>
      <w:tr w:rsidR="00784A1F" w:rsidRPr="003C418C" w14:paraId="13FD3B38" w14:textId="77777777" w:rsidTr="001A703E">
        <w:tc>
          <w:tcPr>
            <w:tcW w:w="538" w:type="dxa"/>
          </w:tcPr>
          <w:p w14:paraId="41BB605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2</w:t>
            </w:r>
          </w:p>
        </w:tc>
        <w:tc>
          <w:tcPr>
            <w:tcW w:w="1515" w:type="dxa"/>
          </w:tcPr>
          <w:p w14:paraId="4C6BC218"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 xml:space="preserve">Mulwala Canal </w:t>
            </w:r>
          </w:p>
        </w:tc>
        <w:tc>
          <w:tcPr>
            <w:tcW w:w="1486" w:type="dxa"/>
          </w:tcPr>
          <w:p w14:paraId="5D02006A" w14:textId="77777777" w:rsidR="00784A1F" w:rsidRPr="003C418C" w:rsidRDefault="00784A1F" w:rsidP="00784A1F">
            <w:pPr>
              <w:spacing w:after="120" w:line="240" w:lineRule="auto"/>
              <w:contextualSpacing/>
              <w:jc w:val="left"/>
              <w:rPr>
                <w:rFonts w:cstheme="minorHAnsi"/>
                <w:color w:val="000000"/>
                <w:sz w:val="20"/>
              </w:rPr>
            </w:pPr>
          </w:p>
        </w:tc>
        <w:tc>
          <w:tcPr>
            <w:tcW w:w="1134" w:type="dxa"/>
          </w:tcPr>
          <w:p w14:paraId="30D6B95A" w14:textId="77777777" w:rsidR="00784A1F" w:rsidRPr="003C418C" w:rsidRDefault="00784A1F" w:rsidP="00784A1F">
            <w:pPr>
              <w:spacing w:after="120" w:line="240" w:lineRule="auto"/>
              <w:contextualSpacing/>
              <w:jc w:val="left"/>
              <w:rPr>
                <w:rFonts w:cstheme="minorHAnsi"/>
                <w:b/>
                <w:sz w:val="20"/>
              </w:rPr>
            </w:pPr>
          </w:p>
        </w:tc>
        <w:tc>
          <w:tcPr>
            <w:tcW w:w="992" w:type="dxa"/>
          </w:tcPr>
          <w:p w14:paraId="3891792D" w14:textId="77777777" w:rsidR="00784A1F" w:rsidRPr="003C418C" w:rsidRDefault="00784A1F" w:rsidP="00784A1F">
            <w:pPr>
              <w:spacing w:after="120" w:line="240" w:lineRule="auto"/>
              <w:contextualSpacing/>
              <w:jc w:val="left"/>
              <w:rPr>
                <w:rFonts w:eastAsia="Adobe Fan Heiti Std B" w:cstheme="minorHAnsi"/>
                <w:sz w:val="20"/>
                <w:highlight w:val="red"/>
              </w:rPr>
            </w:pPr>
          </w:p>
        </w:tc>
        <w:tc>
          <w:tcPr>
            <w:tcW w:w="1134" w:type="dxa"/>
          </w:tcPr>
          <w:p w14:paraId="3FE29820" w14:textId="77777777" w:rsidR="00784A1F" w:rsidRPr="003C418C" w:rsidRDefault="00784A1F" w:rsidP="00784A1F">
            <w:pPr>
              <w:spacing w:after="120" w:line="240" w:lineRule="auto"/>
              <w:contextualSpacing/>
              <w:jc w:val="left"/>
              <w:rPr>
                <w:rFonts w:cstheme="minorHAnsi"/>
                <w:sz w:val="20"/>
              </w:rPr>
            </w:pPr>
          </w:p>
        </w:tc>
        <w:tc>
          <w:tcPr>
            <w:tcW w:w="1113" w:type="dxa"/>
          </w:tcPr>
          <w:p w14:paraId="72F2E93A" w14:textId="77777777" w:rsidR="00784A1F" w:rsidRPr="003C418C" w:rsidRDefault="00784A1F" w:rsidP="00784A1F">
            <w:pPr>
              <w:spacing w:after="120" w:line="240" w:lineRule="auto"/>
              <w:contextualSpacing/>
              <w:jc w:val="left"/>
              <w:rPr>
                <w:rFonts w:cstheme="minorHAnsi"/>
                <w:sz w:val="20"/>
              </w:rPr>
            </w:pPr>
          </w:p>
        </w:tc>
        <w:tc>
          <w:tcPr>
            <w:tcW w:w="1722" w:type="dxa"/>
          </w:tcPr>
          <w:p w14:paraId="6BEA3B99" w14:textId="77777777" w:rsidR="00784A1F" w:rsidRPr="003C418C" w:rsidRDefault="00784A1F" w:rsidP="00784A1F">
            <w:pPr>
              <w:spacing w:after="120" w:line="240" w:lineRule="auto"/>
              <w:contextualSpacing/>
              <w:jc w:val="left"/>
              <w:rPr>
                <w:rFonts w:cstheme="minorHAnsi"/>
                <w:sz w:val="20"/>
              </w:rPr>
            </w:pPr>
            <w:r>
              <w:rPr>
                <w:rFonts w:cstheme="minorHAnsi"/>
                <w:sz w:val="20"/>
              </w:rPr>
              <w:t>Canal</w:t>
            </w:r>
          </w:p>
        </w:tc>
      </w:tr>
      <w:tr w:rsidR="00784A1F" w:rsidRPr="003C418C" w14:paraId="022F8C19" w14:textId="77777777" w:rsidTr="001A703E">
        <w:tc>
          <w:tcPr>
            <w:tcW w:w="538" w:type="dxa"/>
          </w:tcPr>
          <w:p w14:paraId="74D596B4"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3</w:t>
            </w:r>
          </w:p>
        </w:tc>
        <w:tc>
          <w:tcPr>
            <w:tcW w:w="1515" w:type="dxa"/>
          </w:tcPr>
          <w:p w14:paraId="41035C8B" w14:textId="77777777" w:rsidR="00784A1F" w:rsidRPr="003C418C" w:rsidRDefault="00784A1F" w:rsidP="00784A1F">
            <w:pPr>
              <w:spacing w:after="120" w:line="240" w:lineRule="auto"/>
              <w:contextualSpacing/>
              <w:jc w:val="left"/>
              <w:rPr>
                <w:rFonts w:cstheme="minorHAnsi"/>
                <w:sz w:val="20"/>
              </w:rPr>
            </w:pPr>
            <w:r w:rsidRPr="00430A5F">
              <w:rPr>
                <w:rFonts w:cstheme="minorHAnsi"/>
                <w:sz w:val="20"/>
              </w:rPr>
              <w:t>Four Post</w:t>
            </w:r>
          </w:p>
        </w:tc>
        <w:tc>
          <w:tcPr>
            <w:tcW w:w="1486" w:type="dxa"/>
          </w:tcPr>
          <w:p w14:paraId="390222BA"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Edward River</w:t>
            </w:r>
          </w:p>
        </w:tc>
        <w:tc>
          <w:tcPr>
            <w:tcW w:w="1134" w:type="dxa"/>
          </w:tcPr>
          <w:p w14:paraId="21FB186F"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409047</w:t>
            </w:r>
          </w:p>
        </w:tc>
        <w:tc>
          <w:tcPr>
            <w:tcW w:w="992" w:type="dxa"/>
          </w:tcPr>
          <w:p w14:paraId="38E50C27" w14:textId="77777777" w:rsidR="00784A1F" w:rsidRPr="003C418C" w:rsidRDefault="00784A1F" w:rsidP="00784A1F">
            <w:pPr>
              <w:spacing w:after="120" w:line="240" w:lineRule="auto"/>
              <w:contextualSpacing/>
              <w:jc w:val="left"/>
              <w:rPr>
                <w:rFonts w:cstheme="minorHAnsi"/>
                <w:sz w:val="20"/>
              </w:rPr>
            </w:pPr>
          </w:p>
        </w:tc>
        <w:tc>
          <w:tcPr>
            <w:tcW w:w="1134" w:type="dxa"/>
          </w:tcPr>
          <w:p w14:paraId="461005FD" w14:textId="77777777" w:rsidR="00784A1F" w:rsidRPr="003C418C" w:rsidRDefault="00784A1F" w:rsidP="00784A1F">
            <w:pPr>
              <w:spacing w:after="120" w:line="240" w:lineRule="auto"/>
              <w:contextualSpacing/>
              <w:jc w:val="left"/>
              <w:rPr>
                <w:rFonts w:cstheme="minorHAnsi"/>
                <w:sz w:val="20"/>
                <w:highlight w:val="green"/>
              </w:rPr>
            </w:pPr>
            <w:r w:rsidRPr="003C418C">
              <w:rPr>
                <w:rFonts w:eastAsia="Adobe Fan Heiti Std B" w:cstheme="minorHAnsi"/>
                <w:sz w:val="20"/>
                <w:highlight w:val="green"/>
              </w:rPr>
              <w:t>ˇ</w:t>
            </w:r>
          </w:p>
        </w:tc>
        <w:tc>
          <w:tcPr>
            <w:tcW w:w="1113" w:type="dxa"/>
          </w:tcPr>
          <w:p w14:paraId="6FC2A23C" w14:textId="77777777" w:rsidR="00784A1F" w:rsidRPr="003C418C" w:rsidRDefault="00784A1F" w:rsidP="00784A1F">
            <w:pPr>
              <w:spacing w:after="120" w:line="240" w:lineRule="auto"/>
              <w:contextualSpacing/>
              <w:jc w:val="left"/>
              <w:rPr>
                <w:rFonts w:cstheme="minorHAnsi"/>
                <w:sz w:val="20"/>
              </w:rPr>
            </w:pPr>
          </w:p>
        </w:tc>
        <w:tc>
          <w:tcPr>
            <w:tcW w:w="1722" w:type="dxa"/>
          </w:tcPr>
          <w:p w14:paraId="18D6C425" w14:textId="77777777" w:rsidR="00784A1F" w:rsidRPr="007F2427" w:rsidRDefault="00784A1F" w:rsidP="00784A1F">
            <w:pPr>
              <w:spacing w:after="120" w:line="240" w:lineRule="auto"/>
              <w:contextualSpacing/>
              <w:jc w:val="left"/>
              <w:rPr>
                <w:rFonts w:cstheme="minorHAnsi"/>
                <w:sz w:val="20"/>
              </w:rPr>
            </w:pPr>
            <w:r>
              <w:rPr>
                <w:rFonts w:cstheme="minorHAnsi"/>
                <w:sz w:val="20"/>
              </w:rPr>
              <w:t>Four_post</w:t>
            </w:r>
          </w:p>
        </w:tc>
      </w:tr>
      <w:tr w:rsidR="00784A1F" w:rsidRPr="003C418C" w14:paraId="7DC0F6D3" w14:textId="77777777" w:rsidTr="001A703E">
        <w:tc>
          <w:tcPr>
            <w:tcW w:w="538" w:type="dxa"/>
          </w:tcPr>
          <w:p w14:paraId="751E4796"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w:t>
            </w:r>
          </w:p>
        </w:tc>
        <w:tc>
          <w:tcPr>
            <w:tcW w:w="1515" w:type="dxa"/>
          </w:tcPr>
          <w:p w14:paraId="25AD41A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 xml:space="preserve">Stevens Weirpool </w:t>
            </w:r>
          </w:p>
        </w:tc>
        <w:tc>
          <w:tcPr>
            <w:tcW w:w="1486" w:type="dxa"/>
          </w:tcPr>
          <w:p w14:paraId="02BC6D54" w14:textId="77777777" w:rsidR="00784A1F" w:rsidRPr="00FC788C" w:rsidRDefault="00784A1F" w:rsidP="00FC788C">
            <w:pPr>
              <w:spacing w:after="120" w:line="240" w:lineRule="auto"/>
              <w:contextualSpacing/>
              <w:jc w:val="left"/>
              <w:rPr>
                <w:rFonts w:cstheme="minorHAnsi"/>
                <w:color w:val="000000"/>
                <w:sz w:val="20"/>
              </w:rPr>
            </w:pPr>
            <w:r w:rsidRPr="00FC788C">
              <w:rPr>
                <w:rFonts w:cstheme="minorHAnsi"/>
                <w:color w:val="000000"/>
                <w:sz w:val="20"/>
              </w:rPr>
              <w:t>Edward River</w:t>
            </w:r>
          </w:p>
        </w:tc>
        <w:tc>
          <w:tcPr>
            <w:tcW w:w="1134" w:type="dxa"/>
          </w:tcPr>
          <w:p w14:paraId="11BAD1D6"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409101</w:t>
            </w:r>
          </w:p>
        </w:tc>
        <w:tc>
          <w:tcPr>
            <w:tcW w:w="992" w:type="dxa"/>
          </w:tcPr>
          <w:p w14:paraId="4710B990" w14:textId="77777777" w:rsidR="00784A1F" w:rsidRPr="003C418C" w:rsidRDefault="00784A1F" w:rsidP="00784A1F">
            <w:pPr>
              <w:spacing w:after="120" w:line="240" w:lineRule="auto"/>
              <w:contextualSpacing/>
              <w:jc w:val="left"/>
              <w:rPr>
                <w:rFonts w:cstheme="minorHAnsi"/>
                <w:sz w:val="20"/>
                <w:highlight w:val="green"/>
              </w:rPr>
            </w:pPr>
          </w:p>
        </w:tc>
        <w:tc>
          <w:tcPr>
            <w:tcW w:w="1134" w:type="dxa"/>
          </w:tcPr>
          <w:p w14:paraId="67ABAA58" w14:textId="77777777" w:rsidR="00784A1F" w:rsidRPr="003C418C" w:rsidRDefault="00784A1F" w:rsidP="00784A1F">
            <w:pPr>
              <w:spacing w:after="120" w:line="240" w:lineRule="auto"/>
              <w:contextualSpacing/>
              <w:jc w:val="left"/>
              <w:rPr>
                <w:rFonts w:cstheme="minorHAnsi"/>
                <w:sz w:val="20"/>
              </w:rPr>
            </w:pPr>
          </w:p>
        </w:tc>
        <w:tc>
          <w:tcPr>
            <w:tcW w:w="1113" w:type="dxa"/>
          </w:tcPr>
          <w:p w14:paraId="3FB2D46D" w14:textId="77777777" w:rsidR="00784A1F" w:rsidRPr="003C418C" w:rsidRDefault="00784A1F" w:rsidP="00784A1F">
            <w:pPr>
              <w:spacing w:after="120" w:line="240" w:lineRule="auto"/>
              <w:contextualSpacing/>
              <w:jc w:val="left"/>
              <w:rPr>
                <w:rFonts w:eastAsia="Adobe Fan Heiti Std B" w:cstheme="minorHAnsi"/>
                <w:sz w:val="20"/>
                <w:highlight w:val="yellow"/>
              </w:rPr>
            </w:pPr>
          </w:p>
        </w:tc>
        <w:tc>
          <w:tcPr>
            <w:tcW w:w="1722" w:type="dxa"/>
          </w:tcPr>
          <w:p w14:paraId="4A8C2700" w14:textId="77777777" w:rsidR="00784A1F" w:rsidRPr="007F2427" w:rsidRDefault="00784A1F" w:rsidP="00784A1F">
            <w:pPr>
              <w:spacing w:after="120" w:line="240" w:lineRule="auto"/>
              <w:contextualSpacing/>
              <w:jc w:val="left"/>
              <w:rPr>
                <w:rFonts w:eastAsia="Adobe Fan Heiti Std B" w:cstheme="minorHAnsi"/>
                <w:sz w:val="20"/>
              </w:rPr>
            </w:pPr>
            <w:r w:rsidRPr="007F2427">
              <w:rPr>
                <w:rFonts w:eastAsia="Adobe Fan Heiti Std B" w:cstheme="minorHAnsi"/>
                <w:sz w:val="20"/>
              </w:rPr>
              <w:t>Weir</w:t>
            </w:r>
          </w:p>
        </w:tc>
      </w:tr>
      <w:tr w:rsidR="00784A1F" w:rsidRPr="003C418C" w14:paraId="7A5069D4" w14:textId="77777777" w:rsidTr="001A703E">
        <w:tc>
          <w:tcPr>
            <w:tcW w:w="538" w:type="dxa"/>
          </w:tcPr>
          <w:p w14:paraId="6EC9F5F5"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5</w:t>
            </w:r>
          </w:p>
        </w:tc>
        <w:tc>
          <w:tcPr>
            <w:tcW w:w="1515" w:type="dxa"/>
          </w:tcPr>
          <w:p w14:paraId="54EDBB34"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Downstream Stevens Weir</w:t>
            </w:r>
          </w:p>
        </w:tc>
        <w:tc>
          <w:tcPr>
            <w:tcW w:w="1486" w:type="dxa"/>
          </w:tcPr>
          <w:p w14:paraId="3F3395D4" w14:textId="77777777" w:rsidR="00784A1F" w:rsidRPr="00FC788C" w:rsidRDefault="00784A1F" w:rsidP="00FC788C">
            <w:pPr>
              <w:spacing w:after="120" w:line="240" w:lineRule="auto"/>
              <w:contextualSpacing/>
              <w:jc w:val="left"/>
              <w:rPr>
                <w:rFonts w:cstheme="minorHAnsi"/>
                <w:color w:val="000000"/>
                <w:sz w:val="20"/>
              </w:rPr>
            </w:pPr>
            <w:r w:rsidRPr="00FC788C">
              <w:rPr>
                <w:rFonts w:cstheme="minorHAnsi"/>
                <w:color w:val="000000"/>
                <w:sz w:val="20"/>
              </w:rPr>
              <w:t>Edward River</w:t>
            </w:r>
          </w:p>
        </w:tc>
        <w:tc>
          <w:tcPr>
            <w:tcW w:w="1134" w:type="dxa"/>
          </w:tcPr>
          <w:p w14:paraId="3907BAFC"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409023</w:t>
            </w:r>
          </w:p>
        </w:tc>
        <w:tc>
          <w:tcPr>
            <w:tcW w:w="992" w:type="dxa"/>
          </w:tcPr>
          <w:p w14:paraId="789D2EA2" w14:textId="77777777" w:rsidR="00784A1F" w:rsidRPr="003C418C" w:rsidRDefault="00784A1F" w:rsidP="00784A1F">
            <w:pPr>
              <w:spacing w:after="120" w:line="240" w:lineRule="auto"/>
              <w:contextualSpacing/>
              <w:jc w:val="left"/>
              <w:rPr>
                <w:rFonts w:cstheme="minorHAnsi"/>
                <w:sz w:val="20"/>
                <w:highlight w:val="green"/>
              </w:rPr>
            </w:pPr>
          </w:p>
        </w:tc>
        <w:tc>
          <w:tcPr>
            <w:tcW w:w="1134" w:type="dxa"/>
          </w:tcPr>
          <w:p w14:paraId="4112FBEE" w14:textId="77777777" w:rsidR="00784A1F" w:rsidRPr="003C418C" w:rsidRDefault="00784A1F" w:rsidP="00784A1F">
            <w:pPr>
              <w:spacing w:after="120" w:line="240" w:lineRule="auto"/>
              <w:contextualSpacing/>
              <w:jc w:val="left"/>
              <w:rPr>
                <w:rFonts w:cstheme="minorHAnsi"/>
                <w:sz w:val="20"/>
              </w:rPr>
            </w:pPr>
          </w:p>
        </w:tc>
        <w:tc>
          <w:tcPr>
            <w:tcW w:w="1113" w:type="dxa"/>
          </w:tcPr>
          <w:p w14:paraId="1057B5B3" w14:textId="77777777" w:rsidR="00784A1F" w:rsidRPr="003C418C" w:rsidRDefault="00784A1F" w:rsidP="00784A1F">
            <w:pPr>
              <w:spacing w:after="120" w:line="240" w:lineRule="auto"/>
              <w:contextualSpacing/>
              <w:jc w:val="left"/>
              <w:rPr>
                <w:rFonts w:cstheme="minorHAnsi"/>
                <w:sz w:val="20"/>
                <w:highlight w:val="yellow"/>
              </w:rPr>
            </w:pPr>
            <w:r w:rsidRPr="003C418C">
              <w:rPr>
                <w:rFonts w:eastAsia="Adobe Fan Heiti Std B" w:cstheme="minorHAnsi"/>
                <w:sz w:val="20"/>
                <w:highlight w:val="yellow"/>
              </w:rPr>
              <w:t>ˇ</w:t>
            </w:r>
          </w:p>
        </w:tc>
        <w:tc>
          <w:tcPr>
            <w:tcW w:w="1722" w:type="dxa"/>
          </w:tcPr>
          <w:p w14:paraId="0FE25E82" w14:textId="77777777" w:rsidR="00784A1F" w:rsidRPr="007F2427" w:rsidRDefault="00784A1F" w:rsidP="00784A1F">
            <w:pPr>
              <w:spacing w:after="120" w:line="240" w:lineRule="auto"/>
              <w:contextualSpacing/>
              <w:jc w:val="left"/>
              <w:rPr>
                <w:rFonts w:eastAsia="Adobe Fan Heiti Std B" w:cstheme="minorHAnsi"/>
                <w:sz w:val="20"/>
              </w:rPr>
            </w:pPr>
            <w:r>
              <w:rPr>
                <w:rFonts w:eastAsia="Adobe Fan Heiti Std B" w:cstheme="minorHAnsi"/>
                <w:sz w:val="20"/>
              </w:rPr>
              <w:t>Eastman_bridge</w:t>
            </w:r>
          </w:p>
        </w:tc>
      </w:tr>
      <w:tr w:rsidR="00784A1F" w:rsidRPr="003C418C" w14:paraId="56DEDEFD" w14:textId="77777777" w:rsidTr="001A703E">
        <w:tc>
          <w:tcPr>
            <w:tcW w:w="538" w:type="dxa"/>
          </w:tcPr>
          <w:p w14:paraId="79F8EA9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6</w:t>
            </w:r>
          </w:p>
        </w:tc>
        <w:tc>
          <w:tcPr>
            <w:tcW w:w="1515" w:type="dxa"/>
          </w:tcPr>
          <w:p w14:paraId="5D4C975E"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Downstream Werai Forest</w:t>
            </w:r>
          </w:p>
        </w:tc>
        <w:tc>
          <w:tcPr>
            <w:tcW w:w="1486" w:type="dxa"/>
          </w:tcPr>
          <w:p w14:paraId="5E57DC5F" w14:textId="77777777" w:rsidR="00784A1F" w:rsidRPr="00FC788C" w:rsidRDefault="00784A1F" w:rsidP="00FC788C">
            <w:pPr>
              <w:spacing w:after="120" w:line="240" w:lineRule="auto"/>
              <w:contextualSpacing/>
              <w:jc w:val="left"/>
              <w:rPr>
                <w:rFonts w:cstheme="minorHAnsi"/>
                <w:color w:val="000000"/>
                <w:sz w:val="20"/>
              </w:rPr>
            </w:pPr>
            <w:r w:rsidRPr="00FC788C">
              <w:rPr>
                <w:rFonts w:cstheme="minorHAnsi"/>
                <w:color w:val="000000"/>
                <w:sz w:val="20"/>
              </w:rPr>
              <w:t>Edward River</w:t>
            </w:r>
          </w:p>
        </w:tc>
        <w:tc>
          <w:tcPr>
            <w:tcW w:w="1134" w:type="dxa"/>
          </w:tcPr>
          <w:p w14:paraId="6BADFF93" w14:textId="77777777" w:rsidR="00784A1F" w:rsidRPr="003C418C" w:rsidRDefault="00784A1F" w:rsidP="00784A1F">
            <w:pPr>
              <w:spacing w:after="120" w:line="240" w:lineRule="auto"/>
              <w:contextualSpacing/>
              <w:jc w:val="left"/>
              <w:rPr>
                <w:rFonts w:cstheme="minorHAnsi"/>
                <w:sz w:val="20"/>
              </w:rPr>
            </w:pPr>
          </w:p>
        </w:tc>
        <w:tc>
          <w:tcPr>
            <w:tcW w:w="992" w:type="dxa"/>
          </w:tcPr>
          <w:p w14:paraId="0D32AD28" w14:textId="77777777" w:rsidR="00784A1F" w:rsidRPr="003C418C" w:rsidRDefault="00784A1F" w:rsidP="00784A1F">
            <w:pPr>
              <w:spacing w:after="120" w:line="240" w:lineRule="auto"/>
              <w:contextualSpacing/>
              <w:jc w:val="left"/>
              <w:rPr>
                <w:rFonts w:cstheme="minorHAnsi"/>
                <w:sz w:val="20"/>
                <w:highlight w:val="green"/>
              </w:rPr>
            </w:pPr>
          </w:p>
        </w:tc>
        <w:tc>
          <w:tcPr>
            <w:tcW w:w="1134" w:type="dxa"/>
          </w:tcPr>
          <w:p w14:paraId="6C2989A8" w14:textId="77777777" w:rsidR="00784A1F" w:rsidRPr="003C418C" w:rsidRDefault="00784A1F" w:rsidP="00784A1F">
            <w:pPr>
              <w:spacing w:after="120" w:line="240" w:lineRule="auto"/>
              <w:contextualSpacing/>
              <w:jc w:val="left"/>
              <w:rPr>
                <w:rFonts w:cstheme="minorHAnsi"/>
                <w:sz w:val="20"/>
              </w:rPr>
            </w:pPr>
          </w:p>
        </w:tc>
        <w:tc>
          <w:tcPr>
            <w:tcW w:w="1113" w:type="dxa"/>
          </w:tcPr>
          <w:p w14:paraId="1092DFBB" w14:textId="77777777" w:rsidR="00784A1F" w:rsidRPr="003C418C" w:rsidRDefault="00784A1F" w:rsidP="00784A1F">
            <w:pPr>
              <w:spacing w:after="120" w:line="240" w:lineRule="auto"/>
              <w:contextualSpacing/>
              <w:jc w:val="left"/>
              <w:rPr>
                <w:rFonts w:cstheme="minorHAnsi"/>
                <w:sz w:val="20"/>
                <w:highlight w:val="yellow"/>
              </w:rPr>
            </w:pPr>
            <w:r w:rsidRPr="003C418C">
              <w:rPr>
                <w:rFonts w:eastAsia="Adobe Fan Heiti Std B" w:cstheme="minorHAnsi"/>
                <w:sz w:val="20"/>
                <w:highlight w:val="yellow"/>
              </w:rPr>
              <w:t>ˇ</w:t>
            </w:r>
          </w:p>
        </w:tc>
        <w:tc>
          <w:tcPr>
            <w:tcW w:w="1722" w:type="dxa"/>
          </w:tcPr>
          <w:p w14:paraId="6D9DB969" w14:textId="77777777" w:rsidR="00784A1F" w:rsidRPr="007F2427" w:rsidRDefault="00784A1F" w:rsidP="00784A1F">
            <w:pPr>
              <w:spacing w:after="120" w:line="240" w:lineRule="auto"/>
              <w:contextualSpacing/>
              <w:jc w:val="left"/>
              <w:rPr>
                <w:rFonts w:eastAsia="Adobe Fan Heiti Std B" w:cstheme="minorHAnsi"/>
                <w:sz w:val="20"/>
              </w:rPr>
            </w:pPr>
            <w:r>
              <w:rPr>
                <w:rFonts w:eastAsia="Adobe Fan Heiti Std B" w:cstheme="minorHAnsi"/>
                <w:sz w:val="20"/>
              </w:rPr>
              <w:t>Balpool_rd_bridge</w:t>
            </w:r>
          </w:p>
        </w:tc>
      </w:tr>
      <w:tr w:rsidR="00784A1F" w:rsidRPr="003C418C" w14:paraId="7EBD4E80" w14:textId="77777777" w:rsidTr="001A703E">
        <w:tc>
          <w:tcPr>
            <w:tcW w:w="538" w:type="dxa"/>
          </w:tcPr>
          <w:p w14:paraId="3F1D74D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7</w:t>
            </w:r>
          </w:p>
        </w:tc>
        <w:tc>
          <w:tcPr>
            <w:tcW w:w="1515" w:type="dxa"/>
          </w:tcPr>
          <w:p w14:paraId="68182948"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 xml:space="preserve">Moulamein </w:t>
            </w:r>
          </w:p>
        </w:tc>
        <w:tc>
          <w:tcPr>
            <w:tcW w:w="1486" w:type="dxa"/>
          </w:tcPr>
          <w:p w14:paraId="01F48C72"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Edward River</w:t>
            </w:r>
          </w:p>
        </w:tc>
        <w:tc>
          <w:tcPr>
            <w:tcW w:w="1134" w:type="dxa"/>
          </w:tcPr>
          <w:p w14:paraId="1DBCAA5D"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409014</w:t>
            </w:r>
          </w:p>
        </w:tc>
        <w:tc>
          <w:tcPr>
            <w:tcW w:w="992" w:type="dxa"/>
          </w:tcPr>
          <w:p w14:paraId="69E0670F" w14:textId="77777777" w:rsidR="00784A1F" w:rsidRPr="003C418C" w:rsidRDefault="00784A1F" w:rsidP="00784A1F">
            <w:pPr>
              <w:spacing w:after="120" w:line="240" w:lineRule="auto"/>
              <w:contextualSpacing/>
              <w:jc w:val="left"/>
              <w:rPr>
                <w:rFonts w:cstheme="minorHAnsi"/>
                <w:sz w:val="20"/>
              </w:rPr>
            </w:pPr>
          </w:p>
        </w:tc>
        <w:tc>
          <w:tcPr>
            <w:tcW w:w="1134" w:type="dxa"/>
          </w:tcPr>
          <w:p w14:paraId="60DEA0E9" w14:textId="77777777" w:rsidR="00784A1F" w:rsidRPr="003C418C" w:rsidRDefault="00784A1F" w:rsidP="00784A1F">
            <w:pPr>
              <w:spacing w:after="120" w:line="240" w:lineRule="auto"/>
              <w:contextualSpacing/>
              <w:jc w:val="left"/>
              <w:rPr>
                <w:rFonts w:cstheme="minorHAnsi"/>
                <w:sz w:val="20"/>
              </w:rPr>
            </w:pPr>
            <w:r w:rsidRPr="003C418C">
              <w:rPr>
                <w:rFonts w:eastAsia="Adobe Fan Heiti Std B" w:cstheme="minorHAnsi"/>
                <w:sz w:val="20"/>
                <w:highlight w:val="green"/>
              </w:rPr>
              <w:t>ˇ</w:t>
            </w:r>
          </w:p>
        </w:tc>
        <w:tc>
          <w:tcPr>
            <w:tcW w:w="1113" w:type="dxa"/>
          </w:tcPr>
          <w:p w14:paraId="57CFEB27" w14:textId="77777777" w:rsidR="00784A1F" w:rsidRPr="003C418C" w:rsidRDefault="00784A1F" w:rsidP="00784A1F">
            <w:pPr>
              <w:spacing w:after="120" w:line="240" w:lineRule="auto"/>
              <w:contextualSpacing/>
              <w:jc w:val="left"/>
              <w:rPr>
                <w:rFonts w:eastAsia="Adobe Fan Heiti Std B" w:cstheme="minorHAnsi"/>
                <w:sz w:val="20"/>
                <w:highlight w:val="yellow"/>
              </w:rPr>
            </w:pPr>
          </w:p>
        </w:tc>
        <w:tc>
          <w:tcPr>
            <w:tcW w:w="1722" w:type="dxa"/>
          </w:tcPr>
          <w:p w14:paraId="5E7D0F35" w14:textId="77777777" w:rsidR="00784A1F" w:rsidRPr="007F2427" w:rsidRDefault="00784A1F" w:rsidP="00784A1F">
            <w:pPr>
              <w:spacing w:after="120" w:line="240" w:lineRule="auto"/>
              <w:contextualSpacing/>
              <w:jc w:val="left"/>
              <w:rPr>
                <w:rFonts w:eastAsia="Adobe Fan Heiti Std B" w:cstheme="minorHAnsi"/>
                <w:sz w:val="20"/>
              </w:rPr>
            </w:pPr>
            <w:r>
              <w:rPr>
                <w:rFonts w:eastAsia="Adobe Fan Heiti Std B" w:cstheme="minorHAnsi"/>
                <w:sz w:val="20"/>
              </w:rPr>
              <w:t xml:space="preserve">Moulamein </w:t>
            </w:r>
          </w:p>
        </w:tc>
      </w:tr>
      <w:tr w:rsidR="00784A1F" w:rsidRPr="003C418C" w14:paraId="68CA0051" w14:textId="77777777" w:rsidTr="001A703E">
        <w:tc>
          <w:tcPr>
            <w:tcW w:w="538" w:type="dxa"/>
          </w:tcPr>
          <w:p w14:paraId="3F797412"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8</w:t>
            </w:r>
          </w:p>
        </w:tc>
        <w:tc>
          <w:tcPr>
            <w:tcW w:w="1515" w:type="dxa"/>
          </w:tcPr>
          <w:p w14:paraId="31669BD9"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 xml:space="preserve">Liewah </w:t>
            </w:r>
          </w:p>
        </w:tc>
        <w:tc>
          <w:tcPr>
            <w:tcW w:w="1486" w:type="dxa"/>
          </w:tcPr>
          <w:p w14:paraId="4875AE58"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Edward River</w:t>
            </w:r>
          </w:p>
        </w:tc>
        <w:tc>
          <w:tcPr>
            <w:tcW w:w="1134" w:type="dxa"/>
          </w:tcPr>
          <w:p w14:paraId="65AE4FFE"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409035</w:t>
            </w:r>
          </w:p>
        </w:tc>
        <w:tc>
          <w:tcPr>
            <w:tcW w:w="992" w:type="dxa"/>
          </w:tcPr>
          <w:p w14:paraId="6B3F9DEF" w14:textId="77777777" w:rsidR="00784A1F" w:rsidRPr="003C418C" w:rsidRDefault="00784A1F" w:rsidP="00784A1F">
            <w:pPr>
              <w:spacing w:after="120" w:line="240" w:lineRule="auto"/>
              <w:contextualSpacing/>
              <w:jc w:val="left"/>
              <w:rPr>
                <w:rFonts w:cstheme="minorHAnsi"/>
                <w:sz w:val="20"/>
              </w:rPr>
            </w:pPr>
          </w:p>
        </w:tc>
        <w:tc>
          <w:tcPr>
            <w:tcW w:w="1134" w:type="dxa"/>
          </w:tcPr>
          <w:p w14:paraId="029AD1CA" w14:textId="77777777" w:rsidR="00784A1F" w:rsidRPr="003C418C" w:rsidRDefault="00784A1F" w:rsidP="00784A1F">
            <w:pPr>
              <w:spacing w:after="120" w:line="240" w:lineRule="auto"/>
              <w:contextualSpacing/>
              <w:jc w:val="left"/>
              <w:rPr>
                <w:rFonts w:eastAsia="Adobe Fan Heiti Std B" w:cstheme="minorHAnsi"/>
                <w:sz w:val="20"/>
                <w:highlight w:val="green"/>
              </w:rPr>
            </w:pPr>
          </w:p>
        </w:tc>
        <w:tc>
          <w:tcPr>
            <w:tcW w:w="1113" w:type="dxa"/>
          </w:tcPr>
          <w:p w14:paraId="086EDE85" w14:textId="77777777" w:rsidR="00784A1F" w:rsidRPr="003C418C" w:rsidRDefault="00784A1F" w:rsidP="00784A1F">
            <w:pPr>
              <w:spacing w:after="120" w:line="240" w:lineRule="auto"/>
              <w:contextualSpacing/>
              <w:jc w:val="left"/>
              <w:rPr>
                <w:rFonts w:eastAsia="Adobe Fan Heiti Std B" w:cstheme="minorHAnsi"/>
                <w:sz w:val="20"/>
                <w:highlight w:val="yellow"/>
              </w:rPr>
            </w:pPr>
            <w:r w:rsidRPr="003C418C">
              <w:rPr>
                <w:rFonts w:eastAsia="Adobe Fan Heiti Std B" w:cstheme="minorHAnsi"/>
                <w:sz w:val="20"/>
                <w:highlight w:val="yellow"/>
              </w:rPr>
              <w:t>ˇ</w:t>
            </w:r>
          </w:p>
        </w:tc>
        <w:tc>
          <w:tcPr>
            <w:tcW w:w="1722" w:type="dxa"/>
          </w:tcPr>
          <w:p w14:paraId="205B4746" w14:textId="77777777" w:rsidR="00784A1F" w:rsidRPr="007F2427" w:rsidRDefault="00784A1F" w:rsidP="00784A1F">
            <w:pPr>
              <w:spacing w:after="120" w:line="240" w:lineRule="auto"/>
              <w:contextualSpacing/>
              <w:jc w:val="left"/>
              <w:rPr>
                <w:rFonts w:eastAsia="Adobe Fan Heiti Std B" w:cstheme="minorHAnsi"/>
                <w:sz w:val="20"/>
              </w:rPr>
            </w:pPr>
            <w:r>
              <w:rPr>
                <w:rFonts w:eastAsia="Adobe Fan Heiti Std B" w:cstheme="minorHAnsi"/>
                <w:sz w:val="20"/>
              </w:rPr>
              <w:t xml:space="preserve">Liewah </w:t>
            </w:r>
          </w:p>
        </w:tc>
      </w:tr>
      <w:tr w:rsidR="00784A1F" w:rsidRPr="003C418C" w14:paraId="1888355D" w14:textId="77777777" w:rsidTr="001A703E">
        <w:tc>
          <w:tcPr>
            <w:tcW w:w="538" w:type="dxa"/>
          </w:tcPr>
          <w:p w14:paraId="287B015A"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9</w:t>
            </w:r>
          </w:p>
        </w:tc>
        <w:tc>
          <w:tcPr>
            <w:tcW w:w="1515" w:type="dxa"/>
          </w:tcPr>
          <w:p w14:paraId="11EF944B"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Colligen</w:t>
            </w:r>
          </w:p>
        </w:tc>
        <w:tc>
          <w:tcPr>
            <w:tcW w:w="1486" w:type="dxa"/>
          </w:tcPr>
          <w:p w14:paraId="2F18B65F"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Colligen-Niemur River</w:t>
            </w:r>
          </w:p>
        </w:tc>
        <w:tc>
          <w:tcPr>
            <w:tcW w:w="1134" w:type="dxa"/>
          </w:tcPr>
          <w:p w14:paraId="62192C08"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409024</w:t>
            </w:r>
          </w:p>
        </w:tc>
        <w:tc>
          <w:tcPr>
            <w:tcW w:w="992" w:type="dxa"/>
          </w:tcPr>
          <w:p w14:paraId="7ABB20B8" w14:textId="77777777" w:rsidR="00784A1F" w:rsidRPr="003C418C" w:rsidRDefault="00784A1F" w:rsidP="00784A1F">
            <w:pPr>
              <w:spacing w:after="120" w:line="240" w:lineRule="auto"/>
              <w:contextualSpacing/>
              <w:jc w:val="left"/>
              <w:rPr>
                <w:rFonts w:cstheme="minorHAnsi"/>
                <w:sz w:val="20"/>
                <w:highlight w:val="green"/>
              </w:rPr>
            </w:pPr>
          </w:p>
        </w:tc>
        <w:tc>
          <w:tcPr>
            <w:tcW w:w="1134" w:type="dxa"/>
          </w:tcPr>
          <w:p w14:paraId="77E32FAC" w14:textId="77777777" w:rsidR="00784A1F" w:rsidRPr="003C418C" w:rsidRDefault="00784A1F" w:rsidP="00784A1F">
            <w:pPr>
              <w:spacing w:after="120" w:line="240" w:lineRule="auto"/>
              <w:contextualSpacing/>
              <w:jc w:val="left"/>
              <w:rPr>
                <w:rFonts w:cstheme="minorHAnsi"/>
                <w:sz w:val="20"/>
              </w:rPr>
            </w:pPr>
          </w:p>
        </w:tc>
        <w:tc>
          <w:tcPr>
            <w:tcW w:w="1113" w:type="dxa"/>
          </w:tcPr>
          <w:p w14:paraId="61A8CB00" w14:textId="77777777" w:rsidR="00784A1F" w:rsidRPr="003C418C" w:rsidRDefault="00784A1F" w:rsidP="00784A1F">
            <w:pPr>
              <w:spacing w:after="120" w:line="240" w:lineRule="auto"/>
              <w:contextualSpacing/>
              <w:jc w:val="left"/>
              <w:rPr>
                <w:rFonts w:cstheme="minorHAnsi"/>
                <w:sz w:val="20"/>
                <w:highlight w:val="yellow"/>
              </w:rPr>
            </w:pPr>
            <w:r w:rsidRPr="003C418C">
              <w:rPr>
                <w:rFonts w:eastAsia="Adobe Fan Heiti Std B" w:cstheme="minorHAnsi"/>
                <w:sz w:val="20"/>
                <w:highlight w:val="yellow"/>
              </w:rPr>
              <w:t>ˇ</w:t>
            </w:r>
          </w:p>
        </w:tc>
        <w:tc>
          <w:tcPr>
            <w:tcW w:w="1722" w:type="dxa"/>
          </w:tcPr>
          <w:p w14:paraId="2380A009" w14:textId="77777777" w:rsidR="00784A1F" w:rsidRPr="007F2427" w:rsidRDefault="00784A1F" w:rsidP="00784A1F">
            <w:pPr>
              <w:spacing w:after="120" w:line="240" w:lineRule="auto"/>
              <w:contextualSpacing/>
              <w:jc w:val="left"/>
              <w:rPr>
                <w:rFonts w:eastAsia="Adobe Fan Heiti Std B" w:cstheme="minorHAnsi"/>
                <w:sz w:val="20"/>
              </w:rPr>
            </w:pPr>
            <w:r>
              <w:rPr>
                <w:rFonts w:eastAsia="Adobe Fan Heiti Std B" w:cstheme="minorHAnsi"/>
                <w:sz w:val="20"/>
              </w:rPr>
              <w:t>Colligen-Old Morago Rd</w:t>
            </w:r>
          </w:p>
        </w:tc>
      </w:tr>
      <w:tr w:rsidR="00784A1F" w:rsidRPr="003C418C" w14:paraId="24D1E8E9" w14:textId="77777777" w:rsidTr="001A703E">
        <w:tc>
          <w:tcPr>
            <w:tcW w:w="538" w:type="dxa"/>
          </w:tcPr>
          <w:p w14:paraId="3C73FE30"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10</w:t>
            </w:r>
          </w:p>
        </w:tc>
        <w:tc>
          <w:tcPr>
            <w:tcW w:w="1515" w:type="dxa"/>
          </w:tcPr>
          <w:p w14:paraId="48EB4344"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Niemur Barham Road</w:t>
            </w:r>
          </w:p>
        </w:tc>
        <w:tc>
          <w:tcPr>
            <w:tcW w:w="1486" w:type="dxa"/>
          </w:tcPr>
          <w:p w14:paraId="04805AA7"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Colligen-Niemur River</w:t>
            </w:r>
          </w:p>
        </w:tc>
        <w:tc>
          <w:tcPr>
            <w:tcW w:w="1134" w:type="dxa"/>
          </w:tcPr>
          <w:p w14:paraId="4B226F11"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409048</w:t>
            </w:r>
          </w:p>
        </w:tc>
        <w:tc>
          <w:tcPr>
            <w:tcW w:w="992" w:type="dxa"/>
          </w:tcPr>
          <w:p w14:paraId="030BB413" w14:textId="77777777" w:rsidR="00784A1F" w:rsidRPr="003C418C" w:rsidRDefault="00784A1F" w:rsidP="00784A1F">
            <w:pPr>
              <w:spacing w:after="120" w:line="240" w:lineRule="auto"/>
              <w:contextualSpacing/>
              <w:jc w:val="left"/>
              <w:rPr>
                <w:rFonts w:cstheme="minorHAnsi"/>
                <w:sz w:val="20"/>
              </w:rPr>
            </w:pPr>
          </w:p>
        </w:tc>
        <w:tc>
          <w:tcPr>
            <w:tcW w:w="1134" w:type="dxa"/>
          </w:tcPr>
          <w:p w14:paraId="7307E8A8" w14:textId="77777777" w:rsidR="00784A1F" w:rsidRPr="003C418C" w:rsidRDefault="00784A1F" w:rsidP="00784A1F">
            <w:pPr>
              <w:spacing w:after="120" w:line="240" w:lineRule="auto"/>
              <w:contextualSpacing/>
              <w:jc w:val="left"/>
              <w:rPr>
                <w:rFonts w:cstheme="minorHAnsi"/>
                <w:sz w:val="20"/>
                <w:highlight w:val="green"/>
              </w:rPr>
            </w:pPr>
            <w:r w:rsidRPr="003C418C">
              <w:rPr>
                <w:rFonts w:eastAsia="Adobe Fan Heiti Std B" w:cstheme="minorHAnsi"/>
                <w:sz w:val="20"/>
                <w:highlight w:val="green"/>
              </w:rPr>
              <w:t>ˇ</w:t>
            </w:r>
          </w:p>
        </w:tc>
        <w:tc>
          <w:tcPr>
            <w:tcW w:w="1113" w:type="dxa"/>
          </w:tcPr>
          <w:p w14:paraId="1175783C" w14:textId="77777777" w:rsidR="00784A1F" w:rsidRPr="003C418C" w:rsidRDefault="00784A1F" w:rsidP="00784A1F">
            <w:pPr>
              <w:spacing w:after="120" w:line="240" w:lineRule="auto"/>
              <w:contextualSpacing/>
              <w:jc w:val="left"/>
              <w:rPr>
                <w:rFonts w:cstheme="minorHAnsi"/>
                <w:sz w:val="20"/>
              </w:rPr>
            </w:pPr>
          </w:p>
        </w:tc>
        <w:tc>
          <w:tcPr>
            <w:tcW w:w="1722" w:type="dxa"/>
          </w:tcPr>
          <w:p w14:paraId="6292624C" w14:textId="77777777" w:rsidR="00784A1F" w:rsidRPr="007F2427" w:rsidRDefault="00784A1F" w:rsidP="00784A1F">
            <w:pPr>
              <w:spacing w:after="120" w:line="240" w:lineRule="auto"/>
              <w:contextualSpacing/>
              <w:jc w:val="left"/>
              <w:rPr>
                <w:rFonts w:cstheme="minorHAnsi"/>
                <w:sz w:val="20"/>
              </w:rPr>
            </w:pPr>
            <w:r>
              <w:rPr>
                <w:rFonts w:cstheme="minorHAnsi"/>
                <w:sz w:val="20"/>
              </w:rPr>
              <w:t xml:space="preserve">Niemur-Moulamein Rd </w:t>
            </w:r>
          </w:p>
        </w:tc>
      </w:tr>
      <w:tr w:rsidR="00784A1F" w:rsidRPr="003C418C" w14:paraId="56BEEA99" w14:textId="77777777" w:rsidTr="001A703E">
        <w:tc>
          <w:tcPr>
            <w:tcW w:w="538" w:type="dxa"/>
          </w:tcPr>
          <w:p w14:paraId="23E0EA51"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11</w:t>
            </w:r>
          </w:p>
        </w:tc>
        <w:tc>
          <w:tcPr>
            <w:tcW w:w="1515" w:type="dxa"/>
          </w:tcPr>
          <w:p w14:paraId="0689FDB2"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Niemur Mallan School</w:t>
            </w:r>
          </w:p>
        </w:tc>
        <w:tc>
          <w:tcPr>
            <w:tcW w:w="1486" w:type="dxa"/>
          </w:tcPr>
          <w:p w14:paraId="76D64816" w14:textId="77777777" w:rsidR="00784A1F" w:rsidRPr="003C418C" w:rsidRDefault="00784A1F" w:rsidP="00784A1F">
            <w:pPr>
              <w:spacing w:after="120" w:line="240" w:lineRule="auto"/>
              <w:contextualSpacing/>
              <w:jc w:val="left"/>
              <w:rPr>
                <w:rFonts w:cstheme="minorHAnsi"/>
                <w:sz w:val="20"/>
              </w:rPr>
            </w:pPr>
            <w:r w:rsidRPr="003C418C">
              <w:rPr>
                <w:rFonts w:cstheme="minorHAnsi"/>
                <w:color w:val="000000"/>
                <w:sz w:val="20"/>
              </w:rPr>
              <w:t>Colligen-Niemur River</w:t>
            </w:r>
          </w:p>
        </w:tc>
        <w:tc>
          <w:tcPr>
            <w:tcW w:w="1134" w:type="dxa"/>
          </w:tcPr>
          <w:p w14:paraId="15987D90"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409086</w:t>
            </w:r>
          </w:p>
        </w:tc>
        <w:tc>
          <w:tcPr>
            <w:tcW w:w="992" w:type="dxa"/>
          </w:tcPr>
          <w:p w14:paraId="1615C3AC" w14:textId="77777777" w:rsidR="00784A1F" w:rsidRPr="003C418C" w:rsidRDefault="00784A1F" w:rsidP="00784A1F">
            <w:pPr>
              <w:spacing w:after="120" w:line="240" w:lineRule="auto"/>
              <w:contextualSpacing/>
              <w:jc w:val="left"/>
              <w:rPr>
                <w:rFonts w:cstheme="minorHAnsi"/>
                <w:sz w:val="20"/>
              </w:rPr>
            </w:pPr>
          </w:p>
        </w:tc>
        <w:tc>
          <w:tcPr>
            <w:tcW w:w="1134" w:type="dxa"/>
          </w:tcPr>
          <w:p w14:paraId="5C006677" w14:textId="77777777" w:rsidR="00784A1F" w:rsidRPr="003C418C" w:rsidRDefault="00784A1F" w:rsidP="00784A1F">
            <w:pPr>
              <w:spacing w:after="120" w:line="240" w:lineRule="auto"/>
              <w:contextualSpacing/>
              <w:jc w:val="left"/>
              <w:rPr>
                <w:rFonts w:cstheme="minorHAnsi"/>
                <w:sz w:val="20"/>
                <w:highlight w:val="green"/>
              </w:rPr>
            </w:pPr>
            <w:r w:rsidRPr="003C418C">
              <w:rPr>
                <w:rFonts w:eastAsia="Adobe Fan Heiti Std B" w:cstheme="minorHAnsi"/>
                <w:sz w:val="20"/>
                <w:highlight w:val="green"/>
              </w:rPr>
              <w:t>ˇ</w:t>
            </w:r>
          </w:p>
        </w:tc>
        <w:tc>
          <w:tcPr>
            <w:tcW w:w="1113" w:type="dxa"/>
          </w:tcPr>
          <w:p w14:paraId="1667B9ED" w14:textId="77777777" w:rsidR="00784A1F" w:rsidRPr="003C418C" w:rsidRDefault="00784A1F" w:rsidP="00784A1F">
            <w:pPr>
              <w:spacing w:after="120" w:line="240" w:lineRule="auto"/>
              <w:contextualSpacing/>
              <w:jc w:val="left"/>
              <w:rPr>
                <w:rFonts w:cstheme="minorHAnsi"/>
                <w:sz w:val="20"/>
              </w:rPr>
            </w:pPr>
          </w:p>
        </w:tc>
        <w:tc>
          <w:tcPr>
            <w:tcW w:w="1722" w:type="dxa"/>
          </w:tcPr>
          <w:p w14:paraId="245472A5" w14:textId="77777777" w:rsidR="00784A1F" w:rsidRPr="007F2427" w:rsidRDefault="00784A1F" w:rsidP="00784A1F">
            <w:pPr>
              <w:spacing w:after="120" w:line="240" w:lineRule="auto"/>
              <w:contextualSpacing/>
              <w:jc w:val="left"/>
              <w:rPr>
                <w:rFonts w:cstheme="minorHAnsi"/>
                <w:sz w:val="20"/>
              </w:rPr>
            </w:pPr>
            <w:r>
              <w:rPr>
                <w:rFonts w:cstheme="minorHAnsi"/>
                <w:sz w:val="20"/>
              </w:rPr>
              <w:t xml:space="preserve">Niemur-Mallan School </w:t>
            </w:r>
          </w:p>
        </w:tc>
      </w:tr>
      <w:tr w:rsidR="00784A1F" w:rsidRPr="003C418C" w14:paraId="23F6600F" w14:textId="77777777" w:rsidTr="001A703E">
        <w:tc>
          <w:tcPr>
            <w:tcW w:w="538" w:type="dxa"/>
          </w:tcPr>
          <w:p w14:paraId="753AD46F"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12</w:t>
            </w:r>
          </w:p>
        </w:tc>
        <w:tc>
          <w:tcPr>
            <w:tcW w:w="1515" w:type="dxa"/>
          </w:tcPr>
          <w:p w14:paraId="6CF492E5"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Zone 1 site 5</w:t>
            </w:r>
          </w:p>
        </w:tc>
        <w:tc>
          <w:tcPr>
            <w:tcW w:w="1486" w:type="dxa"/>
          </w:tcPr>
          <w:p w14:paraId="7DB43CAB" w14:textId="77777777" w:rsidR="00784A1F" w:rsidRPr="003C418C" w:rsidRDefault="00784A1F" w:rsidP="00784A1F">
            <w:pPr>
              <w:spacing w:after="120" w:line="240" w:lineRule="auto"/>
              <w:contextualSpacing/>
              <w:jc w:val="left"/>
              <w:rPr>
                <w:rFonts w:cstheme="minorHAnsi"/>
                <w:sz w:val="20"/>
              </w:rPr>
            </w:pPr>
            <w:r w:rsidRPr="003C418C">
              <w:rPr>
                <w:rFonts w:cstheme="minorHAnsi"/>
                <w:color w:val="000000"/>
                <w:sz w:val="20"/>
              </w:rPr>
              <w:t>Yallakool Creek</w:t>
            </w:r>
          </w:p>
        </w:tc>
        <w:tc>
          <w:tcPr>
            <w:tcW w:w="1134" w:type="dxa"/>
          </w:tcPr>
          <w:p w14:paraId="06887877" w14:textId="77777777" w:rsidR="00784A1F" w:rsidRPr="003C418C" w:rsidRDefault="00784A1F" w:rsidP="00784A1F">
            <w:pPr>
              <w:spacing w:after="120" w:line="240" w:lineRule="auto"/>
              <w:contextualSpacing/>
              <w:jc w:val="left"/>
              <w:rPr>
                <w:rFonts w:cstheme="minorHAnsi"/>
                <w:sz w:val="20"/>
              </w:rPr>
            </w:pPr>
          </w:p>
        </w:tc>
        <w:tc>
          <w:tcPr>
            <w:tcW w:w="992" w:type="dxa"/>
          </w:tcPr>
          <w:p w14:paraId="3C8228F3" w14:textId="77777777" w:rsidR="00784A1F" w:rsidRPr="003C418C" w:rsidRDefault="00784A1F" w:rsidP="00784A1F">
            <w:pPr>
              <w:spacing w:after="120" w:line="240" w:lineRule="auto"/>
              <w:contextualSpacing/>
              <w:jc w:val="left"/>
              <w:rPr>
                <w:rFonts w:cstheme="minorHAnsi"/>
                <w:sz w:val="20"/>
                <w:highlight w:val="red"/>
              </w:rPr>
            </w:pPr>
            <w:r w:rsidRPr="003C418C">
              <w:rPr>
                <w:rFonts w:eastAsia="Adobe Fan Heiti Std B" w:cstheme="minorHAnsi"/>
                <w:sz w:val="20"/>
                <w:highlight w:val="red"/>
              </w:rPr>
              <w:t>ˇ</w:t>
            </w:r>
          </w:p>
        </w:tc>
        <w:tc>
          <w:tcPr>
            <w:tcW w:w="1134" w:type="dxa"/>
          </w:tcPr>
          <w:p w14:paraId="6869C333" w14:textId="77777777" w:rsidR="00784A1F" w:rsidRPr="003C418C" w:rsidRDefault="00784A1F" w:rsidP="00784A1F">
            <w:pPr>
              <w:spacing w:after="120" w:line="240" w:lineRule="auto"/>
              <w:contextualSpacing/>
              <w:jc w:val="left"/>
              <w:rPr>
                <w:rFonts w:cstheme="minorHAnsi"/>
                <w:sz w:val="20"/>
              </w:rPr>
            </w:pPr>
          </w:p>
        </w:tc>
        <w:tc>
          <w:tcPr>
            <w:tcW w:w="1113" w:type="dxa"/>
          </w:tcPr>
          <w:p w14:paraId="3C725BF6" w14:textId="77777777" w:rsidR="00784A1F" w:rsidRPr="003C418C" w:rsidRDefault="00784A1F" w:rsidP="00784A1F">
            <w:pPr>
              <w:spacing w:after="120" w:line="240" w:lineRule="auto"/>
              <w:contextualSpacing/>
              <w:jc w:val="left"/>
              <w:rPr>
                <w:rFonts w:cstheme="minorHAnsi"/>
                <w:sz w:val="20"/>
              </w:rPr>
            </w:pPr>
          </w:p>
        </w:tc>
        <w:tc>
          <w:tcPr>
            <w:tcW w:w="1722" w:type="dxa"/>
          </w:tcPr>
          <w:p w14:paraId="0A3EBD71" w14:textId="77777777" w:rsidR="00784A1F" w:rsidRPr="007F2427" w:rsidRDefault="00784A1F" w:rsidP="00784A1F">
            <w:pPr>
              <w:spacing w:after="120" w:line="240" w:lineRule="auto"/>
              <w:contextualSpacing/>
              <w:jc w:val="left"/>
              <w:rPr>
                <w:rFonts w:cstheme="minorHAnsi"/>
                <w:sz w:val="20"/>
              </w:rPr>
            </w:pPr>
            <w:r>
              <w:rPr>
                <w:rFonts w:cstheme="minorHAnsi"/>
                <w:sz w:val="20"/>
              </w:rPr>
              <w:t>Zone 1</w:t>
            </w:r>
          </w:p>
        </w:tc>
      </w:tr>
      <w:tr w:rsidR="00784A1F" w:rsidRPr="003C418C" w14:paraId="5F53BDAB" w14:textId="77777777" w:rsidTr="001A703E">
        <w:tc>
          <w:tcPr>
            <w:tcW w:w="538" w:type="dxa"/>
          </w:tcPr>
          <w:p w14:paraId="3DCFE848"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13</w:t>
            </w:r>
          </w:p>
        </w:tc>
        <w:tc>
          <w:tcPr>
            <w:tcW w:w="1515" w:type="dxa"/>
          </w:tcPr>
          <w:p w14:paraId="6C0EDAE9"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Zone 2 site 4</w:t>
            </w:r>
          </w:p>
        </w:tc>
        <w:tc>
          <w:tcPr>
            <w:tcW w:w="1486" w:type="dxa"/>
          </w:tcPr>
          <w:p w14:paraId="10F104CC"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0951CC2C" w14:textId="77777777" w:rsidR="00784A1F" w:rsidRPr="003C418C" w:rsidRDefault="00784A1F" w:rsidP="00784A1F">
            <w:pPr>
              <w:spacing w:after="120" w:line="240" w:lineRule="auto"/>
              <w:contextualSpacing/>
              <w:jc w:val="left"/>
              <w:rPr>
                <w:rFonts w:cstheme="minorHAnsi"/>
                <w:sz w:val="20"/>
              </w:rPr>
            </w:pPr>
          </w:p>
        </w:tc>
        <w:tc>
          <w:tcPr>
            <w:tcW w:w="992" w:type="dxa"/>
          </w:tcPr>
          <w:p w14:paraId="22126118" w14:textId="77777777" w:rsidR="00784A1F" w:rsidRPr="003C418C" w:rsidRDefault="00784A1F" w:rsidP="00784A1F">
            <w:pPr>
              <w:spacing w:after="120" w:line="240" w:lineRule="auto"/>
              <w:contextualSpacing/>
              <w:jc w:val="left"/>
              <w:rPr>
                <w:rFonts w:cstheme="minorHAnsi"/>
                <w:sz w:val="20"/>
                <w:highlight w:val="red"/>
              </w:rPr>
            </w:pPr>
            <w:r w:rsidRPr="003C418C">
              <w:rPr>
                <w:rFonts w:eastAsia="Adobe Fan Heiti Std B" w:cstheme="minorHAnsi"/>
                <w:sz w:val="20"/>
                <w:highlight w:val="red"/>
              </w:rPr>
              <w:t>ˇ</w:t>
            </w:r>
          </w:p>
        </w:tc>
        <w:tc>
          <w:tcPr>
            <w:tcW w:w="1134" w:type="dxa"/>
          </w:tcPr>
          <w:p w14:paraId="36239688" w14:textId="77777777" w:rsidR="00784A1F" w:rsidRPr="003C418C" w:rsidRDefault="00784A1F" w:rsidP="00784A1F">
            <w:pPr>
              <w:spacing w:after="120" w:line="240" w:lineRule="auto"/>
              <w:contextualSpacing/>
              <w:jc w:val="left"/>
              <w:rPr>
                <w:rFonts w:cstheme="minorHAnsi"/>
                <w:sz w:val="20"/>
              </w:rPr>
            </w:pPr>
          </w:p>
        </w:tc>
        <w:tc>
          <w:tcPr>
            <w:tcW w:w="1113" w:type="dxa"/>
          </w:tcPr>
          <w:p w14:paraId="0E52BDD2" w14:textId="77777777" w:rsidR="00784A1F" w:rsidRPr="003C418C" w:rsidRDefault="00784A1F" w:rsidP="00784A1F">
            <w:pPr>
              <w:spacing w:after="120" w:line="240" w:lineRule="auto"/>
              <w:contextualSpacing/>
              <w:jc w:val="left"/>
              <w:rPr>
                <w:rFonts w:cstheme="minorHAnsi"/>
                <w:sz w:val="20"/>
              </w:rPr>
            </w:pPr>
          </w:p>
        </w:tc>
        <w:tc>
          <w:tcPr>
            <w:tcW w:w="1722" w:type="dxa"/>
          </w:tcPr>
          <w:p w14:paraId="1748CFAC" w14:textId="77777777" w:rsidR="00784A1F" w:rsidRPr="007F2427" w:rsidRDefault="00784A1F" w:rsidP="00784A1F">
            <w:pPr>
              <w:spacing w:after="120" w:line="240" w:lineRule="auto"/>
              <w:contextualSpacing/>
              <w:jc w:val="left"/>
              <w:rPr>
                <w:rFonts w:cstheme="minorHAnsi"/>
                <w:sz w:val="20"/>
              </w:rPr>
            </w:pPr>
            <w:r>
              <w:rPr>
                <w:rFonts w:cstheme="minorHAnsi"/>
                <w:sz w:val="20"/>
              </w:rPr>
              <w:t>Zone 2</w:t>
            </w:r>
          </w:p>
        </w:tc>
      </w:tr>
      <w:tr w:rsidR="00784A1F" w:rsidRPr="003C418C" w14:paraId="1234F6D0" w14:textId="77777777" w:rsidTr="001A703E">
        <w:tc>
          <w:tcPr>
            <w:tcW w:w="538" w:type="dxa"/>
          </w:tcPr>
          <w:p w14:paraId="2AA02E33"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14</w:t>
            </w:r>
          </w:p>
        </w:tc>
        <w:tc>
          <w:tcPr>
            <w:tcW w:w="1515" w:type="dxa"/>
          </w:tcPr>
          <w:p w14:paraId="5E1935A3"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Zone 3 site 5</w:t>
            </w:r>
          </w:p>
        </w:tc>
        <w:tc>
          <w:tcPr>
            <w:tcW w:w="1486" w:type="dxa"/>
          </w:tcPr>
          <w:p w14:paraId="082BA9A0"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0E1718D3" w14:textId="77777777" w:rsidR="00784A1F" w:rsidRPr="003C418C" w:rsidRDefault="00784A1F" w:rsidP="00784A1F">
            <w:pPr>
              <w:spacing w:after="120" w:line="240" w:lineRule="auto"/>
              <w:contextualSpacing/>
              <w:jc w:val="left"/>
              <w:rPr>
                <w:rFonts w:cstheme="minorHAnsi"/>
                <w:sz w:val="20"/>
              </w:rPr>
            </w:pPr>
          </w:p>
        </w:tc>
        <w:tc>
          <w:tcPr>
            <w:tcW w:w="992" w:type="dxa"/>
          </w:tcPr>
          <w:p w14:paraId="272004E3" w14:textId="77777777" w:rsidR="00784A1F" w:rsidRPr="003C418C" w:rsidRDefault="00784A1F" w:rsidP="00784A1F">
            <w:pPr>
              <w:spacing w:after="120" w:line="240" w:lineRule="auto"/>
              <w:contextualSpacing/>
              <w:jc w:val="left"/>
              <w:rPr>
                <w:rFonts w:cstheme="minorHAnsi"/>
                <w:sz w:val="20"/>
                <w:highlight w:val="red"/>
              </w:rPr>
            </w:pPr>
            <w:r w:rsidRPr="003C418C">
              <w:rPr>
                <w:rFonts w:eastAsia="Adobe Fan Heiti Std B" w:cstheme="minorHAnsi"/>
                <w:sz w:val="20"/>
                <w:highlight w:val="red"/>
              </w:rPr>
              <w:t>ˇ</w:t>
            </w:r>
          </w:p>
        </w:tc>
        <w:tc>
          <w:tcPr>
            <w:tcW w:w="1134" w:type="dxa"/>
          </w:tcPr>
          <w:p w14:paraId="12682EB7" w14:textId="77777777" w:rsidR="00784A1F" w:rsidRPr="003C418C" w:rsidRDefault="00784A1F" w:rsidP="00784A1F">
            <w:pPr>
              <w:spacing w:after="120" w:line="240" w:lineRule="auto"/>
              <w:contextualSpacing/>
              <w:jc w:val="left"/>
              <w:rPr>
                <w:rFonts w:cstheme="minorHAnsi"/>
                <w:sz w:val="20"/>
              </w:rPr>
            </w:pPr>
          </w:p>
        </w:tc>
        <w:tc>
          <w:tcPr>
            <w:tcW w:w="1113" w:type="dxa"/>
          </w:tcPr>
          <w:p w14:paraId="41D4E970" w14:textId="77777777" w:rsidR="00784A1F" w:rsidRPr="003C418C" w:rsidRDefault="00784A1F" w:rsidP="00784A1F">
            <w:pPr>
              <w:spacing w:after="120" w:line="240" w:lineRule="auto"/>
              <w:contextualSpacing/>
              <w:jc w:val="left"/>
              <w:rPr>
                <w:rFonts w:cstheme="minorHAnsi"/>
                <w:sz w:val="20"/>
              </w:rPr>
            </w:pPr>
          </w:p>
        </w:tc>
        <w:tc>
          <w:tcPr>
            <w:tcW w:w="1722" w:type="dxa"/>
          </w:tcPr>
          <w:p w14:paraId="200C480E" w14:textId="77777777" w:rsidR="00784A1F" w:rsidRPr="007F2427" w:rsidRDefault="00784A1F" w:rsidP="00784A1F">
            <w:pPr>
              <w:spacing w:after="120" w:line="240" w:lineRule="auto"/>
              <w:contextualSpacing/>
              <w:jc w:val="left"/>
              <w:rPr>
                <w:rFonts w:cstheme="minorHAnsi"/>
                <w:sz w:val="20"/>
              </w:rPr>
            </w:pPr>
            <w:r>
              <w:rPr>
                <w:rFonts w:cstheme="minorHAnsi"/>
                <w:sz w:val="20"/>
              </w:rPr>
              <w:t>Zone 3</w:t>
            </w:r>
          </w:p>
        </w:tc>
      </w:tr>
      <w:tr w:rsidR="00784A1F" w:rsidRPr="003C418C" w14:paraId="4C865B78" w14:textId="77777777" w:rsidTr="001A703E">
        <w:tc>
          <w:tcPr>
            <w:tcW w:w="538" w:type="dxa"/>
          </w:tcPr>
          <w:p w14:paraId="14ED461C"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15</w:t>
            </w:r>
          </w:p>
        </w:tc>
        <w:tc>
          <w:tcPr>
            <w:tcW w:w="1515" w:type="dxa"/>
          </w:tcPr>
          <w:p w14:paraId="6DA74AA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Wakool Barham Road</w:t>
            </w:r>
          </w:p>
        </w:tc>
        <w:tc>
          <w:tcPr>
            <w:tcW w:w="1486" w:type="dxa"/>
          </w:tcPr>
          <w:p w14:paraId="45E7E87F"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6CCF257A"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409045</w:t>
            </w:r>
          </w:p>
        </w:tc>
        <w:tc>
          <w:tcPr>
            <w:tcW w:w="992" w:type="dxa"/>
          </w:tcPr>
          <w:p w14:paraId="61DDB540" w14:textId="77777777" w:rsidR="00784A1F" w:rsidRPr="003C418C" w:rsidRDefault="00784A1F" w:rsidP="00784A1F">
            <w:pPr>
              <w:spacing w:after="120" w:line="240" w:lineRule="auto"/>
              <w:contextualSpacing/>
              <w:jc w:val="left"/>
              <w:rPr>
                <w:rFonts w:cstheme="minorHAnsi"/>
                <w:sz w:val="20"/>
              </w:rPr>
            </w:pPr>
            <w:r w:rsidRPr="003C418C">
              <w:rPr>
                <w:rFonts w:eastAsia="Adobe Fan Heiti Std B" w:cstheme="minorHAnsi"/>
                <w:sz w:val="20"/>
                <w:highlight w:val="red"/>
              </w:rPr>
              <w:t>ˇ</w:t>
            </w:r>
          </w:p>
        </w:tc>
        <w:tc>
          <w:tcPr>
            <w:tcW w:w="1134" w:type="dxa"/>
          </w:tcPr>
          <w:p w14:paraId="117F42E0" w14:textId="77777777" w:rsidR="00784A1F" w:rsidRPr="003C418C" w:rsidRDefault="00784A1F" w:rsidP="00784A1F">
            <w:pPr>
              <w:spacing w:after="120" w:line="240" w:lineRule="auto"/>
              <w:contextualSpacing/>
              <w:jc w:val="left"/>
              <w:rPr>
                <w:rFonts w:cstheme="minorHAnsi"/>
                <w:sz w:val="20"/>
                <w:highlight w:val="green"/>
              </w:rPr>
            </w:pPr>
          </w:p>
        </w:tc>
        <w:tc>
          <w:tcPr>
            <w:tcW w:w="1113" w:type="dxa"/>
          </w:tcPr>
          <w:p w14:paraId="5A35510F" w14:textId="77777777" w:rsidR="00784A1F" w:rsidRPr="003C418C" w:rsidRDefault="00784A1F" w:rsidP="00784A1F">
            <w:pPr>
              <w:spacing w:after="120" w:line="240" w:lineRule="auto"/>
              <w:contextualSpacing/>
              <w:jc w:val="left"/>
              <w:rPr>
                <w:rFonts w:cstheme="minorHAnsi"/>
                <w:sz w:val="20"/>
              </w:rPr>
            </w:pPr>
          </w:p>
        </w:tc>
        <w:tc>
          <w:tcPr>
            <w:tcW w:w="1722" w:type="dxa"/>
          </w:tcPr>
          <w:p w14:paraId="4A738371" w14:textId="77777777" w:rsidR="00784A1F" w:rsidRPr="007F2427" w:rsidRDefault="00784A1F" w:rsidP="00784A1F">
            <w:pPr>
              <w:spacing w:after="120" w:line="240" w:lineRule="auto"/>
              <w:contextualSpacing/>
              <w:jc w:val="left"/>
              <w:rPr>
                <w:rFonts w:cstheme="minorHAnsi"/>
                <w:sz w:val="20"/>
              </w:rPr>
            </w:pPr>
            <w:r>
              <w:rPr>
                <w:rFonts w:cstheme="minorHAnsi"/>
                <w:sz w:val="20"/>
              </w:rPr>
              <w:t>Zone 4</w:t>
            </w:r>
          </w:p>
        </w:tc>
      </w:tr>
      <w:tr w:rsidR="00784A1F" w:rsidRPr="003C418C" w14:paraId="622076E6" w14:textId="77777777" w:rsidTr="001A703E">
        <w:tc>
          <w:tcPr>
            <w:tcW w:w="538" w:type="dxa"/>
          </w:tcPr>
          <w:p w14:paraId="596FE721"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16</w:t>
            </w:r>
          </w:p>
        </w:tc>
        <w:tc>
          <w:tcPr>
            <w:tcW w:w="1515" w:type="dxa"/>
          </w:tcPr>
          <w:p w14:paraId="3502C357"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Zone 4 site 5</w:t>
            </w:r>
          </w:p>
        </w:tc>
        <w:tc>
          <w:tcPr>
            <w:tcW w:w="1486" w:type="dxa"/>
          </w:tcPr>
          <w:p w14:paraId="460CBF17"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720BB111" w14:textId="77777777" w:rsidR="00784A1F" w:rsidRPr="003C418C" w:rsidRDefault="00784A1F" w:rsidP="00784A1F">
            <w:pPr>
              <w:spacing w:after="120" w:line="240" w:lineRule="auto"/>
              <w:contextualSpacing/>
              <w:jc w:val="left"/>
              <w:rPr>
                <w:rFonts w:cstheme="minorHAnsi"/>
                <w:sz w:val="20"/>
              </w:rPr>
            </w:pPr>
          </w:p>
        </w:tc>
        <w:tc>
          <w:tcPr>
            <w:tcW w:w="992" w:type="dxa"/>
          </w:tcPr>
          <w:p w14:paraId="4594BF9A" w14:textId="77777777" w:rsidR="00784A1F" w:rsidRPr="003C418C" w:rsidRDefault="00784A1F" w:rsidP="00784A1F">
            <w:pPr>
              <w:spacing w:after="120" w:line="240" w:lineRule="auto"/>
              <w:contextualSpacing/>
              <w:jc w:val="left"/>
              <w:rPr>
                <w:rFonts w:cstheme="minorHAnsi"/>
                <w:sz w:val="20"/>
                <w:highlight w:val="red"/>
              </w:rPr>
            </w:pPr>
            <w:r w:rsidRPr="003C418C">
              <w:rPr>
                <w:rFonts w:eastAsia="Adobe Fan Heiti Std B" w:cstheme="minorHAnsi"/>
                <w:sz w:val="20"/>
                <w:highlight w:val="red"/>
              </w:rPr>
              <w:t>ˇ</w:t>
            </w:r>
          </w:p>
        </w:tc>
        <w:tc>
          <w:tcPr>
            <w:tcW w:w="1134" w:type="dxa"/>
          </w:tcPr>
          <w:p w14:paraId="76875C78" w14:textId="77777777" w:rsidR="00784A1F" w:rsidRPr="003C418C" w:rsidRDefault="00784A1F" w:rsidP="00784A1F">
            <w:pPr>
              <w:spacing w:after="120" w:line="240" w:lineRule="auto"/>
              <w:contextualSpacing/>
              <w:jc w:val="left"/>
              <w:rPr>
                <w:rFonts w:cstheme="minorHAnsi"/>
                <w:sz w:val="20"/>
              </w:rPr>
            </w:pPr>
          </w:p>
        </w:tc>
        <w:tc>
          <w:tcPr>
            <w:tcW w:w="1113" w:type="dxa"/>
          </w:tcPr>
          <w:p w14:paraId="41F36C84" w14:textId="77777777" w:rsidR="00784A1F" w:rsidRPr="003C418C" w:rsidRDefault="00784A1F" w:rsidP="00784A1F">
            <w:pPr>
              <w:spacing w:after="120" w:line="240" w:lineRule="auto"/>
              <w:contextualSpacing/>
              <w:jc w:val="left"/>
              <w:rPr>
                <w:rFonts w:cstheme="minorHAnsi"/>
                <w:sz w:val="20"/>
              </w:rPr>
            </w:pPr>
          </w:p>
        </w:tc>
        <w:tc>
          <w:tcPr>
            <w:tcW w:w="1722" w:type="dxa"/>
          </w:tcPr>
          <w:p w14:paraId="3296E6C9" w14:textId="77777777" w:rsidR="00784A1F" w:rsidRPr="007F2427" w:rsidRDefault="00784A1F" w:rsidP="00784A1F">
            <w:pPr>
              <w:spacing w:after="120" w:line="240" w:lineRule="auto"/>
              <w:contextualSpacing/>
              <w:jc w:val="left"/>
              <w:rPr>
                <w:rFonts w:cstheme="minorHAnsi"/>
                <w:sz w:val="20"/>
              </w:rPr>
            </w:pPr>
            <w:r>
              <w:rPr>
                <w:rFonts w:cstheme="minorHAnsi"/>
                <w:sz w:val="20"/>
              </w:rPr>
              <w:t>Zone 4</w:t>
            </w:r>
          </w:p>
        </w:tc>
      </w:tr>
      <w:tr w:rsidR="00784A1F" w:rsidRPr="003C418C" w14:paraId="7EA5ACD5" w14:textId="77777777" w:rsidTr="001A703E">
        <w:tc>
          <w:tcPr>
            <w:tcW w:w="538" w:type="dxa"/>
          </w:tcPr>
          <w:p w14:paraId="127E3325"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17</w:t>
            </w:r>
          </w:p>
        </w:tc>
        <w:tc>
          <w:tcPr>
            <w:tcW w:w="1515" w:type="dxa"/>
          </w:tcPr>
          <w:p w14:paraId="0E7CC0E6"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Gee Gee Bridge</w:t>
            </w:r>
          </w:p>
        </w:tc>
        <w:tc>
          <w:tcPr>
            <w:tcW w:w="1486" w:type="dxa"/>
          </w:tcPr>
          <w:p w14:paraId="630102B5"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38D1BAB6"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409062</w:t>
            </w:r>
          </w:p>
        </w:tc>
        <w:tc>
          <w:tcPr>
            <w:tcW w:w="992" w:type="dxa"/>
          </w:tcPr>
          <w:p w14:paraId="60F4B39A" w14:textId="77777777" w:rsidR="00784A1F" w:rsidRPr="003C418C" w:rsidRDefault="00784A1F" w:rsidP="00784A1F">
            <w:pPr>
              <w:spacing w:after="120" w:line="240" w:lineRule="auto"/>
              <w:contextualSpacing/>
              <w:jc w:val="left"/>
              <w:rPr>
                <w:rFonts w:cstheme="minorHAnsi"/>
                <w:sz w:val="20"/>
              </w:rPr>
            </w:pPr>
          </w:p>
        </w:tc>
        <w:tc>
          <w:tcPr>
            <w:tcW w:w="1134" w:type="dxa"/>
          </w:tcPr>
          <w:p w14:paraId="269B12D5" w14:textId="77777777" w:rsidR="00784A1F" w:rsidRPr="003C418C" w:rsidRDefault="00784A1F" w:rsidP="00784A1F">
            <w:pPr>
              <w:spacing w:after="120" w:line="240" w:lineRule="auto"/>
              <w:contextualSpacing/>
              <w:jc w:val="left"/>
              <w:rPr>
                <w:rFonts w:cstheme="minorHAnsi"/>
                <w:sz w:val="20"/>
                <w:highlight w:val="green"/>
              </w:rPr>
            </w:pPr>
            <w:r w:rsidRPr="003C418C">
              <w:rPr>
                <w:rFonts w:eastAsia="Adobe Fan Heiti Std B" w:cstheme="minorHAnsi"/>
                <w:sz w:val="20"/>
                <w:highlight w:val="green"/>
              </w:rPr>
              <w:t>ˇ</w:t>
            </w:r>
          </w:p>
        </w:tc>
        <w:tc>
          <w:tcPr>
            <w:tcW w:w="1113" w:type="dxa"/>
          </w:tcPr>
          <w:p w14:paraId="262E40D5" w14:textId="77777777" w:rsidR="00784A1F" w:rsidRPr="003C418C" w:rsidRDefault="00784A1F" w:rsidP="00784A1F">
            <w:pPr>
              <w:spacing w:after="120" w:line="240" w:lineRule="auto"/>
              <w:contextualSpacing/>
              <w:jc w:val="left"/>
              <w:rPr>
                <w:rFonts w:cstheme="minorHAnsi"/>
                <w:sz w:val="20"/>
              </w:rPr>
            </w:pPr>
          </w:p>
        </w:tc>
        <w:tc>
          <w:tcPr>
            <w:tcW w:w="1722" w:type="dxa"/>
          </w:tcPr>
          <w:p w14:paraId="577A01D8" w14:textId="77777777" w:rsidR="00784A1F" w:rsidRPr="007F2427" w:rsidRDefault="00784A1F" w:rsidP="00784A1F">
            <w:pPr>
              <w:spacing w:after="120" w:line="240" w:lineRule="auto"/>
              <w:contextualSpacing/>
              <w:jc w:val="left"/>
              <w:rPr>
                <w:rFonts w:cstheme="minorHAnsi"/>
                <w:sz w:val="20"/>
              </w:rPr>
            </w:pPr>
            <w:r>
              <w:rPr>
                <w:rFonts w:cstheme="minorHAnsi"/>
                <w:sz w:val="20"/>
              </w:rPr>
              <w:t>Zone 5</w:t>
            </w:r>
          </w:p>
        </w:tc>
      </w:tr>
      <w:tr w:rsidR="00784A1F" w:rsidRPr="003C418C" w14:paraId="57CA1919" w14:textId="77777777" w:rsidTr="001A703E">
        <w:tc>
          <w:tcPr>
            <w:tcW w:w="538" w:type="dxa"/>
          </w:tcPr>
          <w:p w14:paraId="34E460C4"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18</w:t>
            </w:r>
          </w:p>
        </w:tc>
        <w:tc>
          <w:tcPr>
            <w:tcW w:w="1515" w:type="dxa"/>
          </w:tcPr>
          <w:p w14:paraId="3860FC92"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 xml:space="preserve">Stony Crossing </w:t>
            </w:r>
          </w:p>
        </w:tc>
        <w:tc>
          <w:tcPr>
            <w:tcW w:w="1486" w:type="dxa"/>
          </w:tcPr>
          <w:p w14:paraId="7BC63DCF" w14:textId="77777777" w:rsidR="00784A1F" w:rsidRPr="003C418C" w:rsidRDefault="00784A1F" w:rsidP="00784A1F">
            <w:pPr>
              <w:spacing w:after="120" w:line="240" w:lineRule="auto"/>
              <w:contextualSpacing/>
              <w:jc w:val="left"/>
              <w:rPr>
                <w:rFonts w:cstheme="minorHAnsi"/>
                <w:color w:val="000000"/>
                <w:sz w:val="20"/>
              </w:rPr>
            </w:pPr>
            <w:r w:rsidRPr="003C418C">
              <w:rPr>
                <w:rFonts w:cstheme="minorHAnsi"/>
                <w:color w:val="000000"/>
                <w:sz w:val="20"/>
              </w:rPr>
              <w:t>Wakool River</w:t>
            </w:r>
          </w:p>
        </w:tc>
        <w:tc>
          <w:tcPr>
            <w:tcW w:w="1134" w:type="dxa"/>
          </w:tcPr>
          <w:p w14:paraId="7F3E270E" w14:textId="77777777" w:rsidR="00784A1F" w:rsidRPr="003C418C" w:rsidRDefault="00784A1F" w:rsidP="00784A1F">
            <w:pPr>
              <w:spacing w:after="120" w:line="240" w:lineRule="auto"/>
              <w:contextualSpacing/>
              <w:jc w:val="left"/>
              <w:rPr>
                <w:rFonts w:cstheme="minorHAnsi"/>
                <w:sz w:val="20"/>
              </w:rPr>
            </w:pPr>
            <w:r w:rsidRPr="003C418C">
              <w:rPr>
                <w:rFonts w:cstheme="minorHAnsi"/>
                <w:sz w:val="20"/>
              </w:rPr>
              <w:t>409013</w:t>
            </w:r>
          </w:p>
        </w:tc>
        <w:tc>
          <w:tcPr>
            <w:tcW w:w="992" w:type="dxa"/>
          </w:tcPr>
          <w:p w14:paraId="0E6D43D8" w14:textId="77777777" w:rsidR="00784A1F" w:rsidRPr="003C418C" w:rsidRDefault="00784A1F" w:rsidP="00784A1F">
            <w:pPr>
              <w:spacing w:after="120" w:line="240" w:lineRule="auto"/>
              <w:contextualSpacing/>
              <w:jc w:val="left"/>
              <w:rPr>
                <w:rFonts w:cstheme="minorHAnsi"/>
                <w:sz w:val="20"/>
              </w:rPr>
            </w:pPr>
          </w:p>
        </w:tc>
        <w:tc>
          <w:tcPr>
            <w:tcW w:w="1134" w:type="dxa"/>
          </w:tcPr>
          <w:p w14:paraId="10D05D69" w14:textId="77777777" w:rsidR="00784A1F" w:rsidRPr="003C418C" w:rsidRDefault="00784A1F" w:rsidP="00784A1F">
            <w:pPr>
              <w:spacing w:after="120" w:line="240" w:lineRule="auto"/>
              <w:contextualSpacing/>
              <w:jc w:val="left"/>
              <w:rPr>
                <w:rFonts w:cstheme="minorHAnsi"/>
                <w:sz w:val="20"/>
                <w:highlight w:val="green"/>
              </w:rPr>
            </w:pPr>
            <w:r w:rsidRPr="003C418C">
              <w:rPr>
                <w:rFonts w:eastAsia="Adobe Fan Heiti Std B" w:cstheme="minorHAnsi"/>
                <w:sz w:val="20"/>
                <w:highlight w:val="green"/>
              </w:rPr>
              <w:t>ˇ</w:t>
            </w:r>
          </w:p>
        </w:tc>
        <w:tc>
          <w:tcPr>
            <w:tcW w:w="1113" w:type="dxa"/>
          </w:tcPr>
          <w:p w14:paraId="249C3181" w14:textId="77777777" w:rsidR="00784A1F" w:rsidRPr="003C418C" w:rsidRDefault="00784A1F" w:rsidP="00784A1F">
            <w:pPr>
              <w:spacing w:after="120" w:line="240" w:lineRule="auto"/>
              <w:contextualSpacing/>
              <w:jc w:val="left"/>
              <w:rPr>
                <w:rFonts w:cstheme="minorHAnsi"/>
                <w:sz w:val="20"/>
              </w:rPr>
            </w:pPr>
          </w:p>
        </w:tc>
        <w:tc>
          <w:tcPr>
            <w:tcW w:w="1722" w:type="dxa"/>
          </w:tcPr>
          <w:p w14:paraId="1723E9B9" w14:textId="77777777" w:rsidR="00784A1F" w:rsidRPr="007F2427" w:rsidRDefault="00784A1F" w:rsidP="00784A1F">
            <w:pPr>
              <w:spacing w:after="120" w:line="240" w:lineRule="auto"/>
              <w:contextualSpacing/>
              <w:jc w:val="left"/>
              <w:rPr>
                <w:rFonts w:cstheme="minorHAnsi"/>
                <w:sz w:val="20"/>
              </w:rPr>
            </w:pPr>
            <w:r>
              <w:rPr>
                <w:rFonts w:cstheme="minorHAnsi"/>
                <w:sz w:val="20"/>
              </w:rPr>
              <w:t>Zone 6</w:t>
            </w:r>
          </w:p>
        </w:tc>
      </w:tr>
    </w:tbl>
    <w:p w14:paraId="7F31CB70" w14:textId="77777777" w:rsidR="00784A1F" w:rsidRDefault="00784A1F" w:rsidP="00784A1F">
      <w:pPr>
        <w:spacing w:after="0" w:line="259" w:lineRule="auto"/>
        <w:jc w:val="left"/>
      </w:pPr>
    </w:p>
    <w:p w14:paraId="34569574" w14:textId="77777777" w:rsidR="00784A1F" w:rsidRDefault="00784A1F" w:rsidP="00784A1F">
      <w:pPr>
        <w:spacing w:after="0" w:line="259" w:lineRule="auto"/>
        <w:jc w:val="left"/>
      </w:pPr>
      <w:r>
        <w:rPr>
          <w:noProof/>
          <w:lang w:eastAsia="en-AU"/>
        </w:rPr>
        <w:drawing>
          <wp:inline distT="0" distB="0" distL="0" distR="0" wp14:anchorId="4A1292F5" wp14:editId="5C0E8473">
            <wp:extent cx="6040292" cy="3240000"/>
            <wp:effectExtent l="0" t="0" r="0"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6040292" cy="3240000"/>
                    </a:xfrm>
                    <a:prstGeom prst="rect">
                      <a:avLst/>
                    </a:prstGeom>
                    <a:noFill/>
                  </pic:spPr>
                </pic:pic>
              </a:graphicData>
            </a:graphic>
          </wp:inline>
        </w:drawing>
      </w:r>
    </w:p>
    <w:p w14:paraId="78B05017" w14:textId="77777777" w:rsidR="00784A1F" w:rsidRDefault="00784A1F" w:rsidP="00784A1F">
      <w:pPr>
        <w:spacing w:after="120" w:line="259" w:lineRule="auto"/>
        <w:jc w:val="left"/>
        <w:rPr>
          <w:sz w:val="20"/>
        </w:rPr>
      </w:pPr>
      <w:r w:rsidRPr="00AE2B4D">
        <w:rPr>
          <w:b/>
          <w:bCs/>
          <w:sz w:val="20"/>
        </w:rPr>
        <w:t>Figure 5.1</w:t>
      </w:r>
      <w:r w:rsidRPr="003C418C">
        <w:rPr>
          <w:b/>
          <w:bCs/>
          <w:sz w:val="20"/>
        </w:rPr>
        <w:t xml:space="preserve"> </w:t>
      </w:r>
      <w:r w:rsidRPr="003C418C">
        <w:rPr>
          <w:sz w:val="20"/>
        </w:rPr>
        <w:t>Map</w:t>
      </w:r>
      <w:r>
        <w:rPr>
          <w:sz w:val="20"/>
        </w:rPr>
        <w:t xml:space="preserve"> of the Edward/Kolety-Wakool Selected Area showing existing LTIM sites that are continued (red), sites where water quality sampling are supplemented with data from WaterNSW loggers (green), sites where new loggers are installed (yellow).</w:t>
      </w:r>
    </w:p>
    <w:p w14:paraId="1EFD711A" w14:textId="77777777" w:rsidR="00784A1F" w:rsidRPr="00D95859" w:rsidRDefault="00784A1F" w:rsidP="00784A1F">
      <w:pPr>
        <w:spacing w:after="120" w:line="259" w:lineRule="auto"/>
        <w:jc w:val="left"/>
        <w:rPr>
          <w:rFonts w:cstheme="minorHAnsi"/>
          <w:b/>
          <w:color w:val="31849B"/>
          <w:sz w:val="28"/>
          <w:szCs w:val="28"/>
        </w:rPr>
      </w:pPr>
      <w:r w:rsidRPr="00D95859">
        <w:rPr>
          <w:rFonts w:cstheme="minorHAnsi"/>
          <w:b/>
          <w:color w:val="31849B"/>
          <w:sz w:val="28"/>
          <w:szCs w:val="28"/>
        </w:rPr>
        <w:t xml:space="preserve">5.5 </w:t>
      </w:r>
      <w:r>
        <w:rPr>
          <w:rFonts w:cstheme="minorHAnsi"/>
          <w:b/>
          <w:color w:val="31849B"/>
          <w:sz w:val="28"/>
          <w:szCs w:val="28"/>
        </w:rPr>
        <w:t>Methods</w:t>
      </w:r>
    </w:p>
    <w:p w14:paraId="7BE8B7E7" w14:textId="77777777" w:rsidR="00784A1F" w:rsidRPr="0095586D" w:rsidRDefault="00784A1F" w:rsidP="00784A1F">
      <w:pPr>
        <w:spacing w:after="120" w:line="259" w:lineRule="auto"/>
        <w:jc w:val="left"/>
        <w:rPr>
          <w:rFonts w:cs="Calibri"/>
        </w:rPr>
      </w:pPr>
      <w:r>
        <w:t>Water temperature and DO were</w:t>
      </w:r>
      <w:r w:rsidRPr="0073018C">
        <w:t xml:space="preserve"> logged every ten minutes </w:t>
      </w:r>
      <w:r>
        <w:t xml:space="preserve">at ten monitoring sites including Tuppal Creek, downstream Stevens Weir, downstream Werai Forest, Colligen, Zone 1 Site 5, Zone 2 Site 4, Zone 3 Site 5, Zone 4 </w:t>
      </w:r>
      <w:r w:rsidRPr="0095586D">
        <w:rPr>
          <w:rFonts w:cs="Calibri"/>
        </w:rPr>
        <w:t>Site 1, Zone 4 Site 5 and Liewah</w:t>
      </w:r>
      <w:r>
        <w:rPr>
          <w:rFonts w:cs="Calibri"/>
        </w:rPr>
        <w:t xml:space="preserve"> (Figure 5.1)</w:t>
      </w:r>
      <w:r w:rsidRPr="0095586D">
        <w:rPr>
          <w:rFonts w:cs="Calibri"/>
        </w:rPr>
        <w:t xml:space="preserve">. Data were downloaded and loggers calibrated approximately once per month depending on access to survey sites. Light and depth loggers were also deployed, and data were downloaded on a monthly basis. The data collected by the loggers was used to calculate daily average temperature and DO concentrations for each of the river/creek system from </w:t>
      </w:r>
      <w:r w:rsidRPr="00107596">
        <w:rPr>
          <w:rFonts w:cs="Calibri"/>
        </w:rPr>
        <w:t>1 May 2019 to 30 June 2020.</w:t>
      </w:r>
      <w:r>
        <w:rPr>
          <w:rFonts w:cs="Calibri"/>
        </w:rPr>
        <w:t xml:space="preserve"> This period was used so the evaluation of the winter 2019 watering action could be included in this report. </w:t>
      </w:r>
    </w:p>
    <w:p w14:paraId="29E4015F" w14:textId="77777777" w:rsidR="00784A1F" w:rsidRDefault="00784A1F" w:rsidP="00784A1F">
      <w:pPr>
        <w:spacing w:after="120" w:line="259" w:lineRule="auto"/>
        <w:jc w:val="left"/>
      </w:pPr>
      <w:r w:rsidRPr="0095586D">
        <w:rPr>
          <w:rFonts w:cs="Calibri"/>
        </w:rPr>
        <w:t>From July 2019 to June 2020 water quality parameters (temperature (°C), electrical conductivity (mS/cm), DO (%), pH, and turbidity (NTU)) were measured as spot recordings monthly at monitoring sites within each river/creek system, and from Stevens Weir on the Edward</w:t>
      </w:r>
      <w:r>
        <w:rPr>
          <w:rFonts w:cs="Calibri"/>
        </w:rPr>
        <w:t>/Kolety</w:t>
      </w:r>
      <w:r w:rsidRPr="0095586D">
        <w:rPr>
          <w:rFonts w:cs="Calibri"/>
        </w:rPr>
        <w:t xml:space="preserve"> River and the Mulwala Canal. Water samples were collected once per month from monitoring sites within each river/creek system, and from Stevens</w:t>
      </w:r>
      <w:r w:rsidRPr="002F23AF">
        <w:t xml:space="preserve"> Weir on the Edward</w:t>
      </w:r>
      <w:r>
        <w:rPr>
          <w:rFonts w:cs="Calibri"/>
        </w:rPr>
        <w:t>/Kolety</w:t>
      </w:r>
      <w:r w:rsidRPr="002F23AF">
        <w:t xml:space="preserve"> River</w:t>
      </w:r>
      <w:r>
        <w:t>, and t</w:t>
      </w:r>
      <w:r w:rsidRPr="002F23AF">
        <w:t>he Mulwala Canal</w:t>
      </w:r>
      <w:r>
        <w:t>.</w:t>
      </w:r>
    </w:p>
    <w:p w14:paraId="2B155515" w14:textId="77777777" w:rsidR="00784A1F" w:rsidRDefault="00784A1F" w:rsidP="001A703E">
      <w:pPr>
        <w:spacing w:after="0" w:line="259" w:lineRule="auto"/>
        <w:ind w:right="-188"/>
        <w:contextualSpacing/>
        <w:jc w:val="left"/>
      </w:pPr>
      <w:r w:rsidRPr="00427316">
        <w:t>Water samples were processed according to the methods detailed in Watts et al. (2014</w:t>
      </w:r>
      <w:r>
        <w:t>a</w:t>
      </w:r>
      <w:r w:rsidRPr="00427316">
        <w:t>) to measure:</w:t>
      </w:r>
    </w:p>
    <w:p w14:paraId="6C6DC99D" w14:textId="77777777" w:rsidR="00784A1F" w:rsidRPr="00427316" w:rsidRDefault="00784A1F" w:rsidP="001A703E">
      <w:pPr>
        <w:pStyle w:val="ListParagraph"/>
        <w:numPr>
          <w:ilvl w:val="0"/>
          <w:numId w:val="13"/>
        </w:numPr>
        <w:spacing w:after="0" w:line="259" w:lineRule="auto"/>
        <w:ind w:left="714" w:hanging="357"/>
        <w:jc w:val="left"/>
      </w:pPr>
      <w:r w:rsidRPr="00427316">
        <w:t xml:space="preserve">Dissolved Organic Carbon (DOC) </w:t>
      </w:r>
    </w:p>
    <w:p w14:paraId="4ADC74B6" w14:textId="77777777" w:rsidR="00784A1F" w:rsidRPr="00427316" w:rsidRDefault="00784A1F" w:rsidP="001A703E">
      <w:pPr>
        <w:pStyle w:val="ListParagraph"/>
        <w:numPr>
          <w:ilvl w:val="0"/>
          <w:numId w:val="13"/>
        </w:numPr>
        <w:spacing w:after="0" w:line="259" w:lineRule="auto"/>
        <w:ind w:left="714" w:hanging="357"/>
        <w:jc w:val="left"/>
      </w:pPr>
      <w:r>
        <w:t>Nutrients (Ammonium</w:t>
      </w:r>
      <w:r w:rsidRPr="00427316">
        <w:t xml:space="preserve"> (NH</w:t>
      </w:r>
      <w:r w:rsidRPr="00427316">
        <w:rPr>
          <w:vertAlign w:val="subscript"/>
        </w:rPr>
        <w:t>4</w:t>
      </w:r>
      <w:r w:rsidRPr="00427316">
        <w:rPr>
          <w:vertAlign w:val="superscript"/>
        </w:rPr>
        <w:t>+</w:t>
      </w:r>
      <w:r w:rsidRPr="00427316">
        <w:t>), filtered reactive phosphorus (FRP), dissolved nitrate + nitrite (NOx), Total Nitrogen (TN) and Total Phosphorus (TP))</w:t>
      </w:r>
    </w:p>
    <w:p w14:paraId="06763A85" w14:textId="77777777" w:rsidR="00784A1F" w:rsidRPr="00427316" w:rsidRDefault="00784A1F" w:rsidP="001A703E">
      <w:pPr>
        <w:pStyle w:val="ListParagraph"/>
        <w:numPr>
          <w:ilvl w:val="0"/>
          <w:numId w:val="13"/>
        </w:numPr>
        <w:spacing w:after="0" w:line="259" w:lineRule="auto"/>
        <w:ind w:left="714" w:hanging="357"/>
        <w:jc w:val="left"/>
      </w:pPr>
      <w:r>
        <w:t>Chlorophyll-</w:t>
      </w:r>
      <w:r w:rsidRPr="006C00A1">
        <w:rPr>
          <w:i/>
        </w:rPr>
        <w:t>a</w:t>
      </w:r>
      <w:r>
        <w:rPr>
          <w:i/>
        </w:rPr>
        <w:t xml:space="preserve"> </w:t>
      </w:r>
      <w:r>
        <w:t xml:space="preserve">(Chl </w:t>
      </w:r>
      <w:r w:rsidRPr="006C00A1">
        <w:rPr>
          <w:i/>
        </w:rPr>
        <w:t>a</w:t>
      </w:r>
      <w:r>
        <w:t>)</w:t>
      </w:r>
    </w:p>
    <w:p w14:paraId="00AFAFFA" w14:textId="77777777" w:rsidR="00784A1F" w:rsidRDefault="00784A1F" w:rsidP="00784A1F">
      <w:pPr>
        <w:pStyle w:val="ListParagraph"/>
        <w:numPr>
          <w:ilvl w:val="0"/>
          <w:numId w:val="13"/>
        </w:numPr>
        <w:spacing w:after="120" w:line="259" w:lineRule="auto"/>
        <w:ind w:left="714" w:hanging="357"/>
        <w:jc w:val="left"/>
      </w:pPr>
      <w:r w:rsidRPr="00427316">
        <w:t xml:space="preserve">Absorbance and fluorescence spectroscopy for </w:t>
      </w:r>
      <w:r>
        <w:t>organic matter characterisation</w:t>
      </w:r>
    </w:p>
    <w:p w14:paraId="6EFEAB03" w14:textId="77777777" w:rsidR="00784A1F" w:rsidRPr="0095586D" w:rsidRDefault="00784A1F" w:rsidP="00784A1F">
      <w:pPr>
        <w:spacing w:after="120" w:line="259" w:lineRule="auto"/>
        <w:jc w:val="left"/>
        <w:rPr>
          <w:rFonts w:cs="Calibri"/>
        </w:rPr>
      </w:pPr>
      <w:r w:rsidRPr="00427316">
        <w:t xml:space="preserve">Water samples </w:t>
      </w:r>
      <w:r>
        <w:t>for organic matter characterisation, DOC and bioavailable nutrients (FRP, NOx, NH</w:t>
      </w:r>
      <w:r w:rsidRPr="000F6532">
        <w:rPr>
          <w:vertAlign w:val="subscript"/>
        </w:rPr>
        <w:t>3</w:t>
      </w:r>
      <w:r>
        <w:t xml:space="preserve">) </w:t>
      </w:r>
      <w:r w:rsidRPr="00427316">
        <w:t>were filtered through a 0.</w:t>
      </w:r>
      <w:r>
        <w:rPr>
          <w:rFonts w:cs="Calibri"/>
        </w:rPr>
        <w:t xml:space="preserve">2 </w:t>
      </w:r>
      <w:r>
        <w:rPr>
          <w:rFonts w:cstheme="minorHAnsi"/>
        </w:rPr>
        <w:t>µ</w:t>
      </w:r>
      <w:r w:rsidRPr="0095586D">
        <w:rPr>
          <w:rFonts w:cs="Calibri"/>
        </w:rPr>
        <w:t xml:space="preserve">m pore-sized membrane at the time of sampling and then stored on ice until returned to the laboratory. DOC and nutrient samples were frozen and sent to CSIRO NATA certified lab </w:t>
      </w:r>
      <w:r>
        <w:rPr>
          <w:rFonts w:cs="Calibri"/>
        </w:rPr>
        <w:t xml:space="preserve">in CSU Albury campus </w:t>
      </w:r>
      <w:r w:rsidRPr="0095586D">
        <w:rPr>
          <w:rFonts w:cs="Calibri"/>
        </w:rPr>
        <w:t>for analysis. Carbon characterisation samples were sent to NaLSH, CSU Wagga Wagga campus and analysed within a day of returning from the field.</w:t>
      </w:r>
    </w:p>
    <w:p w14:paraId="3AF37DD7" w14:textId="77777777" w:rsidR="00784A1F" w:rsidRPr="0095586D" w:rsidRDefault="00784A1F" w:rsidP="00784A1F">
      <w:pPr>
        <w:spacing w:after="120" w:line="259" w:lineRule="auto"/>
        <w:jc w:val="left"/>
        <w:rPr>
          <w:rFonts w:cs="Calibri"/>
        </w:rPr>
      </w:pPr>
      <w:r w:rsidRPr="0095586D">
        <w:rPr>
          <w:rFonts w:cs="Calibri"/>
        </w:rPr>
        <w:t xml:space="preserve">Absorbance scans were collected using a Varian Cary 4000 instrument across a wavelength range of 550 nm to 200 nm (green through to ultraviolet) with a 1 nm step size. Absorbance is a measure of light absorbed by the sample and is a logarithmic scale. An absorbance of 1 indicates that only 10% of the light of that wavelength is transmitted through the sample. Fluorescence scans were collected using a Varian Eclipse spectrofluorometer scanning both emission and excitation wavelengths to give an excitation-emission matrix. Excitation wavelengths were scanned from 200 to 400 nm with a 10 nm step size and for each excitation wavelength, emission of light at 90° to the source was recorded from 200 nm to 550 nm with a 1 nm step size. Fluorescence results were corrected for sample absorption and plotted as contour plots </w:t>
      </w:r>
      <w:r w:rsidRPr="0095586D">
        <w:rPr>
          <w:rFonts w:cs="Calibri"/>
        </w:rPr>
        <w:fldChar w:fldCharType="begin"/>
      </w:r>
      <w:r w:rsidRPr="0095586D">
        <w:rPr>
          <w:rFonts w:cs="Calibri"/>
        </w:rPr>
        <w:instrText xml:space="preserve"> ADDIN EN.CITE &lt;EndNote&gt;&lt;Cite&gt;&lt;Author&gt;Howitt&lt;/Author&gt;&lt;Year&gt;2008&lt;/Year&gt;&lt;RecNum&gt;1538&lt;/RecNum&gt;&lt;DisplayText&gt;(Howitt, Baldwin&lt;style face="italic"&gt; et al.&lt;/style&gt; 2008)&lt;/DisplayText&gt;&lt;record&gt;&lt;rec-number&gt;1538&lt;/rec-number&gt;&lt;foreign-keys&gt;&lt;key app="EN" db-id="s29ddxw9p900s9ef22lv2wprd9wr9rtp20ps" timestamp="1302562383"&gt;1538&lt;/key&gt;&lt;/foreign-keys&gt;&lt;ref-type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Pr="0095586D">
        <w:rPr>
          <w:rFonts w:cs="Calibri"/>
        </w:rPr>
        <w:fldChar w:fldCharType="separate"/>
      </w:r>
      <w:r w:rsidRPr="0095586D">
        <w:rPr>
          <w:rFonts w:cs="Calibri"/>
        </w:rPr>
        <w:t>(</w:t>
      </w:r>
      <w:hyperlink w:anchor="_ENREF_13" w:tooltip="Howitt, 2008 #1538" w:history="1">
        <w:r w:rsidRPr="0095586D">
          <w:rPr>
            <w:rFonts w:cs="Calibri"/>
          </w:rPr>
          <w:t>Howitt et al. 2008</w:t>
        </w:r>
      </w:hyperlink>
      <w:r w:rsidRPr="0095586D">
        <w:rPr>
          <w:rFonts w:cs="Calibri"/>
        </w:rPr>
        <w:t>)</w:t>
      </w:r>
      <w:r w:rsidRPr="0095586D">
        <w:rPr>
          <w:rFonts w:cs="Calibri"/>
        </w:rPr>
        <w:fldChar w:fldCharType="end"/>
      </w:r>
      <w:r w:rsidRPr="0095586D">
        <w:rPr>
          <w:rFonts w:cs="Calibri"/>
        </w:rPr>
        <w:t>. To correct for drift in the instrument zero position, each contour plot was scaled by subtracting the average emission intensity across the range 200-210 nm for an excitation of 250 nm from all fluorescence intensities effectively setting this region of the contour plot to zero on all plots.</w:t>
      </w:r>
    </w:p>
    <w:p w14:paraId="2A2F67C4" w14:textId="77777777" w:rsidR="00784A1F" w:rsidRDefault="00784A1F" w:rsidP="00784A1F">
      <w:pPr>
        <w:spacing w:after="120" w:line="259" w:lineRule="auto"/>
        <w:jc w:val="left"/>
      </w:pPr>
      <w:r w:rsidRPr="0095586D">
        <w:rPr>
          <w:rFonts w:cs="Calibri"/>
        </w:rPr>
        <w:t xml:space="preserve">An example of a fluorescence contour plot </w:t>
      </w:r>
      <w:r w:rsidRPr="00435898">
        <w:rPr>
          <w:rFonts w:cs="Calibri"/>
        </w:rPr>
        <w:t>is shown in Figure 5.2. The</w:t>
      </w:r>
      <w:r w:rsidRPr="0095586D">
        <w:rPr>
          <w:rFonts w:cs="Calibri"/>
        </w:rPr>
        <w:t xml:space="preserve"> contour 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w:t>
      </w:r>
      <w:r w:rsidRPr="002F23AF">
        <w:t>ue and will be present in all samples- key data is found between these two lines.</w:t>
      </w:r>
    </w:p>
    <w:p w14:paraId="77AC88B1" w14:textId="77777777" w:rsidR="00784A1F" w:rsidRPr="00CA6001" w:rsidRDefault="00784A1F" w:rsidP="00784A1F">
      <w:pPr>
        <w:spacing w:after="120" w:line="259" w:lineRule="auto"/>
        <w:ind w:right="238"/>
        <w:jc w:val="left"/>
      </w:pPr>
      <w:r w:rsidRPr="002F23AF">
        <w:rPr>
          <w:bCs/>
        </w:rPr>
        <w:t xml:space="preserve">The monitoring results were </w:t>
      </w:r>
      <w:r w:rsidRPr="0068173A">
        <w:rPr>
          <w:rFonts w:cs="Calibri"/>
        </w:rPr>
        <w:t>assessed against the lowland river trigger levels for aquatic ecosystems in south-east Australia from the ANZECC (2000) water quality guidelines. If the concentration of a particular water quality parameter exceeds the trigger level or falls outside of the acceptable range, the guidelines are written with the intention that further investigation of the ecosystem is ‘triggered’ to establish whether the concentrations are causing ecological harm. Systems may vary in their sensitivity to various parameters and therefore exceeding a trigger level is not an absolute indicator of ecological harm. It is quite common for water quality parameters to briefly fall outside of guideline values during large overbank flows. The ANZECC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w:t>
      </w:r>
      <w:r>
        <w:rPr>
          <w:bCs/>
        </w:rPr>
        <w:t xml:space="preserve"> are discussed below.</w:t>
      </w:r>
    </w:p>
    <w:p w14:paraId="3104DAE0" w14:textId="77777777" w:rsidR="00784A1F" w:rsidRDefault="00784A1F" w:rsidP="00784A1F">
      <w:pPr>
        <w:spacing w:after="120" w:line="259" w:lineRule="auto"/>
        <w:jc w:val="left"/>
        <w:rPr>
          <w:b/>
          <w:sz w:val="24"/>
        </w:rPr>
      </w:pPr>
      <w:r>
        <w:rPr>
          <w:b/>
          <w:noProof/>
          <w:sz w:val="24"/>
          <w:lang w:eastAsia="en-AU"/>
        </w:rPr>
        <w:drawing>
          <wp:inline distT="0" distB="0" distL="0" distR="0" wp14:anchorId="21DF19CF" wp14:editId="33D2E4EA">
            <wp:extent cx="3559595" cy="3420000"/>
            <wp:effectExtent l="0" t="0" r="3175" b="9525"/>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ple excitation emission contour plot.png"/>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3559595" cy="3420000"/>
                    </a:xfrm>
                    <a:prstGeom prst="rect">
                      <a:avLst/>
                    </a:prstGeom>
                    <a:ln>
                      <a:noFill/>
                    </a:ln>
                    <a:extLst>
                      <a:ext uri="{53640926-AAD7-44D8-BBD7-CCE9431645EC}">
                        <a14:shadowObscured xmlns:a14="http://schemas.microsoft.com/office/drawing/2010/main"/>
                      </a:ext>
                    </a:extLst>
                  </pic:spPr>
                </pic:pic>
              </a:graphicData>
            </a:graphic>
          </wp:inline>
        </w:drawing>
      </w:r>
    </w:p>
    <w:p w14:paraId="224D7E7F" w14:textId="77777777" w:rsidR="00784A1F" w:rsidRDefault="00784A1F" w:rsidP="00784A1F">
      <w:pPr>
        <w:spacing w:after="120" w:line="259" w:lineRule="auto"/>
        <w:jc w:val="left"/>
        <w:rPr>
          <w:sz w:val="20"/>
        </w:rPr>
      </w:pPr>
      <w:r w:rsidRPr="00AE2B4D">
        <w:rPr>
          <w:b/>
          <w:sz w:val="20"/>
        </w:rPr>
        <w:t>Figure 5.2</w:t>
      </w:r>
      <w:r w:rsidRPr="00435898">
        <w:rPr>
          <w:sz w:val="20"/>
        </w:rPr>
        <w:t xml:space="preserve"> Sample</w:t>
      </w:r>
      <w:r>
        <w:rPr>
          <w:sz w:val="20"/>
        </w:rPr>
        <w:t xml:space="preserve"> excitation emission contour plot indicating key features of the data (Watts et al. 2013).</w:t>
      </w:r>
    </w:p>
    <w:p w14:paraId="541A00E2" w14:textId="77777777" w:rsidR="00784A1F" w:rsidRPr="00AE2B4D" w:rsidRDefault="00784A1F" w:rsidP="00784A1F">
      <w:pPr>
        <w:spacing w:after="120" w:line="259" w:lineRule="auto"/>
        <w:jc w:val="left"/>
        <w:rPr>
          <w:rFonts w:cstheme="minorHAnsi"/>
          <w:b/>
          <w:color w:val="31849B"/>
          <w:sz w:val="28"/>
          <w:szCs w:val="28"/>
        </w:rPr>
      </w:pPr>
      <w:r w:rsidRPr="00AE2B4D">
        <w:rPr>
          <w:rFonts w:cstheme="minorHAnsi"/>
          <w:b/>
          <w:color w:val="31849B"/>
          <w:sz w:val="28"/>
          <w:szCs w:val="28"/>
        </w:rPr>
        <w:t xml:space="preserve">5.6 </w:t>
      </w:r>
      <w:r>
        <w:rPr>
          <w:rFonts w:cstheme="minorHAnsi"/>
          <w:b/>
          <w:color w:val="31849B"/>
          <w:sz w:val="28"/>
          <w:szCs w:val="28"/>
        </w:rPr>
        <w:t>Results</w:t>
      </w:r>
    </w:p>
    <w:p w14:paraId="04A0D28B" w14:textId="77777777" w:rsidR="00784A1F" w:rsidRPr="0036152B" w:rsidRDefault="00784A1F" w:rsidP="00784A1F">
      <w:pPr>
        <w:spacing w:after="120" w:line="259" w:lineRule="auto"/>
        <w:jc w:val="left"/>
        <w:rPr>
          <w:rFonts w:cs="Calibri"/>
        </w:rPr>
      </w:pPr>
      <w:r>
        <w:t xml:space="preserve">The collected </w:t>
      </w:r>
      <w:r w:rsidRPr="0036152B">
        <w:rPr>
          <w:rFonts w:cs="Calibri"/>
        </w:rPr>
        <w:t>water quality and carbon data have been grouped based on the major rivers</w:t>
      </w:r>
      <w:r>
        <w:rPr>
          <w:rFonts w:cs="Calibri"/>
        </w:rPr>
        <w:t>;</w:t>
      </w:r>
      <w:r w:rsidRPr="0036152B">
        <w:rPr>
          <w:rFonts w:cs="Calibri"/>
        </w:rPr>
        <w:t xml:space="preserve"> the Yallakool-Wakool system, the Edward</w:t>
      </w:r>
      <w:r>
        <w:rPr>
          <w:rFonts w:cs="Calibri"/>
        </w:rPr>
        <w:t>/Kolety</w:t>
      </w:r>
      <w:r w:rsidRPr="0036152B">
        <w:rPr>
          <w:rFonts w:cs="Calibri"/>
        </w:rPr>
        <w:t xml:space="preserve"> River, the Colligen-Niemur </w:t>
      </w:r>
      <w:r>
        <w:rPr>
          <w:rFonts w:cs="Calibri"/>
        </w:rPr>
        <w:t xml:space="preserve">River </w:t>
      </w:r>
      <w:r w:rsidRPr="0036152B">
        <w:rPr>
          <w:rFonts w:cs="Calibri"/>
        </w:rPr>
        <w:t xml:space="preserve">system and Tuppal Creek. </w:t>
      </w:r>
      <w:r>
        <w:rPr>
          <w:rFonts w:cs="Calibri"/>
        </w:rPr>
        <w:t xml:space="preserve">The data collected by the loggers was used to calculate daily average temperature results and DO concentrations for selected sites of each river </w:t>
      </w:r>
      <w:r w:rsidRPr="00EB26BB">
        <w:rPr>
          <w:rFonts w:cs="Calibri"/>
        </w:rPr>
        <w:t xml:space="preserve">system between </w:t>
      </w:r>
      <w:r w:rsidRPr="00BA14E7">
        <w:rPr>
          <w:rFonts w:cs="Calibri"/>
        </w:rPr>
        <w:t>July 2019 and 30 June 2020.</w:t>
      </w:r>
      <w:r>
        <w:rPr>
          <w:rFonts w:cs="Calibri"/>
        </w:rPr>
        <w:t xml:space="preserve"> </w:t>
      </w:r>
      <w:r w:rsidRPr="0095586D">
        <w:rPr>
          <w:rFonts w:cs="Calibri"/>
        </w:rPr>
        <w:t xml:space="preserve">The </w:t>
      </w:r>
      <w:r>
        <w:rPr>
          <w:rFonts w:cs="Calibri"/>
        </w:rPr>
        <w:t xml:space="preserve">water samples for </w:t>
      </w:r>
      <w:r w:rsidRPr="0095586D">
        <w:rPr>
          <w:rFonts w:cs="Calibri"/>
        </w:rPr>
        <w:t xml:space="preserve">the assessment of water quality </w:t>
      </w:r>
      <w:r>
        <w:rPr>
          <w:rFonts w:cs="Calibri"/>
        </w:rPr>
        <w:t xml:space="preserve">changes during in-stream flows were </w:t>
      </w:r>
      <w:r w:rsidRPr="0095586D">
        <w:rPr>
          <w:rFonts w:cs="Calibri"/>
        </w:rPr>
        <w:t>collected from each site on a monthly basis throughout the</w:t>
      </w:r>
      <w:r>
        <w:t xml:space="preserve"> year </w:t>
      </w:r>
      <w:r>
        <w:rPr>
          <w:rFonts w:cs="Calibri"/>
        </w:rPr>
        <w:t>from July 2019 to June 2020</w:t>
      </w:r>
      <w:r>
        <w:t xml:space="preserve">. </w:t>
      </w:r>
      <w:r w:rsidRPr="0095586D">
        <w:rPr>
          <w:rFonts w:cs="Calibri"/>
        </w:rPr>
        <w:t xml:space="preserve">The </w:t>
      </w:r>
      <w:r>
        <w:rPr>
          <w:rFonts w:cs="Calibri"/>
        </w:rPr>
        <w:t xml:space="preserve">water samples for </w:t>
      </w:r>
      <w:r w:rsidRPr="0095586D">
        <w:rPr>
          <w:rFonts w:cs="Calibri"/>
        </w:rPr>
        <w:t xml:space="preserve">the assessment of organic matter inputs </w:t>
      </w:r>
      <w:r>
        <w:rPr>
          <w:rFonts w:cs="Calibri"/>
        </w:rPr>
        <w:t xml:space="preserve">were </w:t>
      </w:r>
      <w:r w:rsidRPr="0095586D">
        <w:rPr>
          <w:rFonts w:cs="Calibri"/>
        </w:rPr>
        <w:t xml:space="preserve">collected from each site on a monthly basis </w:t>
      </w:r>
      <w:r>
        <w:rPr>
          <w:rFonts w:cs="Calibri"/>
        </w:rPr>
        <w:t>from July 2019 to March 2020</w:t>
      </w:r>
      <w:r>
        <w:t xml:space="preserve"> and the data </w:t>
      </w:r>
      <w:r w:rsidRPr="003B5EF4">
        <w:rPr>
          <w:szCs w:val="24"/>
        </w:rPr>
        <w:t xml:space="preserve">are not available for </w:t>
      </w:r>
      <w:r>
        <w:rPr>
          <w:szCs w:val="24"/>
        </w:rPr>
        <w:t xml:space="preserve">April, May and June 2020 due to COVID-19 travel restrictions. </w:t>
      </w:r>
      <w:r w:rsidRPr="0036152B">
        <w:rPr>
          <w:rFonts w:cs="Calibri"/>
        </w:rPr>
        <w:t>In general, downstream sites affected by water actions were later and experienced longer periods than upstream sites.</w:t>
      </w:r>
    </w:p>
    <w:p w14:paraId="28B9DC50" w14:textId="77777777" w:rsidR="00784A1F" w:rsidRPr="00AE2B4D" w:rsidRDefault="00784A1F" w:rsidP="00784A1F">
      <w:pPr>
        <w:spacing w:after="120" w:line="259" w:lineRule="auto"/>
        <w:jc w:val="left"/>
        <w:rPr>
          <w:rFonts w:cs="Calibri"/>
          <w:b/>
          <w:color w:val="31849B"/>
        </w:rPr>
      </w:pPr>
      <w:r w:rsidRPr="00AE2B4D">
        <w:rPr>
          <w:rFonts w:cs="Calibri"/>
          <w:b/>
          <w:color w:val="31849B"/>
        </w:rPr>
        <w:t>The Wakool-Yallakool system</w:t>
      </w:r>
    </w:p>
    <w:p w14:paraId="7D45BD47" w14:textId="77777777" w:rsidR="00784A1F" w:rsidRPr="00AE2B4D" w:rsidRDefault="00784A1F" w:rsidP="00784A1F">
      <w:pPr>
        <w:spacing w:after="120" w:line="259" w:lineRule="auto"/>
        <w:jc w:val="left"/>
        <w:rPr>
          <w:rFonts w:cs="Calibri"/>
          <w:b/>
          <w:i/>
          <w:color w:val="000000" w:themeColor="text1"/>
        </w:rPr>
      </w:pPr>
      <w:r w:rsidRPr="00AE2B4D">
        <w:rPr>
          <w:rFonts w:cs="Calibri"/>
          <w:b/>
          <w:i/>
          <w:color w:val="000000" w:themeColor="text1"/>
        </w:rPr>
        <w:t xml:space="preserve">Temperature and dissolved oxygen and spot water quality parameters </w:t>
      </w:r>
    </w:p>
    <w:p w14:paraId="777B5349" w14:textId="77777777" w:rsidR="00784A1F" w:rsidRDefault="00784A1F" w:rsidP="00784A1F">
      <w:pPr>
        <w:spacing w:after="120" w:line="259" w:lineRule="auto"/>
        <w:jc w:val="left"/>
      </w:pPr>
      <w:r>
        <w:rPr>
          <w:rFonts w:cs="Calibri"/>
        </w:rPr>
        <w:t xml:space="preserve">Water temperature was consistent across study sites (zones 2, 3 and 4) in the Wakool-Yallakool system with water temperature exceeding 25 </w:t>
      </w:r>
      <w:r>
        <w:rPr>
          <w:rFonts w:cstheme="minorHAnsi"/>
        </w:rPr>
        <w:t>°</w:t>
      </w:r>
      <w:r>
        <w:rPr>
          <w:rFonts w:cs="Calibri"/>
        </w:rPr>
        <w:t xml:space="preserve">C briefly during summer and staying below 10 </w:t>
      </w:r>
      <w:r>
        <w:rPr>
          <w:rFonts w:cstheme="minorHAnsi"/>
        </w:rPr>
        <w:t>°</w:t>
      </w:r>
      <w:r>
        <w:rPr>
          <w:rFonts w:cs="Calibri"/>
        </w:rPr>
        <w:t xml:space="preserve">C for several weeks during winter. </w:t>
      </w:r>
      <w:r w:rsidRPr="00FE4261">
        <w:t>The results indicate that water temperature is influenced predominantly by seasonal rather than</w:t>
      </w:r>
      <w:r>
        <w:t xml:space="preserve"> site-specific factors. There was</w:t>
      </w:r>
      <w:r w:rsidRPr="00FE4261">
        <w:t xml:space="preserve"> no discernible effect of Commonwealth environmental watering action on water temperature, with all sites displaying the same seasonal variation and influence of weather patterns.</w:t>
      </w:r>
      <w:r>
        <w:t xml:space="preserve"> This was consistent with the trend observed in previous years.</w:t>
      </w:r>
    </w:p>
    <w:p w14:paraId="51371985" w14:textId="77777777" w:rsidR="00784A1F" w:rsidRDefault="00784A1F" w:rsidP="00784A1F">
      <w:pPr>
        <w:spacing w:after="120" w:line="259" w:lineRule="auto"/>
        <w:jc w:val="left"/>
      </w:pPr>
      <w:r w:rsidRPr="00B1795A">
        <w:t xml:space="preserve">The plot of average daily DO concentrations in zones 1 to 4 </w:t>
      </w:r>
      <w:r w:rsidRPr="00B1795A">
        <w:rPr>
          <w:rFonts w:cs="Calibri"/>
        </w:rPr>
        <w:t xml:space="preserve">in the Wakool-Yallakool system </w:t>
      </w:r>
      <w:r w:rsidRPr="00B1795A">
        <w:t>(Figure 5.3</w:t>
      </w:r>
      <w:r>
        <w:t>) shows</w:t>
      </w:r>
      <w:r w:rsidRPr="00FE4261">
        <w:t xml:space="preserve"> the</w:t>
      </w:r>
      <w:r w:rsidRPr="009C11A1">
        <w:t xml:space="preserve"> expected seasonal variations with higher concentrations in the winter and lower concentrations correlating to the period</w:t>
      </w:r>
      <w:r>
        <w:t xml:space="preserve">s of higher water temperature. </w:t>
      </w:r>
      <w:r w:rsidRPr="009C11A1">
        <w:t xml:space="preserve">Yallakool Creek (zone 1) and the Wakool River in zones 3 and 4 (all receiving base flows and small freshes of Commonwealth environmental water) </w:t>
      </w:r>
      <w:r>
        <w:t>were</w:t>
      </w:r>
      <w:r w:rsidRPr="009C11A1">
        <w:t xml:space="preserve"> similar to each other thro</w:t>
      </w:r>
      <w:r>
        <w:t>ughout most of the study period</w:t>
      </w:r>
      <w:r w:rsidRPr="00FE4261">
        <w:t xml:space="preserve">. In all cases </w:t>
      </w:r>
      <w:r>
        <w:t>a decline in DO was</w:t>
      </w:r>
      <w:r w:rsidRPr="00FE4261">
        <w:t xml:space="preserve"> observed during the hotter months, as expected with the increased water temperature (which decreases oxygen solubility</w:t>
      </w:r>
      <w:r>
        <w:t xml:space="preserve"> and increases the rate of many microbial processes</w:t>
      </w:r>
      <w:r w:rsidRPr="00FE4261">
        <w:t>).</w:t>
      </w:r>
    </w:p>
    <w:p w14:paraId="49DAE2DA" w14:textId="77777777" w:rsidR="00784A1F" w:rsidRDefault="00784A1F" w:rsidP="00784A1F">
      <w:pPr>
        <w:spacing w:after="120" w:line="259" w:lineRule="auto"/>
        <w:jc w:val="left"/>
      </w:pPr>
      <w:r>
        <w:t>T</w:t>
      </w:r>
      <w:r w:rsidRPr="00FE4261">
        <w:t xml:space="preserve">he difference in </w:t>
      </w:r>
      <w:r>
        <w:t>DO concentration between zones does</w:t>
      </w:r>
      <w:r w:rsidRPr="00FE4261">
        <w:t xml:space="preserve"> not </w:t>
      </w:r>
      <w:r>
        <w:t>reflect</w:t>
      </w:r>
      <w:r w:rsidRPr="00FE4261">
        <w:t xml:space="preserve"> </w:t>
      </w:r>
      <w:r>
        <w:t>water</w:t>
      </w:r>
      <w:r w:rsidRPr="00FE4261">
        <w:t xml:space="preserve"> temperature differences and likely reflects differences in input of oxygenated water from upstream and different rates of re-aeration and oxygen consumption associated with flow. Concentrations of DO in the Wakool River </w:t>
      </w:r>
      <w:r>
        <w:t>z</w:t>
      </w:r>
      <w:r w:rsidRPr="00FE4261">
        <w:t>one 2 briefly dropped into the range of concern to fish populations</w:t>
      </w:r>
      <w:r w:rsidRPr="009C11A1">
        <w:t xml:space="preserve"> (below 4 mg/L) </w:t>
      </w:r>
      <w:r>
        <w:t>in</w:t>
      </w:r>
      <w:r w:rsidRPr="009C11A1">
        <w:t xml:space="preserve"> late </w:t>
      </w:r>
      <w:r>
        <w:t xml:space="preserve">December 2019 and in late January/early February 2020, </w:t>
      </w:r>
      <w:r w:rsidRPr="003F1B88">
        <w:t>no values below 2 mg/L were recorded.</w:t>
      </w:r>
      <w:r w:rsidRPr="009C11A1">
        <w:t xml:space="preserve"> It is common </w:t>
      </w:r>
      <w:r>
        <w:t>t</w:t>
      </w:r>
      <w:r w:rsidRPr="00FE4261">
        <w:t xml:space="preserve">he Wakool River in zone 2 (shown in orange) </w:t>
      </w:r>
      <w:r>
        <w:t xml:space="preserve">had slightly lower DO than the other sites throughout </w:t>
      </w:r>
      <w:r w:rsidRPr="003F1B88">
        <w:t xml:space="preserve">the study period especially in summer when discharge is much lower at this reach. The difference </w:t>
      </w:r>
      <w:r>
        <w:t xml:space="preserve">in DO </w:t>
      </w:r>
      <w:r w:rsidRPr="003F1B88">
        <w:t>between zone 2 and the other zones was more in 2019-20 than was observed in 2018-19</w:t>
      </w:r>
      <w:r>
        <w:t xml:space="preserve"> </w:t>
      </w:r>
      <w:r w:rsidRPr="00A34409">
        <w:t xml:space="preserve">and the period where DO was close to 4 mg/L was a bit longer, </w:t>
      </w:r>
      <w:r w:rsidRPr="003F1B88">
        <w:t xml:space="preserve">likely due to the lower discharge in this zone than in </w:t>
      </w:r>
      <w:r>
        <w:t>the water</w:t>
      </w:r>
      <w:r w:rsidRPr="003F1B88">
        <w:t xml:space="preserve"> year</w:t>
      </w:r>
      <w:r>
        <w:t xml:space="preserve"> 2018-19</w:t>
      </w:r>
      <w:r w:rsidRPr="003F1B88">
        <w:t>.</w:t>
      </w:r>
      <w:r w:rsidRPr="00A34409">
        <w:t xml:space="preserve"> Typically flow is extremely low in zone 2 over the summer, the higher than usual flow conditions </w:t>
      </w:r>
      <w:r>
        <w:t xml:space="preserve">in 2018-19 </w:t>
      </w:r>
      <w:r w:rsidRPr="00A34409">
        <w:t>demonstrate that there is potential to use Commonwealth environmental water to improve water quality in this part of the system in the future.</w:t>
      </w:r>
    </w:p>
    <w:p w14:paraId="6D3D8F5F" w14:textId="77777777" w:rsidR="00784A1F" w:rsidRDefault="00784A1F" w:rsidP="00784A1F">
      <w:pPr>
        <w:spacing w:after="120" w:line="259" w:lineRule="auto"/>
        <w:jc w:val="left"/>
        <w:rPr>
          <w:rFonts w:cstheme="minorHAnsi"/>
        </w:rPr>
      </w:pPr>
      <w:r w:rsidRPr="0036152B">
        <w:rPr>
          <w:rFonts w:cs="Calibri"/>
        </w:rPr>
        <w:t>Spot water quality parameters</w:t>
      </w:r>
      <w:r>
        <w:rPr>
          <w:rFonts w:cs="Calibri"/>
        </w:rPr>
        <w:t xml:space="preserve"> </w:t>
      </w:r>
      <w:r w:rsidRPr="00532A67">
        <w:t>(electrical conductivity</w:t>
      </w:r>
      <w:r>
        <w:t xml:space="preserve"> (EC)</w:t>
      </w:r>
      <w:r w:rsidRPr="00532A67">
        <w:t xml:space="preserve">, turbidity and pH) </w:t>
      </w:r>
      <w:r w:rsidRPr="0036152B">
        <w:rPr>
          <w:rFonts w:cs="Calibri"/>
        </w:rPr>
        <w:t>remained stable and within the normal range for this system throughout the study period and were very similar to results from the 2014-15, 2017-18 and 2018-19 sampling years in the absence of extensive overbank flows or excessive algae bloom.</w:t>
      </w:r>
    </w:p>
    <w:p w14:paraId="6DB228F8" w14:textId="77777777" w:rsidR="00784A1F" w:rsidRDefault="00784A1F" w:rsidP="00784A1F">
      <w:pPr>
        <w:spacing w:after="120" w:line="259" w:lineRule="auto"/>
        <w:jc w:val="left"/>
      </w:pPr>
      <w:r w:rsidRPr="002F23AF">
        <w:t>The EC values at all sites were well below the ANZECC (2000) trigger levels on all sampling dat</w:t>
      </w:r>
      <w:r>
        <w:t xml:space="preserve">es. </w:t>
      </w:r>
      <w:r w:rsidRPr="00532A67">
        <w:t xml:space="preserve">The increase in EC values sometimes observed in </w:t>
      </w:r>
      <w:r>
        <w:t xml:space="preserve">the upper Wakool River </w:t>
      </w:r>
      <w:r w:rsidRPr="00532A67">
        <w:t xml:space="preserve">zone 2 during autumn was not observed </w:t>
      </w:r>
      <w:r>
        <w:t>in the 2019-20 water year</w:t>
      </w:r>
      <w:r w:rsidRPr="00532A67">
        <w:t xml:space="preserve"> and the relatively stable water levels during this period may have reduced the impact or amount of groundwater</w:t>
      </w:r>
      <w:r w:rsidRPr="002F23AF">
        <w:t xml:space="preserve"> </w:t>
      </w:r>
      <w:r>
        <w:t>seeping into the system which was</w:t>
      </w:r>
      <w:r w:rsidRPr="002F23AF">
        <w:t xml:space="preserve"> </w:t>
      </w:r>
      <w:r>
        <w:t>hypothesised</w:t>
      </w:r>
      <w:r w:rsidRPr="002F23AF">
        <w:t xml:space="preserve"> to be the source of this increase in some years.</w:t>
      </w:r>
    </w:p>
    <w:p w14:paraId="66DA9CDD" w14:textId="77777777" w:rsidR="00784A1F" w:rsidRDefault="00784A1F" w:rsidP="00784A1F">
      <w:pPr>
        <w:spacing w:after="120" w:line="259" w:lineRule="auto"/>
        <w:jc w:val="left"/>
      </w:pPr>
      <w:r w:rsidRPr="002F23AF">
        <w:t>Turbidity measurements were generally above the ANZECC (2000) trigger level but within the range commonly observed</w:t>
      </w:r>
      <w:r>
        <w:t xml:space="preserve"> in </w:t>
      </w:r>
      <w:r w:rsidRPr="002F23AF">
        <w:t>the 2</w:t>
      </w:r>
      <w:r>
        <w:t>014-15, 2017-2018 and 2018-19 sampling years.</w:t>
      </w:r>
    </w:p>
    <w:p w14:paraId="6BC0C457" w14:textId="77777777" w:rsidR="00784A1F" w:rsidRPr="004E346A" w:rsidRDefault="00784A1F" w:rsidP="00784A1F">
      <w:pPr>
        <w:spacing w:after="120" w:line="259" w:lineRule="auto"/>
        <w:jc w:val="left"/>
        <w:rPr>
          <w:rFonts w:cstheme="minorHAnsi"/>
        </w:rPr>
      </w:pPr>
      <w:r>
        <w:t>Most</w:t>
      </w:r>
      <w:r w:rsidRPr="002F23AF">
        <w:t xml:space="preserve"> pH values </w:t>
      </w:r>
      <w:r>
        <w:t>were</w:t>
      </w:r>
      <w:r w:rsidRPr="002F23AF">
        <w:t xml:space="preserve"> within the acceptable range throughout the </w:t>
      </w:r>
      <w:r>
        <w:t>year</w:t>
      </w:r>
      <w:r w:rsidRPr="002F23AF">
        <w:t xml:space="preserve"> and values were very similar between sites</w:t>
      </w:r>
      <w:r>
        <w:t xml:space="preserve">. </w:t>
      </w:r>
      <w:r w:rsidRPr="004E346A">
        <w:rPr>
          <w:rFonts w:cstheme="minorHAnsi"/>
        </w:rPr>
        <w:t xml:space="preserve">The high pH from </w:t>
      </w:r>
      <w:r>
        <w:rPr>
          <w:rFonts w:cstheme="minorHAnsi"/>
        </w:rPr>
        <w:t>December</w:t>
      </w:r>
      <w:r w:rsidRPr="004E346A">
        <w:rPr>
          <w:rFonts w:cstheme="minorHAnsi"/>
        </w:rPr>
        <w:t xml:space="preserve"> </w:t>
      </w:r>
      <w:r>
        <w:rPr>
          <w:rFonts w:cstheme="minorHAnsi"/>
        </w:rPr>
        <w:t xml:space="preserve">2019 </w:t>
      </w:r>
      <w:r w:rsidRPr="004E346A">
        <w:rPr>
          <w:rFonts w:cstheme="minorHAnsi"/>
        </w:rPr>
        <w:t xml:space="preserve">through to February </w:t>
      </w:r>
      <w:r>
        <w:rPr>
          <w:rFonts w:cstheme="minorHAnsi"/>
        </w:rPr>
        <w:t xml:space="preserve">2020 </w:t>
      </w:r>
      <w:r w:rsidRPr="004E346A">
        <w:rPr>
          <w:rFonts w:cstheme="minorHAnsi"/>
        </w:rPr>
        <w:t>may indicate increased algal activity at that time. The greater range of pH results observed towards the end of the water year may reflect declining instrument performance and are not of concern.</w:t>
      </w:r>
    </w:p>
    <w:p w14:paraId="5D3939AF" w14:textId="14B736C3" w:rsidR="00784A1F" w:rsidRDefault="00784A1F" w:rsidP="00784A1F">
      <w:pPr>
        <w:spacing w:after="120" w:line="259" w:lineRule="auto"/>
        <w:jc w:val="left"/>
      </w:pPr>
      <w:r>
        <w:rPr>
          <w:noProof/>
          <w:lang w:eastAsia="en-AU"/>
        </w:rPr>
        <w:drawing>
          <wp:inline distT="0" distB="0" distL="0" distR="0" wp14:anchorId="242C4BBA" wp14:editId="4B9ADD4D">
            <wp:extent cx="5067214" cy="8136000"/>
            <wp:effectExtent l="0" t="0" r="635" b="0"/>
            <wp:docPr id="1275" name="Picture 1275" descr="1a_Wakool_Yal_flow_temp_do_ho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a_Wakool_Yal_flow_temp_do_horiba"/>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067214" cy="8136000"/>
                    </a:xfrm>
                    <a:prstGeom prst="rect">
                      <a:avLst/>
                    </a:prstGeom>
                    <a:noFill/>
                    <a:ln>
                      <a:noFill/>
                    </a:ln>
                  </pic:spPr>
                </pic:pic>
              </a:graphicData>
            </a:graphic>
          </wp:inline>
        </w:drawing>
      </w:r>
    </w:p>
    <w:p w14:paraId="7766E6FB" w14:textId="77777777" w:rsidR="00784A1F" w:rsidRDefault="00784A1F" w:rsidP="00784A1F">
      <w:pPr>
        <w:spacing w:after="120" w:line="259" w:lineRule="auto"/>
        <w:jc w:val="left"/>
        <w:rPr>
          <w:sz w:val="20"/>
        </w:rPr>
      </w:pPr>
      <w:r w:rsidRPr="00AE2B4D">
        <w:rPr>
          <w:b/>
          <w:sz w:val="20"/>
        </w:rPr>
        <w:t>Figure 5.3</w:t>
      </w:r>
      <w:r w:rsidRPr="00BD5916">
        <w:rPr>
          <w:sz w:val="20"/>
        </w:rPr>
        <w:t xml:space="preserve"> </w:t>
      </w:r>
      <w:r>
        <w:rPr>
          <w:sz w:val="20"/>
        </w:rPr>
        <w:t>Daily average temperature results, daily dissolved oxygen (DO) concentrations, e</w:t>
      </w:r>
      <w:r w:rsidRPr="00BD5916">
        <w:rPr>
          <w:sz w:val="20"/>
        </w:rPr>
        <w:t xml:space="preserve">lectrical conductivity (EC), turbidity and pH 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Wakool-Yallakool system</w:t>
      </w:r>
      <w:r w:rsidRPr="00BD5916">
        <w:rPr>
          <w:sz w:val="20"/>
        </w:rPr>
        <w:t>.</w:t>
      </w:r>
    </w:p>
    <w:p w14:paraId="41B8276A" w14:textId="77777777" w:rsidR="00784A1F" w:rsidRPr="00985568" w:rsidRDefault="00784A1F" w:rsidP="00784A1F">
      <w:pPr>
        <w:spacing w:after="120" w:line="259" w:lineRule="auto"/>
        <w:jc w:val="left"/>
        <w:rPr>
          <w:b/>
          <w:i/>
        </w:rPr>
      </w:pPr>
      <w:r w:rsidRPr="00985568">
        <w:rPr>
          <w:b/>
          <w:i/>
        </w:rPr>
        <w:t>Nutrients</w:t>
      </w:r>
      <w:r>
        <w:rPr>
          <w:b/>
          <w:i/>
        </w:rPr>
        <w:t xml:space="preserve"> and dissolved organic carbon</w:t>
      </w:r>
    </w:p>
    <w:p w14:paraId="50CCEDA4" w14:textId="77777777" w:rsidR="00784A1F" w:rsidRPr="003772C6" w:rsidRDefault="00784A1F" w:rsidP="00131521">
      <w:pPr>
        <w:spacing w:after="120" w:line="259" w:lineRule="auto"/>
        <w:jc w:val="left"/>
      </w:pPr>
      <w:r>
        <w:t>In general, n</w:t>
      </w:r>
      <w:r w:rsidRPr="003772C6">
        <w:t xml:space="preserve">utrients and DOC were not elevated outside the normal </w:t>
      </w:r>
      <w:r>
        <w:t xml:space="preserve">range (Figure 5.4) in the Wakool-Yallakool system and were very similar to </w:t>
      </w:r>
      <w:r w:rsidRPr="00ED28F8">
        <w:t>the concentrations recorded in previous years, with the exception of the periods of the bloom of cyanobacteria (</w:t>
      </w:r>
      <w:r w:rsidRPr="00ED28F8">
        <w:rPr>
          <w:i/>
        </w:rPr>
        <w:t>Chrysosporum ovalisporum</w:t>
      </w:r>
      <w:r w:rsidRPr="00ED28F8">
        <w:t>) in 2015-16 and the extensive unregulated overban</w:t>
      </w:r>
      <w:r>
        <w:t>k flooding in 2016-17</w:t>
      </w:r>
      <w:r w:rsidRPr="00ED28F8">
        <w:t xml:space="preserve">. </w:t>
      </w:r>
      <w:r w:rsidRPr="003772C6">
        <w:t xml:space="preserve">TP generally increased downstream zones and </w:t>
      </w:r>
      <w:r>
        <w:t>Z</w:t>
      </w:r>
      <w:r w:rsidRPr="003772C6">
        <w:t xml:space="preserve">one 2 frequently has higher concentrations. This is consistent with the pattern in TN and trends in Chl </w:t>
      </w:r>
      <w:r w:rsidRPr="003E5DE0">
        <w:rPr>
          <w:i/>
        </w:rPr>
        <w:t>a</w:t>
      </w:r>
      <w:r w:rsidRPr="003772C6">
        <w:t>.</w:t>
      </w:r>
    </w:p>
    <w:p w14:paraId="60C58824" w14:textId="77777777" w:rsidR="00784A1F" w:rsidRPr="003772C6" w:rsidRDefault="00784A1F" w:rsidP="00131521">
      <w:pPr>
        <w:spacing w:after="120" w:line="259" w:lineRule="auto"/>
        <w:jc w:val="left"/>
      </w:pPr>
      <w:r w:rsidRPr="00B1795A">
        <w:rPr>
          <w:lang w:val="en-US" w:eastAsia="en-AU"/>
        </w:rPr>
        <w:t xml:space="preserve">Excessive algae growth </w:t>
      </w:r>
      <w:r w:rsidRPr="00B1795A">
        <w:t>was observed in the Wakool-Yallakool system in early January 2020 (left image of Figure 5.</w:t>
      </w:r>
      <w:r>
        <w:t>5</w:t>
      </w:r>
      <w:r w:rsidRPr="00B1795A">
        <w:t>)</w:t>
      </w:r>
      <w:r>
        <w:t xml:space="preserve"> corresponding with an </w:t>
      </w:r>
      <w:r w:rsidRPr="003772C6">
        <w:t xml:space="preserve">increase in Chl </w:t>
      </w:r>
      <w:r w:rsidRPr="00977C05">
        <w:rPr>
          <w:i/>
        </w:rPr>
        <w:t>a</w:t>
      </w:r>
      <w:r w:rsidRPr="003772C6">
        <w:t xml:space="preserve"> concentration</w:t>
      </w:r>
      <w:r w:rsidRPr="00FB5169">
        <w:t xml:space="preserve"> </w:t>
      </w:r>
      <w:r>
        <w:t>at all sites</w:t>
      </w:r>
      <w:r w:rsidRPr="003772C6">
        <w:t xml:space="preserve">. </w:t>
      </w:r>
      <w:r>
        <w:t xml:space="preserve">And a red alert for the Stony Crossing (Zone 6) on the Wakool River was issued in January 2020 but there was no clear influence on other water quality parameters. </w:t>
      </w:r>
      <w:r w:rsidRPr="003772C6">
        <w:t xml:space="preserve">An outlier of Chl </w:t>
      </w:r>
      <w:r w:rsidRPr="0023073E">
        <w:rPr>
          <w:i/>
        </w:rPr>
        <w:t>a</w:t>
      </w:r>
      <w:r w:rsidRPr="003772C6">
        <w:t xml:space="preserve"> measured in </w:t>
      </w:r>
      <w:r>
        <w:t>mid-Wakool River Z</w:t>
      </w:r>
      <w:r w:rsidRPr="003772C6">
        <w:t xml:space="preserve">one 3 in March </w:t>
      </w:r>
      <w:r>
        <w:t xml:space="preserve">2020 </w:t>
      </w:r>
      <w:r w:rsidRPr="003772C6">
        <w:t>was higher than other zones, possibly due to floating algae</w:t>
      </w:r>
      <w:r>
        <w:t xml:space="preserve"> that</w:t>
      </w:r>
      <w:r w:rsidRPr="003772C6">
        <w:t xml:space="preserve"> was </w:t>
      </w:r>
      <w:r>
        <w:t xml:space="preserve">present and may have contaminated </w:t>
      </w:r>
      <w:r w:rsidRPr="003772C6">
        <w:t xml:space="preserve">the water sample. </w:t>
      </w:r>
      <w:r>
        <w:t>Although a red alert was issued for the Edward</w:t>
      </w:r>
      <w:r>
        <w:rPr>
          <w:rFonts w:cs="Calibri"/>
        </w:rPr>
        <w:t>/Kolety</w:t>
      </w:r>
      <w:r>
        <w:t xml:space="preserve"> River at Deniliquin at the beginning of April 2020 there was no clear increases in Chl </w:t>
      </w:r>
      <w:r w:rsidRPr="007675B7">
        <w:rPr>
          <w:i/>
        </w:rPr>
        <w:t>a</w:t>
      </w:r>
      <w:r>
        <w:t xml:space="preserve"> at monitoring sites, possibly because of water temperature had reduced.</w:t>
      </w:r>
    </w:p>
    <w:p w14:paraId="1504A592" w14:textId="77777777" w:rsidR="00784A1F" w:rsidRDefault="00784A1F" w:rsidP="00131521">
      <w:pPr>
        <w:spacing w:after="120" w:line="259" w:lineRule="auto"/>
        <w:jc w:val="left"/>
        <w:rPr>
          <w:highlight w:val="yellow"/>
        </w:rPr>
      </w:pPr>
      <w:r w:rsidRPr="003772C6">
        <w:t>Both</w:t>
      </w:r>
      <w:r>
        <w:t xml:space="preserve"> TP and TN</w:t>
      </w:r>
      <w:r w:rsidRPr="003772C6">
        <w:t xml:space="preserve"> were increased during </w:t>
      </w:r>
      <w:r>
        <w:t xml:space="preserve">2019-20 </w:t>
      </w:r>
      <w:r w:rsidRPr="003772C6">
        <w:t>water actions which might have been associated with higher turbidity (</w:t>
      </w:r>
      <w:r w:rsidRPr="00384DF3">
        <w:t>suspended particles keeping adsorbed nutrients in the water column). TP and TN routinely exceed</w:t>
      </w:r>
      <w:r>
        <w:t>ed</w:t>
      </w:r>
      <w:r w:rsidRPr="00384DF3">
        <w:t xml:space="preserve"> the ANZECC (2000) trigger values of 0.05 mg/L and 0.5 mg/L respectively but remained within the normal range observed in this system. There</w:t>
      </w:r>
      <w:r w:rsidRPr="0048220C">
        <w:t xml:space="preserve"> were generally lower concentrations in Yallakool Creek zone 1 than in Wakool River (</w:t>
      </w:r>
      <w:r>
        <w:t xml:space="preserve">zones 2 to </w:t>
      </w:r>
      <w:r w:rsidRPr="0048220C">
        <w:t>6) suggesting slight increase</w:t>
      </w:r>
      <w:r>
        <w:t>s</w:t>
      </w:r>
      <w:r w:rsidRPr="0048220C">
        <w:t xml:space="preserve"> in</w:t>
      </w:r>
      <w:r>
        <w:t xml:space="preserve"> TP</w:t>
      </w:r>
      <w:r w:rsidRPr="0048220C">
        <w:t xml:space="preserve"> </w:t>
      </w:r>
      <w:r>
        <w:t>and</w:t>
      </w:r>
      <w:r w:rsidRPr="0048220C">
        <w:t xml:space="preserve"> TN as the water</w:t>
      </w:r>
      <w:r>
        <w:t xml:space="preserve"> progresses through the system.</w:t>
      </w:r>
    </w:p>
    <w:p w14:paraId="6E50995E" w14:textId="77777777" w:rsidR="00784A1F" w:rsidRDefault="00784A1F" w:rsidP="00131521">
      <w:pPr>
        <w:spacing w:after="120" w:line="259" w:lineRule="auto"/>
        <w:jc w:val="left"/>
      </w:pPr>
      <w:r w:rsidRPr="00134FC2">
        <w:t>The NOx remained below the trigger levels and was similar to previous observations under normal conditions. The high NOx values were only in source water of Mulwala Canal on two occasions in August and November 2019. The high ammonia values occurred in several sampling sites could possibly be due to ammonia introduced from</w:t>
      </w:r>
      <w:r w:rsidRPr="003772C6">
        <w:t xml:space="preserve"> </w:t>
      </w:r>
      <w:r>
        <w:t xml:space="preserve">the source water or from </w:t>
      </w:r>
      <w:r w:rsidRPr="003772C6">
        <w:t>a disturbance upstream or disturbance of the sediments while sampling.</w:t>
      </w:r>
      <w:r>
        <w:t xml:space="preserve"> </w:t>
      </w:r>
      <w:r w:rsidRPr="00384DF3">
        <w:t>The FRP form of bioavailable phosphorus remained at the very low concentrations normally seen in this system in the absence of overbank flooding</w:t>
      </w:r>
      <w:r>
        <w:t>.</w:t>
      </w:r>
    </w:p>
    <w:p w14:paraId="2518A85B" w14:textId="77777777" w:rsidR="00784A1F" w:rsidRDefault="00784A1F" w:rsidP="00131521">
      <w:pPr>
        <w:spacing w:after="120" w:line="259" w:lineRule="auto"/>
        <w:jc w:val="left"/>
        <w:rPr>
          <w:color w:val="000000" w:themeColor="text1"/>
        </w:rPr>
      </w:pPr>
      <w:r>
        <w:t xml:space="preserve">During 2019-20 </w:t>
      </w:r>
      <w:r w:rsidRPr="002B7A92">
        <w:t xml:space="preserve">DOC remained in the range of concentrations normally observed in this system in the absence of overbank flows or excessive algal </w:t>
      </w:r>
      <w:r w:rsidRPr="00B963E2">
        <w:t xml:space="preserve">growth. Although a pulse of dark coloured water was observed in the system in January </w:t>
      </w:r>
      <w:r w:rsidRPr="009652CF">
        <w:t>2020</w:t>
      </w:r>
      <w:r>
        <w:t xml:space="preserve"> (</w:t>
      </w:r>
      <w:r w:rsidRPr="009652CF">
        <w:t>right image of Figure 5.5), this</w:t>
      </w:r>
      <w:r w:rsidRPr="00B963E2">
        <w:t xml:space="preserve"> corresponds with a slight increase in DOC concentrations, but these remained within the normal range. The timing of this pulse corresponds with the lowest DO concentrations observed over the water year, although these were within the range normally measured </w:t>
      </w:r>
      <w:r>
        <w:t>at that time of year</w:t>
      </w:r>
      <w:r w:rsidRPr="009652CF">
        <w:t xml:space="preserve">. </w:t>
      </w:r>
      <w:r w:rsidRPr="009652CF">
        <w:rPr>
          <w:color w:val="000000" w:themeColor="text1"/>
        </w:rPr>
        <w:t>Small</w:t>
      </w:r>
      <w:r w:rsidRPr="00B963E2">
        <w:rPr>
          <w:color w:val="000000" w:themeColor="text1"/>
        </w:rPr>
        <w:t xml:space="preserve"> inputs of DOC to the river can </w:t>
      </w:r>
      <w:r>
        <w:rPr>
          <w:color w:val="000000" w:themeColor="text1"/>
        </w:rPr>
        <w:t>increase</w:t>
      </w:r>
      <w:r w:rsidRPr="00B963E2">
        <w:rPr>
          <w:color w:val="000000" w:themeColor="text1"/>
        </w:rPr>
        <w:t xml:space="preserve"> microbial productivity which </w:t>
      </w:r>
      <w:r>
        <w:rPr>
          <w:color w:val="000000" w:themeColor="text1"/>
        </w:rPr>
        <w:t xml:space="preserve">are a source of </w:t>
      </w:r>
      <w:r w:rsidRPr="00B963E2">
        <w:rPr>
          <w:color w:val="000000" w:themeColor="text1"/>
        </w:rPr>
        <w:t xml:space="preserve">food for aquatic organisms such as fish. Increased algal growth over the summer was insufficient to produce an increase in the dissolved fraction of the organic matter in these river systems. </w:t>
      </w:r>
      <w:r w:rsidRPr="008F7C71">
        <w:t xml:space="preserve">It is noted that </w:t>
      </w:r>
      <w:r w:rsidRPr="00B963E2">
        <w:rPr>
          <w:color w:val="000000" w:themeColor="text1"/>
        </w:rPr>
        <w:t>DOC increases do not all occur at the same time</w:t>
      </w:r>
      <w:r w:rsidRPr="00C27723">
        <w:rPr>
          <w:color w:val="000000" w:themeColor="text1"/>
        </w:rPr>
        <w:t xml:space="preserve"> </w:t>
      </w:r>
      <w:r w:rsidRPr="00B963E2">
        <w:rPr>
          <w:color w:val="000000" w:themeColor="text1"/>
        </w:rPr>
        <w:t xml:space="preserve">in </w:t>
      </w:r>
      <w:r>
        <w:rPr>
          <w:color w:val="000000" w:themeColor="text1"/>
        </w:rPr>
        <w:t xml:space="preserve">all </w:t>
      </w:r>
      <w:r w:rsidRPr="00B963E2">
        <w:rPr>
          <w:color w:val="000000" w:themeColor="text1"/>
        </w:rPr>
        <w:t>zones. This suggests there may be local sources of DOC at times during this study period, possibly due to water that was in backwaters or on low lying benches during the higher summer flows draining back into the river system.</w:t>
      </w:r>
    </w:p>
    <w:p w14:paraId="3DFF729E" w14:textId="77777777" w:rsidR="00784A1F" w:rsidRPr="002B7A92" w:rsidRDefault="00784A1F" w:rsidP="00131521">
      <w:pPr>
        <w:spacing w:after="120" w:line="259" w:lineRule="auto"/>
        <w:jc w:val="left"/>
        <w:rPr>
          <w:highlight w:val="yellow"/>
        </w:rPr>
      </w:pPr>
      <w:r w:rsidRPr="007D74B1">
        <w:t xml:space="preserve">A </w:t>
      </w:r>
      <w:r>
        <w:t>slight</w:t>
      </w:r>
      <w:r w:rsidRPr="007D74B1">
        <w:t xml:space="preserve"> increase in </w:t>
      </w:r>
      <w:r w:rsidRPr="007D74B1">
        <w:rPr>
          <w:rFonts w:hint="eastAsia"/>
        </w:rPr>
        <w:t>DOC</w:t>
      </w:r>
      <w:r w:rsidRPr="007D74B1">
        <w:t xml:space="preserve"> was recorded during </w:t>
      </w:r>
      <w:r>
        <w:t>the unregulated flow event in</w:t>
      </w:r>
      <w:r w:rsidRPr="007D74B1">
        <w:t xml:space="preserve"> 2020.</w:t>
      </w:r>
      <w:r>
        <w:t xml:space="preserve"> </w:t>
      </w:r>
      <w:r>
        <w:rPr>
          <w:color w:val="000000" w:themeColor="text1"/>
        </w:rPr>
        <w:t xml:space="preserve">It is noted that the upstream site </w:t>
      </w:r>
      <w:r w:rsidRPr="00377874">
        <w:rPr>
          <w:color w:val="000000" w:themeColor="text1"/>
        </w:rPr>
        <w:t xml:space="preserve">in the </w:t>
      </w:r>
      <w:r>
        <w:rPr>
          <w:color w:val="000000" w:themeColor="text1"/>
        </w:rPr>
        <w:t xml:space="preserve">Wakool River </w:t>
      </w:r>
      <w:r w:rsidRPr="00377874">
        <w:rPr>
          <w:color w:val="000000" w:themeColor="text1"/>
        </w:rPr>
        <w:t>(</w:t>
      </w:r>
      <w:r>
        <w:rPr>
          <w:color w:val="000000" w:themeColor="text1"/>
        </w:rPr>
        <w:t>Zone 2</w:t>
      </w:r>
      <w:r w:rsidRPr="00377874">
        <w:rPr>
          <w:color w:val="000000" w:themeColor="text1"/>
        </w:rPr>
        <w:t>) has lower DOC than the downstream site</w:t>
      </w:r>
      <w:r>
        <w:rPr>
          <w:color w:val="000000" w:themeColor="text1"/>
        </w:rPr>
        <w:t>s</w:t>
      </w:r>
      <w:r w:rsidRPr="00377874">
        <w:rPr>
          <w:color w:val="000000" w:themeColor="text1"/>
        </w:rPr>
        <w:t xml:space="preserve"> in this </w:t>
      </w:r>
      <w:r>
        <w:rPr>
          <w:color w:val="000000" w:themeColor="text1"/>
        </w:rPr>
        <w:t>reach</w:t>
      </w:r>
      <w:r w:rsidRPr="00377874">
        <w:rPr>
          <w:color w:val="000000" w:themeColor="text1"/>
        </w:rPr>
        <w:t xml:space="preserve">, however the results remain within the scatter of concentrations observed for the other sampling sites. This likely indicates that the pulse was of very brief duration and had already begun to clear from the top of the </w:t>
      </w:r>
      <w:r>
        <w:rPr>
          <w:color w:val="000000" w:themeColor="text1"/>
        </w:rPr>
        <w:t>system at the time of sampling.</w:t>
      </w:r>
    </w:p>
    <w:p w14:paraId="0BDCDCC9" w14:textId="568A74B9" w:rsidR="00784A1F" w:rsidRDefault="00784A1F" w:rsidP="00784A1F">
      <w:pPr>
        <w:spacing w:after="120" w:line="259" w:lineRule="auto"/>
        <w:jc w:val="left"/>
      </w:pPr>
      <w:r>
        <w:rPr>
          <w:noProof/>
          <w:lang w:eastAsia="en-AU"/>
        </w:rPr>
        <w:drawing>
          <wp:inline distT="0" distB="0" distL="0" distR="0" wp14:anchorId="5261F363" wp14:editId="4F3205BD">
            <wp:extent cx="4852516" cy="7776000"/>
            <wp:effectExtent l="0" t="0" r="5715" b="0"/>
            <wp:docPr id="1274" name="Picture 1274" descr="1b_Wakool_Yal_flow_chla_nutrients_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b_Wakool_Yal_flow_chla_nutrients_correction"/>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852516" cy="7776000"/>
                    </a:xfrm>
                    <a:prstGeom prst="rect">
                      <a:avLst/>
                    </a:prstGeom>
                    <a:noFill/>
                    <a:ln>
                      <a:noFill/>
                    </a:ln>
                  </pic:spPr>
                </pic:pic>
              </a:graphicData>
            </a:graphic>
          </wp:inline>
        </w:drawing>
      </w:r>
    </w:p>
    <w:p w14:paraId="330EC624" w14:textId="77777777" w:rsidR="00784A1F" w:rsidRDefault="00784A1F" w:rsidP="00784A1F">
      <w:pPr>
        <w:spacing w:after="120" w:line="259" w:lineRule="auto"/>
        <w:jc w:val="left"/>
        <w:rPr>
          <w:sz w:val="20"/>
        </w:rPr>
      </w:pPr>
      <w:r w:rsidRPr="00CA5E7B">
        <w:rPr>
          <w:b/>
          <w:sz w:val="20"/>
        </w:rPr>
        <w:t>Figure 5.4</w:t>
      </w:r>
      <w:r w:rsidRPr="00685C91">
        <w:rPr>
          <w:sz w:val="20"/>
        </w:rPr>
        <w:t xml:space="preserve"> Chlorophyll </w:t>
      </w:r>
      <w:r w:rsidRPr="00685C91">
        <w:rPr>
          <w:i/>
          <w:sz w:val="20"/>
        </w:rPr>
        <w:t>a</w:t>
      </w:r>
      <w:r w:rsidRPr="00685C91">
        <w:rPr>
          <w:sz w:val="20"/>
        </w:rPr>
        <w:t xml:space="preserve"> (Chl </w:t>
      </w:r>
      <w:r w:rsidRPr="00685C91">
        <w:rPr>
          <w:i/>
          <w:sz w:val="20"/>
        </w:rPr>
        <w:t>a</w:t>
      </w:r>
      <w:r w:rsidRPr="00685C91">
        <w:rPr>
          <w:sz w:val="20"/>
        </w:rPr>
        <w:t>), dissolved organic carbon (DOC), phosphorus (total phosphorus (TP) and filtered reactive phosphorus (FRP)), nitrogen (total nitrogen (TN), ammonium (NH</w:t>
      </w:r>
      <w:r w:rsidRPr="00685C91">
        <w:rPr>
          <w:sz w:val="20"/>
          <w:vertAlign w:val="subscript"/>
        </w:rPr>
        <w:t>4</w:t>
      </w:r>
      <w:r w:rsidRPr="00685C91">
        <w:rPr>
          <w:sz w:val="20"/>
          <w:vertAlign w:val="superscript"/>
        </w:rPr>
        <w:t>+</w:t>
      </w:r>
      <w:r w:rsidRPr="00685C91">
        <w:rPr>
          <w:sz w:val="20"/>
        </w:rPr>
        <w:t xml:space="preserve">) and dissolved nitrate + nitrite (NOx)) concentrations </w:t>
      </w:r>
      <w:r w:rsidRPr="00BD5916">
        <w:rPr>
          <w:sz w:val="20"/>
        </w:rPr>
        <w:t xml:space="preserve">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Wakool-Yallakool system</w:t>
      </w:r>
      <w:r w:rsidRPr="00BD5916">
        <w:rPr>
          <w:sz w:val="20"/>
        </w:rPr>
        <w:t>.</w:t>
      </w:r>
    </w:p>
    <w:p w14:paraId="58D4129E" w14:textId="77777777" w:rsidR="00784A1F" w:rsidRDefault="00784A1F" w:rsidP="00784A1F">
      <w:pPr>
        <w:pStyle w:val="NoSpacing"/>
        <w:spacing w:after="120" w:line="259" w:lineRule="auto"/>
        <w:jc w:val="left"/>
      </w:pPr>
      <w:r>
        <w:rPr>
          <w:noProof/>
          <w:lang w:eastAsia="en-AU"/>
        </w:rPr>
        <w:drawing>
          <wp:inline distT="0" distB="0" distL="0" distR="0" wp14:anchorId="6FAFACB6" wp14:editId="4181AC84">
            <wp:extent cx="2842895" cy="1363330"/>
            <wp:effectExtent l="0" t="0" r="0" b="8890"/>
            <wp:docPr id="1258" name="Picture 1258" descr="D:\Users\xliu57\AppData\Local\Microsoft\Windows\INetCache\Content.Word\Bolton us_110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xliu57\AppData\Local\Microsoft\Windows\INetCache\Content.Word\Bolton us_11022020.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l="-197"/>
                    <a:stretch/>
                  </pic:blipFill>
                  <pic:spPr bwMode="auto">
                    <a:xfrm>
                      <a:off x="0" y="0"/>
                      <a:ext cx="2844000" cy="136386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6C41B19" wp14:editId="4C504B13">
            <wp:extent cx="2861154" cy="1368000"/>
            <wp:effectExtent l="0" t="0" r="0" b="3810"/>
            <wp:docPr id="1259" name="Picture 1259" descr="Niemur Barham_300120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emur Barham_30012020 (2)"/>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l="-148" b="-710"/>
                    <a:stretch/>
                  </pic:blipFill>
                  <pic:spPr bwMode="auto">
                    <a:xfrm>
                      <a:off x="0" y="0"/>
                      <a:ext cx="2861154"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5ADB126F" w14:textId="77777777" w:rsidR="00784A1F" w:rsidRPr="004D5C3C" w:rsidRDefault="00784A1F" w:rsidP="00784A1F">
      <w:pPr>
        <w:pStyle w:val="NoSpacing"/>
        <w:spacing w:after="120" w:line="259" w:lineRule="auto"/>
        <w:jc w:val="left"/>
        <w:rPr>
          <w:sz w:val="20"/>
          <w:lang w:eastAsia="en-AU"/>
        </w:rPr>
      </w:pPr>
      <w:r w:rsidRPr="00AE2B4D">
        <w:rPr>
          <w:b/>
          <w:sz w:val="20"/>
          <w:lang w:eastAsia="en-AU"/>
        </w:rPr>
        <w:t>Figure 5.5</w:t>
      </w:r>
      <w:r w:rsidRPr="004D5C3C">
        <w:rPr>
          <w:sz w:val="20"/>
          <w:lang w:eastAsia="en-AU"/>
        </w:rPr>
        <w:t xml:space="preserve"> Poor water quality was observed at the upper-Wakool River system (Bolton Rd Bridge) (left) and Niemur-Moulamein Rd Bridge (right) during the contingency water quality monitoring </w:t>
      </w:r>
      <w:r>
        <w:rPr>
          <w:sz w:val="20"/>
          <w:lang w:eastAsia="en-AU"/>
        </w:rPr>
        <w:t>between</w:t>
      </w:r>
      <w:r w:rsidRPr="004D5C3C">
        <w:rPr>
          <w:sz w:val="20"/>
          <w:lang w:eastAsia="en-AU"/>
        </w:rPr>
        <w:t xml:space="preserve"> the end of January and late February 2020. (Photo: Xiaoying Liu)</w:t>
      </w:r>
    </w:p>
    <w:p w14:paraId="215F20C4" w14:textId="77777777" w:rsidR="00784A1F" w:rsidRPr="00685C91" w:rsidRDefault="00784A1F" w:rsidP="00784A1F">
      <w:pPr>
        <w:spacing w:after="120" w:line="259" w:lineRule="auto"/>
        <w:jc w:val="left"/>
        <w:rPr>
          <w:sz w:val="20"/>
        </w:rPr>
      </w:pPr>
    </w:p>
    <w:p w14:paraId="5978BD05" w14:textId="77777777" w:rsidR="00784A1F" w:rsidRPr="00781619" w:rsidRDefault="00784A1F" w:rsidP="00784A1F">
      <w:pPr>
        <w:spacing w:after="120" w:line="259" w:lineRule="auto"/>
        <w:jc w:val="left"/>
      </w:pPr>
      <w:r>
        <w:rPr>
          <w:rFonts w:hint="eastAsia"/>
        </w:rPr>
        <w:t>Monitoring</w:t>
      </w:r>
      <w:r>
        <w:t xml:space="preserve"> sites in the Edward/Kolety River, the Colligen-Niemur River and Tuppal Creek were additional sites for Flow-MER project 2019-22 and the interpretation of the results of these sites in 2019-20 is the first year of data.</w:t>
      </w:r>
    </w:p>
    <w:p w14:paraId="07F83D0A" w14:textId="77777777" w:rsidR="00784A1F" w:rsidRPr="00AE2B4D" w:rsidRDefault="00784A1F" w:rsidP="00784A1F">
      <w:pPr>
        <w:spacing w:after="120" w:line="259" w:lineRule="auto"/>
        <w:jc w:val="left"/>
        <w:rPr>
          <w:rFonts w:cs="Calibri"/>
          <w:b/>
          <w:color w:val="31849B"/>
        </w:rPr>
      </w:pPr>
      <w:r w:rsidRPr="00AE2B4D">
        <w:rPr>
          <w:rFonts w:cs="Calibri"/>
          <w:b/>
          <w:color w:val="31849B"/>
        </w:rPr>
        <w:t>The Edward/Kolety</w:t>
      </w:r>
      <w:r>
        <w:rPr>
          <w:rFonts w:cs="Calibri"/>
          <w:b/>
          <w:color w:val="31849B"/>
        </w:rPr>
        <w:t xml:space="preserve"> River</w:t>
      </w:r>
    </w:p>
    <w:p w14:paraId="594A6267" w14:textId="77777777" w:rsidR="00784A1F" w:rsidRPr="00781619" w:rsidRDefault="00784A1F" w:rsidP="00784A1F">
      <w:pPr>
        <w:spacing w:after="120" w:line="259" w:lineRule="auto"/>
        <w:jc w:val="left"/>
        <w:rPr>
          <w:b/>
          <w:i/>
        </w:rPr>
      </w:pPr>
      <w:r w:rsidRPr="00781619">
        <w:rPr>
          <w:b/>
          <w:i/>
        </w:rPr>
        <w:t xml:space="preserve">Temperature and dissolved oxygen and spot water quality parameters </w:t>
      </w:r>
    </w:p>
    <w:p w14:paraId="15ADE4FC" w14:textId="77777777" w:rsidR="00784A1F" w:rsidRDefault="00784A1F" w:rsidP="00784A1F">
      <w:pPr>
        <w:spacing w:after="120" w:line="259" w:lineRule="auto"/>
        <w:jc w:val="left"/>
      </w:pPr>
      <w:r w:rsidRPr="00F224DE">
        <w:t>Water temperature was</w:t>
      </w:r>
      <w:r>
        <w:t xml:space="preserve"> consistent across study sites </w:t>
      </w:r>
      <w:r w:rsidRPr="00F224DE">
        <w:t xml:space="preserve">in the Edward/Kolety River with water temperature exceeding 25 </w:t>
      </w:r>
      <w:r w:rsidRPr="00F224DE">
        <w:rPr>
          <w:rFonts w:cstheme="minorHAnsi"/>
        </w:rPr>
        <w:t>°</w:t>
      </w:r>
      <w:r w:rsidRPr="00F224DE">
        <w:t xml:space="preserve">C briefly during summer and staying below 10 </w:t>
      </w:r>
      <w:r w:rsidRPr="00F224DE">
        <w:rPr>
          <w:rFonts w:cstheme="minorHAnsi"/>
        </w:rPr>
        <w:t>°</w:t>
      </w:r>
      <w:r w:rsidRPr="00F224DE">
        <w:t>C for a week during winter</w:t>
      </w:r>
      <w:r>
        <w:t xml:space="preserve"> (Figure 5.6)</w:t>
      </w:r>
      <w:r w:rsidRPr="00F224DE">
        <w:t>. The results indicate that water temperature is influenced predominantly by seasonal rather than site-specific factors</w:t>
      </w:r>
      <w:r w:rsidRPr="00823849">
        <w:t xml:space="preserve"> </w:t>
      </w:r>
      <w:r w:rsidRPr="00F224DE">
        <w:t>with all sites displaying the same seasonal variation and influence of weather patterns</w:t>
      </w:r>
      <w:r>
        <w:t>.</w:t>
      </w:r>
    </w:p>
    <w:p w14:paraId="4B3649AC" w14:textId="77777777" w:rsidR="00784A1F" w:rsidRDefault="00784A1F" w:rsidP="00784A1F">
      <w:pPr>
        <w:spacing w:after="120" w:line="259" w:lineRule="auto"/>
        <w:jc w:val="left"/>
      </w:pPr>
      <w:r w:rsidRPr="00877218">
        <w:t xml:space="preserve">The plot of average daily DO concentrations </w:t>
      </w:r>
      <w:r>
        <w:t>at B</w:t>
      </w:r>
      <w:r w:rsidRPr="00877218">
        <w:t>alpool</w:t>
      </w:r>
      <w:r>
        <w:t xml:space="preserve"> Road Bridge</w:t>
      </w:r>
      <w:r w:rsidRPr="00877218">
        <w:t xml:space="preserve"> and </w:t>
      </w:r>
      <w:r>
        <w:t>Eastman Bridge</w:t>
      </w:r>
      <w:r w:rsidRPr="00877218">
        <w:t xml:space="preserve"> were similar to each other throughout most of the study period. </w:t>
      </w:r>
      <w:r w:rsidRPr="00AC11D6">
        <w:t>Concentrations of DO in the Edward</w:t>
      </w:r>
      <w:r>
        <w:t>/Kolety</w:t>
      </w:r>
      <w:r w:rsidRPr="00AC11D6">
        <w:t xml:space="preserve"> River were above the range of concern to fish populations (below 4 mg/L) over the study season.</w:t>
      </w:r>
      <w:r>
        <w:t xml:space="preserve"> </w:t>
      </w:r>
      <w:r w:rsidRPr="00877218">
        <w:t xml:space="preserve">It shows the expected seasonal variations with higher concentrations in the winter and lower concentrations correlating to the periods of higher water temperature. However, there was a discernible effect of </w:t>
      </w:r>
      <w:r>
        <w:t xml:space="preserve">the </w:t>
      </w:r>
      <w:r w:rsidRPr="00877218">
        <w:rPr>
          <w:rFonts w:cs="Calibri"/>
        </w:rPr>
        <w:t xml:space="preserve">Southern </w:t>
      </w:r>
      <w:r>
        <w:rPr>
          <w:rFonts w:cs="Calibri"/>
        </w:rPr>
        <w:t xml:space="preserve">Connected </w:t>
      </w:r>
      <w:r w:rsidRPr="00877218">
        <w:rPr>
          <w:rFonts w:cs="Calibri"/>
        </w:rPr>
        <w:t>Flow in the Edward</w:t>
      </w:r>
      <w:r>
        <w:rPr>
          <w:rFonts w:cs="Calibri"/>
          <w:color w:val="000000"/>
        </w:rPr>
        <w:t>/Kolety River system</w:t>
      </w:r>
      <w:r w:rsidRPr="00823849">
        <w:rPr>
          <w:rFonts w:cs="Calibri"/>
          <w:color w:val="000000"/>
        </w:rPr>
        <w:t xml:space="preserve"> </w:t>
      </w:r>
      <w:r>
        <w:rPr>
          <w:rFonts w:cs="Calibri"/>
          <w:color w:val="000000"/>
        </w:rPr>
        <w:t xml:space="preserve">from </w:t>
      </w:r>
      <w:r w:rsidRPr="00823849">
        <w:rPr>
          <w:rFonts w:cs="Calibri"/>
        </w:rPr>
        <w:t xml:space="preserve">mid-October through to early November 2019 </w:t>
      </w:r>
      <w:r>
        <w:rPr>
          <w:rFonts w:cs="Calibri"/>
        </w:rPr>
        <w:t>at</w:t>
      </w:r>
      <w:r w:rsidRPr="00823849">
        <w:rPr>
          <w:rFonts w:cs="Calibri"/>
        </w:rPr>
        <w:t xml:space="preserve"> the study site of </w:t>
      </w:r>
      <w:r>
        <w:t>Eastman Bridge</w:t>
      </w:r>
      <w:r w:rsidRPr="00877218">
        <w:t xml:space="preserve"> </w:t>
      </w:r>
      <w:r w:rsidRPr="00823849">
        <w:rPr>
          <w:rFonts w:cs="Calibri"/>
        </w:rPr>
        <w:t xml:space="preserve">with fluctuated water </w:t>
      </w:r>
      <w:r w:rsidRPr="00823849">
        <w:t>temperature results and</w:t>
      </w:r>
      <w:r w:rsidRPr="00823849">
        <w:rPr>
          <w:rFonts w:cs="Calibri"/>
        </w:rPr>
        <w:t xml:space="preserve"> </w:t>
      </w:r>
      <w:r w:rsidRPr="00823849">
        <w:t xml:space="preserve">DO concentrations. </w:t>
      </w:r>
      <w:r w:rsidRPr="00877218">
        <w:t>The difference in DO concentration between zones does not reflect water temperature differences and likely reflects differences in input of oxygenated water from upstream and different rates of re-aeration and oxygen con</w:t>
      </w:r>
      <w:r>
        <w:t>sumption associated with flow.</w:t>
      </w:r>
      <w:r w:rsidRPr="00F819B6">
        <w:t xml:space="preserve"> </w:t>
      </w:r>
      <w:r>
        <w:t>Unregulated flow occurred between 11 May and 2 June 2020 did not influence DO levels, possibly due to cool water temperatures in winter.</w:t>
      </w:r>
    </w:p>
    <w:p w14:paraId="7CB5392D" w14:textId="77777777" w:rsidR="00784A1F" w:rsidRPr="00C5373E" w:rsidRDefault="00784A1F" w:rsidP="00784A1F">
      <w:pPr>
        <w:spacing w:after="120" w:line="259" w:lineRule="auto"/>
        <w:jc w:val="left"/>
      </w:pPr>
      <w:r w:rsidRPr="00A200D6">
        <w:t xml:space="preserve">Spot water quality parameters (electrical conductivity (EC), turbidity and pH) remained stable and within the </w:t>
      </w:r>
      <w:r>
        <w:t>acceptable</w:t>
      </w:r>
      <w:r w:rsidRPr="00A200D6">
        <w:t xml:space="preserve"> range for this system throughout the study period.</w:t>
      </w:r>
      <w:r w:rsidRPr="00A200D6">
        <w:rPr>
          <w:rFonts w:cstheme="minorHAnsi"/>
        </w:rPr>
        <w:t xml:space="preserve"> </w:t>
      </w:r>
      <w:r>
        <w:t xml:space="preserve">EC remained stable within the lower end of the range expected for lowland rivers indicating in </w:t>
      </w:r>
      <w:r w:rsidRPr="00C5373E">
        <w:t>ANZECC (2000)</w:t>
      </w:r>
      <w:r>
        <w:t xml:space="preserve">. </w:t>
      </w:r>
      <w:r w:rsidRPr="00C5373E">
        <w:t xml:space="preserve">Turbidity measurements generally </w:t>
      </w:r>
      <w:r>
        <w:t xml:space="preserve">fluctuated </w:t>
      </w:r>
      <w:r w:rsidRPr="00C5373E">
        <w:t xml:space="preserve">above </w:t>
      </w:r>
      <w:r>
        <w:t xml:space="preserve">and below </w:t>
      </w:r>
      <w:r w:rsidRPr="00C5373E">
        <w:t>the ANZECC (2000) trigger level</w:t>
      </w:r>
      <w:r>
        <w:t xml:space="preserve"> </w:t>
      </w:r>
      <w:r w:rsidRPr="002F23AF">
        <w:t>and values were very similar between sites</w:t>
      </w:r>
      <w:r>
        <w:t xml:space="preserve">, with the exception </w:t>
      </w:r>
      <w:r w:rsidRPr="00B83895">
        <w:t>on just one occasion</w:t>
      </w:r>
      <w:r>
        <w:t xml:space="preserve"> at Moulamein and Liewah in December 2019</w:t>
      </w:r>
      <w:r w:rsidRPr="00B83895">
        <w:t>. This possibly was caused by the input from Billabong Creek with high turbidity.</w:t>
      </w:r>
    </w:p>
    <w:p w14:paraId="4F5F708D" w14:textId="77777777" w:rsidR="00784A1F" w:rsidRPr="00C5373E" w:rsidRDefault="00784A1F" w:rsidP="00784A1F">
      <w:pPr>
        <w:spacing w:after="120" w:line="259" w:lineRule="auto"/>
        <w:jc w:val="left"/>
        <w:rPr>
          <w:rFonts w:cstheme="minorHAnsi"/>
        </w:rPr>
      </w:pPr>
      <w:r w:rsidRPr="00C5373E">
        <w:t xml:space="preserve">Most pH values were within the acceptable range throughout the year and values were very similar between sites. </w:t>
      </w:r>
      <w:r w:rsidRPr="00B83895">
        <w:t xml:space="preserve">The high pH values from January to February 2020 </w:t>
      </w:r>
      <w:r>
        <w:t>at Four Post</w:t>
      </w:r>
      <w:r w:rsidRPr="00B83895">
        <w:t xml:space="preserve"> may indicate increased algal activity at that time. The greater range of pH results observed towards the end of the water year</w:t>
      </w:r>
      <w:r w:rsidRPr="00C5373E">
        <w:rPr>
          <w:rFonts w:cstheme="minorHAnsi"/>
        </w:rPr>
        <w:t xml:space="preserve"> may reflect declining instrument performance and are not of concern.</w:t>
      </w:r>
    </w:p>
    <w:p w14:paraId="5C4AB3D3" w14:textId="67CD5B40" w:rsidR="00784A1F" w:rsidRDefault="00784A1F" w:rsidP="00D466A4">
      <w:pPr>
        <w:spacing w:after="120" w:line="240" w:lineRule="auto"/>
        <w:jc w:val="left"/>
      </w:pPr>
      <w:r>
        <w:rPr>
          <w:noProof/>
          <w:lang w:eastAsia="en-AU"/>
        </w:rPr>
        <w:drawing>
          <wp:inline distT="0" distB="0" distL="0" distR="0" wp14:anchorId="12C30E7C" wp14:editId="42769DAD">
            <wp:extent cx="5057111" cy="8100000"/>
            <wp:effectExtent l="0" t="0" r="0" b="0"/>
            <wp:docPr id="1273" name="Picture 1273" descr="3a_Edward_flow_temp_do_ho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a_Edward_flow_temp_do_horiba"/>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057111" cy="8100000"/>
                    </a:xfrm>
                    <a:prstGeom prst="rect">
                      <a:avLst/>
                    </a:prstGeom>
                    <a:noFill/>
                    <a:ln>
                      <a:noFill/>
                    </a:ln>
                  </pic:spPr>
                </pic:pic>
              </a:graphicData>
            </a:graphic>
          </wp:inline>
        </w:drawing>
      </w:r>
    </w:p>
    <w:p w14:paraId="38E18723" w14:textId="77777777" w:rsidR="00784A1F" w:rsidRDefault="00784A1F" w:rsidP="00784A1F">
      <w:pPr>
        <w:spacing w:after="120" w:line="259" w:lineRule="auto"/>
        <w:jc w:val="left"/>
        <w:rPr>
          <w:sz w:val="20"/>
        </w:rPr>
      </w:pPr>
      <w:r w:rsidRPr="00CA5E7B">
        <w:rPr>
          <w:b/>
          <w:sz w:val="20"/>
        </w:rPr>
        <w:t>Figure 5.6</w:t>
      </w:r>
      <w:r w:rsidRPr="00BD5916">
        <w:rPr>
          <w:sz w:val="20"/>
        </w:rPr>
        <w:t xml:space="preserve"> </w:t>
      </w:r>
      <w:r>
        <w:rPr>
          <w:sz w:val="20"/>
        </w:rPr>
        <w:t>Daily average temperature results, daily dissolved oxygen (DO) concentrations, e</w:t>
      </w:r>
      <w:r w:rsidRPr="00BD5916">
        <w:rPr>
          <w:sz w:val="20"/>
        </w:rPr>
        <w:t xml:space="preserve">lectrical conductivity (EC), turbidity and pH 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Edward/Kolety River system</w:t>
      </w:r>
      <w:r w:rsidRPr="00BD5916">
        <w:rPr>
          <w:sz w:val="20"/>
        </w:rPr>
        <w:t>.</w:t>
      </w:r>
    </w:p>
    <w:p w14:paraId="3F0A0941" w14:textId="77777777" w:rsidR="00784A1F" w:rsidRPr="00985568" w:rsidRDefault="00784A1F" w:rsidP="00784A1F">
      <w:pPr>
        <w:spacing w:after="120" w:line="259" w:lineRule="auto"/>
        <w:jc w:val="left"/>
        <w:rPr>
          <w:b/>
          <w:i/>
        </w:rPr>
      </w:pPr>
      <w:r w:rsidRPr="00985568">
        <w:rPr>
          <w:b/>
          <w:i/>
        </w:rPr>
        <w:t>Nutrients</w:t>
      </w:r>
      <w:r>
        <w:rPr>
          <w:b/>
          <w:i/>
        </w:rPr>
        <w:t xml:space="preserve"> and dissolved organic carbon</w:t>
      </w:r>
    </w:p>
    <w:p w14:paraId="7F11DDA6" w14:textId="77777777" w:rsidR="00784A1F" w:rsidRPr="00E13044" w:rsidRDefault="00784A1F" w:rsidP="00784A1F">
      <w:pPr>
        <w:spacing w:after="120" w:line="259" w:lineRule="auto"/>
        <w:jc w:val="left"/>
        <w:rPr>
          <w:color w:val="7030A0"/>
        </w:rPr>
      </w:pPr>
      <w:r w:rsidRPr="000549A2">
        <w:t>In general, the range of DOC concentrations in the Edward</w:t>
      </w:r>
      <w:r>
        <w:t>/Kolety</w:t>
      </w:r>
      <w:r w:rsidRPr="000549A2">
        <w:t xml:space="preserve"> River was similar to the concentrations measured in the Wakool-Yallakool system in 2019-20 water </w:t>
      </w:r>
      <w:r w:rsidRPr="00797943">
        <w:t>year</w:t>
      </w:r>
      <w:r>
        <w:t>, with slightly lower nutrients levels</w:t>
      </w:r>
      <w:r w:rsidRPr="00797943">
        <w:t xml:space="preserve">. TP generally increased </w:t>
      </w:r>
      <w:r>
        <w:t xml:space="preserve">at </w:t>
      </w:r>
      <w:r w:rsidRPr="00797943">
        <w:t xml:space="preserve">downstream sites which is consistent with the pattern in TN and </w:t>
      </w:r>
      <w:r w:rsidRPr="009079CC">
        <w:t xml:space="preserve">trends in Chl </w:t>
      </w:r>
      <w:r w:rsidRPr="009079CC">
        <w:rPr>
          <w:i/>
        </w:rPr>
        <w:t xml:space="preserve">a </w:t>
      </w:r>
      <w:r w:rsidRPr="009079CC">
        <w:t>(Figure 5.7).</w:t>
      </w:r>
    </w:p>
    <w:p w14:paraId="6B711DBE" w14:textId="77777777" w:rsidR="00784A1F" w:rsidRPr="00E13044" w:rsidRDefault="00784A1F" w:rsidP="00784A1F">
      <w:pPr>
        <w:spacing w:after="120" w:line="259" w:lineRule="auto"/>
        <w:jc w:val="left"/>
        <w:rPr>
          <w:color w:val="000000" w:themeColor="text1"/>
        </w:rPr>
      </w:pPr>
      <w:r>
        <w:t xml:space="preserve">Chl </w:t>
      </w:r>
      <w:r w:rsidRPr="00E13044">
        <w:rPr>
          <w:i/>
        </w:rPr>
        <w:t>a</w:t>
      </w:r>
      <w:r>
        <w:t xml:space="preserve"> concentrations remained stable and </w:t>
      </w:r>
      <w:r w:rsidRPr="00C5373E">
        <w:t>values were very similar between sites</w:t>
      </w:r>
      <w:r>
        <w:t xml:space="preserve"> below 20 </w:t>
      </w:r>
      <w:r>
        <w:rPr>
          <w:rFonts w:cstheme="minorHAnsi"/>
        </w:rPr>
        <w:t>µ</w:t>
      </w:r>
      <w:r>
        <w:t>g/L from July to December 2019. I</w:t>
      </w:r>
      <w:r w:rsidRPr="004D57EC">
        <w:t xml:space="preserve">ncreases in Chl </w:t>
      </w:r>
      <w:r w:rsidRPr="00E13044">
        <w:rPr>
          <w:i/>
        </w:rPr>
        <w:t xml:space="preserve">a </w:t>
      </w:r>
      <w:r>
        <w:t>concentrations</w:t>
      </w:r>
      <w:r w:rsidRPr="004D57EC">
        <w:t xml:space="preserve"> </w:t>
      </w:r>
      <w:r>
        <w:t>along</w:t>
      </w:r>
      <w:r w:rsidRPr="004D57EC">
        <w:t xml:space="preserve"> the Edward</w:t>
      </w:r>
      <w:r>
        <w:t>/Kolety</w:t>
      </w:r>
      <w:r w:rsidRPr="004D57EC">
        <w:t xml:space="preserve"> River </w:t>
      </w:r>
      <w:r>
        <w:t>between January and February</w:t>
      </w:r>
      <w:r w:rsidRPr="00E13044">
        <w:rPr>
          <w:color w:val="000000" w:themeColor="text1"/>
        </w:rPr>
        <w:t xml:space="preserve"> corresponded with observed excessive algae growth, suggesting increases in photosynthesis which is quite common during the summer months with high water temperatures and light levels. </w:t>
      </w:r>
      <w:r>
        <w:rPr>
          <w:color w:val="000000" w:themeColor="text1"/>
        </w:rPr>
        <w:t xml:space="preserve">Chl </w:t>
      </w:r>
      <w:r w:rsidRPr="005A7362">
        <w:rPr>
          <w:i/>
          <w:color w:val="000000" w:themeColor="text1"/>
        </w:rPr>
        <w:t>a</w:t>
      </w:r>
      <w:r>
        <w:rPr>
          <w:color w:val="000000" w:themeColor="text1"/>
        </w:rPr>
        <w:t xml:space="preserve"> concentrations declined between March and May 2020</w:t>
      </w:r>
      <w:r>
        <w:t>.</w:t>
      </w:r>
    </w:p>
    <w:p w14:paraId="6D8EE65A" w14:textId="77777777" w:rsidR="00784A1F" w:rsidRDefault="00784A1F" w:rsidP="00784A1F">
      <w:pPr>
        <w:spacing w:after="120" w:line="259" w:lineRule="auto"/>
        <w:jc w:val="left"/>
        <w:rPr>
          <w:color w:val="000000" w:themeColor="text1"/>
        </w:rPr>
      </w:pPr>
      <w:r>
        <w:t xml:space="preserve">During 2019-20 the range of </w:t>
      </w:r>
      <w:r w:rsidRPr="002B7A92">
        <w:t xml:space="preserve">DOC concentrations in </w:t>
      </w:r>
      <w:r w:rsidRPr="004D57EC">
        <w:t>the Edward</w:t>
      </w:r>
      <w:r>
        <w:t>/Kolety</w:t>
      </w:r>
      <w:r w:rsidRPr="004D57EC">
        <w:t xml:space="preserve"> River </w:t>
      </w:r>
      <w:r>
        <w:t>were similar to the Wakool-Yallakool system, remaining in the acceptable range</w:t>
      </w:r>
      <w:r w:rsidRPr="00B963E2">
        <w:t xml:space="preserve">. </w:t>
      </w:r>
      <w:r>
        <w:t>A</w:t>
      </w:r>
      <w:r w:rsidRPr="00B963E2">
        <w:t xml:space="preserve"> slight increase in DOC concentrations </w:t>
      </w:r>
      <w:r>
        <w:t xml:space="preserve">occurred in February and March 2020 </w:t>
      </w:r>
      <w:r w:rsidRPr="00B963E2">
        <w:t xml:space="preserve">but these remained within the </w:t>
      </w:r>
      <w:r>
        <w:t xml:space="preserve">acceptable </w:t>
      </w:r>
      <w:r w:rsidRPr="00B963E2">
        <w:t>range</w:t>
      </w:r>
      <w:r>
        <w:t>, th</w:t>
      </w:r>
      <w:r w:rsidRPr="00B963E2">
        <w:t xml:space="preserve">e timing of this pulse corresponds with the lowest DO concentrations observed over the water </w:t>
      </w:r>
      <w:r w:rsidRPr="009079CC">
        <w:t xml:space="preserve">year (Figure 5.7). </w:t>
      </w:r>
      <w:r w:rsidRPr="009079CC">
        <w:rPr>
          <w:color w:val="000000" w:themeColor="text1"/>
        </w:rPr>
        <w:t>Elevated</w:t>
      </w:r>
      <w:r w:rsidRPr="00E13044">
        <w:rPr>
          <w:color w:val="000000" w:themeColor="text1"/>
        </w:rPr>
        <w:t xml:space="preserve"> DOC in May 2020 indicates greater carbon inputs associated with the unregulated flows during this time where larger areas of Werai Forest were wetted and downstream sites had a later pulse. Large parts of the Edward</w:t>
      </w:r>
      <w:r>
        <w:rPr>
          <w:color w:val="000000" w:themeColor="text1"/>
        </w:rPr>
        <w:t xml:space="preserve">/Kolety River </w:t>
      </w:r>
      <w:r w:rsidRPr="00E13044">
        <w:rPr>
          <w:color w:val="000000" w:themeColor="text1"/>
        </w:rPr>
        <w:t xml:space="preserve">in particular were quite dark and clearer </w:t>
      </w:r>
      <w:r>
        <w:rPr>
          <w:color w:val="000000" w:themeColor="text1"/>
        </w:rPr>
        <w:t xml:space="preserve">(lower turbidity) </w:t>
      </w:r>
      <w:r w:rsidRPr="00E13044">
        <w:rPr>
          <w:color w:val="000000" w:themeColor="text1"/>
        </w:rPr>
        <w:t xml:space="preserve">than normal, </w:t>
      </w:r>
      <w:r>
        <w:rPr>
          <w:color w:val="000000" w:themeColor="text1"/>
        </w:rPr>
        <w:t xml:space="preserve">but </w:t>
      </w:r>
      <w:r w:rsidRPr="00E13044">
        <w:rPr>
          <w:color w:val="000000" w:themeColor="text1"/>
        </w:rPr>
        <w:t xml:space="preserve">the oxygen in these sections was quite high and </w:t>
      </w:r>
      <w:r>
        <w:rPr>
          <w:color w:val="000000" w:themeColor="text1"/>
        </w:rPr>
        <w:t>were</w:t>
      </w:r>
      <w:r w:rsidRPr="00E13044">
        <w:rPr>
          <w:color w:val="000000" w:themeColor="text1"/>
        </w:rPr>
        <w:t xml:space="preserve"> not of concern.</w:t>
      </w:r>
      <w:r>
        <w:rPr>
          <w:color w:val="000000" w:themeColor="text1"/>
        </w:rPr>
        <w:t xml:space="preserve"> It is noted that the upstream site </w:t>
      </w:r>
      <w:r w:rsidRPr="00377874">
        <w:rPr>
          <w:color w:val="000000" w:themeColor="text1"/>
        </w:rPr>
        <w:t xml:space="preserve">in </w:t>
      </w:r>
      <w:r w:rsidRPr="004D57EC">
        <w:t>the Edward</w:t>
      </w:r>
      <w:r>
        <w:t>/Kolety</w:t>
      </w:r>
      <w:r w:rsidRPr="004D57EC">
        <w:t xml:space="preserve"> River </w:t>
      </w:r>
      <w:r w:rsidRPr="00377874">
        <w:rPr>
          <w:color w:val="000000" w:themeColor="text1"/>
        </w:rPr>
        <w:t>ha</w:t>
      </w:r>
      <w:r>
        <w:rPr>
          <w:color w:val="000000" w:themeColor="text1"/>
        </w:rPr>
        <w:t>d</w:t>
      </w:r>
      <w:r w:rsidRPr="00377874">
        <w:rPr>
          <w:color w:val="000000" w:themeColor="text1"/>
        </w:rPr>
        <w:t xml:space="preserve"> lower DOC than the downstream site</w:t>
      </w:r>
      <w:r>
        <w:rPr>
          <w:color w:val="000000" w:themeColor="text1"/>
        </w:rPr>
        <w:t>s</w:t>
      </w:r>
      <w:r w:rsidRPr="00377874">
        <w:rPr>
          <w:color w:val="000000" w:themeColor="text1"/>
        </w:rPr>
        <w:t xml:space="preserve"> in this </w:t>
      </w:r>
      <w:r>
        <w:rPr>
          <w:color w:val="000000" w:themeColor="text1"/>
        </w:rPr>
        <w:t>reach</w:t>
      </w:r>
      <w:r w:rsidRPr="00377874">
        <w:rPr>
          <w:color w:val="000000" w:themeColor="text1"/>
        </w:rPr>
        <w:t xml:space="preserve">, however the results remain within the </w:t>
      </w:r>
      <w:r>
        <w:rPr>
          <w:color w:val="000000" w:themeColor="text1"/>
        </w:rPr>
        <w:t>range</w:t>
      </w:r>
      <w:r w:rsidRPr="00377874">
        <w:rPr>
          <w:color w:val="000000" w:themeColor="text1"/>
        </w:rPr>
        <w:t xml:space="preserve"> of concentrations observed for the other sampling sites. This likely indicates that the pulse was of very brief duration and had already begun to clear from the top of the </w:t>
      </w:r>
      <w:r>
        <w:rPr>
          <w:color w:val="000000" w:themeColor="text1"/>
        </w:rPr>
        <w:t>system at the time of sampling.</w:t>
      </w:r>
    </w:p>
    <w:p w14:paraId="1E27ECEE" w14:textId="77777777" w:rsidR="00784A1F" w:rsidRPr="00CE4EA7" w:rsidRDefault="00784A1F" w:rsidP="00784A1F">
      <w:pPr>
        <w:spacing w:after="120" w:line="259" w:lineRule="auto"/>
        <w:jc w:val="left"/>
      </w:pPr>
      <w:r w:rsidRPr="00CE4EA7">
        <w:t xml:space="preserve">Small inputs of DOC to the river can help with supporting microbial productivity which become available food for aquatic organisms such as fish. Increased algal growth over the summer was insufficient to produce a substantial increase in the dissolved fraction of the organic matter in these river systems. It is noted that DOC increases </w:t>
      </w:r>
      <w:r>
        <w:t xml:space="preserve">did </w:t>
      </w:r>
      <w:r w:rsidRPr="00CE4EA7">
        <w:t>not all occur at the same time</w:t>
      </w:r>
      <w:r>
        <w:t xml:space="preserve"> at all zones, suggesting</w:t>
      </w:r>
      <w:r w:rsidRPr="00870C8B">
        <w:t xml:space="preserve"> </w:t>
      </w:r>
      <w:r>
        <w:t xml:space="preserve">there might be </w:t>
      </w:r>
      <w:r w:rsidRPr="00870C8B">
        <w:t>a separate source of DOC for the part of the system during this period</w:t>
      </w:r>
      <w:r>
        <w:t>.</w:t>
      </w:r>
    </w:p>
    <w:p w14:paraId="7CB91F07" w14:textId="77777777" w:rsidR="00784A1F" w:rsidRDefault="00784A1F" w:rsidP="00784A1F">
      <w:pPr>
        <w:spacing w:after="120" w:line="259" w:lineRule="auto"/>
        <w:jc w:val="left"/>
      </w:pPr>
      <w:r w:rsidRPr="00E13044">
        <w:rPr>
          <w:color w:val="000000" w:themeColor="text1"/>
        </w:rPr>
        <w:t xml:space="preserve">Both TN and TP were increased corresponding with higher discharges </w:t>
      </w:r>
      <w:r>
        <w:rPr>
          <w:color w:val="000000" w:themeColor="text1"/>
        </w:rPr>
        <w:t xml:space="preserve">in 2019-20 water year </w:t>
      </w:r>
      <w:r w:rsidRPr="00E13044">
        <w:rPr>
          <w:color w:val="000000" w:themeColor="text1"/>
        </w:rPr>
        <w:t xml:space="preserve">which </w:t>
      </w:r>
      <w:r w:rsidRPr="00BE0065">
        <w:t xml:space="preserve">was possibly caused by in-stream processes during the </w:t>
      </w:r>
      <w:r>
        <w:t>flow discharge keeping particles suspended</w:t>
      </w:r>
      <w:r w:rsidRPr="00E13044">
        <w:rPr>
          <w:color w:val="000000" w:themeColor="text1"/>
        </w:rPr>
        <w:t xml:space="preserve"> (suspended particles keeping adsorbed nutrients in the water column). </w:t>
      </w:r>
      <w:r w:rsidRPr="00384DF3">
        <w:t xml:space="preserve">TP and TN </w:t>
      </w:r>
      <w:r>
        <w:t>concentrations fluctuated above and below</w:t>
      </w:r>
      <w:r w:rsidRPr="00384DF3">
        <w:t xml:space="preserve"> the ANZECC (2000) trigger values of 0.05 mg/L and 0.5 mg/L respectively</w:t>
      </w:r>
      <w:r>
        <w:t>.</w:t>
      </w:r>
      <w:r w:rsidRPr="00384DF3">
        <w:t xml:space="preserve"> There</w:t>
      </w:r>
      <w:r w:rsidRPr="0048220C">
        <w:t xml:space="preserve"> were generally lower concentrations in </w:t>
      </w:r>
      <w:r>
        <w:t>upstream sites</w:t>
      </w:r>
      <w:r w:rsidRPr="0048220C">
        <w:t xml:space="preserve"> than </w:t>
      </w:r>
      <w:r>
        <w:t xml:space="preserve">downstream sites </w:t>
      </w:r>
      <w:r w:rsidRPr="0048220C">
        <w:t>suggesting slight increase</w:t>
      </w:r>
      <w:r>
        <w:t>s</w:t>
      </w:r>
      <w:r w:rsidRPr="0048220C">
        <w:t xml:space="preserve"> in</w:t>
      </w:r>
      <w:r>
        <w:t xml:space="preserve"> TP</w:t>
      </w:r>
      <w:r w:rsidRPr="0048220C">
        <w:t xml:space="preserve"> </w:t>
      </w:r>
      <w:r>
        <w:t>and</w:t>
      </w:r>
      <w:r w:rsidRPr="0048220C">
        <w:t xml:space="preserve"> TN as the water</w:t>
      </w:r>
      <w:r>
        <w:t xml:space="preserve"> progresses through the system.</w:t>
      </w:r>
    </w:p>
    <w:p w14:paraId="64E85510" w14:textId="77777777" w:rsidR="00784A1F" w:rsidRDefault="00784A1F" w:rsidP="00784A1F">
      <w:pPr>
        <w:spacing w:after="120" w:line="259" w:lineRule="auto"/>
        <w:jc w:val="left"/>
        <w:rPr>
          <w:color w:val="000000" w:themeColor="text1"/>
        </w:rPr>
      </w:pPr>
      <w:r w:rsidRPr="00E13044">
        <w:rPr>
          <w:color w:val="000000" w:themeColor="text1"/>
        </w:rPr>
        <w:t xml:space="preserve">The bioavailable nutrient </w:t>
      </w:r>
      <w:r>
        <w:rPr>
          <w:color w:val="000000" w:themeColor="text1"/>
        </w:rPr>
        <w:t xml:space="preserve">(FRP, NH4+, NOx) </w:t>
      </w:r>
      <w:r w:rsidRPr="00E13044">
        <w:rPr>
          <w:color w:val="000000" w:themeColor="text1"/>
        </w:rPr>
        <w:t xml:space="preserve">concentrations did not exceed ANZECC </w:t>
      </w:r>
      <w:r>
        <w:rPr>
          <w:color w:val="000000" w:themeColor="text1"/>
        </w:rPr>
        <w:t xml:space="preserve">(2000) </w:t>
      </w:r>
      <w:r w:rsidRPr="00E13044">
        <w:rPr>
          <w:color w:val="000000" w:themeColor="text1"/>
        </w:rPr>
        <w:t xml:space="preserve">trigger values, with the exception of NOx on just one occasion during the unregulated flow in </w:t>
      </w:r>
      <w:r>
        <w:rPr>
          <w:color w:val="000000" w:themeColor="text1"/>
        </w:rPr>
        <w:t>at Four Post</w:t>
      </w:r>
      <w:r w:rsidRPr="00E13044">
        <w:rPr>
          <w:color w:val="000000" w:themeColor="text1"/>
        </w:rPr>
        <w:t xml:space="preserve"> in May</w:t>
      </w:r>
      <w:r>
        <w:rPr>
          <w:color w:val="000000" w:themeColor="text1"/>
        </w:rPr>
        <w:t xml:space="preserve"> 2020</w:t>
      </w:r>
      <w:r w:rsidRPr="00E13044">
        <w:rPr>
          <w:color w:val="000000" w:themeColor="text1"/>
        </w:rPr>
        <w:t>.</w:t>
      </w:r>
    </w:p>
    <w:p w14:paraId="40143B07" w14:textId="77777777" w:rsidR="00784A1F" w:rsidRPr="009259C1" w:rsidRDefault="00784A1F" w:rsidP="00784A1F">
      <w:pPr>
        <w:spacing w:after="120" w:line="259" w:lineRule="auto"/>
        <w:jc w:val="left"/>
        <w:rPr>
          <w:rFonts w:cs="Calibri"/>
          <w:color w:val="000000"/>
        </w:rPr>
      </w:pPr>
      <w:r w:rsidRPr="00E13044">
        <w:rPr>
          <w:rFonts w:cs="Calibri"/>
          <w:color w:val="000000"/>
        </w:rPr>
        <w:t xml:space="preserve">A pulse of DOC and nutrients from </w:t>
      </w:r>
      <w:r>
        <w:rPr>
          <w:rFonts w:cs="Calibri"/>
          <w:color w:val="000000"/>
        </w:rPr>
        <w:t>Millewa</w:t>
      </w:r>
      <w:r w:rsidRPr="00E13044">
        <w:rPr>
          <w:rFonts w:cs="Calibri"/>
          <w:color w:val="000000"/>
        </w:rPr>
        <w:t xml:space="preserve"> Forest was introduced to the Edward</w:t>
      </w:r>
      <w:r>
        <w:rPr>
          <w:rFonts w:cs="Calibri"/>
          <w:color w:val="000000"/>
        </w:rPr>
        <w:t>/Kolety</w:t>
      </w:r>
      <w:r w:rsidRPr="00E13044">
        <w:rPr>
          <w:rFonts w:cs="Calibri"/>
          <w:color w:val="000000"/>
        </w:rPr>
        <w:t xml:space="preserve">-Wakool system in October </w:t>
      </w:r>
      <w:r>
        <w:rPr>
          <w:rFonts w:cs="Calibri"/>
          <w:color w:val="000000"/>
        </w:rPr>
        <w:t xml:space="preserve">2019 </w:t>
      </w:r>
      <w:r w:rsidRPr="00E13044">
        <w:rPr>
          <w:rFonts w:cs="Calibri"/>
          <w:color w:val="000000"/>
        </w:rPr>
        <w:t xml:space="preserve">through the Southern </w:t>
      </w:r>
      <w:r>
        <w:rPr>
          <w:rFonts w:cs="Calibri"/>
          <w:color w:val="000000"/>
        </w:rPr>
        <w:t>Connected</w:t>
      </w:r>
      <w:r w:rsidRPr="00E13044">
        <w:rPr>
          <w:rFonts w:cs="Calibri"/>
          <w:color w:val="000000"/>
        </w:rPr>
        <w:t xml:space="preserve"> Flow watering action</w:t>
      </w:r>
      <w:r>
        <w:rPr>
          <w:rFonts w:cs="Calibri"/>
          <w:color w:val="000000"/>
        </w:rPr>
        <w:t xml:space="preserve"> in Murray River</w:t>
      </w:r>
      <w:r w:rsidRPr="00E13044">
        <w:rPr>
          <w:rFonts w:cs="Calibri"/>
          <w:color w:val="000000"/>
        </w:rPr>
        <w:t xml:space="preserve">. The </w:t>
      </w:r>
      <w:r>
        <w:rPr>
          <w:rFonts w:cs="Calibri"/>
          <w:color w:val="000000"/>
        </w:rPr>
        <w:t xml:space="preserve">impact of the </w:t>
      </w:r>
      <w:r w:rsidRPr="00FA6DAC">
        <w:rPr>
          <w:rFonts w:cs="Calibri"/>
        </w:rPr>
        <w:t xml:space="preserve">Southern </w:t>
      </w:r>
      <w:r>
        <w:rPr>
          <w:rFonts w:cs="Calibri"/>
        </w:rPr>
        <w:t>Connected</w:t>
      </w:r>
      <w:r w:rsidRPr="00FA6DAC">
        <w:rPr>
          <w:rFonts w:cs="Calibri"/>
        </w:rPr>
        <w:t xml:space="preserve"> Flow watering action</w:t>
      </w:r>
      <w:r>
        <w:rPr>
          <w:rFonts w:cs="Calibri"/>
        </w:rPr>
        <w:t xml:space="preserve"> </w:t>
      </w:r>
      <w:r>
        <w:rPr>
          <w:rFonts w:cs="Calibri"/>
          <w:color w:val="000000"/>
        </w:rPr>
        <w:t>on the Edward/Kolety River system was slight and</w:t>
      </w:r>
      <w:r>
        <w:t xml:space="preserve"> it is</w:t>
      </w:r>
      <w:r w:rsidRPr="00797ABD">
        <w:t xml:space="preserve"> unlikely to be ecologically significant</w:t>
      </w:r>
      <w:r w:rsidRPr="004F1723">
        <w:rPr>
          <w:rFonts w:cs="Calibri"/>
          <w:color w:val="000000"/>
        </w:rPr>
        <w:t xml:space="preserve"> </w:t>
      </w:r>
      <w:r>
        <w:rPr>
          <w:rFonts w:cs="Calibri"/>
          <w:color w:val="000000"/>
        </w:rPr>
        <w:t xml:space="preserve">due to the </w:t>
      </w:r>
      <w:r w:rsidRPr="00E13044">
        <w:rPr>
          <w:rFonts w:cs="Calibri"/>
          <w:color w:val="000000"/>
        </w:rPr>
        <w:t xml:space="preserve">change in DOC and nutrients concentrations was </w:t>
      </w:r>
      <w:r>
        <w:rPr>
          <w:rFonts w:cs="Calibri"/>
          <w:color w:val="000000"/>
        </w:rPr>
        <w:t xml:space="preserve">very </w:t>
      </w:r>
      <w:r w:rsidRPr="00E13044">
        <w:rPr>
          <w:rFonts w:cs="Calibri"/>
          <w:color w:val="000000"/>
        </w:rPr>
        <w:t>small</w:t>
      </w:r>
      <w:r w:rsidRPr="00797ABD">
        <w:t>.</w:t>
      </w:r>
    </w:p>
    <w:p w14:paraId="63294AD1" w14:textId="2A8D5CA1" w:rsidR="00784A1F" w:rsidRDefault="00784A1F" w:rsidP="00D466A4">
      <w:pPr>
        <w:spacing w:after="120" w:line="240" w:lineRule="auto"/>
        <w:jc w:val="left"/>
        <w:rPr>
          <w:noProof/>
        </w:rPr>
      </w:pPr>
      <w:r>
        <w:rPr>
          <w:noProof/>
          <w:lang w:eastAsia="en-AU"/>
        </w:rPr>
        <w:drawing>
          <wp:inline distT="0" distB="0" distL="0" distR="0" wp14:anchorId="600F65A4" wp14:editId="42391120">
            <wp:extent cx="4987306" cy="7992000"/>
            <wp:effectExtent l="0" t="0" r="3810" b="9525"/>
            <wp:docPr id="1272" name="Picture 1272" descr="3a_Edward_flow_chla_nutr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3a_Edward_flow_chla_nutrients"/>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987306" cy="7992000"/>
                    </a:xfrm>
                    <a:prstGeom prst="rect">
                      <a:avLst/>
                    </a:prstGeom>
                    <a:noFill/>
                    <a:ln>
                      <a:noFill/>
                    </a:ln>
                  </pic:spPr>
                </pic:pic>
              </a:graphicData>
            </a:graphic>
          </wp:inline>
        </w:drawing>
      </w:r>
    </w:p>
    <w:p w14:paraId="42281482" w14:textId="77777777" w:rsidR="00784A1F" w:rsidRPr="00685C91" w:rsidRDefault="00784A1F" w:rsidP="00784A1F">
      <w:pPr>
        <w:spacing w:after="120" w:line="259" w:lineRule="auto"/>
        <w:jc w:val="left"/>
        <w:rPr>
          <w:sz w:val="20"/>
        </w:rPr>
      </w:pPr>
      <w:r w:rsidRPr="00AE2B4D">
        <w:rPr>
          <w:b/>
          <w:sz w:val="20"/>
        </w:rPr>
        <w:t>Figure 5.7</w:t>
      </w:r>
      <w:r w:rsidRPr="00685C91">
        <w:rPr>
          <w:sz w:val="20"/>
        </w:rPr>
        <w:t xml:space="preserve"> Chlorophyll </w:t>
      </w:r>
      <w:r w:rsidRPr="00685C91">
        <w:rPr>
          <w:i/>
          <w:sz w:val="20"/>
        </w:rPr>
        <w:t>a</w:t>
      </w:r>
      <w:r w:rsidRPr="00685C91">
        <w:rPr>
          <w:sz w:val="20"/>
        </w:rPr>
        <w:t xml:space="preserve"> (Chl </w:t>
      </w:r>
      <w:r w:rsidRPr="00685C91">
        <w:rPr>
          <w:i/>
          <w:sz w:val="20"/>
        </w:rPr>
        <w:t>a</w:t>
      </w:r>
      <w:r w:rsidRPr="00685C91">
        <w:rPr>
          <w:sz w:val="20"/>
        </w:rPr>
        <w:t>), dissolved organic carbon (DOC), phosphorus (total phosphorus (TP) and filtered reactive phosphorus (FRP)), nitrogen (total nitrogen (TN), ammonium (NH</w:t>
      </w:r>
      <w:r w:rsidRPr="00685C91">
        <w:rPr>
          <w:sz w:val="20"/>
          <w:vertAlign w:val="subscript"/>
        </w:rPr>
        <w:t>4</w:t>
      </w:r>
      <w:r w:rsidRPr="00685C91">
        <w:rPr>
          <w:sz w:val="20"/>
          <w:vertAlign w:val="superscript"/>
        </w:rPr>
        <w:t>+</w:t>
      </w:r>
      <w:r w:rsidRPr="00685C91">
        <w:rPr>
          <w:sz w:val="20"/>
        </w:rPr>
        <w:t xml:space="preserve">) and dissolved nitrate + nitrite (NOx)) concentrations </w:t>
      </w:r>
      <w:r w:rsidRPr="00BD5916">
        <w:rPr>
          <w:sz w:val="20"/>
        </w:rPr>
        <w:t xml:space="preserve">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Edward/Kolety River system</w:t>
      </w:r>
      <w:r w:rsidRPr="00BD5916">
        <w:rPr>
          <w:sz w:val="20"/>
        </w:rPr>
        <w:t>.</w:t>
      </w:r>
    </w:p>
    <w:p w14:paraId="16A79E3D" w14:textId="77777777" w:rsidR="00784A1F" w:rsidRPr="00AE2B4D" w:rsidRDefault="00784A1F" w:rsidP="00784A1F">
      <w:pPr>
        <w:spacing w:after="120" w:line="259" w:lineRule="auto"/>
        <w:jc w:val="left"/>
        <w:rPr>
          <w:rFonts w:cs="Calibri"/>
          <w:b/>
          <w:color w:val="31849B"/>
        </w:rPr>
      </w:pPr>
      <w:r w:rsidRPr="00AE2B4D">
        <w:rPr>
          <w:rFonts w:cs="Calibri"/>
          <w:b/>
          <w:color w:val="31849B"/>
        </w:rPr>
        <w:t>The Colligen-Niemur system</w:t>
      </w:r>
    </w:p>
    <w:p w14:paraId="376E49ED" w14:textId="77777777" w:rsidR="00784A1F" w:rsidRPr="00781619" w:rsidRDefault="00784A1F" w:rsidP="00784A1F">
      <w:pPr>
        <w:spacing w:after="120" w:line="259" w:lineRule="auto"/>
        <w:jc w:val="left"/>
        <w:rPr>
          <w:b/>
          <w:i/>
        </w:rPr>
      </w:pPr>
      <w:r w:rsidRPr="00781619">
        <w:rPr>
          <w:b/>
          <w:i/>
        </w:rPr>
        <w:t xml:space="preserve">Temperature and dissolved oxygen and spot water quality parameters </w:t>
      </w:r>
    </w:p>
    <w:p w14:paraId="1D16D2AE" w14:textId="77777777" w:rsidR="00784A1F" w:rsidRPr="00A26A3B" w:rsidRDefault="00784A1F" w:rsidP="00784A1F">
      <w:pPr>
        <w:spacing w:after="120" w:line="259" w:lineRule="auto"/>
        <w:jc w:val="left"/>
      </w:pPr>
      <w:r w:rsidRPr="00A26A3B">
        <w:t>Water temperature</w:t>
      </w:r>
      <w:r>
        <w:t xml:space="preserve"> in the Colligen-Niemur system at </w:t>
      </w:r>
      <w:r w:rsidRPr="00A26A3B">
        <w:t xml:space="preserve">Old Morago Rd exceeded 25 </w:t>
      </w:r>
      <w:r w:rsidRPr="00A26A3B">
        <w:rPr>
          <w:rFonts w:cstheme="minorHAnsi"/>
        </w:rPr>
        <w:t>°</w:t>
      </w:r>
      <w:r w:rsidRPr="00A26A3B">
        <w:t xml:space="preserve">C briefly during summer and staying below 10 </w:t>
      </w:r>
      <w:r w:rsidRPr="00A26A3B">
        <w:rPr>
          <w:rFonts w:cstheme="minorHAnsi"/>
        </w:rPr>
        <w:t>°</w:t>
      </w:r>
      <w:r w:rsidRPr="00A26A3B">
        <w:t xml:space="preserve">C for a couple of weeks during </w:t>
      </w:r>
      <w:r w:rsidRPr="005A7362">
        <w:t>winter (Figure 5.8).</w:t>
      </w:r>
      <w:r w:rsidRPr="00A26A3B">
        <w:t xml:space="preserve"> The results in</w:t>
      </w:r>
      <w:r>
        <w:t>dicate that water temperature was</w:t>
      </w:r>
      <w:r w:rsidRPr="00A26A3B">
        <w:t xml:space="preserve"> influenced predominantly by seasonal rather than site-specific factors with all sites displaying the same seasonal variation and</w:t>
      </w:r>
      <w:r>
        <w:t xml:space="preserve"> influence of weather patterns.</w:t>
      </w:r>
    </w:p>
    <w:p w14:paraId="0F9D1EED" w14:textId="77777777" w:rsidR="00784A1F" w:rsidRPr="005470FF" w:rsidRDefault="00784A1F" w:rsidP="00784A1F">
      <w:pPr>
        <w:spacing w:after="120" w:line="259" w:lineRule="auto"/>
        <w:jc w:val="left"/>
        <w:rPr>
          <w:color w:val="000000" w:themeColor="text1"/>
        </w:rPr>
      </w:pPr>
      <w:r w:rsidRPr="00395AAB">
        <w:t xml:space="preserve">The plot of average daily DO concentrations in the study site </w:t>
      </w:r>
      <w:r>
        <w:t>at</w:t>
      </w:r>
      <w:r w:rsidRPr="00395AAB">
        <w:t xml:space="preserve"> Old Morago Rd shows the expected seasonal variations with higher concentrations in the winter and lower concentrations correlating to the periods of higher water temperature. However</w:t>
      </w:r>
      <w:r>
        <w:t xml:space="preserve">, the water temperature </w:t>
      </w:r>
      <w:r>
        <w:rPr>
          <w:rFonts w:cs="Calibri"/>
        </w:rPr>
        <w:t xml:space="preserve">in the study site at </w:t>
      </w:r>
      <w:r w:rsidRPr="00395AAB">
        <w:t>Old Morago Rd</w:t>
      </w:r>
      <w:r>
        <w:rPr>
          <w:rFonts w:cs="Calibri"/>
        </w:rPr>
        <w:t xml:space="preserve"> moderately increased between</w:t>
      </w:r>
      <w:r w:rsidRPr="00395AAB">
        <w:rPr>
          <w:rFonts w:cs="Calibri"/>
        </w:rPr>
        <w:t xml:space="preserve"> mid-October </w:t>
      </w:r>
      <w:r>
        <w:rPr>
          <w:rFonts w:cs="Calibri"/>
        </w:rPr>
        <w:t>and</w:t>
      </w:r>
      <w:r w:rsidRPr="004100EB">
        <w:rPr>
          <w:rFonts w:cs="Calibri"/>
        </w:rPr>
        <w:t xml:space="preserve"> early</w:t>
      </w:r>
      <w:r>
        <w:rPr>
          <w:rFonts w:cs="Calibri"/>
        </w:rPr>
        <w:t xml:space="preserve"> November 2019</w:t>
      </w:r>
      <w:r w:rsidRPr="004100EB">
        <w:rPr>
          <w:rFonts w:cs="Calibri"/>
        </w:rPr>
        <w:t xml:space="preserve"> with lowered</w:t>
      </w:r>
      <w:r w:rsidRPr="004100EB">
        <w:t xml:space="preserve"> DO concentrations</w:t>
      </w:r>
      <w:r>
        <w:t xml:space="preserve">, this </w:t>
      </w:r>
      <w:r>
        <w:rPr>
          <w:color w:val="000000" w:themeColor="text1"/>
        </w:rPr>
        <w:t xml:space="preserve">probably resulted from </w:t>
      </w:r>
      <w:r>
        <w:t>receiving</w:t>
      </w:r>
      <w:r w:rsidRPr="0006797F">
        <w:t xml:space="preserve"> </w:t>
      </w:r>
      <w:r w:rsidRPr="00425122">
        <w:t xml:space="preserve">minor </w:t>
      </w:r>
      <w:r>
        <w:t>to no amount discharge during that period.</w:t>
      </w:r>
    </w:p>
    <w:p w14:paraId="19B8290A" w14:textId="77777777" w:rsidR="00784A1F" w:rsidRPr="00FC3329" w:rsidRDefault="00784A1F" w:rsidP="00784A1F">
      <w:pPr>
        <w:spacing w:after="120" w:line="259" w:lineRule="auto"/>
        <w:jc w:val="left"/>
      </w:pPr>
      <w:r w:rsidRPr="00FC3329">
        <w:t>Concentrations of DO in the Colligen-Niemur system were above the range of concern to fish populations (below 4 mg/L) but generally were lower than the DO levels in the Edward/Kolety River. DO declined to below 5 mg/L during a period of very high temperature in late January, and this trend reversed as water temperatures cooled with a change in the weather conditions. Unregulated flow did not cause discernible influence on DO levels might due to cool</w:t>
      </w:r>
      <w:r>
        <w:t xml:space="preserve"> water temperatures in winter.</w:t>
      </w:r>
    </w:p>
    <w:p w14:paraId="490B2E49" w14:textId="77777777" w:rsidR="00784A1F" w:rsidRPr="00FC3329" w:rsidRDefault="00784A1F" w:rsidP="00784A1F">
      <w:pPr>
        <w:spacing w:after="120" w:line="259" w:lineRule="auto"/>
        <w:jc w:val="left"/>
      </w:pPr>
      <w:r>
        <w:t>Spot reading</w:t>
      </w:r>
      <w:r w:rsidRPr="00FA3C7B">
        <w:t xml:space="preserve"> </w:t>
      </w:r>
      <w:r>
        <w:t>of samples sites within the Colligen-Niemur system</w:t>
      </w:r>
      <w:r w:rsidRPr="00FA3C7B">
        <w:t xml:space="preserve"> </w:t>
      </w:r>
      <w:r>
        <w:t>were</w:t>
      </w:r>
      <w:r w:rsidRPr="00FA3C7B">
        <w:t xml:space="preserve"> </w:t>
      </w:r>
      <w:r>
        <w:t xml:space="preserve">similar to the sites along the Edward/Kolety River </w:t>
      </w:r>
      <w:r w:rsidRPr="00FC3329">
        <w:t>remaining within the acceptable range throughout the study period of 2019-20.</w:t>
      </w:r>
      <w:r w:rsidRPr="00FC3329">
        <w:rPr>
          <w:rFonts w:cstheme="minorHAnsi"/>
        </w:rPr>
        <w:t xml:space="preserve"> </w:t>
      </w:r>
      <w:r w:rsidRPr="00FC3329">
        <w:t xml:space="preserve">EC remained stable within the lower end of the range expected for lowland rivers indicating in ANZECC (2000). Turbidity measurements were </w:t>
      </w:r>
      <w:r>
        <w:t>slightly</w:t>
      </w:r>
      <w:r w:rsidRPr="00FC3329">
        <w:t xml:space="preserve"> fluctuated above and below the ANZECC (2000) trigger level and values were very similar between sites</w:t>
      </w:r>
      <w:r>
        <w:t xml:space="preserve"> with increasing turbidity in </w:t>
      </w:r>
      <w:r w:rsidRPr="00FC3329">
        <w:t>downstream sites.</w:t>
      </w:r>
    </w:p>
    <w:p w14:paraId="6AA5967E" w14:textId="2252E14D" w:rsidR="00784A1F" w:rsidRPr="00D466A4" w:rsidRDefault="00784A1F" w:rsidP="00784A1F">
      <w:pPr>
        <w:spacing w:after="120" w:line="259" w:lineRule="auto"/>
        <w:jc w:val="left"/>
        <w:rPr>
          <w:color w:val="000000" w:themeColor="text1"/>
        </w:rPr>
      </w:pPr>
      <w:r w:rsidRPr="00FC3329">
        <w:t xml:space="preserve">Most pH values were within the acceptable range throughout the year and values were very similar between sites. The high pH value </w:t>
      </w:r>
      <w:r>
        <w:t xml:space="preserve">only </w:t>
      </w:r>
      <w:r w:rsidRPr="00FC3329">
        <w:t xml:space="preserve">occurred </w:t>
      </w:r>
      <w:r>
        <w:t xml:space="preserve">once </w:t>
      </w:r>
      <w:r w:rsidRPr="00FC3329">
        <w:t>in Niemur-Moulamein Rd Bridge in August 2019</w:t>
      </w:r>
      <w:r>
        <w:t xml:space="preserve"> and it was buffered immediately after receiving flow discharge</w:t>
      </w:r>
      <w:r w:rsidRPr="00FC3329">
        <w:t xml:space="preserve">. The greater range of pH results observed towards the end of the water year may reflect declining instrument performance and are </w:t>
      </w:r>
      <w:r w:rsidRPr="00552D86">
        <w:rPr>
          <w:color w:val="000000" w:themeColor="text1"/>
        </w:rPr>
        <w:t>not of concern.</w:t>
      </w:r>
    </w:p>
    <w:p w14:paraId="6D8B502A" w14:textId="77777777" w:rsidR="00784A1F" w:rsidRDefault="00784A1F" w:rsidP="00784A1F">
      <w:pPr>
        <w:spacing w:after="120" w:line="259" w:lineRule="auto"/>
        <w:jc w:val="left"/>
      </w:pPr>
    </w:p>
    <w:p w14:paraId="148F46C8" w14:textId="6126BC11" w:rsidR="00784A1F" w:rsidRDefault="00784A1F" w:rsidP="00784A1F">
      <w:pPr>
        <w:spacing w:after="120" w:line="259" w:lineRule="auto"/>
        <w:jc w:val="left"/>
        <w:rPr>
          <w:noProof/>
        </w:rPr>
      </w:pPr>
      <w:r>
        <w:rPr>
          <w:noProof/>
          <w:lang w:eastAsia="en-AU"/>
        </w:rPr>
        <w:drawing>
          <wp:inline distT="0" distB="0" distL="0" distR="0" wp14:anchorId="49BB2011" wp14:editId="216E9B9D">
            <wp:extent cx="5079587" cy="8136000"/>
            <wp:effectExtent l="0" t="0" r="6985" b="0"/>
            <wp:docPr id="1271" name="Picture 1271" descr="2a_Col_Nie_flow_temp_do_ho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2a_Col_Nie_flow_temp_do_horiba"/>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079587" cy="8136000"/>
                    </a:xfrm>
                    <a:prstGeom prst="rect">
                      <a:avLst/>
                    </a:prstGeom>
                    <a:noFill/>
                    <a:ln>
                      <a:noFill/>
                    </a:ln>
                  </pic:spPr>
                </pic:pic>
              </a:graphicData>
            </a:graphic>
          </wp:inline>
        </w:drawing>
      </w:r>
    </w:p>
    <w:p w14:paraId="579B334F" w14:textId="77777777" w:rsidR="00784A1F" w:rsidRDefault="00784A1F" w:rsidP="00784A1F">
      <w:pPr>
        <w:spacing w:after="120" w:line="259" w:lineRule="auto"/>
        <w:jc w:val="left"/>
        <w:rPr>
          <w:sz w:val="20"/>
        </w:rPr>
      </w:pPr>
      <w:r w:rsidRPr="00AE2B4D">
        <w:rPr>
          <w:b/>
          <w:sz w:val="20"/>
        </w:rPr>
        <w:t>Figure 5.8</w:t>
      </w:r>
      <w:r w:rsidRPr="00BD5916">
        <w:rPr>
          <w:sz w:val="20"/>
        </w:rPr>
        <w:t xml:space="preserve"> </w:t>
      </w:r>
      <w:r>
        <w:rPr>
          <w:sz w:val="20"/>
        </w:rPr>
        <w:t>Daily average temperature results, daily dissolved oxygen (DO) concentrations, e</w:t>
      </w:r>
      <w:r w:rsidRPr="00BD5916">
        <w:rPr>
          <w:sz w:val="20"/>
        </w:rPr>
        <w:t xml:space="preserve">lectrical conductivity (EC), turbidity and pH 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Colligen-Niemur system</w:t>
      </w:r>
      <w:r w:rsidRPr="00BD5916">
        <w:rPr>
          <w:sz w:val="20"/>
        </w:rPr>
        <w:t>.</w:t>
      </w:r>
    </w:p>
    <w:p w14:paraId="780C3091" w14:textId="77777777" w:rsidR="00784A1F" w:rsidRPr="00985568" w:rsidRDefault="00784A1F" w:rsidP="00784A1F">
      <w:pPr>
        <w:spacing w:after="120" w:line="259" w:lineRule="auto"/>
        <w:jc w:val="left"/>
        <w:rPr>
          <w:b/>
          <w:i/>
        </w:rPr>
      </w:pPr>
      <w:r w:rsidRPr="00985568">
        <w:rPr>
          <w:b/>
          <w:i/>
        </w:rPr>
        <w:t>Nutrients</w:t>
      </w:r>
      <w:r>
        <w:rPr>
          <w:b/>
          <w:i/>
        </w:rPr>
        <w:t xml:space="preserve"> and dissolved organic carbon</w:t>
      </w:r>
    </w:p>
    <w:p w14:paraId="06B026D6" w14:textId="77777777" w:rsidR="00784A1F" w:rsidRPr="005B5179" w:rsidRDefault="00784A1F" w:rsidP="00784A1F">
      <w:pPr>
        <w:spacing w:after="120" w:line="259" w:lineRule="auto"/>
        <w:jc w:val="left"/>
      </w:pPr>
      <w:r w:rsidRPr="00661E20">
        <w:t xml:space="preserve">In general, the range of nutrients and DOC concentrations in the Colligen-Niemur system was slightly higher than the concentrations recorded in the Edward/Kolety River in 2019-20 water year. TP </w:t>
      </w:r>
      <w:r>
        <w:t>was higher at</w:t>
      </w:r>
      <w:r w:rsidRPr="00661E20">
        <w:t xml:space="preserve"> downstream sites which is consistent with the pattern in TN and </w:t>
      </w:r>
      <w:r w:rsidRPr="005A7362">
        <w:t xml:space="preserve">trends in Chl </w:t>
      </w:r>
      <w:r w:rsidRPr="005A7362">
        <w:rPr>
          <w:i/>
        </w:rPr>
        <w:t xml:space="preserve">a </w:t>
      </w:r>
      <w:r w:rsidRPr="005A7362">
        <w:t>(Figure 5.9).</w:t>
      </w:r>
      <w:r w:rsidRPr="005A7362">
        <w:rPr>
          <w:color w:val="7030A0"/>
        </w:rPr>
        <w:t xml:space="preserve"> </w:t>
      </w:r>
      <w:r w:rsidRPr="005A7362">
        <w:t>Concentrations</w:t>
      </w:r>
      <w:r>
        <w:t xml:space="preserve"> of Chl </w:t>
      </w:r>
      <w:r w:rsidRPr="005B5179">
        <w:rPr>
          <w:i/>
        </w:rPr>
        <w:t>a</w:t>
      </w:r>
      <w:r>
        <w:t>, DOC and TP and TN increased from December 2019 through to February 2020, probably due to low discharge during hot months.</w:t>
      </w:r>
    </w:p>
    <w:p w14:paraId="2ECE9278" w14:textId="77777777" w:rsidR="00784A1F" w:rsidRDefault="00784A1F" w:rsidP="00784A1F">
      <w:pPr>
        <w:spacing w:after="120" w:line="259" w:lineRule="auto"/>
        <w:jc w:val="left"/>
        <w:rPr>
          <w:color w:val="000000" w:themeColor="text1"/>
        </w:rPr>
      </w:pPr>
      <w:r w:rsidRPr="00DF328C">
        <w:t>Increase</w:t>
      </w:r>
      <w:r>
        <w:t>d</w:t>
      </w:r>
      <w:r w:rsidRPr="00DF328C">
        <w:t xml:space="preserve"> Chl </w:t>
      </w:r>
      <w:r w:rsidRPr="00661E20">
        <w:rPr>
          <w:i/>
        </w:rPr>
        <w:t>a</w:t>
      </w:r>
      <w:r w:rsidRPr="009D0690">
        <w:t xml:space="preserve"> </w:t>
      </w:r>
      <w:r w:rsidRPr="00DF328C">
        <w:t>levels in the Colligen-Niemur system</w:t>
      </w:r>
      <w:r w:rsidRPr="00AE4DB2">
        <w:rPr>
          <w:color w:val="000000" w:themeColor="text1"/>
        </w:rPr>
        <w:t xml:space="preserve"> </w:t>
      </w:r>
      <w:r>
        <w:rPr>
          <w:color w:val="000000" w:themeColor="text1"/>
        </w:rPr>
        <w:t xml:space="preserve">between January and February 2020 </w:t>
      </w:r>
      <w:r w:rsidRPr="00552D86">
        <w:rPr>
          <w:color w:val="000000" w:themeColor="text1"/>
        </w:rPr>
        <w:t>correspond</w:t>
      </w:r>
      <w:r>
        <w:rPr>
          <w:color w:val="000000" w:themeColor="text1"/>
        </w:rPr>
        <w:t>ed</w:t>
      </w:r>
      <w:r w:rsidRPr="00552D86">
        <w:rPr>
          <w:color w:val="000000" w:themeColor="text1"/>
        </w:rPr>
        <w:t xml:space="preserve"> with observed poor water quality, suggesting increases in photosynthesis which is quite common during the summer months when water</w:t>
      </w:r>
      <w:r>
        <w:rPr>
          <w:color w:val="000000" w:themeColor="text1"/>
        </w:rPr>
        <w:t xml:space="preserve"> temperatures are </w:t>
      </w:r>
      <w:r w:rsidRPr="00552D86">
        <w:rPr>
          <w:color w:val="000000" w:themeColor="text1"/>
        </w:rPr>
        <w:t>high</w:t>
      </w:r>
      <w:r>
        <w:rPr>
          <w:color w:val="000000" w:themeColor="text1"/>
        </w:rPr>
        <w:t>. A sharp rise</w:t>
      </w:r>
      <w:r w:rsidRPr="00552D86">
        <w:rPr>
          <w:color w:val="000000" w:themeColor="text1"/>
        </w:rPr>
        <w:t xml:space="preserve"> in Chl </w:t>
      </w:r>
      <w:r w:rsidRPr="00055CA6">
        <w:rPr>
          <w:i/>
          <w:color w:val="000000" w:themeColor="text1"/>
        </w:rPr>
        <w:t>a</w:t>
      </w:r>
      <w:r>
        <w:rPr>
          <w:color w:val="000000" w:themeColor="text1"/>
        </w:rPr>
        <w:t xml:space="preserve"> at the downstream site (Niemur-</w:t>
      </w:r>
      <w:r w:rsidRPr="00552D86">
        <w:rPr>
          <w:color w:val="000000" w:themeColor="text1"/>
        </w:rPr>
        <w:t>Mallan School</w:t>
      </w:r>
      <w:r>
        <w:rPr>
          <w:color w:val="000000" w:themeColor="text1"/>
        </w:rPr>
        <w:t>)</w:t>
      </w:r>
      <w:r w:rsidRPr="00552D86">
        <w:rPr>
          <w:color w:val="000000" w:themeColor="text1"/>
        </w:rPr>
        <w:t xml:space="preserve"> </w:t>
      </w:r>
      <w:r>
        <w:rPr>
          <w:color w:val="000000" w:themeColor="text1"/>
        </w:rPr>
        <w:t>may have been associated with higher nutrient levels and low</w:t>
      </w:r>
      <w:r>
        <w:t xml:space="preserve"> discharge during hot months</w:t>
      </w:r>
      <w:r>
        <w:rPr>
          <w:color w:val="000000" w:themeColor="text1"/>
        </w:rPr>
        <w:t>.</w:t>
      </w:r>
    </w:p>
    <w:p w14:paraId="45D5DE4F" w14:textId="77777777" w:rsidR="00784A1F" w:rsidRPr="005470FF" w:rsidRDefault="00784A1F" w:rsidP="00784A1F">
      <w:pPr>
        <w:spacing w:after="120" w:line="259" w:lineRule="auto"/>
        <w:jc w:val="left"/>
        <w:rPr>
          <w:color w:val="000000" w:themeColor="text1"/>
        </w:rPr>
      </w:pPr>
      <w:r w:rsidRPr="00552D86">
        <w:t xml:space="preserve">Both </w:t>
      </w:r>
      <w:r w:rsidRPr="000C78D2">
        <w:t xml:space="preserve">TN and TP were increased corresponding with </w:t>
      </w:r>
      <w:r>
        <w:t xml:space="preserve">flow </w:t>
      </w:r>
      <w:r w:rsidRPr="000C78D2">
        <w:t>discharges in October an</w:t>
      </w:r>
      <w:r>
        <w:t xml:space="preserve">d November 2019 </w:t>
      </w:r>
      <w:r w:rsidRPr="000C78D2">
        <w:t>which might have been associated with higher turbidity (suspended particles keeping adsorbed nutrients in the water column</w:t>
      </w:r>
      <w:r w:rsidRPr="005B5179">
        <w:t>). TP and TN concentrations routinely exceed</w:t>
      </w:r>
      <w:r>
        <w:t>ed</w:t>
      </w:r>
      <w:r w:rsidRPr="005B5179">
        <w:t xml:space="preserve"> the ANZECC (2000) trigger values of 0.05 mg/L and 0.5 mg/L respectively. There were generally lower concentrations in upstream sites than downstream sites suggesting slight increases in TP and TN as the water</w:t>
      </w:r>
      <w:r>
        <w:t xml:space="preserve"> progresses through the system.</w:t>
      </w:r>
    </w:p>
    <w:p w14:paraId="38BE58F0" w14:textId="77777777" w:rsidR="00784A1F" w:rsidRPr="00DF328C" w:rsidRDefault="00784A1F" w:rsidP="00784A1F">
      <w:pPr>
        <w:spacing w:after="120" w:line="259" w:lineRule="auto"/>
        <w:jc w:val="left"/>
      </w:pPr>
      <w:r w:rsidRPr="00552D86">
        <w:t>The bioavailable nutrient concentrations did not exceed ANZECC</w:t>
      </w:r>
      <w:r>
        <w:t xml:space="preserve"> (2000)</w:t>
      </w:r>
      <w:r w:rsidRPr="00552D86">
        <w:t xml:space="preserve"> trigger values, with</w:t>
      </w:r>
      <w:r w:rsidRPr="00DF328C">
        <w:t xml:space="preserve"> the exception of ammonia on one occasion during the</w:t>
      </w:r>
      <w:r>
        <w:t xml:space="preserve"> unregulated flow at </w:t>
      </w:r>
      <w:r w:rsidRPr="00DF328C">
        <w:t xml:space="preserve">Mallan School in May </w:t>
      </w:r>
      <w:r>
        <w:t xml:space="preserve">2020, </w:t>
      </w:r>
      <w:r w:rsidRPr="00DF328C">
        <w:t>possibly due to ammonia introduced from a disturbance upstream or disturbance of the sediments while sampling.</w:t>
      </w:r>
    </w:p>
    <w:p w14:paraId="7966B9AA" w14:textId="77777777" w:rsidR="00784A1F" w:rsidRPr="00FA6DAC" w:rsidRDefault="00784A1F" w:rsidP="00784A1F">
      <w:pPr>
        <w:spacing w:after="120" w:line="259" w:lineRule="auto"/>
        <w:jc w:val="left"/>
        <w:rPr>
          <w:color w:val="000000" w:themeColor="text1"/>
        </w:rPr>
      </w:pPr>
      <w:r w:rsidRPr="00FA6DAC">
        <w:t xml:space="preserve">During 2019-20 the range of DOC concentrations in the Colligen-Niemur system was similar </w:t>
      </w:r>
      <w:r>
        <w:t>to</w:t>
      </w:r>
      <w:r w:rsidRPr="00FA6DAC">
        <w:t xml:space="preserve"> the Edward/Kolety </w:t>
      </w:r>
      <w:r>
        <w:t>River</w:t>
      </w:r>
      <w:r w:rsidRPr="00FA6DAC">
        <w:t xml:space="preserve"> remaining in the acceptable range. A slight increase in DOC concentrations occurred in </w:t>
      </w:r>
      <w:r w:rsidRPr="00BE3BE1">
        <w:t xml:space="preserve">February and March 2020 and the timing of this pulse corresponds with the lowest DO concentrations observed over the water year (Figure 5.9). Elevated DOC in May and June 2020 corresponding with observed dark coloured water </w:t>
      </w:r>
      <w:r w:rsidRPr="00BE3BE1">
        <w:rPr>
          <w:color w:val="000000" w:themeColor="text1"/>
        </w:rPr>
        <w:t>indicates greater carbon</w:t>
      </w:r>
      <w:r w:rsidRPr="00FA6DAC">
        <w:rPr>
          <w:color w:val="000000" w:themeColor="text1"/>
        </w:rPr>
        <w:t xml:space="preserve"> inputs </w:t>
      </w:r>
      <w:r w:rsidRPr="00FA6DAC">
        <w:t>associated with the unregulated flows during this time where larger low-lying areas were wetted, but the oxygen in these sections was qui</w:t>
      </w:r>
      <w:r>
        <w:t>te high and are not of concern.</w:t>
      </w:r>
    </w:p>
    <w:p w14:paraId="74ED9DB9" w14:textId="77777777" w:rsidR="00784A1F" w:rsidRPr="00FA6DAC" w:rsidRDefault="00784A1F" w:rsidP="00784A1F">
      <w:pPr>
        <w:spacing w:after="120" w:line="259" w:lineRule="auto"/>
        <w:jc w:val="left"/>
      </w:pPr>
      <w:r w:rsidRPr="00FA6DAC">
        <w:rPr>
          <w:rFonts w:cs="Calibri"/>
        </w:rPr>
        <w:t xml:space="preserve">A pulse of DOC and nutrients from </w:t>
      </w:r>
      <w:r>
        <w:rPr>
          <w:rFonts w:cs="Calibri"/>
        </w:rPr>
        <w:t xml:space="preserve">Millewa </w:t>
      </w:r>
      <w:r w:rsidRPr="00FA6DAC">
        <w:rPr>
          <w:rFonts w:cs="Calibri"/>
        </w:rPr>
        <w:t>Forest was introduced to the Edward</w:t>
      </w:r>
      <w:r>
        <w:t>/Kolety</w:t>
      </w:r>
      <w:r w:rsidRPr="00FA6DAC">
        <w:rPr>
          <w:rFonts w:cs="Calibri"/>
        </w:rPr>
        <w:t xml:space="preserve">-Wakool system in October 2019 through the Southern </w:t>
      </w:r>
      <w:r>
        <w:rPr>
          <w:rFonts w:cs="Calibri"/>
        </w:rPr>
        <w:t>Connected</w:t>
      </w:r>
      <w:r w:rsidRPr="00FA6DAC">
        <w:rPr>
          <w:rFonts w:cs="Calibri"/>
        </w:rPr>
        <w:t xml:space="preserve"> Flow watering action</w:t>
      </w:r>
      <w:r>
        <w:rPr>
          <w:rFonts w:cs="Calibri"/>
        </w:rPr>
        <w:t xml:space="preserve"> in the Murray River</w:t>
      </w:r>
      <w:r w:rsidRPr="00FA6DAC">
        <w:rPr>
          <w:rFonts w:cs="Calibri"/>
        </w:rPr>
        <w:t>. The i</w:t>
      </w:r>
      <w:r>
        <w:rPr>
          <w:rFonts w:cs="Calibri"/>
        </w:rPr>
        <w:t>mpact</w:t>
      </w:r>
      <w:r w:rsidRPr="00FA6DAC">
        <w:rPr>
          <w:rFonts w:cs="Calibri"/>
        </w:rPr>
        <w:t xml:space="preserve"> of Southern </w:t>
      </w:r>
      <w:r>
        <w:rPr>
          <w:rFonts w:cs="Calibri"/>
        </w:rPr>
        <w:t>Connected</w:t>
      </w:r>
      <w:r w:rsidRPr="00FA6DAC">
        <w:rPr>
          <w:rFonts w:cs="Calibri"/>
        </w:rPr>
        <w:t xml:space="preserve"> Flow watering action</w:t>
      </w:r>
      <w:r>
        <w:rPr>
          <w:rFonts w:cs="Calibri"/>
        </w:rPr>
        <w:t xml:space="preserve"> </w:t>
      </w:r>
      <w:r w:rsidRPr="00FA6DAC">
        <w:rPr>
          <w:rFonts w:cs="Calibri"/>
        </w:rPr>
        <w:t>on the Colligen-Niemur system was slight and</w:t>
      </w:r>
      <w:r>
        <w:rPr>
          <w:rFonts w:cs="Calibri"/>
        </w:rPr>
        <w:t xml:space="preserve"> it is unlikely to be ecologically significant as </w:t>
      </w:r>
      <w:r w:rsidRPr="00FA6DAC">
        <w:rPr>
          <w:rFonts w:cs="Calibri"/>
        </w:rPr>
        <w:t xml:space="preserve">the change in DOC and nutrients concentrations was </w:t>
      </w:r>
      <w:r>
        <w:rPr>
          <w:rFonts w:cs="Calibri"/>
        </w:rPr>
        <w:t xml:space="preserve">too </w:t>
      </w:r>
      <w:r w:rsidRPr="00FA6DAC">
        <w:rPr>
          <w:rFonts w:cs="Calibri"/>
        </w:rPr>
        <w:t>small.</w:t>
      </w:r>
    </w:p>
    <w:p w14:paraId="5AC8C2DC" w14:textId="77777777" w:rsidR="00784A1F" w:rsidRDefault="00784A1F" w:rsidP="00784A1F">
      <w:pPr>
        <w:spacing w:after="120" w:line="259" w:lineRule="auto"/>
        <w:jc w:val="left"/>
      </w:pPr>
    </w:p>
    <w:p w14:paraId="62E8471D" w14:textId="7507D14F" w:rsidR="00784A1F" w:rsidRDefault="00784A1F" w:rsidP="00784A1F">
      <w:pPr>
        <w:spacing w:after="120" w:line="259" w:lineRule="auto"/>
        <w:jc w:val="left"/>
      </w:pPr>
      <w:r>
        <w:rPr>
          <w:noProof/>
          <w:lang w:eastAsia="en-AU"/>
        </w:rPr>
        <w:drawing>
          <wp:inline distT="0" distB="0" distL="0" distR="0" wp14:anchorId="2AC9FDB3" wp14:editId="4A25C4B5">
            <wp:extent cx="4995000" cy="7992000"/>
            <wp:effectExtent l="0" t="0" r="0" b="9525"/>
            <wp:docPr id="1270" name="Picture 1270" descr="2b_Col_Nie_flow_chla_nutr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b_Col_Nie_flow_chla_nutrients"/>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995000" cy="7992000"/>
                    </a:xfrm>
                    <a:prstGeom prst="rect">
                      <a:avLst/>
                    </a:prstGeom>
                    <a:noFill/>
                    <a:ln>
                      <a:noFill/>
                    </a:ln>
                  </pic:spPr>
                </pic:pic>
              </a:graphicData>
            </a:graphic>
          </wp:inline>
        </w:drawing>
      </w:r>
    </w:p>
    <w:p w14:paraId="03FD1189" w14:textId="77777777" w:rsidR="00784A1F" w:rsidRPr="00685C91" w:rsidRDefault="00784A1F" w:rsidP="00784A1F">
      <w:pPr>
        <w:spacing w:after="120" w:line="259" w:lineRule="auto"/>
        <w:jc w:val="left"/>
        <w:rPr>
          <w:sz w:val="20"/>
        </w:rPr>
      </w:pPr>
      <w:r w:rsidRPr="00AF2187">
        <w:rPr>
          <w:b/>
          <w:sz w:val="20"/>
        </w:rPr>
        <w:t>Figure 5.9</w:t>
      </w:r>
      <w:r w:rsidRPr="00685C91">
        <w:rPr>
          <w:sz w:val="20"/>
        </w:rPr>
        <w:t xml:space="preserve"> Chlorophyll </w:t>
      </w:r>
      <w:r w:rsidRPr="00685C91">
        <w:rPr>
          <w:i/>
          <w:sz w:val="20"/>
        </w:rPr>
        <w:t>a</w:t>
      </w:r>
      <w:r w:rsidRPr="00685C91">
        <w:rPr>
          <w:sz w:val="20"/>
        </w:rPr>
        <w:t xml:space="preserve"> (Chl </w:t>
      </w:r>
      <w:r w:rsidRPr="00685C91">
        <w:rPr>
          <w:i/>
          <w:sz w:val="20"/>
        </w:rPr>
        <w:t>a</w:t>
      </w:r>
      <w:r w:rsidRPr="00685C91">
        <w:rPr>
          <w:sz w:val="20"/>
        </w:rPr>
        <w:t>), dissolved organic</w:t>
      </w:r>
      <w:r>
        <w:rPr>
          <w:sz w:val="20"/>
        </w:rPr>
        <w:t xml:space="preserve"> </w:t>
      </w:r>
      <w:r w:rsidRPr="00685C91">
        <w:rPr>
          <w:sz w:val="20"/>
        </w:rPr>
        <w:t>carbon (DOC), phosphorus (total phosphorus (TP) and filtered reactive phosphorus (FRP)), nitrogen (total nitrogen (TN), ammonium (NH</w:t>
      </w:r>
      <w:r w:rsidRPr="00685C91">
        <w:rPr>
          <w:sz w:val="20"/>
          <w:vertAlign w:val="subscript"/>
        </w:rPr>
        <w:t>4</w:t>
      </w:r>
      <w:r w:rsidRPr="00685C91">
        <w:rPr>
          <w:sz w:val="20"/>
          <w:vertAlign w:val="superscript"/>
        </w:rPr>
        <w:t>+</w:t>
      </w:r>
      <w:r w:rsidRPr="00685C91">
        <w:rPr>
          <w:sz w:val="20"/>
        </w:rPr>
        <w:t xml:space="preserve">) and dissolved nitrate + nitrite (NOx)) concentrations </w:t>
      </w:r>
      <w:r w:rsidRPr="00BD5916">
        <w:rPr>
          <w:sz w:val="20"/>
        </w:rPr>
        <w:t xml:space="preserve">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the Colligen-Niemur system</w:t>
      </w:r>
      <w:r w:rsidRPr="00BD5916">
        <w:rPr>
          <w:sz w:val="20"/>
        </w:rPr>
        <w:t>.</w:t>
      </w:r>
    </w:p>
    <w:p w14:paraId="1E965AC3" w14:textId="77777777" w:rsidR="00784A1F" w:rsidRPr="00AF2187" w:rsidRDefault="00784A1F" w:rsidP="00784A1F">
      <w:pPr>
        <w:spacing w:after="120" w:line="259" w:lineRule="auto"/>
        <w:jc w:val="left"/>
        <w:rPr>
          <w:rFonts w:cs="Calibri"/>
          <w:b/>
          <w:color w:val="31849B"/>
        </w:rPr>
      </w:pPr>
      <w:r>
        <w:rPr>
          <w:rFonts w:cs="Calibri"/>
          <w:b/>
          <w:color w:val="31849B"/>
        </w:rPr>
        <w:t>Tuppal Creek</w:t>
      </w:r>
    </w:p>
    <w:p w14:paraId="0924A1D7" w14:textId="77777777" w:rsidR="00784A1F" w:rsidRPr="00781619" w:rsidRDefault="00784A1F" w:rsidP="00784A1F">
      <w:pPr>
        <w:spacing w:after="120" w:line="259" w:lineRule="auto"/>
        <w:jc w:val="left"/>
        <w:rPr>
          <w:b/>
          <w:i/>
        </w:rPr>
      </w:pPr>
      <w:r w:rsidRPr="00781619">
        <w:rPr>
          <w:b/>
          <w:i/>
        </w:rPr>
        <w:t xml:space="preserve">Temperature and dissolved oxygen and spot water quality parameters </w:t>
      </w:r>
    </w:p>
    <w:p w14:paraId="5D617505" w14:textId="77777777" w:rsidR="00784A1F" w:rsidRDefault="00784A1F" w:rsidP="00784A1F">
      <w:pPr>
        <w:spacing w:after="120" w:line="259" w:lineRule="auto"/>
        <w:jc w:val="left"/>
      </w:pPr>
      <w:r>
        <w:t>Most of the spot readings</w:t>
      </w:r>
      <w:r w:rsidRPr="00FA3C7B">
        <w:t xml:space="preserve"> </w:t>
      </w:r>
      <w:r>
        <w:t>at Aratula Road in Tuppal Creek</w:t>
      </w:r>
      <w:r w:rsidRPr="00FA3C7B">
        <w:t xml:space="preserve"> </w:t>
      </w:r>
      <w:r>
        <w:t xml:space="preserve">remained </w:t>
      </w:r>
      <w:r w:rsidRPr="00FC3329">
        <w:t>within the acceptable range throughout the study period of 2019-20</w:t>
      </w:r>
      <w:r>
        <w:t xml:space="preserve"> (Figure 5.10)</w:t>
      </w:r>
      <w:r w:rsidRPr="00FC3329">
        <w:t>.</w:t>
      </w:r>
      <w:r w:rsidRPr="00FC3329">
        <w:rPr>
          <w:rFonts w:cstheme="minorHAnsi"/>
        </w:rPr>
        <w:t xml:space="preserve"> </w:t>
      </w:r>
      <w:r w:rsidRPr="00FC3329">
        <w:t xml:space="preserve">EC remained stable within the lower end of the range expected for lowland rivers indicating in ANZECC (2000). Turbidity measurements fluctuated above and below </w:t>
      </w:r>
      <w:r>
        <w:t xml:space="preserve">the ANZECC (2000) trigger level. </w:t>
      </w:r>
      <w:r w:rsidRPr="00FC3329">
        <w:t xml:space="preserve">Most pH values were within the acceptable range throughout the year. The greater range of pH results observed towards the end of the water year may reflect declining instrument performance and </w:t>
      </w:r>
      <w:r>
        <w:t>was</w:t>
      </w:r>
      <w:r w:rsidRPr="00FC3329">
        <w:t xml:space="preserve"> </w:t>
      </w:r>
      <w:r w:rsidRPr="00552D86">
        <w:rPr>
          <w:color w:val="000000" w:themeColor="text1"/>
        </w:rPr>
        <w:t>not of concern.</w:t>
      </w:r>
      <w:r>
        <w:rPr>
          <w:color w:val="000000" w:themeColor="text1"/>
        </w:rPr>
        <w:t xml:space="preserve"> </w:t>
      </w:r>
      <w:r w:rsidRPr="00FE4261">
        <w:t xml:space="preserve">Concentrations of DO in the </w:t>
      </w:r>
      <w:r>
        <w:t>Tuppal Creek</w:t>
      </w:r>
      <w:r w:rsidRPr="00FE4261">
        <w:t xml:space="preserve"> dropped into the range of concern to fish populations</w:t>
      </w:r>
      <w:r w:rsidRPr="009C11A1">
        <w:t xml:space="preserve"> (below 4 mg/L) </w:t>
      </w:r>
      <w:r>
        <w:t xml:space="preserve">between October 2019 and mid-March 2020, </w:t>
      </w:r>
      <w:r w:rsidRPr="003F1B88">
        <w:t xml:space="preserve">values below 2 mg/L were </w:t>
      </w:r>
      <w:r>
        <w:t xml:space="preserve">briefly </w:t>
      </w:r>
      <w:r w:rsidRPr="003F1B88">
        <w:t>recorded</w:t>
      </w:r>
      <w:r>
        <w:t xml:space="preserve"> in mid-October 2019, in early January 2020 and in early February 2020</w:t>
      </w:r>
      <w:r w:rsidRPr="003F1B88">
        <w:t>.</w:t>
      </w:r>
      <w:r>
        <w:t xml:space="preserve"> Tuppal Creek is an ephemeral creek and received low base flows and DO remained quite low when there was no larger pulsed flows.</w:t>
      </w:r>
    </w:p>
    <w:p w14:paraId="54BFBA79" w14:textId="77777777" w:rsidR="003104EF" w:rsidRPr="00E509A0" w:rsidRDefault="003104EF" w:rsidP="003104EF">
      <w:pPr>
        <w:spacing w:after="120" w:line="259" w:lineRule="auto"/>
        <w:jc w:val="left"/>
        <w:rPr>
          <w:b/>
          <w:i/>
          <w:color w:val="000000" w:themeColor="text1"/>
        </w:rPr>
      </w:pPr>
      <w:r w:rsidRPr="00E509A0">
        <w:rPr>
          <w:b/>
          <w:i/>
          <w:color w:val="000000" w:themeColor="text1"/>
        </w:rPr>
        <w:t xml:space="preserve">Nutrients and dissolved organic carbon </w:t>
      </w:r>
    </w:p>
    <w:p w14:paraId="5A61AA0B" w14:textId="77777777" w:rsidR="003104EF" w:rsidRDefault="003104EF" w:rsidP="003104EF">
      <w:pPr>
        <w:spacing w:after="120" w:line="259" w:lineRule="auto"/>
        <w:jc w:val="left"/>
      </w:pPr>
      <w:r>
        <w:t>T</w:t>
      </w:r>
      <w:r w:rsidRPr="00661E20">
        <w:t xml:space="preserve">he nutrients and DOC concentrations in </w:t>
      </w:r>
      <w:r>
        <w:t>Tuppal Creek</w:t>
      </w:r>
      <w:r w:rsidRPr="00661E20">
        <w:t xml:space="preserve"> was </w:t>
      </w:r>
      <w:r>
        <w:t>generally</w:t>
      </w:r>
      <w:r w:rsidRPr="00661E20">
        <w:t xml:space="preserve"> higher than the concentrations recorded in the Edward/Kolety</w:t>
      </w:r>
      <w:r>
        <w:t>-Wakool</w:t>
      </w:r>
      <w:r w:rsidRPr="00661E20">
        <w:t xml:space="preserve"> system in 2019-20 water year. </w:t>
      </w:r>
      <w:r>
        <w:t xml:space="preserve">Tuppal Creek is an ephemeral creek and received low base flows interspersed by a few larger pulsed flows that can be the source of carbon and nutrients to the </w:t>
      </w:r>
      <w:r w:rsidRPr="00661E20">
        <w:t>Edward/Kolety</w:t>
      </w:r>
      <w:r>
        <w:t>-Wakool</w:t>
      </w:r>
      <w:r w:rsidRPr="00661E20">
        <w:t xml:space="preserve"> River system</w:t>
      </w:r>
      <w:r>
        <w:t xml:space="preserve"> if it’s connected to the main river channel.</w:t>
      </w:r>
    </w:p>
    <w:p w14:paraId="6FC54C06" w14:textId="77777777" w:rsidR="003104EF" w:rsidRPr="00552D86" w:rsidRDefault="003104EF" w:rsidP="003104EF">
      <w:pPr>
        <w:spacing w:after="120" w:line="259" w:lineRule="auto"/>
        <w:jc w:val="left"/>
      </w:pPr>
      <w:r>
        <w:t>The pattern of TP</w:t>
      </w:r>
      <w:r w:rsidRPr="00661E20">
        <w:t xml:space="preserve"> </w:t>
      </w:r>
      <w:r>
        <w:t xml:space="preserve">fluctuation </w:t>
      </w:r>
      <w:r w:rsidRPr="00661E20">
        <w:t xml:space="preserve">is consistent with the pattern in TN and trends in Chl </w:t>
      </w:r>
      <w:r w:rsidRPr="001B5EF9">
        <w:rPr>
          <w:i/>
        </w:rPr>
        <w:t xml:space="preserve">a </w:t>
      </w:r>
      <w:r w:rsidRPr="00661E20">
        <w:t xml:space="preserve">in 2019-20 </w:t>
      </w:r>
      <w:r w:rsidRPr="00D12DB0">
        <w:t>water year (Figure 5.11).</w:t>
      </w:r>
      <w:r w:rsidRPr="00D12DB0">
        <w:rPr>
          <w:color w:val="7030A0"/>
        </w:rPr>
        <w:t xml:space="preserve"> </w:t>
      </w:r>
      <w:r w:rsidRPr="00D12DB0">
        <w:t>Elevated</w:t>
      </w:r>
      <w:r w:rsidRPr="000B6B08">
        <w:t xml:space="preserve"> </w:t>
      </w:r>
      <w:r>
        <w:t xml:space="preserve">nutrients, </w:t>
      </w:r>
      <w:r w:rsidRPr="000B6B08">
        <w:t>DOC</w:t>
      </w:r>
      <w:r>
        <w:t xml:space="preserve"> and Chl </w:t>
      </w:r>
      <w:r w:rsidRPr="00141562">
        <w:rPr>
          <w:i/>
        </w:rPr>
        <w:t>a</w:t>
      </w:r>
      <w:r w:rsidRPr="000B6B08">
        <w:t xml:space="preserve"> in Tuppal Creek in September 2019 suggests there </w:t>
      </w:r>
      <w:r>
        <w:t>were</w:t>
      </w:r>
      <w:r w:rsidRPr="000B6B08">
        <w:t xml:space="preserve"> local sources of </w:t>
      </w:r>
      <w:r>
        <w:t xml:space="preserve">nutrients and </w:t>
      </w:r>
      <w:r w:rsidRPr="000B6B08">
        <w:t>DOC</w:t>
      </w:r>
      <w:r>
        <w:t xml:space="preserve"> a</w:t>
      </w:r>
      <w:r w:rsidRPr="000B6B08">
        <w:t xml:space="preserve">t times during this study period, possibly due to </w:t>
      </w:r>
      <w:r>
        <w:t xml:space="preserve">commence to flow conditions where </w:t>
      </w:r>
      <w:r w:rsidRPr="000B6B08">
        <w:t>water that was in backwaters or on low lying benches</w:t>
      </w:r>
      <w:r>
        <w:t xml:space="preserve"> started to flow down the system</w:t>
      </w:r>
      <w:r w:rsidRPr="000B6B08">
        <w:t xml:space="preserve">. </w:t>
      </w:r>
      <w:r w:rsidRPr="00141562">
        <w:t xml:space="preserve">Concentrations of Chl </w:t>
      </w:r>
      <w:r w:rsidRPr="00141562">
        <w:rPr>
          <w:i/>
        </w:rPr>
        <w:t>a</w:t>
      </w:r>
      <w:r w:rsidRPr="00141562">
        <w:t xml:space="preserve">, DOC and </w:t>
      </w:r>
      <w:r>
        <w:t>nutrients</w:t>
      </w:r>
      <w:r w:rsidRPr="00141562">
        <w:t xml:space="preserve"> </w:t>
      </w:r>
      <w:r>
        <w:t>did not keep</w:t>
      </w:r>
      <w:r w:rsidRPr="00141562">
        <w:t xml:space="preserve"> increas</w:t>
      </w:r>
      <w:r>
        <w:t>ing</w:t>
      </w:r>
      <w:r w:rsidRPr="00141562">
        <w:t xml:space="preserve"> from December 2019 through to February 2020 probably </w:t>
      </w:r>
      <w:r>
        <w:t>due to</w:t>
      </w:r>
      <w:r w:rsidRPr="00141562">
        <w:t xml:space="preserve"> </w:t>
      </w:r>
      <w:r>
        <w:t>higher</w:t>
      </w:r>
      <w:r w:rsidRPr="00141562">
        <w:t xml:space="preserve"> discharge during </w:t>
      </w:r>
      <w:r>
        <w:t>these</w:t>
      </w:r>
      <w:r w:rsidRPr="00141562">
        <w:t xml:space="preserve"> months</w:t>
      </w:r>
      <w:r w:rsidRPr="00D466A4">
        <w:t xml:space="preserve">. </w:t>
      </w:r>
      <w:r>
        <w:t xml:space="preserve">The increase in Chl </w:t>
      </w:r>
      <w:r w:rsidRPr="00D466A4">
        <w:t>a</w:t>
      </w:r>
      <w:r>
        <w:t xml:space="preserve"> in Tuppal Creek in April 2020 may</w:t>
      </w:r>
      <w:r w:rsidRPr="005C661E">
        <w:t xml:space="preserve"> have been associated with </w:t>
      </w:r>
      <w:r>
        <w:t>higher concentrations of</w:t>
      </w:r>
      <w:r w:rsidRPr="005C661E">
        <w:t xml:space="preserve"> nutrients </w:t>
      </w:r>
      <w:r>
        <w:t>in</w:t>
      </w:r>
      <w:r w:rsidRPr="005C661E">
        <w:t xml:space="preserve"> </w:t>
      </w:r>
      <w:r>
        <w:t xml:space="preserve">the </w:t>
      </w:r>
      <w:r w:rsidRPr="005C661E">
        <w:t>water.</w:t>
      </w:r>
    </w:p>
    <w:p w14:paraId="7F026ED2" w14:textId="77777777" w:rsidR="003104EF" w:rsidRPr="00D466A4" w:rsidRDefault="003104EF" w:rsidP="003104EF">
      <w:pPr>
        <w:spacing w:after="120" w:line="259" w:lineRule="auto"/>
        <w:jc w:val="left"/>
      </w:pPr>
      <w:r w:rsidRPr="000B6B08">
        <w:t xml:space="preserve">There were some water pulses throughout the study year, and both TN and TP increased in Tuppal Creek during that period which </w:t>
      </w:r>
      <w:r>
        <w:t>were</w:t>
      </w:r>
      <w:r w:rsidRPr="000B6B08">
        <w:t xml:space="preserve"> associated with higher turbidity (suspended particles keeping adsorbed nutrients in the water column).</w:t>
      </w:r>
      <w:r w:rsidRPr="00141562">
        <w:t xml:space="preserve"> </w:t>
      </w:r>
      <w:r w:rsidRPr="005B5179">
        <w:t xml:space="preserve">TP and TN concentrations </w:t>
      </w:r>
      <w:r>
        <w:t>consistently</w:t>
      </w:r>
      <w:r w:rsidRPr="005B5179">
        <w:t xml:space="preserve"> exceed</w:t>
      </w:r>
      <w:r>
        <w:t>ed</w:t>
      </w:r>
      <w:r w:rsidRPr="005B5179">
        <w:t xml:space="preserve"> the ANZECC (2000) trigger values of 0.05 </w:t>
      </w:r>
      <w:r>
        <w:t>mg/L and 0.5 mg/L respectively.</w:t>
      </w:r>
    </w:p>
    <w:p w14:paraId="1B627D2E" w14:textId="77777777" w:rsidR="003104EF" w:rsidRPr="00D466A4" w:rsidRDefault="003104EF" w:rsidP="003104EF">
      <w:pPr>
        <w:pStyle w:val="Default"/>
        <w:spacing w:after="120" w:line="259" w:lineRule="auto"/>
        <w:rPr>
          <w:rFonts w:ascii="Calibri" w:eastAsia="Calibri" w:hAnsi="Calibri" w:cs="Times New Roman"/>
          <w:color w:val="auto"/>
          <w:sz w:val="22"/>
          <w:szCs w:val="20"/>
          <w:lang w:eastAsia="en-US"/>
        </w:rPr>
      </w:pPr>
      <w:r w:rsidRPr="00D466A4">
        <w:rPr>
          <w:rFonts w:ascii="Calibri" w:eastAsia="Calibri" w:hAnsi="Calibri" w:cs="Times New Roman"/>
          <w:color w:val="auto"/>
          <w:sz w:val="22"/>
          <w:szCs w:val="20"/>
          <w:lang w:eastAsia="en-US"/>
        </w:rPr>
        <w:t>The FRP and NOx remained below the ANZECC (2000) trigger values. The high ammonia values measured in Tuppal Creek on two occasions in February 2020 and May 2020 could possibly be due to ammonia introduced during flow peaks.</w:t>
      </w:r>
    </w:p>
    <w:p w14:paraId="5A1E3AB9" w14:textId="77777777" w:rsidR="003104EF" w:rsidRDefault="003104EF" w:rsidP="00784A1F">
      <w:pPr>
        <w:spacing w:after="120" w:line="259" w:lineRule="auto"/>
        <w:jc w:val="left"/>
      </w:pPr>
    </w:p>
    <w:p w14:paraId="035954B7" w14:textId="486B8756" w:rsidR="00784A1F" w:rsidRDefault="00784A1F" w:rsidP="00784A1F">
      <w:pPr>
        <w:spacing w:after="120" w:line="259" w:lineRule="auto"/>
        <w:jc w:val="left"/>
      </w:pPr>
      <w:r>
        <w:rPr>
          <w:noProof/>
          <w:lang w:eastAsia="en-AU"/>
        </w:rPr>
        <w:drawing>
          <wp:inline distT="0" distB="0" distL="0" distR="0" wp14:anchorId="2216877B" wp14:editId="7F3A2BF7">
            <wp:extent cx="4942912" cy="7920000"/>
            <wp:effectExtent l="0" t="0" r="0" b="5080"/>
            <wp:docPr id="1269" name="Picture 1269" descr="4a_Tuppal_flow_temp_do_ho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4a_Tuppal_flow_temp_do_horiba"/>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942912" cy="7920000"/>
                    </a:xfrm>
                    <a:prstGeom prst="rect">
                      <a:avLst/>
                    </a:prstGeom>
                    <a:noFill/>
                    <a:ln>
                      <a:noFill/>
                    </a:ln>
                  </pic:spPr>
                </pic:pic>
              </a:graphicData>
            </a:graphic>
          </wp:inline>
        </w:drawing>
      </w:r>
    </w:p>
    <w:p w14:paraId="1513B03F" w14:textId="77777777" w:rsidR="00784A1F" w:rsidRDefault="00784A1F" w:rsidP="00784A1F">
      <w:pPr>
        <w:spacing w:after="120" w:line="259" w:lineRule="auto"/>
        <w:jc w:val="left"/>
        <w:rPr>
          <w:sz w:val="20"/>
        </w:rPr>
      </w:pPr>
      <w:r w:rsidRPr="00CA5E7B">
        <w:rPr>
          <w:b/>
          <w:sz w:val="20"/>
        </w:rPr>
        <w:t>Figure 5.10</w:t>
      </w:r>
      <w:r w:rsidRPr="00BD5916">
        <w:rPr>
          <w:sz w:val="20"/>
        </w:rPr>
        <w:t xml:space="preserve"> </w:t>
      </w:r>
      <w:r>
        <w:rPr>
          <w:sz w:val="20"/>
        </w:rPr>
        <w:t>Daily average temperature results, daily dissolved oxygen (DO) concentrations, e</w:t>
      </w:r>
      <w:r w:rsidRPr="00BD5916">
        <w:rPr>
          <w:sz w:val="20"/>
        </w:rPr>
        <w:t xml:space="preserve">lectrical conductivity (EC), turbidity and pH 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Tuppal Creek</w:t>
      </w:r>
      <w:r w:rsidRPr="00BD5916">
        <w:rPr>
          <w:sz w:val="20"/>
        </w:rPr>
        <w:t>.</w:t>
      </w:r>
    </w:p>
    <w:p w14:paraId="31C3397F" w14:textId="4E35C046" w:rsidR="00784A1F" w:rsidRDefault="00784A1F" w:rsidP="00784A1F">
      <w:pPr>
        <w:spacing w:after="120" w:line="259" w:lineRule="auto"/>
        <w:jc w:val="left"/>
        <w:rPr>
          <w:noProof/>
        </w:rPr>
      </w:pPr>
      <w:r>
        <w:rPr>
          <w:noProof/>
          <w:lang w:eastAsia="en-AU"/>
        </w:rPr>
        <w:drawing>
          <wp:inline distT="0" distB="0" distL="0" distR="0" wp14:anchorId="55585026" wp14:editId="06A51E64">
            <wp:extent cx="5234074" cy="7778750"/>
            <wp:effectExtent l="0" t="0" r="5080" b="0"/>
            <wp:docPr id="1268" name="Picture 1268" descr="4b_Tuppal_flow_chla_nutr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b_Tuppal_flow_chla_nutrients"/>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b="7255"/>
                    <a:stretch/>
                  </pic:blipFill>
                  <pic:spPr bwMode="auto">
                    <a:xfrm>
                      <a:off x="0" y="0"/>
                      <a:ext cx="5234418" cy="7779261"/>
                    </a:xfrm>
                    <a:prstGeom prst="rect">
                      <a:avLst/>
                    </a:prstGeom>
                    <a:noFill/>
                    <a:ln>
                      <a:noFill/>
                    </a:ln>
                    <a:extLst>
                      <a:ext uri="{53640926-AAD7-44D8-BBD7-CCE9431645EC}">
                        <a14:shadowObscured xmlns:a14="http://schemas.microsoft.com/office/drawing/2010/main"/>
                      </a:ext>
                    </a:extLst>
                  </pic:spPr>
                </pic:pic>
              </a:graphicData>
            </a:graphic>
          </wp:inline>
        </w:drawing>
      </w:r>
    </w:p>
    <w:p w14:paraId="298180B9" w14:textId="77777777" w:rsidR="00784A1F" w:rsidRDefault="00784A1F" w:rsidP="00784A1F">
      <w:pPr>
        <w:spacing w:after="120" w:line="259" w:lineRule="auto"/>
        <w:jc w:val="left"/>
        <w:rPr>
          <w:sz w:val="20"/>
        </w:rPr>
      </w:pPr>
      <w:r w:rsidRPr="00AF2187">
        <w:rPr>
          <w:b/>
          <w:sz w:val="20"/>
        </w:rPr>
        <w:t>Figure 5.11</w:t>
      </w:r>
      <w:r w:rsidRPr="00685C91">
        <w:rPr>
          <w:sz w:val="20"/>
        </w:rPr>
        <w:t xml:space="preserve"> Chlorophyll </w:t>
      </w:r>
      <w:r w:rsidRPr="00685C91">
        <w:rPr>
          <w:i/>
          <w:sz w:val="20"/>
        </w:rPr>
        <w:t>a</w:t>
      </w:r>
      <w:r w:rsidRPr="00685C91">
        <w:rPr>
          <w:sz w:val="20"/>
        </w:rPr>
        <w:t xml:space="preserve"> (Chl </w:t>
      </w:r>
      <w:r w:rsidRPr="00685C91">
        <w:rPr>
          <w:i/>
          <w:sz w:val="20"/>
        </w:rPr>
        <w:t>a</w:t>
      </w:r>
      <w:r w:rsidRPr="00685C91">
        <w:rPr>
          <w:sz w:val="20"/>
        </w:rPr>
        <w:t>), dissolved organic carbon (DOC), phosphorus (total phosphorus (TP) and filtered reactive phosphorus (FRP)), nitrogen (total nitrogen (TN), ammonium (NH</w:t>
      </w:r>
      <w:r w:rsidRPr="00685C91">
        <w:rPr>
          <w:sz w:val="20"/>
          <w:vertAlign w:val="subscript"/>
        </w:rPr>
        <w:t>4</w:t>
      </w:r>
      <w:r w:rsidRPr="00685C91">
        <w:rPr>
          <w:sz w:val="20"/>
          <w:vertAlign w:val="superscript"/>
        </w:rPr>
        <w:t>+</w:t>
      </w:r>
      <w:r w:rsidRPr="00685C91">
        <w:rPr>
          <w:sz w:val="20"/>
        </w:rPr>
        <w:t xml:space="preserve">) and dissolved nitrate + nitrite (NOx)) concentrations </w:t>
      </w:r>
      <w:r w:rsidRPr="00BD5916">
        <w:rPr>
          <w:sz w:val="20"/>
        </w:rPr>
        <w:t xml:space="preserve">for </w:t>
      </w:r>
      <w:r>
        <w:rPr>
          <w:sz w:val="20"/>
        </w:rPr>
        <w:t>the study</w:t>
      </w:r>
      <w:r w:rsidRPr="00BD5916">
        <w:rPr>
          <w:sz w:val="20"/>
        </w:rPr>
        <w:t xml:space="preserve"> sites and source water over the </w:t>
      </w:r>
      <w:r>
        <w:rPr>
          <w:sz w:val="20"/>
        </w:rPr>
        <w:t>2019-20</w:t>
      </w:r>
      <w:r w:rsidRPr="00BD5916">
        <w:rPr>
          <w:sz w:val="20"/>
        </w:rPr>
        <w:t xml:space="preserve"> water</w:t>
      </w:r>
      <w:r>
        <w:rPr>
          <w:sz w:val="20"/>
        </w:rPr>
        <w:t>ing</w:t>
      </w:r>
      <w:r w:rsidRPr="00BD5916">
        <w:rPr>
          <w:sz w:val="20"/>
        </w:rPr>
        <w:t xml:space="preserve"> year </w:t>
      </w:r>
      <w:r>
        <w:rPr>
          <w:sz w:val="20"/>
        </w:rPr>
        <w:t>in Tuppal Creek</w:t>
      </w:r>
      <w:r w:rsidRPr="00BD5916">
        <w:rPr>
          <w:sz w:val="20"/>
        </w:rPr>
        <w:t>.</w:t>
      </w:r>
    </w:p>
    <w:p w14:paraId="68340CE6" w14:textId="77777777" w:rsidR="00784A1F" w:rsidRPr="00AF2187" w:rsidRDefault="00784A1F" w:rsidP="00784A1F">
      <w:pPr>
        <w:spacing w:after="120" w:line="259" w:lineRule="auto"/>
        <w:jc w:val="left"/>
        <w:rPr>
          <w:rFonts w:cs="Calibri"/>
          <w:b/>
          <w:color w:val="31849B"/>
          <w:sz w:val="28"/>
          <w:szCs w:val="28"/>
        </w:rPr>
      </w:pPr>
      <w:r w:rsidRPr="00AF2187">
        <w:rPr>
          <w:rFonts w:cs="Calibri"/>
          <w:b/>
          <w:color w:val="31849B"/>
          <w:sz w:val="28"/>
          <w:szCs w:val="28"/>
        </w:rPr>
        <w:t>Organic matter characterisation</w:t>
      </w:r>
    </w:p>
    <w:p w14:paraId="2FDFCFA3" w14:textId="77777777" w:rsidR="00784A1F" w:rsidRPr="00AF2187" w:rsidRDefault="00784A1F" w:rsidP="00784A1F">
      <w:pPr>
        <w:spacing w:after="120" w:line="259" w:lineRule="auto"/>
        <w:jc w:val="left"/>
        <w:rPr>
          <w:rFonts w:cs="Calibri"/>
          <w:b/>
          <w:color w:val="31849B"/>
        </w:rPr>
      </w:pPr>
      <w:r w:rsidRPr="00AF2187">
        <w:rPr>
          <w:rFonts w:cs="Calibri"/>
          <w:b/>
          <w:color w:val="31849B"/>
        </w:rPr>
        <w:t>The Wakool-Yallakool system</w:t>
      </w:r>
    </w:p>
    <w:p w14:paraId="382D7243" w14:textId="77777777" w:rsidR="00784A1F" w:rsidRPr="001D38D5" w:rsidRDefault="00784A1F" w:rsidP="00784A1F">
      <w:pPr>
        <w:spacing w:after="120" w:line="259" w:lineRule="auto"/>
        <w:jc w:val="left"/>
        <w:rPr>
          <w:b/>
          <w:i/>
          <w:szCs w:val="24"/>
        </w:rPr>
      </w:pPr>
      <w:r w:rsidRPr="001D38D5">
        <w:rPr>
          <w:b/>
          <w:i/>
          <w:szCs w:val="24"/>
        </w:rPr>
        <w:t>Organic matter characterisation - Absorbance</w:t>
      </w:r>
    </w:p>
    <w:p w14:paraId="42854A35" w14:textId="77777777" w:rsidR="00784A1F" w:rsidRDefault="00784A1F" w:rsidP="00784A1F">
      <w:pPr>
        <w:spacing w:after="120" w:line="259" w:lineRule="auto"/>
        <w:jc w:val="left"/>
      </w:pPr>
      <w:r w:rsidRPr="00CA051A">
        <w:t>The absorbance spectra for water samples collected from the Wakool-Yallakool system are shown in Figure 5.12.</w:t>
      </w:r>
      <w:r>
        <w:t xml:space="preserve"> It is noted that during July 2019 the spectrum for the sample at Weir has a different shape to the other water samples. This may indicate either a localised water quality difference (algae, run off from the bank etc.) or sample contamination. The absorbance in zone 2 was slightly steeper (more small organic molecules) than at other sites, otherwise study zones are similar in organic matter composition. In October 2019 there is a trend towards increasing organic matter absorbance at downstream sites while in November 2019 this trend is reversed. This covers the period during the Southern Connected Flow in the Murray River pulse and may indicate a transfer of different organic carbon quality downstream. </w:t>
      </w:r>
      <w:r w:rsidRPr="004D4F91">
        <w:t>By January 2020 the absorba</w:t>
      </w:r>
      <w:r>
        <w:t>nce spectra for water samples</w:t>
      </w:r>
      <w:r w:rsidRPr="004D4F91">
        <w:t xml:space="preserve"> were very similar and through the summer the sites remain similar, with slightly higher absorbance at the most downstream sampling site.</w:t>
      </w:r>
      <w:r>
        <w:t xml:space="preserve"> In February 2020 there is some increase in absorbance but the pattern between sites is maintained.</w:t>
      </w:r>
    </w:p>
    <w:p w14:paraId="0E7CB33E" w14:textId="77777777" w:rsidR="00784A1F" w:rsidRPr="001D38D5" w:rsidRDefault="00784A1F" w:rsidP="00784A1F">
      <w:pPr>
        <w:spacing w:after="120" w:line="259" w:lineRule="auto"/>
        <w:jc w:val="left"/>
      </w:pPr>
      <w:r w:rsidRPr="001B384B">
        <w:rPr>
          <w:b/>
          <w:i/>
        </w:rPr>
        <w:t>Organic matter characterisation - Fluorescence</w:t>
      </w:r>
    </w:p>
    <w:p w14:paraId="60F4F8C9" w14:textId="77777777" w:rsidR="00784A1F" w:rsidRDefault="00784A1F" w:rsidP="00784A1F">
      <w:pPr>
        <w:spacing w:after="120" w:line="259" w:lineRule="auto"/>
        <w:jc w:val="left"/>
      </w:pPr>
      <w:r>
        <w:t>Fluorescence excitation-</w:t>
      </w:r>
      <w:r w:rsidRPr="001066B7">
        <w:t>emission matrices for water samples at the Wakool-Yallakool system</w:t>
      </w:r>
      <w:r>
        <w:t xml:space="preserve"> through the sampling period are shown in </w:t>
      </w:r>
      <w:r>
        <w:rPr>
          <w:color w:val="000000" w:themeColor="text1"/>
        </w:rPr>
        <w:t xml:space="preserve">Figure 5.13. As observed in the absorbance scans, the water sample collected from the Weir in July 2019 is different from all other sites and the region showing strong fluorescence indicates either organic material of different origin to the rest of the sites is present in the water (run-off or algal material) or sample contamination may be an issue. There was a discharge action in the Edward/Kolety River system between June and August 2019 and it peaked upstream of Edward/Kolety-Wakool system in July 2019. Organic material of different origin from runoff present in the water </w:t>
      </w:r>
      <w:r w:rsidRPr="008762A4">
        <w:t>is the most likely explanation for this result.</w:t>
      </w:r>
      <w:r>
        <w:t xml:space="preserve"> In October 2019 slightly higher fluorescence was observed at all sites with a very gradual increase downstream, consistent with the absorbance results. </w:t>
      </w:r>
      <w:r w:rsidRPr="00C43A74">
        <w:t>The downstream site</w:t>
      </w:r>
      <w:r>
        <w:t>s</w:t>
      </w:r>
      <w:r w:rsidRPr="00C43A74">
        <w:t xml:space="preserve"> in zone</w:t>
      </w:r>
      <w:r>
        <w:t>s</w:t>
      </w:r>
      <w:r w:rsidRPr="00C43A74">
        <w:t xml:space="preserve"> 4</w:t>
      </w:r>
      <w:r>
        <w:t xml:space="preserve">, 5 and 6 were </w:t>
      </w:r>
      <w:r w:rsidRPr="00C43A74">
        <w:t xml:space="preserve">different to the other sites, also consistent with the absorbance results and the decreasing trend downstream in November 2019 is also evident </w:t>
      </w:r>
      <w:r w:rsidRPr="00DA1C7B">
        <w:t xml:space="preserve">here. </w:t>
      </w:r>
      <w:r>
        <w:t>The floating algae was observed in zone 2 in</w:t>
      </w:r>
      <w:r w:rsidRPr="000978CA">
        <w:t xml:space="preserve"> </w:t>
      </w:r>
      <w:r>
        <w:t xml:space="preserve">December 2019 and in January </w:t>
      </w:r>
      <w:r w:rsidRPr="000978CA">
        <w:t>2020</w:t>
      </w:r>
      <w:r>
        <w:t xml:space="preserve">, </w:t>
      </w:r>
      <w:r w:rsidRPr="000978CA">
        <w:t>broadly s</w:t>
      </w:r>
      <w:r>
        <w:t xml:space="preserve">imilar fluorescence is present as a number of broad peaks distributed across the region between the two blue scatter lines. This is suggestive of a mixture of humic and fulvic substances and smaller fluorescent molecules, possibly a combination of aged organic matter and very fresh leachates or algal organic matter. Zone 3 has a similar distribution of peaks, zones 4, 5 and 6 have fluorescence more heavily dominated by aged organic matter, possibly suggesting floodplain organic matter inputs (e.g. reconnection of a billabong or low-lying floodplain). </w:t>
      </w:r>
      <w:r>
        <w:rPr>
          <w:rFonts w:cs="Calibri"/>
        </w:rPr>
        <w:t>This is consistent with</w:t>
      </w:r>
      <w:r w:rsidRPr="004D2834">
        <w:t xml:space="preserve"> slight increase</w:t>
      </w:r>
      <w:r>
        <w:t>s</w:t>
      </w:r>
      <w:r w:rsidRPr="004D2834">
        <w:t xml:space="preserve"> in DOC concentrations</w:t>
      </w:r>
      <w:r>
        <w:t xml:space="preserve"> over that period</w:t>
      </w:r>
      <w:r w:rsidRPr="004D2834">
        <w:rPr>
          <w:rFonts w:cs="Calibri"/>
        </w:rPr>
        <w:t>.</w:t>
      </w:r>
      <w:r w:rsidRPr="004D2834">
        <w:t xml:space="preserve"> </w:t>
      </w:r>
      <w:r>
        <w:t xml:space="preserve">Fluorescence is generally low through summer and autumn although in February 2020 </w:t>
      </w:r>
      <w:r w:rsidRPr="000978CA">
        <w:t>zone 2 clearly has a stronger humic and fulvic signature. Low water levels at this site may concentrate localised leaching of organic matter at this site.</w:t>
      </w:r>
    </w:p>
    <w:p w14:paraId="30F917C1" w14:textId="77777777" w:rsidR="00784A1F" w:rsidRPr="00C43A74" w:rsidRDefault="00784A1F" w:rsidP="00784A1F">
      <w:pPr>
        <w:spacing w:after="120" w:line="259" w:lineRule="auto"/>
        <w:jc w:val="left"/>
        <w:rPr>
          <w:color w:val="943634" w:themeColor="accent2" w:themeShade="BF"/>
        </w:rPr>
      </w:pPr>
    </w:p>
    <w:p w14:paraId="5F110DB2" w14:textId="09331AF9" w:rsidR="00784A1F" w:rsidRDefault="00784A1F" w:rsidP="00784A1F">
      <w:pPr>
        <w:spacing w:after="120" w:line="259" w:lineRule="auto"/>
        <w:jc w:val="left"/>
      </w:pPr>
      <w:r>
        <w:rPr>
          <w:noProof/>
          <w:lang w:eastAsia="en-AU"/>
        </w:rPr>
        <w:drawing>
          <wp:inline distT="0" distB="0" distL="0" distR="0" wp14:anchorId="3807B32C" wp14:editId="55BC3312">
            <wp:extent cx="5617730" cy="8028000"/>
            <wp:effectExtent l="0" t="0" r="2540" b="0"/>
            <wp:docPr id="1267" name="Picture 1267" descr="Wakool-Yallakool_abso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Wakool-Yallakool_absorbance"/>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617730" cy="8028000"/>
                    </a:xfrm>
                    <a:prstGeom prst="rect">
                      <a:avLst/>
                    </a:prstGeom>
                    <a:noFill/>
                    <a:ln>
                      <a:noFill/>
                    </a:ln>
                  </pic:spPr>
                </pic:pic>
              </a:graphicData>
            </a:graphic>
          </wp:inline>
        </w:drawing>
      </w:r>
    </w:p>
    <w:p w14:paraId="2C47438D" w14:textId="77777777" w:rsidR="00784A1F" w:rsidRDefault="00784A1F" w:rsidP="00784A1F">
      <w:pPr>
        <w:spacing w:after="120" w:line="259" w:lineRule="auto"/>
        <w:jc w:val="left"/>
        <w:rPr>
          <w:sz w:val="20"/>
        </w:rPr>
      </w:pPr>
      <w:r w:rsidRPr="00AF2187">
        <w:rPr>
          <w:b/>
          <w:sz w:val="20"/>
        </w:rPr>
        <w:t>Figure 5.12</w:t>
      </w:r>
      <w:r>
        <w:rPr>
          <w:sz w:val="20"/>
        </w:rPr>
        <w:t xml:space="preserve"> Absorbance of water samples at the Wakool-Yallakool system in 2019-20. </w:t>
      </w:r>
      <w:r w:rsidRPr="0079550E">
        <w:rPr>
          <w:sz w:val="20"/>
        </w:rPr>
        <w:t>The water samples for the assessment of organic matter inputs were collected from July 2019 to March 2020 and the data are not available for April, May and June 2020 due to COVID-19 travel restrictions</w:t>
      </w:r>
      <w:r>
        <w:rPr>
          <w:sz w:val="20"/>
        </w:rPr>
        <w:t xml:space="preserve">. </w:t>
      </w:r>
    </w:p>
    <w:p w14:paraId="44F7428D" w14:textId="25BCD065" w:rsidR="00784A1F" w:rsidRDefault="00784A1F" w:rsidP="00784A1F">
      <w:pPr>
        <w:spacing w:after="120" w:line="259" w:lineRule="auto"/>
        <w:jc w:val="left"/>
      </w:pPr>
      <w:r>
        <w:rPr>
          <w:noProof/>
          <w:lang w:eastAsia="en-AU"/>
        </w:rPr>
        <w:drawing>
          <wp:inline distT="0" distB="0" distL="0" distR="0" wp14:anchorId="1A717202" wp14:editId="595B7C4F">
            <wp:extent cx="5797550" cy="6311900"/>
            <wp:effectExtent l="0" t="0" r="0" b="0"/>
            <wp:docPr id="1266" name="Picture 1266" descr="Wakool-Yallakool_fluores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Wakool-Yallakool_fluorescence"/>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797550" cy="6311900"/>
                    </a:xfrm>
                    <a:prstGeom prst="rect">
                      <a:avLst/>
                    </a:prstGeom>
                    <a:noFill/>
                    <a:ln>
                      <a:noFill/>
                    </a:ln>
                  </pic:spPr>
                </pic:pic>
              </a:graphicData>
            </a:graphic>
          </wp:inline>
        </w:drawing>
      </w:r>
    </w:p>
    <w:p w14:paraId="5CC0FC41" w14:textId="77777777" w:rsidR="00784A1F" w:rsidRDefault="00784A1F" w:rsidP="00784A1F">
      <w:pPr>
        <w:spacing w:after="120" w:line="259" w:lineRule="auto"/>
        <w:jc w:val="left"/>
        <w:rPr>
          <w:sz w:val="20"/>
        </w:rPr>
      </w:pPr>
      <w:r w:rsidRPr="00AF2187">
        <w:rPr>
          <w:b/>
          <w:bCs/>
          <w:sz w:val="20"/>
        </w:rPr>
        <w:t>Figure 5.13</w:t>
      </w:r>
      <w:r w:rsidRPr="00ED6082">
        <w:rPr>
          <w:bCs/>
          <w:sz w:val="20"/>
        </w:rPr>
        <w:t xml:space="preserve"> </w:t>
      </w:r>
      <w:r w:rsidRPr="00ED6082">
        <w:rPr>
          <w:sz w:val="20"/>
        </w:rPr>
        <w:t xml:space="preserve">Fluorescence scans of water samples from </w:t>
      </w:r>
      <w:r>
        <w:rPr>
          <w:sz w:val="20"/>
        </w:rPr>
        <w:t>the Wakool-Yallakool system</w:t>
      </w:r>
      <w:r w:rsidRPr="00ED6082">
        <w:rPr>
          <w:sz w:val="20"/>
        </w:rPr>
        <w:t xml:space="preserve"> in 201</w:t>
      </w:r>
      <w:r>
        <w:rPr>
          <w:sz w:val="20"/>
        </w:rPr>
        <w:t xml:space="preserve">9-20. </w:t>
      </w:r>
      <w:r w:rsidRPr="0079550E">
        <w:rPr>
          <w:sz w:val="20"/>
        </w:rPr>
        <w:t>The water samples for the assessment of organic matter inputs were collected from July 2019 to March 2020 and the data are not available for April, May and June 2020 due to COVID-19 travel restrictions</w:t>
      </w:r>
      <w:r w:rsidRPr="00ED6082">
        <w:rPr>
          <w:sz w:val="20"/>
        </w:rPr>
        <w:t>.</w:t>
      </w:r>
    </w:p>
    <w:p w14:paraId="729A2C11" w14:textId="77777777" w:rsidR="00784A1F" w:rsidRDefault="00784A1F" w:rsidP="00784A1F">
      <w:pPr>
        <w:spacing w:after="120" w:line="259" w:lineRule="auto"/>
        <w:jc w:val="left"/>
        <w:rPr>
          <w:b/>
        </w:rPr>
      </w:pPr>
    </w:p>
    <w:p w14:paraId="1F997BF1" w14:textId="77777777" w:rsidR="00784A1F" w:rsidRDefault="00784A1F" w:rsidP="00784A1F">
      <w:pPr>
        <w:spacing w:after="120" w:line="259" w:lineRule="auto"/>
        <w:jc w:val="left"/>
        <w:rPr>
          <w:rFonts w:cs="Calibri"/>
          <w:b/>
          <w:color w:val="31849B"/>
        </w:rPr>
      </w:pPr>
      <w:r>
        <w:rPr>
          <w:rFonts w:cs="Calibri"/>
          <w:b/>
          <w:color w:val="31849B"/>
        </w:rPr>
        <w:br w:type="page"/>
      </w:r>
    </w:p>
    <w:p w14:paraId="5E349874" w14:textId="77777777" w:rsidR="00784A1F" w:rsidRPr="00AF2187" w:rsidRDefault="00784A1F" w:rsidP="00784A1F">
      <w:pPr>
        <w:spacing w:after="120" w:line="259" w:lineRule="auto"/>
        <w:jc w:val="left"/>
        <w:rPr>
          <w:rFonts w:cs="Calibri"/>
          <w:b/>
          <w:color w:val="31849B"/>
        </w:rPr>
      </w:pPr>
      <w:r w:rsidRPr="00AF2187">
        <w:rPr>
          <w:rFonts w:cs="Calibri"/>
          <w:b/>
          <w:color w:val="31849B"/>
        </w:rPr>
        <w:t xml:space="preserve">The Edward/Kolety River </w:t>
      </w:r>
    </w:p>
    <w:p w14:paraId="22C9740F" w14:textId="77777777" w:rsidR="00784A1F" w:rsidRPr="001D38D5" w:rsidRDefault="00784A1F" w:rsidP="00784A1F">
      <w:pPr>
        <w:spacing w:after="120" w:line="259" w:lineRule="auto"/>
        <w:jc w:val="left"/>
        <w:rPr>
          <w:b/>
          <w:i/>
          <w:szCs w:val="24"/>
        </w:rPr>
      </w:pPr>
      <w:r w:rsidRPr="001D38D5">
        <w:rPr>
          <w:b/>
          <w:i/>
          <w:szCs w:val="24"/>
        </w:rPr>
        <w:t>Organic matter characterisation - Absorbance</w:t>
      </w:r>
    </w:p>
    <w:p w14:paraId="257615BA" w14:textId="77777777" w:rsidR="00784A1F" w:rsidRDefault="00784A1F" w:rsidP="00784A1F">
      <w:pPr>
        <w:spacing w:after="120" w:line="259" w:lineRule="auto"/>
        <w:jc w:val="left"/>
      </w:pPr>
      <w:r>
        <w:t xml:space="preserve">Absorbance scans (Figure 5.14) indicate that throughout most of the 2019-20 water year the mixture of organic compounds making up the DOC was fairly consistent across sites with no clear upstream/downstream trends in variation between the scans in </w:t>
      </w:r>
      <w:r w:rsidRPr="00CA051A">
        <w:t xml:space="preserve">the </w:t>
      </w:r>
      <w:r>
        <w:t>Edward/Kolety River</w:t>
      </w:r>
      <w:r w:rsidRPr="00CA051A">
        <w:t>.</w:t>
      </w:r>
      <w:r>
        <w:t xml:space="preserve"> It is noted that during July 2019 the spectra for the samples at Weir and Four Post have different shapes to the other water samples. This may indicate either a localised water quality difference (algae, run off from the bank etc.) or sample contamination. In October 2019 there is a slight trend towards increasing organic matter absorbance at all sites.</w:t>
      </w:r>
      <w:r>
        <w:rPr>
          <w:rFonts w:cs="Calibri"/>
        </w:rPr>
        <w:t xml:space="preserve"> </w:t>
      </w:r>
      <w:r>
        <w:t xml:space="preserve">This covers the period during the Southern Connected Flow in the Murray River pulse and may indicate a transfer of different organic carbon quality downstream. </w:t>
      </w:r>
      <w:r w:rsidRPr="004D4F91">
        <w:t xml:space="preserve">By </w:t>
      </w:r>
      <w:r>
        <w:t>December 2019</w:t>
      </w:r>
      <w:r w:rsidRPr="004D4F91">
        <w:t xml:space="preserve"> the absorbance spectra for water samples were very similar and through the summer the sites remain similar, with slightly higher absorbance at the most downstream sampling site.</w:t>
      </w:r>
      <w:r>
        <w:t xml:space="preserve"> In February 2020 there is some increase in absorbance but the pattern between sites is maintained.</w:t>
      </w:r>
    </w:p>
    <w:p w14:paraId="3E2C55D7" w14:textId="77777777" w:rsidR="00784A1F" w:rsidRPr="001D38D5" w:rsidRDefault="00784A1F" w:rsidP="00784A1F">
      <w:pPr>
        <w:spacing w:after="120" w:line="259" w:lineRule="auto"/>
        <w:jc w:val="left"/>
      </w:pPr>
      <w:r w:rsidRPr="001B384B">
        <w:rPr>
          <w:b/>
          <w:i/>
        </w:rPr>
        <w:t>Organic matter characterisation - Fluorescence</w:t>
      </w:r>
    </w:p>
    <w:p w14:paraId="45E5E7B5" w14:textId="77777777" w:rsidR="00784A1F" w:rsidRPr="000978CA" w:rsidRDefault="00784A1F" w:rsidP="00784A1F">
      <w:pPr>
        <w:spacing w:after="120" w:line="259" w:lineRule="auto"/>
        <w:jc w:val="left"/>
        <w:rPr>
          <w:color w:val="FF0000"/>
        </w:rPr>
      </w:pPr>
      <w:r w:rsidRPr="001066B7">
        <w:t xml:space="preserve">Fluorescence excitation-emission matrices for water samples at the </w:t>
      </w:r>
      <w:r>
        <w:t>Edward/Kolety</w:t>
      </w:r>
      <w:r w:rsidRPr="001066B7">
        <w:t xml:space="preserve"> </w:t>
      </w:r>
      <w:r>
        <w:t xml:space="preserve">River through the sampling period are shown in </w:t>
      </w:r>
      <w:r>
        <w:rPr>
          <w:color w:val="000000" w:themeColor="text1"/>
        </w:rPr>
        <w:t xml:space="preserve">Figure 5.15. As observed in the absorbance scans, the water samples collected from the Weir, Four Post and Eastman Bridge in July 2019 are different from all other sites and the region showing strong fluorescence indicates either organic material of different origin to the rest of the sites is present in the water (run-off or algal material) or sample contamination may be an issue. </w:t>
      </w:r>
      <w:r w:rsidRPr="00304410">
        <w:rPr>
          <w:color w:val="000000" w:themeColor="text1"/>
        </w:rPr>
        <w:t xml:space="preserve">There was a discharge action in the Edward/Kolety River between June and August 2019 and it peaked at upstream of </w:t>
      </w:r>
      <w:r w:rsidRPr="00304410">
        <w:t xml:space="preserve">the Edward/Kolety </w:t>
      </w:r>
      <w:r>
        <w:t>River</w:t>
      </w:r>
      <w:r w:rsidRPr="00304410">
        <w:t xml:space="preserve"> </w:t>
      </w:r>
      <w:r w:rsidRPr="00304410">
        <w:rPr>
          <w:color w:val="000000" w:themeColor="text1"/>
        </w:rPr>
        <w:t xml:space="preserve">around the sampling time in July 2019. Organic material of different origin from runoff present in the water </w:t>
      </w:r>
      <w:r w:rsidRPr="00304410">
        <w:t>is the most likely explanation for this result. In</w:t>
      </w:r>
      <w:r>
        <w:t xml:space="preserve"> October 2019 slightly higher fluorescence was observed at all sites with a very gradual increase downstream, consistent with the absorbance results. B</w:t>
      </w:r>
      <w:r w:rsidRPr="000978CA">
        <w:t>roadly s</w:t>
      </w:r>
      <w:r>
        <w:t>imilar fluorescence is present in downstream sites of Edward/Kolety River (Moulamein and Liewah) in</w:t>
      </w:r>
      <w:r w:rsidRPr="000978CA">
        <w:t xml:space="preserve"> </w:t>
      </w:r>
      <w:r>
        <w:t>December 2019, as a number of broad peaks distributed across the region between the two blue scatter lines. This is suggestive of a mixture of humic and fulvic substances and smaller fluorescent molecules, possibly a combination of aged organic matter and very fresh leachates or algal organic matter. Fluorescence is generally low through summer and autumn although in February 2020 the downstream Werai Forest (Balpool Bridge) has different fluorescence signature which may reflect algal carbon present at this sampling site.</w:t>
      </w:r>
      <w:r w:rsidRPr="0037226D">
        <w:rPr>
          <w:rFonts w:cs="Calibri"/>
        </w:rPr>
        <w:t xml:space="preserve"> </w:t>
      </w:r>
      <w:r w:rsidRPr="004D2834">
        <w:rPr>
          <w:rFonts w:cs="Calibri"/>
        </w:rPr>
        <w:t xml:space="preserve">This is consistent with </w:t>
      </w:r>
      <w:r w:rsidRPr="004D2834">
        <w:t xml:space="preserve">a slight increase in DOC </w:t>
      </w:r>
      <w:r>
        <w:t xml:space="preserve">and Chl </w:t>
      </w:r>
      <w:r w:rsidRPr="00092032">
        <w:rPr>
          <w:i/>
        </w:rPr>
        <w:t>a</w:t>
      </w:r>
      <w:r>
        <w:t xml:space="preserve"> </w:t>
      </w:r>
      <w:r w:rsidRPr="004D2834">
        <w:t>concentration</w:t>
      </w:r>
      <w:r w:rsidRPr="004D2834">
        <w:rPr>
          <w:rFonts w:cs="Calibri"/>
        </w:rPr>
        <w:t>.</w:t>
      </w:r>
    </w:p>
    <w:p w14:paraId="1FF6D2FD" w14:textId="77777777" w:rsidR="00784A1F" w:rsidRDefault="00784A1F" w:rsidP="00784A1F">
      <w:pPr>
        <w:spacing w:after="120" w:line="259" w:lineRule="auto"/>
        <w:jc w:val="left"/>
        <w:rPr>
          <w:sz w:val="20"/>
        </w:rPr>
      </w:pPr>
    </w:p>
    <w:p w14:paraId="5B08EB48" w14:textId="6B5C1048" w:rsidR="00784A1F" w:rsidRDefault="00784A1F" w:rsidP="00784A1F">
      <w:pPr>
        <w:spacing w:after="120" w:line="259" w:lineRule="auto"/>
        <w:jc w:val="left"/>
        <w:rPr>
          <w:sz w:val="20"/>
        </w:rPr>
      </w:pPr>
      <w:r>
        <w:rPr>
          <w:noProof/>
          <w:sz w:val="20"/>
          <w:lang w:eastAsia="en-AU"/>
        </w:rPr>
        <w:drawing>
          <wp:inline distT="0" distB="0" distL="0" distR="0" wp14:anchorId="0D2F7419" wp14:editId="51AAE31F">
            <wp:extent cx="5668114" cy="8100000"/>
            <wp:effectExtent l="0" t="0" r="8890" b="0"/>
            <wp:docPr id="1265" name="Picture 1265" descr="Edward-Kolety_abso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Edward-Kolety_absorbance"/>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668114" cy="8100000"/>
                    </a:xfrm>
                    <a:prstGeom prst="rect">
                      <a:avLst/>
                    </a:prstGeom>
                    <a:noFill/>
                    <a:ln>
                      <a:noFill/>
                    </a:ln>
                  </pic:spPr>
                </pic:pic>
              </a:graphicData>
            </a:graphic>
          </wp:inline>
        </w:drawing>
      </w:r>
    </w:p>
    <w:p w14:paraId="00370BEA" w14:textId="77777777" w:rsidR="00784A1F" w:rsidRDefault="00784A1F" w:rsidP="00784A1F">
      <w:pPr>
        <w:spacing w:after="120" w:line="259" w:lineRule="auto"/>
        <w:jc w:val="left"/>
        <w:rPr>
          <w:sz w:val="20"/>
        </w:rPr>
      </w:pPr>
      <w:r w:rsidRPr="00AF2187">
        <w:rPr>
          <w:b/>
          <w:sz w:val="20"/>
        </w:rPr>
        <w:t>Figure 5.14</w:t>
      </w:r>
      <w:r>
        <w:rPr>
          <w:sz w:val="20"/>
        </w:rPr>
        <w:t xml:space="preserve"> Absorbance of water samples at the Edward/Kolety River system in 2019-20. </w:t>
      </w:r>
      <w:r w:rsidRPr="0079550E">
        <w:rPr>
          <w:sz w:val="20"/>
        </w:rPr>
        <w:t>The water samples for the assessment of organic matter inputs were collected from July 2019 to March 2020 and the data are not available for April, May and June 2020 due to COVID-19 travel restrictions</w:t>
      </w:r>
      <w:r>
        <w:rPr>
          <w:sz w:val="20"/>
        </w:rPr>
        <w:t xml:space="preserve"> </w:t>
      </w:r>
    </w:p>
    <w:p w14:paraId="18386315" w14:textId="5EA5D720" w:rsidR="00784A1F" w:rsidRDefault="00784A1F" w:rsidP="00784A1F">
      <w:pPr>
        <w:spacing w:after="120" w:line="259" w:lineRule="auto"/>
        <w:jc w:val="left"/>
      </w:pPr>
      <w:r>
        <w:rPr>
          <w:noProof/>
          <w:lang w:eastAsia="en-AU"/>
        </w:rPr>
        <w:drawing>
          <wp:inline distT="0" distB="0" distL="0" distR="0" wp14:anchorId="70858D7D" wp14:editId="50EE3CF8">
            <wp:extent cx="5124450" cy="4070350"/>
            <wp:effectExtent l="0" t="0" r="0" b="6350"/>
            <wp:docPr id="1264" name="Picture 1264" descr="New Microsoft PowerPoin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New Microsoft PowerPoint Presentation"/>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124450" cy="4070350"/>
                    </a:xfrm>
                    <a:prstGeom prst="rect">
                      <a:avLst/>
                    </a:prstGeom>
                    <a:noFill/>
                    <a:ln>
                      <a:noFill/>
                    </a:ln>
                  </pic:spPr>
                </pic:pic>
              </a:graphicData>
            </a:graphic>
          </wp:inline>
        </w:drawing>
      </w:r>
    </w:p>
    <w:p w14:paraId="463DD919" w14:textId="77777777" w:rsidR="00784A1F" w:rsidRDefault="00784A1F" w:rsidP="00784A1F">
      <w:pPr>
        <w:spacing w:after="120" w:line="259" w:lineRule="auto"/>
        <w:jc w:val="left"/>
        <w:rPr>
          <w:sz w:val="20"/>
        </w:rPr>
      </w:pPr>
      <w:r w:rsidRPr="00AF2187">
        <w:rPr>
          <w:b/>
          <w:bCs/>
          <w:sz w:val="20"/>
        </w:rPr>
        <w:t>Figure 5.15</w:t>
      </w:r>
      <w:r w:rsidRPr="00ED6082">
        <w:rPr>
          <w:bCs/>
          <w:sz w:val="20"/>
        </w:rPr>
        <w:t xml:space="preserve"> </w:t>
      </w:r>
      <w:r w:rsidRPr="00ED6082">
        <w:rPr>
          <w:sz w:val="20"/>
        </w:rPr>
        <w:t xml:space="preserve">Fluorescence scans of water samples from </w:t>
      </w:r>
      <w:r>
        <w:rPr>
          <w:sz w:val="20"/>
        </w:rPr>
        <w:t xml:space="preserve">the Edward/Kolety River </w:t>
      </w:r>
      <w:r w:rsidRPr="00ED6082">
        <w:rPr>
          <w:sz w:val="20"/>
        </w:rPr>
        <w:t>in 201</w:t>
      </w:r>
      <w:r>
        <w:rPr>
          <w:sz w:val="20"/>
        </w:rPr>
        <w:t xml:space="preserve">9-20. </w:t>
      </w:r>
      <w:r w:rsidRPr="0079550E">
        <w:rPr>
          <w:sz w:val="20"/>
        </w:rPr>
        <w:t>The water samples for the assessment of organic matter inputs were collected from July 2019 to March 2020 and the data are not available for April, May and June 2020 due to COVID-19 travel restrictions</w:t>
      </w:r>
      <w:r w:rsidRPr="00ED6082">
        <w:rPr>
          <w:sz w:val="20"/>
        </w:rPr>
        <w:t>.</w:t>
      </w:r>
    </w:p>
    <w:p w14:paraId="4DBE5DF6" w14:textId="77777777" w:rsidR="00784A1F" w:rsidRDefault="00784A1F" w:rsidP="00784A1F">
      <w:pPr>
        <w:spacing w:after="120" w:line="259" w:lineRule="auto"/>
        <w:jc w:val="left"/>
        <w:rPr>
          <w:b/>
        </w:rPr>
      </w:pPr>
    </w:p>
    <w:p w14:paraId="1B2783F5" w14:textId="77777777" w:rsidR="00784A1F" w:rsidRPr="00AF2187" w:rsidRDefault="00784A1F" w:rsidP="00784A1F">
      <w:pPr>
        <w:spacing w:after="120" w:line="259" w:lineRule="auto"/>
        <w:jc w:val="left"/>
        <w:rPr>
          <w:rFonts w:cs="Calibri"/>
          <w:b/>
          <w:color w:val="31849B"/>
        </w:rPr>
      </w:pPr>
      <w:r w:rsidRPr="00AF2187">
        <w:rPr>
          <w:rFonts w:cs="Calibri"/>
          <w:b/>
          <w:color w:val="31849B"/>
        </w:rPr>
        <w:t>The Colligen-Niemur River system</w:t>
      </w:r>
    </w:p>
    <w:p w14:paraId="55FDFC75" w14:textId="77777777" w:rsidR="00784A1F" w:rsidRPr="001D38D5" w:rsidRDefault="00784A1F" w:rsidP="00784A1F">
      <w:pPr>
        <w:spacing w:after="120" w:line="259" w:lineRule="auto"/>
        <w:jc w:val="left"/>
        <w:rPr>
          <w:b/>
          <w:i/>
          <w:szCs w:val="24"/>
        </w:rPr>
      </w:pPr>
      <w:r w:rsidRPr="001D38D5">
        <w:rPr>
          <w:b/>
          <w:i/>
          <w:szCs w:val="24"/>
        </w:rPr>
        <w:t>Organic matter characterisation - Absorbance</w:t>
      </w:r>
    </w:p>
    <w:p w14:paraId="0BCB0606" w14:textId="77777777" w:rsidR="00784A1F" w:rsidRDefault="00784A1F" w:rsidP="00784A1F">
      <w:pPr>
        <w:spacing w:after="120" w:line="259" w:lineRule="auto"/>
        <w:jc w:val="left"/>
        <w:rPr>
          <w:b/>
          <w:i/>
        </w:rPr>
      </w:pPr>
      <w:r>
        <w:t xml:space="preserve">Absorbance scans (Figure 5.16) indicate that throughout most of the 2019-20 water year the mixture of organic compounds making up the DOC was fairly consistent across sites with no clear upstream/downstream trends in variation between the scans in </w:t>
      </w:r>
      <w:r w:rsidRPr="00CA051A">
        <w:t xml:space="preserve">the </w:t>
      </w:r>
      <w:r>
        <w:t>Colligen-Niemur River</w:t>
      </w:r>
      <w:r w:rsidRPr="00CA051A">
        <w:t xml:space="preserve"> system</w:t>
      </w:r>
      <w:r>
        <w:t>. It is noted that during July 2019 the spectrum for the sample at Weir has different shape to the other water samples. This may indicate either a localised water quality difference (algae, run off from the bank etc.) or sample contamination. In October 2019 there is a trend towards increasing organic matter absorbance at all sites and</w:t>
      </w:r>
      <w:r w:rsidRPr="00484374">
        <w:rPr>
          <w:rFonts w:cs="Calibri"/>
        </w:rPr>
        <w:t xml:space="preserve"> </w:t>
      </w:r>
      <w:r>
        <w:t xml:space="preserve">downstream sites </w:t>
      </w:r>
      <w:r w:rsidRPr="0036152B">
        <w:rPr>
          <w:rFonts w:cs="Calibri"/>
        </w:rPr>
        <w:t>experienced longer periods than upstream sites</w:t>
      </w:r>
      <w:r>
        <w:t xml:space="preserve">. This covers the period during the Southern Connected Flow in the Murray River pulse and may indicate a transfer of different organic carbon quality from Edward/Kolety River (source water) to the Colligen-Niemur River system. </w:t>
      </w:r>
      <w:r w:rsidRPr="004D4F91">
        <w:t xml:space="preserve">By </w:t>
      </w:r>
      <w:r>
        <w:t>December 2019</w:t>
      </w:r>
      <w:r w:rsidRPr="004D4F91">
        <w:t xml:space="preserve"> the absorbance spectra for water samples were very similar and through the summer the sites remain similar, with slightly higher absorbance at the most downstream sampling site.</w:t>
      </w:r>
      <w:r>
        <w:t xml:space="preserve"> In February 2020 there is some increase in absorbance but the pattern between sites is maintained. </w:t>
      </w:r>
    </w:p>
    <w:p w14:paraId="06B2CEC7" w14:textId="77777777" w:rsidR="00784A1F" w:rsidRPr="001D38D5" w:rsidRDefault="00784A1F" w:rsidP="00784A1F">
      <w:pPr>
        <w:spacing w:after="120" w:line="259" w:lineRule="auto"/>
        <w:jc w:val="left"/>
      </w:pPr>
      <w:r w:rsidRPr="001B384B">
        <w:rPr>
          <w:b/>
          <w:i/>
        </w:rPr>
        <w:t>Organic matter characterisation - Fluorescence</w:t>
      </w:r>
    </w:p>
    <w:p w14:paraId="14B35D6C" w14:textId="77777777" w:rsidR="00784A1F" w:rsidRDefault="00784A1F" w:rsidP="00784A1F">
      <w:pPr>
        <w:spacing w:after="120" w:line="259" w:lineRule="auto"/>
        <w:jc w:val="left"/>
        <w:rPr>
          <w:sz w:val="20"/>
        </w:rPr>
      </w:pPr>
      <w:r>
        <w:t xml:space="preserve">Fluorescence excitation-emission matrices for water samples at all sites through the sampling period (Figure 5.17) indicate that the organic matter mix was similar across sites </w:t>
      </w:r>
      <w:r w:rsidRPr="001066B7">
        <w:t xml:space="preserve">at the </w:t>
      </w:r>
      <w:r>
        <w:t>Colligen-Niemur River</w:t>
      </w:r>
      <w:r w:rsidRPr="001066B7">
        <w:t xml:space="preserve"> system</w:t>
      </w:r>
      <w:r>
        <w:t xml:space="preserve"> in the 2019-20 water year. </w:t>
      </w:r>
      <w:r>
        <w:rPr>
          <w:color w:val="000000" w:themeColor="text1"/>
        </w:rPr>
        <w:t xml:space="preserve">As observed in the absorbance scans, the water sample collected from the Weir at </w:t>
      </w:r>
      <w:r>
        <w:t xml:space="preserve">Edward/Kolety River </w:t>
      </w:r>
      <w:r>
        <w:rPr>
          <w:color w:val="000000" w:themeColor="text1"/>
        </w:rPr>
        <w:t>(source water) in July 2019 is different from all other sites and the region showing strong fluorescence indicates either organic material of different origin to the rest of the sites is present in the water (run-off or algal material) or sample contamination may be an issue. As mentioned earlier, o</w:t>
      </w:r>
      <w:r w:rsidRPr="00304410">
        <w:rPr>
          <w:color w:val="000000" w:themeColor="text1"/>
        </w:rPr>
        <w:t xml:space="preserve">rganic material of different origin from runoff present in the water </w:t>
      </w:r>
      <w:r w:rsidRPr="00304410">
        <w:t xml:space="preserve">is the most likely explanation for this result. </w:t>
      </w:r>
      <w:r>
        <w:t xml:space="preserve">In October 2019 clearly higher fluorescence was observed at all sites with a very gradual increase downstream, consistent with the absorbance results. Fluorescence is generally low through summer and autumn although monitoring sites at Niemur River (Niemur Moulamein Rd Bridge and Niemur Mallan School) </w:t>
      </w:r>
      <w:r w:rsidRPr="000978CA">
        <w:t xml:space="preserve">in </w:t>
      </w:r>
      <w:r>
        <w:t>February 2020 clearly have</w:t>
      </w:r>
      <w:r w:rsidRPr="000978CA">
        <w:t xml:space="preserve"> stronger humic and fulvic signature</w:t>
      </w:r>
      <w:r>
        <w:t xml:space="preserve"> which may reflect algal carbon present at these sampling sites. </w:t>
      </w:r>
      <w:r>
        <w:rPr>
          <w:rFonts w:cs="Calibri"/>
        </w:rPr>
        <w:t>Floating</w:t>
      </w:r>
      <w:r>
        <w:t xml:space="preserve"> algae was observed at these two sites and t</w:t>
      </w:r>
      <w:r w:rsidRPr="004D2834">
        <w:rPr>
          <w:rFonts w:cs="Calibri"/>
        </w:rPr>
        <w:t xml:space="preserve">his is consistent with </w:t>
      </w:r>
      <w:r w:rsidRPr="004D2834">
        <w:t xml:space="preserve">a slight increase in DOC </w:t>
      </w:r>
      <w:r>
        <w:t xml:space="preserve">and Chl </w:t>
      </w:r>
      <w:r w:rsidRPr="00F61D20">
        <w:rPr>
          <w:i/>
        </w:rPr>
        <w:t xml:space="preserve">a </w:t>
      </w:r>
      <w:r w:rsidRPr="004D2834">
        <w:t>concentration</w:t>
      </w:r>
      <w:r>
        <w:t xml:space="preserve"> in these sites. </w:t>
      </w:r>
    </w:p>
    <w:p w14:paraId="4013A365" w14:textId="3E37409C" w:rsidR="00784A1F" w:rsidRDefault="00784A1F" w:rsidP="00784A1F">
      <w:pPr>
        <w:pStyle w:val="NoSpacing"/>
        <w:spacing w:after="120" w:line="259" w:lineRule="auto"/>
        <w:jc w:val="left"/>
      </w:pPr>
      <w:r>
        <w:rPr>
          <w:noProof/>
          <w:lang w:eastAsia="en-AU"/>
        </w:rPr>
        <w:drawing>
          <wp:inline distT="0" distB="0" distL="0" distR="0" wp14:anchorId="4E91ED45" wp14:editId="2B678A74">
            <wp:extent cx="4019550" cy="5803900"/>
            <wp:effectExtent l="0" t="0" r="0" b="6350"/>
            <wp:docPr id="1263" name="Picture 1263" descr="Colligen-Niemur_abso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lligen-Niemur_absorbance"/>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019550" cy="5803900"/>
                    </a:xfrm>
                    <a:prstGeom prst="rect">
                      <a:avLst/>
                    </a:prstGeom>
                    <a:noFill/>
                    <a:ln>
                      <a:noFill/>
                    </a:ln>
                  </pic:spPr>
                </pic:pic>
              </a:graphicData>
            </a:graphic>
          </wp:inline>
        </w:drawing>
      </w:r>
    </w:p>
    <w:p w14:paraId="4C702525" w14:textId="77777777" w:rsidR="00784A1F" w:rsidRDefault="00784A1F" w:rsidP="00784A1F">
      <w:pPr>
        <w:spacing w:after="120" w:line="259" w:lineRule="auto"/>
        <w:jc w:val="left"/>
        <w:rPr>
          <w:sz w:val="20"/>
        </w:rPr>
      </w:pPr>
      <w:r w:rsidRPr="00721EA7">
        <w:rPr>
          <w:b/>
          <w:sz w:val="20"/>
        </w:rPr>
        <w:t>Figure 5.16</w:t>
      </w:r>
      <w:r>
        <w:rPr>
          <w:sz w:val="20"/>
        </w:rPr>
        <w:t xml:space="preserve"> Absorbance of water samples at the Colligen-Niemur River system in 2019-20. </w:t>
      </w:r>
      <w:r w:rsidRPr="0079550E">
        <w:rPr>
          <w:sz w:val="20"/>
        </w:rPr>
        <w:t>The water samples for the assessment of organic matter inputs were collected from July 2019 to March 2020 and the data are not available for April, May and June 2020 due to COVID-19 travel restrictions</w:t>
      </w:r>
      <w:r>
        <w:rPr>
          <w:sz w:val="20"/>
        </w:rPr>
        <w:t>.</w:t>
      </w:r>
    </w:p>
    <w:p w14:paraId="054DD2EA" w14:textId="14F895DC" w:rsidR="00784A1F" w:rsidRDefault="00784A1F" w:rsidP="00784A1F">
      <w:pPr>
        <w:spacing w:after="120" w:line="259" w:lineRule="auto"/>
        <w:jc w:val="left"/>
      </w:pPr>
      <w:r>
        <w:rPr>
          <w:noProof/>
          <w:lang w:eastAsia="en-AU"/>
        </w:rPr>
        <w:drawing>
          <wp:inline distT="0" distB="0" distL="0" distR="0" wp14:anchorId="4F484975" wp14:editId="2DEA6A31">
            <wp:extent cx="5810250" cy="3378200"/>
            <wp:effectExtent l="0" t="0" r="0" b="0"/>
            <wp:docPr id="1262" name="Picture 1262" descr="Colligen-Niemur_fluores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olligen-Niemur_fluorescence"/>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810250" cy="3378200"/>
                    </a:xfrm>
                    <a:prstGeom prst="rect">
                      <a:avLst/>
                    </a:prstGeom>
                    <a:noFill/>
                    <a:ln>
                      <a:noFill/>
                    </a:ln>
                  </pic:spPr>
                </pic:pic>
              </a:graphicData>
            </a:graphic>
          </wp:inline>
        </w:drawing>
      </w:r>
    </w:p>
    <w:p w14:paraId="15A0FFA7" w14:textId="77777777" w:rsidR="00784A1F" w:rsidRDefault="00784A1F" w:rsidP="00784A1F">
      <w:pPr>
        <w:spacing w:after="120" w:line="259" w:lineRule="auto"/>
        <w:jc w:val="left"/>
        <w:rPr>
          <w:sz w:val="20"/>
        </w:rPr>
      </w:pPr>
      <w:r w:rsidRPr="00721EA7">
        <w:rPr>
          <w:b/>
          <w:bCs/>
          <w:sz w:val="20"/>
        </w:rPr>
        <w:t>Figure 5.17</w:t>
      </w:r>
      <w:r w:rsidRPr="00ED6082">
        <w:rPr>
          <w:bCs/>
          <w:sz w:val="20"/>
        </w:rPr>
        <w:t xml:space="preserve"> </w:t>
      </w:r>
      <w:r w:rsidRPr="00ED6082">
        <w:rPr>
          <w:sz w:val="20"/>
        </w:rPr>
        <w:t xml:space="preserve">Fluorescence scans of water samples from </w:t>
      </w:r>
      <w:r>
        <w:rPr>
          <w:sz w:val="20"/>
        </w:rPr>
        <w:t>the Colligen-Niemur River system</w:t>
      </w:r>
      <w:r w:rsidRPr="00ED6082">
        <w:rPr>
          <w:sz w:val="20"/>
        </w:rPr>
        <w:t xml:space="preserve"> in 201</w:t>
      </w:r>
      <w:r>
        <w:rPr>
          <w:sz w:val="20"/>
        </w:rPr>
        <w:t xml:space="preserve">9-20 </w:t>
      </w:r>
      <w:r w:rsidRPr="00ED6082">
        <w:rPr>
          <w:sz w:val="20"/>
        </w:rPr>
        <w:t>study season</w:t>
      </w:r>
      <w:r>
        <w:rPr>
          <w:sz w:val="20"/>
        </w:rPr>
        <w:t xml:space="preserve">. </w:t>
      </w:r>
      <w:r w:rsidRPr="0079550E">
        <w:rPr>
          <w:sz w:val="20"/>
        </w:rPr>
        <w:t>The water samples for the assessment of organic matter inputs were collected from July 2019 to March 2020 and the data are not available for April, May and June 2020 due to COVID-19 travel restrictions</w:t>
      </w:r>
      <w:r w:rsidRPr="00ED6082">
        <w:rPr>
          <w:sz w:val="20"/>
        </w:rPr>
        <w:t>.</w:t>
      </w:r>
    </w:p>
    <w:p w14:paraId="5C7C5653" w14:textId="77777777" w:rsidR="00784A1F" w:rsidRDefault="00784A1F" w:rsidP="00784A1F">
      <w:pPr>
        <w:spacing w:after="120" w:line="259" w:lineRule="auto"/>
        <w:jc w:val="left"/>
        <w:rPr>
          <w:b/>
        </w:rPr>
      </w:pPr>
    </w:p>
    <w:p w14:paraId="290891E2" w14:textId="77777777" w:rsidR="00784A1F" w:rsidRDefault="00784A1F" w:rsidP="00784A1F">
      <w:pPr>
        <w:spacing w:after="120" w:line="259" w:lineRule="auto"/>
        <w:jc w:val="left"/>
        <w:rPr>
          <w:rFonts w:cs="Calibri"/>
          <w:b/>
          <w:color w:val="31849B"/>
        </w:rPr>
      </w:pPr>
    </w:p>
    <w:p w14:paraId="48D15BE0" w14:textId="77777777" w:rsidR="00784A1F" w:rsidRPr="00721EA7" w:rsidRDefault="00784A1F" w:rsidP="00784A1F">
      <w:pPr>
        <w:spacing w:after="120" w:line="259" w:lineRule="auto"/>
        <w:jc w:val="left"/>
        <w:rPr>
          <w:rFonts w:cs="Calibri"/>
          <w:b/>
          <w:color w:val="31849B"/>
        </w:rPr>
      </w:pPr>
      <w:r w:rsidRPr="00721EA7">
        <w:rPr>
          <w:rFonts w:cs="Calibri"/>
          <w:b/>
          <w:color w:val="31849B"/>
        </w:rPr>
        <w:t>Tuppal Creek</w:t>
      </w:r>
    </w:p>
    <w:p w14:paraId="22BE72E0" w14:textId="77777777" w:rsidR="00784A1F" w:rsidRPr="001D38D5" w:rsidRDefault="00784A1F" w:rsidP="00784A1F">
      <w:pPr>
        <w:spacing w:after="120" w:line="259" w:lineRule="auto"/>
        <w:jc w:val="left"/>
        <w:rPr>
          <w:b/>
          <w:i/>
          <w:szCs w:val="24"/>
        </w:rPr>
      </w:pPr>
      <w:r w:rsidRPr="001D38D5">
        <w:rPr>
          <w:b/>
          <w:i/>
          <w:szCs w:val="24"/>
        </w:rPr>
        <w:t>Organic matter characterisation - Absorbance</w:t>
      </w:r>
    </w:p>
    <w:p w14:paraId="7F49AE53" w14:textId="77777777" w:rsidR="00784A1F" w:rsidRDefault="00784A1F" w:rsidP="00784A1F">
      <w:pPr>
        <w:spacing w:after="120" w:line="259" w:lineRule="auto"/>
        <w:jc w:val="left"/>
      </w:pPr>
      <w:r>
        <w:t>Absorbance scans (Figure 5.18) indicate that the mixture of organic compounds making up the DOC was consistent in Tuppal Creek throughout most of the 2019-20 water year. In February 2020 there is a slight increase in absorbance, but the pattern is maintained.</w:t>
      </w:r>
    </w:p>
    <w:p w14:paraId="48B193C6" w14:textId="77777777" w:rsidR="00784A1F" w:rsidRPr="001D38D5" w:rsidRDefault="00784A1F" w:rsidP="00784A1F">
      <w:pPr>
        <w:spacing w:after="120" w:line="259" w:lineRule="auto"/>
        <w:jc w:val="left"/>
      </w:pPr>
      <w:r w:rsidRPr="001B384B">
        <w:rPr>
          <w:b/>
          <w:i/>
        </w:rPr>
        <w:t>Organic matter characterisation - Fluorescence</w:t>
      </w:r>
    </w:p>
    <w:p w14:paraId="5F7EE2E0" w14:textId="77777777" w:rsidR="00784A1F" w:rsidRDefault="00784A1F" w:rsidP="00784A1F">
      <w:pPr>
        <w:spacing w:after="120" w:line="259" w:lineRule="auto"/>
        <w:jc w:val="left"/>
        <w:rPr>
          <w:rFonts w:cs="Calibri"/>
        </w:rPr>
      </w:pPr>
      <w:r>
        <w:t xml:space="preserve">Fluorescence excitation-emission matrices for water samples at Tuppal Creek through the sampling period (Figure 5.19) indicate that the organic matter mix was similar </w:t>
      </w:r>
      <w:r w:rsidRPr="001066B7">
        <w:t xml:space="preserve">at </w:t>
      </w:r>
      <w:r>
        <w:t>Tuppal Creek</w:t>
      </w:r>
      <w:r w:rsidRPr="001066B7">
        <w:t xml:space="preserve"> system</w:t>
      </w:r>
      <w:r>
        <w:t xml:space="preserve"> with </w:t>
      </w:r>
      <w:r w:rsidRPr="000978CA">
        <w:t>stronger humic and fulvic signature</w:t>
      </w:r>
      <w:r>
        <w:t xml:space="preserve">s. September 2019 has the strongest </w:t>
      </w:r>
      <w:r w:rsidRPr="000978CA">
        <w:t>humic and fulvic signature</w:t>
      </w:r>
      <w:r>
        <w:t xml:space="preserve"> which </w:t>
      </w:r>
      <w:r w:rsidRPr="004D2834">
        <w:rPr>
          <w:rFonts w:cs="Calibri"/>
        </w:rPr>
        <w:t xml:space="preserve">is consistent with </w:t>
      </w:r>
      <w:r w:rsidRPr="004D2834">
        <w:t>a</w:t>
      </w:r>
      <w:r>
        <w:t>n</w:t>
      </w:r>
      <w:r w:rsidRPr="004D2834">
        <w:t xml:space="preserve"> increase in DOC concentration</w:t>
      </w:r>
      <w:r>
        <w:t xml:space="preserve"> in Tuppal Creek</w:t>
      </w:r>
      <w:r w:rsidRPr="004D2834">
        <w:rPr>
          <w:rFonts w:cs="Calibri"/>
        </w:rPr>
        <w:t>.</w:t>
      </w:r>
    </w:p>
    <w:p w14:paraId="21D2A450" w14:textId="77777777" w:rsidR="00784A1F" w:rsidRPr="00B145F7" w:rsidRDefault="00784A1F" w:rsidP="00784A1F">
      <w:pPr>
        <w:spacing w:after="120" w:line="259" w:lineRule="auto"/>
        <w:jc w:val="left"/>
        <w:rPr>
          <w:sz w:val="20"/>
        </w:rPr>
      </w:pPr>
      <w:r>
        <w:t>In</w:t>
      </w:r>
      <w:r w:rsidRPr="000978CA">
        <w:t xml:space="preserve"> </w:t>
      </w:r>
      <w:r>
        <w:t xml:space="preserve">February 2020, a number of broad peaks distributed across the region between the two blue scatter lines. This is suggestive of a mixture of humic and fulvic substances and smaller fluorescent molecules. It is possibly a combination of aged organic matter and very fresh leachates or algal organic matter which is consistent with </w:t>
      </w:r>
      <w:r w:rsidRPr="00141562">
        <w:t xml:space="preserve">receiving </w:t>
      </w:r>
      <w:r>
        <w:t>a</w:t>
      </w:r>
      <w:r w:rsidRPr="00141562">
        <w:t xml:space="preserve"> discharge during </w:t>
      </w:r>
      <w:r>
        <w:t>period.</w:t>
      </w:r>
    </w:p>
    <w:p w14:paraId="28F64AFC" w14:textId="77777777" w:rsidR="00784A1F" w:rsidRDefault="00784A1F" w:rsidP="00784A1F">
      <w:pPr>
        <w:pStyle w:val="NoSpacing"/>
        <w:spacing w:after="120" w:line="259" w:lineRule="auto"/>
        <w:jc w:val="left"/>
      </w:pPr>
    </w:p>
    <w:p w14:paraId="0BA768B0" w14:textId="492EC214" w:rsidR="00784A1F" w:rsidRDefault="00784A1F" w:rsidP="00784A1F">
      <w:pPr>
        <w:spacing w:after="120" w:line="259" w:lineRule="auto"/>
        <w:jc w:val="left"/>
        <w:rPr>
          <w:b/>
          <w:i/>
        </w:rPr>
      </w:pPr>
      <w:r>
        <w:rPr>
          <w:b/>
          <w:i/>
          <w:noProof/>
          <w:lang w:eastAsia="en-AU"/>
        </w:rPr>
        <w:drawing>
          <wp:inline distT="0" distB="0" distL="0" distR="0" wp14:anchorId="2336DBBB" wp14:editId="7F09E79B">
            <wp:extent cx="4052201" cy="5760000"/>
            <wp:effectExtent l="0" t="0" r="5715" b="0"/>
            <wp:docPr id="1261" name="Picture 1261" descr="Tuppal Creek_abso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uppal Creek_absorbance"/>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052201" cy="5760000"/>
                    </a:xfrm>
                    <a:prstGeom prst="rect">
                      <a:avLst/>
                    </a:prstGeom>
                    <a:noFill/>
                    <a:ln>
                      <a:noFill/>
                    </a:ln>
                  </pic:spPr>
                </pic:pic>
              </a:graphicData>
            </a:graphic>
          </wp:inline>
        </w:drawing>
      </w:r>
    </w:p>
    <w:p w14:paraId="3067D1D3" w14:textId="77777777" w:rsidR="00784A1F" w:rsidRDefault="00784A1F" w:rsidP="00AE2C93">
      <w:pPr>
        <w:spacing w:after="0" w:line="259" w:lineRule="auto"/>
        <w:jc w:val="left"/>
        <w:rPr>
          <w:sz w:val="20"/>
        </w:rPr>
      </w:pPr>
      <w:r w:rsidRPr="00721EA7">
        <w:rPr>
          <w:b/>
          <w:sz w:val="20"/>
        </w:rPr>
        <w:t>Figure 5.18</w:t>
      </w:r>
      <w:r>
        <w:rPr>
          <w:sz w:val="20"/>
        </w:rPr>
        <w:t xml:space="preserve"> Absorbance of water samples at Tuppal Creek in 2019-20. </w:t>
      </w:r>
      <w:r w:rsidRPr="0079550E">
        <w:rPr>
          <w:sz w:val="20"/>
        </w:rPr>
        <w:t>The water samples for the assessment of organic matter inputs were collected from July 2019 to March 2020 and the data are not available for April, May and June 2020 due to COVID-19 travel restrictions</w:t>
      </w:r>
      <w:r>
        <w:rPr>
          <w:sz w:val="20"/>
        </w:rPr>
        <w:t>.</w:t>
      </w:r>
    </w:p>
    <w:p w14:paraId="19E953BC" w14:textId="77777777" w:rsidR="00784A1F" w:rsidRDefault="00784A1F" w:rsidP="00784A1F">
      <w:pPr>
        <w:spacing w:after="120" w:line="259" w:lineRule="auto"/>
        <w:jc w:val="left"/>
        <w:rPr>
          <w:sz w:val="20"/>
        </w:rPr>
      </w:pPr>
    </w:p>
    <w:p w14:paraId="273E2319" w14:textId="4F53C893" w:rsidR="00784A1F" w:rsidRDefault="00784A1F" w:rsidP="00AE2C93">
      <w:pPr>
        <w:spacing w:after="0" w:line="259" w:lineRule="auto"/>
        <w:jc w:val="left"/>
      </w:pPr>
      <w:r>
        <w:rPr>
          <w:noProof/>
          <w:lang w:eastAsia="en-AU"/>
        </w:rPr>
        <w:drawing>
          <wp:inline distT="0" distB="0" distL="0" distR="0" wp14:anchorId="0A9860B1" wp14:editId="64E54258">
            <wp:extent cx="5606293" cy="1620000"/>
            <wp:effectExtent l="0" t="0" r="0" b="0"/>
            <wp:docPr id="1260" name="Picture 1260" descr="Tuppal Creek_fluores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uppal Creek_fluorescence"/>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606293" cy="1620000"/>
                    </a:xfrm>
                    <a:prstGeom prst="rect">
                      <a:avLst/>
                    </a:prstGeom>
                    <a:noFill/>
                    <a:ln>
                      <a:noFill/>
                    </a:ln>
                  </pic:spPr>
                </pic:pic>
              </a:graphicData>
            </a:graphic>
          </wp:inline>
        </w:drawing>
      </w:r>
    </w:p>
    <w:p w14:paraId="15D53AB8" w14:textId="77777777" w:rsidR="00784A1F" w:rsidRDefault="00784A1F" w:rsidP="00784A1F">
      <w:pPr>
        <w:spacing w:after="120" w:line="259" w:lineRule="auto"/>
        <w:jc w:val="left"/>
        <w:rPr>
          <w:sz w:val="20"/>
        </w:rPr>
      </w:pPr>
      <w:r w:rsidRPr="00721EA7">
        <w:rPr>
          <w:b/>
          <w:bCs/>
          <w:sz w:val="20"/>
        </w:rPr>
        <w:t>Figure 5.19</w:t>
      </w:r>
      <w:r w:rsidRPr="00ED6082">
        <w:rPr>
          <w:bCs/>
          <w:sz w:val="20"/>
        </w:rPr>
        <w:t xml:space="preserve"> </w:t>
      </w:r>
      <w:r w:rsidRPr="00ED6082">
        <w:rPr>
          <w:sz w:val="20"/>
        </w:rPr>
        <w:t xml:space="preserve">Fluorescence scans of water samples from </w:t>
      </w:r>
      <w:r>
        <w:rPr>
          <w:sz w:val="20"/>
        </w:rPr>
        <w:t xml:space="preserve">Tuppal Creek </w:t>
      </w:r>
      <w:r w:rsidRPr="00ED6082">
        <w:rPr>
          <w:sz w:val="20"/>
        </w:rPr>
        <w:t>in 201</w:t>
      </w:r>
      <w:r>
        <w:rPr>
          <w:sz w:val="20"/>
        </w:rPr>
        <w:t xml:space="preserve">9-20 </w:t>
      </w:r>
      <w:r w:rsidRPr="00ED6082">
        <w:rPr>
          <w:sz w:val="20"/>
        </w:rPr>
        <w:t>study season</w:t>
      </w:r>
      <w:r>
        <w:rPr>
          <w:sz w:val="20"/>
        </w:rPr>
        <w:t xml:space="preserve">. </w:t>
      </w:r>
      <w:r w:rsidRPr="0079550E">
        <w:rPr>
          <w:sz w:val="20"/>
        </w:rPr>
        <w:t>The water samples for the assessment of organic matter inputs were collected from July 2019 to March 2020 and the data are not available for April, May and June 2020 due to COVID-19 travel restrictions</w:t>
      </w:r>
      <w:r w:rsidRPr="00ED6082">
        <w:rPr>
          <w:sz w:val="20"/>
        </w:rPr>
        <w:t>.</w:t>
      </w:r>
    </w:p>
    <w:p w14:paraId="303A6702" w14:textId="77777777" w:rsidR="00784A1F" w:rsidRPr="00721EA7" w:rsidRDefault="00784A1F" w:rsidP="00784A1F">
      <w:pPr>
        <w:spacing w:after="120" w:line="259" w:lineRule="auto"/>
        <w:jc w:val="left"/>
        <w:rPr>
          <w:rFonts w:cstheme="minorHAnsi"/>
          <w:b/>
          <w:color w:val="31849B"/>
          <w:sz w:val="28"/>
          <w:szCs w:val="28"/>
        </w:rPr>
      </w:pPr>
      <w:r w:rsidRPr="00721EA7">
        <w:rPr>
          <w:rFonts w:cstheme="minorHAnsi"/>
          <w:b/>
          <w:color w:val="31849B"/>
          <w:sz w:val="28"/>
          <w:szCs w:val="28"/>
        </w:rPr>
        <w:t>5.7 Discussion</w:t>
      </w:r>
    </w:p>
    <w:p w14:paraId="4B8E7A1D" w14:textId="77777777" w:rsidR="00784A1F" w:rsidRPr="00721EA7" w:rsidRDefault="00784A1F" w:rsidP="00784A1F">
      <w:pPr>
        <w:spacing w:after="120" w:line="259" w:lineRule="auto"/>
        <w:jc w:val="left"/>
        <w:rPr>
          <w:rFonts w:cs="Calibri"/>
          <w:b/>
          <w:i/>
          <w:color w:val="31849B"/>
        </w:rPr>
      </w:pPr>
      <w:r w:rsidRPr="00721EA7">
        <w:rPr>
          <w:rFonts w:cs="Calibri"/>
          <w:b/>
          <w:i/>
          <w:color w:val="31849B"/>
        </w:rPr>
        <w:t>Short and long-term evaluation questions for core monitoring</w:t>
      </w:r>
    </w:p>
    <w:p w14:paraId="33EF81D4" w14:textId="77777777" w:rsidR="00784A1F" w:rsidRDefault="00784A1F" w:rsidP="00784A1F">
      <w:pPr>
        <w:spacing w:after="120" w:line="259" w:lineRule="auto"/>
        <w:jc w:val="left"/>
        <w:rPr>
          <w:rFonts w:cs="Calibri"/>
        </w:rPr>
      </w:pPr>
      <w:r>
        <w:rPr>
          <w:rFonts w:cs="Calibri"/>
        </w:rPr>
        <w:t>Overall the water quality in the Edward/Kolety-Wakool Selected Area during the 2019-20 water year was characterised by normal conditions (similar to 2014-15, 2017-18 and 2018-19) following two extreme events (the 2015-16 cyanobacteria bloom and the 2016-17 hypoxic blackwater event).</w:t>
      </w:r>
    </w:p>
    <w:p w14:paraId="06546CF3" w14:textId="77777777" w:rsidR="00784A1F" w:rsidRDefault="00784A1F" w:rsidP="00784A1F">
      <w:pPr>
        <w:spacing w:after="120" w:line="259" w:lineRule="auto"/>
        <w:jc w:val="left"/>
        <w:rPr>
          <w:rFonts w:cs="Calibri"/>
        </w:rPr>
      </w:pPr>
      <w:r>
        <w:rPr>
          <w:rFonts w:cs="Calibri"/>
        </w:rPr>
        <w:t>In 2019-20 the key questions relating to the CEW actions were:</w:t>
      </w:r>
    </w:p>
    <w:p w14:paraId="6FE44BF7" w14:textId="77777777" w:rsidR="00784A1F" w:rsidRPr="00C26A62" w:rsidRDefault="00784A1F" w:rsidP="00784A1F">
      <w:pPr>
        <w:pStyle w:val="ListParagraph"/>
        <w:numPr>
          <w:ilvl w:val="0"/>
          <w:numId w:val="14"/>
        </w:numPr>
        <w:spacing w:after="120" w:line="259" w:lineRule="auto"/>
        <w:ind w:left="426" w:hanging="426"/>
        <w:contextualSpacing/>
        <w:jc w:val="left"/>
        <w:rPr>
          <w:rFonts w:cs="Calibri"/>
        </w:rPr>
      </w:pPr>
      <w:r>
        <w:t xml:space="preserve">What did Commonwealth environmental water contribute to dissolved oxygen </w:t>
      </w:r>
      <w:r w:rsidRPr="00C26A62">
        <w:rPr>
          <w:rFonts w:cs="Calibri"/>
        </w:rPr>
        <w:t>concentrations?</w:t>
      </w:r>
    </w:p>
    <w:p w14:paraId="24432A95" w14:textId="77777777" w:rsidR="00784A1F" w:rsidRDefault="00784A1F" w:rsidP="00784A1F">
      <w:pPr>
        <w:spacing w:after="120" w:line="259" w:lineRule="auto"/>
        <w:jc w:val="left"/>
        <w:rPr>
          <w:rFonts w:cs="Calibri"/>
          <w:color w:val="000000"/>
        </w:rPr>
      </w:pPr>
      <w:r w:rsidRPr="00C26A62">
        <w:rPr>
          <w:rFonts w:cs="Calibri"/>
        </w:rPr>
        <w:t xml:space="preserve">For Wakool-Yallakool system, </w:t>
      </w:r>
      <w:r>
        <w:rPr>
          <w:rFonts w:cs="Calibri"/>
        </w:rPr>
        <w:t>z</w:t>
      </w:r>
      <w:r w:rsidRPr="00C26A62">
        <w:rPr>
          <w:rFonts w:cs="Calibri"/>
        </w:rPr>
        <w:t xml:space="preserve">ones 1, 3 and 4 received more environmental water than </w:t>
      </w:r>
      <w:r>
        <w:rPr>
          <w:rFonts w:cs="Calibri"/>
        </w:rPr>
        <w:t>Wakool River zone 2</w:t>
      </w:r>
      <w:r w:rsidRPr="00C26A62">
        <w:rPr>
          <w:rFonts w:cs="Calibri"/>
        </w:rPr>
        <w:t xml:space="preserve">. Commonwealth environmental water maintained </w:t>
      </w:r>
      <w:r>
        <w:rPr>
          <w:rFonts w:cs="Calibri"/>
        </w:rPr>
        <w:t>DO</w:t>
      </w:r>
      <w:r w:rsidRPr="00C26A62">
        <w:rPr>
          <w:rFonts w:cs="Calibri"/>
        </w:rPr>
        <w:t xml:space="preserve"> concentrations in zones 1, 3 and 4 during </w:t>
      </w:r>
      <w:r>
        <w:rPr>
          <w:rFonts w:cs="Calibri"/>
        </w:rPr>
        <w:t xml:space="preserve">winter 2019 to </w:t>
      </w:r>
      <w:r w:rsidRPr="00C26A62">
        <w:rPr>
          <w:rFonts w:cs="Calibri"/>
        </w:rPr>
        <w:t>spring and early summer. Zones receiving environmental water had higher dissolved oxygen concentrations t</w:t>
      </w:r>
      <w:r>
        <w:rPr>
          <w:rFonts w:cs="Calibri"/>
        </w:rPr>
        <w:t>han that in zone 2</w:t>
      </w:r>
      <w:r w:rsidRPr="00C26A62">
        <w:rPr>
          <w:rFonts w:cs="Calibri"/>
        </w:rPr>
        <w:t xml:space="preserve">. DO concentration was consistently higher during late summer and </w:t>
      </w:r>
      <w:r>
        <w:rPr>
          <w:rFonts w:cs="Calibri"/>
        </w:rPr>
        <w:t xml:space="preserve">autumn to winter 2020 </w:t>
      </w:r>
      <w:r w:rsidRPr="00C26A62">
        <w:rPr>
          <w:rFonts w:cs="Calibri"/>
        </w:rPr>
        <w:t>in zones 1, 3 and 4. This difference among zones with and without environmental water persisted beyond the end of the watering action, thus Commonwealth environmental water assisted in the maintenance of dissolved oxygen concentrations over the s</w:t>
      </w:r>
      <w:r w:rsidRPr="00425122">
        <w:rPr>
          <w:rFonts w:cs="Calibri"/>
          <w:color w:val="000000"/>
        </w:rPr>
        <w:t>ummer period in the zones</w:t>
      </w:r>
      <w:r>
        <w:rPr>
          <w:rFonts w:cs="Calibri"/>
          <w:color w:val="000000"/>
        </w:rPr>
        <w:t xml:space="preserve"> receiving the additional flow.</w:t>
      </w:r>
    </w:p>
    <w:p w14:paraId="3FC566AD" w14:textId="77777777" w:rsidR="00784A1F" w:rsidRDefault="00784A1F" w:rsidP="00784A1F">
      <w:pPr>
        <w:spacing w:after="120" w:line="259" w:lineRule="auto"/>
        <w:jc w:val="left"/>
      </w:pPr>
      <w:r>
        <w:t xml:space="preserve">It needs to be noted that it is common </w:t>
      </w:r>
      <w:r w:rsidRPr="009C11A1">
        <w:t xml:space="preserve">for DO to be lower in </w:t>
      </w:r>
      <w:r>
        <w:t>z</w:t>
      </w:r>
      <w:r w:rsidRPr="009C11A1">
        <w:t>one</w:t>
      </w:r>
      <w:r>
        <w:t xml:space="preserve"> </w:t>
      </w:r>
      <w:r w:rsidRPr="009C11A1">
        <w:t>2 than the other study sites during summer</w:t>
      </w:r>
      <w:r>
        <w:t xml:space="preserve"> when discharge</w:t>
      </w:r>
      <w:r w:rsidRPr="009C11A1">
        <w:t xml:space="preserve"> i</w:t>
      </w:r>
      <w:r>
        <w:t xml:space="preserve">s much lower in zone 2 and </w:t>
      </w:r>
      <w:r w:rsidRPr="0040027B">
        <w:t xml:space="preserve">the risk of temperature induced hypoxia during heatwaves is greater in this part of </w:t>
      </w:r>
      <w:r w:rsidRPr="00AB336C">
        <w:t>the system</w:t>
      </w:r>
      <w:r>
        <w:t>. However the difference between zone 2 and the other study zones was less in 2018-19 than was commonly observed in other years (Watts et al. 2019) and the period where DO was close to 4 mg/L was shorter, likely due to the higher discharge in this zone than in other years. The higher than usual flows in zone 2 in 2019-20 demonstrate that there is potential to use Commonwealth environmental water to improve water quality in this part of the system in the future.</w:t>
      </w:r>
    </w:p>
    <w:p w14:paraId="1300DECE" w14:textId="77777777" w:rsidR="00784A1F" w:rsidRDefault="00784A1F" w:rsidP="00784A1F">
      <w:pPr>
        <w:pStyle w:val="ListParagraph"/>
        <w:numPr>
          <w:ilvl w:val="0"/>
          <w:numId w:val="14"/>
        </w:numPr>
        <w:spacing w:after="120" w:line="259" w:lineRule="auto"/>
        <w:ind w:left="426" w:hanging="426"/>
        <w:contextualSpacing/>
        <w:jc w:val="left"/>
      </w:pPr>
      <w:r>
        <w:t>What did Commonwealth environmental water contribute to nutrient concentrations?</w:t>
      </w:r>
    </w:p>
    <w:p w14:paraId="23704427" w14:textId="77777777" w:rsidR="00784A1F" w:rsidRDefault="00784A1F" w:rsidP="00784A1F">
      <w:pPr>
        <w:spacing w:after="120" w:line="259" w:lineRule="auto"/>
        <w:jc w:val="left"/>
      </w:pPr>
      <w:r>
        <w:t>Nutrient concentrations remained within the expected range throughout the Edward/Kolety-Wakool River system during the 2019-20 water year.</w:t>
      </w:r>
      <w:r w:rsidRPr="00B52D4F">
        <w:rPr>
          <w:rFonts w:cs="Calibri"/>
          <w:color w:val="000000"/>
        </w:rPr>
        <w:t xml:space="preserve"> </w:t>
      </w:r>
      <w:r w:rsidRPr="00C4237D">
        <w:rPr>
          <w:rFonts w:cs="Calibri"/>
          <w:color w:val="000000"/>
        </w:rPr>
        <w:t xml:space="preserve">The absence of overbank flows meant that substantial nutrient inputs were not expected in the </w:t>
      </w:r>
      <w:r w:rsidRPr="00EE1E48">
        <w:rPr>
          <w:rFonts w:cs="Calibri"/>
          <w:color w:val="000000"/>
        </w:rPr>
        <w:t xml:space="preserve">system, although a general downstream increase in TN and TP were observed in the zones which received the majority of flow. </w:t>
      </w:r>
      <w:r w:rsidRPr="00C4237D">
        <w:rPr>
          <w:rFonts w:cs="Calibri"/>
          <w:color w:val="000000"/>
        </w:rPr>
        <w:t xml:space="preserve">TP and TN were slightly elevated over watering </w:t>
      </w:r>
      <w:r w:rsidRPr="00040D07">
        <w:rPr>
          <w:rFonts w:cs="Calibri"/>
          <w:color w:val="000000"/>
        </w:rPr>
        <w:t xml:space="preserve">actions, </w:t>
      </w:r>
      <w:r w:rsidRPr="00040D07">
        <w:t xml:space="preserve">possibly caused by higher turbidity and in-stream processes during the watering action. </w:t>
      </w:r>
      <w:r>
        <w:t xml:space="preserve">TN and TP were generally higher in the Wakool River zone 2 (receiving </w:t>
      </w:r>
      <w:r w:rsidRPr="00C26A62">
        <w:rPr>
          <w:rFonts w:cs="Calibri"/>
        </w:rPr>
        <w:t>minor to no amount environmental water</w:t>
      </w:r>
      <w:r>
        <w:t>) during the environmental watering action, suggesting either dilution of these nutrients by Commonwealth environmental water at the other study sites, or that conditions in Zone 2 favoured the retention of nutrients associated with organic matter or particulates (e.g. algal cells) within the water column. B</w:t>
      </w:r>
      <w:r w:rsidRPr="00040D07">
        <w:rPr>
          <w:rFonts w:cs="Calibri"/>
          <w:color w:val="000000"/>
        </w:rPr>
        <w:t xml:space="preserve">ioavailable nutrient remained low and </w:t>
      </w:r>
      <w:r w:rsidRPr="00040D07">
        <w:t>were similar across study sites and do not appear to have been influenced by Commonwealth environmental water.</w:t>
      </w:r>
      <w:r>
        <w:t xml:space="preserve"> </w:t>
      </w:r>
    </w:p>
    <w:p w14:paraId="24F3524E" w14:textId="77777777" w:rsidR="00784A1F" w:rsidRDefault="00784A1F" w:rsidP="00784A1F">
      <w:pPr>
        <w:spacing w:after="120" w:line="259" w:lineRule="auto"/>
        <w:jc w:val="left"/>
      </w:pPr>
      <w:r w:rsidRPr="00DA76B8">
        <w:t>Chl</w:t>
      </w:r>
      <w:r>
        <w:t xml:space="preserve"> </w:t>
      </w:r>
      <w:r w:rsidRPr="00DA76B8">
        <w:rPr>
          <w:i/>
        </w:rPr>
        <w:t>a</w:t>
      </w:r>
      <w:r w:rsidRPr="00DA76B8">
        <w:t xml:space="preserve"> </w:t>
      </w:r>
      <w:r>
        <w:t xml:space="preserve">content is closely associated with nutrient concentrations </w:t>
      </w:r>
      <w:r w:rsidRPr="00DA76B8">
        <w:t xml:space="preserve">and acts as an indicator of trophic status in freshwater </w:t>
      </w:r>
      <w:r>
        <w:t>systems</w:t>
      </w:r>
      <w:r w:rsidRPr="00DA76B8">
        <w:t>. Chl</w:t>
      </w:r>
      <w:r>
        <w:t xml:space="preserve"> </w:t>
      </w:r>
      <w:r w:rsidRPr="00DA76B8">
        <w:rPr>
          <w:i/>
        </w:rPr>
        <w:t>a</w:t>
      </w:r>
      <w:r w:rsidRPr="00DA76B8">
        <w:t xml:space="preserve"> </w:t>
      </w:r>
      <w:r>
        <w:t>levels fluctuate naturally over time and h</w:t>
      </w:r>
      <w:r w:rsidRPr="00DA76B8">
        <w:t>igher concentrations are common during the summer months when water temperature and light level are high</w:t>
      </w:r>
      <w:r>
        <w:t>er</w:t>
      </w:r>
      <w:r w:rsidRPr="00DA76B8">
        <w:t>.</w:t>
      </w:r>
      <w:r>
        <w:t xml:space="preserve"> The increase in the concentrations of TP and TN in the summer months with no water actions is accompanied by the consistently higher Chl </w:t>
      </w:r>
      <w:r w:rsidRPr="008A3E2C">
        <w:rPr>
          <w:i/>
        </w:rPr>
        <w:t>a</w:t>
      </w:r>
      <w:r>
        <w:t xml:space="preserve"> concentrations observed throughout the system.</w:t>
      </w:r>
    </w:p>
    <w:p w14:paraId="25A92E6A" w14:textId="77777777" w:rsidR="00784A1F" w:rsidRDefault="00784A1F" w:rsidP="00784A1F">
      <w:pPr>
        <w:spacing w:after="120" w:line="259" w:lineRule="auto"/>
        <w:jc w:val="left"/>
      </w:pPr>
      <w:r>
        <w:rPr>
          <w:rFonts w:cs="Calibri"/>
        </w:rPr>
        <w:t xml:space="preserve">The MER project 2019-20 study season was the first time that </w:t>
      </w:r>
      <w:r w:rsidRPr="0095586D">
        <w:rPr>
          <w:rFonts w:cs="Calibri"/>
        </w:rPr>
        <w:t xml:space="preserve">monitoring </w:t>
      </w:r>
      <w:r>
        <w:rPr>
          <w:rFonts w:cs="Calibri"/>
        </w:rPr>
        <w:t xml:space="preserve">of </w:t>
      </w:r>
      <w:r w:rsidRPr="0095586D">
        <w:rPr>
          <w:rFonts w:cs="Calibri"/>
        </w:rPr>
        <w:t xml:space="preserve">organic matter inputs and water quality changes </w:t>
      </w:r>
      <w:r>
        <w:rPr>
          <w:rFonts w:cs="Calibri"/>
        </w:rPr>
        <w:t>were monitored across the whole year, including winter</w:t>
      </w:r>
      <w:r w:rsidRPr="0095586D">
        <w:rPr>
          <w:rFonts w:cs="Calibri"/>
        </w:rPr>
        <w:t xml:space="preserve">. </w:t>
      </w:r>
      <w:r>
        <w:rPr>
          <w:rFonts w:cs="Calibri"/>
        </w:rPr>
        <w:t>W</w:t>
      </w:r>
      <w:r w:rsidRPr="0095586D">
        <w:rPr>
          <w:rFonts w:cs="Calibri"/>
        </w:rPr>
        <w:t xml:space="preserve">ater samples </w:t>
      </w:r>
      <w:r>
        <w:rPr>
          <w:rFonts w:cs="Calibri"/>
        </w:rPr>
        <w:t xml:space="preserve">were </w:t>
      </w:r>
      <w:r w:rsidRPr="0095586D">
        <w:rPr>
          <w:rFonts w:cs="Calibri"/>
        </w:rPr>
        <w:t xml:space="preserve">collected on a monthly basis </w:t>
      </w:r>
      <w:r>
        <w:t>between July 2019 and June 2020. Thus we don’t have water quality data (nutrients, DOC, Chl a) during the unregulated flow event in May 2019 and are unable to discuss the water quality during that action.</w:t>
      </w:r>
    </w:p>
    <w:p w14:paraId="66665533" w14:textId="77777777" w:rsidR="00784A1F" w:rsidRPr="007C2198" w:rsidRDefault="00784A1F" w:rsidP="00784A1F">
      <w:pPr>
        <w:pStyle w:val="ListParagraph"/>
        <w:numPr>
          <w:ilvl w:val="0"/>
          <w:numId w:val="14"/>
        </w:numPr>
        <w:spacing w:after="120" w:line="259" w:lineRule="auto"/>
        <w:ind w:left="426" w:hanging="426"/>
        <w:contextualSpacing/>
        <w:jc w:val="left"/>
      </w:pPr>
      <w:r>
        <w:t xml:space="preserve">What did Commonwealth environmental water contribute to modification of the type and </w:t>
      </w:r>
      <w:r w:rsidRPr="007C2198">
        <w:t xml:space="preserve">amount of dissolved organic matter through reconnection with previously dry or disconnect in-channel habitat? </w:t>
      </w:r>
    </w:p>
    <w:p w14:paraId="7EDF644F" w14:textId="77777777" w:rsidR="00784A1F" w:rsidRPr="005D0C92" w:rsidRDefault="00784A1F" w:rsidP="00784A1F">
      <w:pPr>
        <w:pStyle w:val="Default"/>
        <w:spacing w:after="120" w:line="259" w:lineRule="auto"/>
        <w:rPr>
          <w:rFonts w:asciiTheme="minorHAnsi" w:hAnsiTheme="minorHAnsi" w:cstheme="minorHAnsi"/>
          <w:sz w:val="22"/>
          <w:szCs w:val="22"/>
        </w:rPr>
      </w:pPr>
      <w:r w:rsidRPr="005D0C92">
        <w:rPr>
          <w:rFonts w:asciiTheme="minorHAnsi" w:hAnsiTheme="minorHAnsi" w:cstheme="minorHAnsi"/>
          <w:sz w:val="22"/>
          <w:szCs w:val="22"/>
        </w:rPr>
        <w:t>There was no detectable effect of Commonwealth environmental watering actions on this indicator in 2019-20. The type and amount of DOC in the system was similar to previous years where blackwater and major algal blooms were not present. Poor water quality was observed in the Wakool-Yallakool system in summer during heatwaves. This corresponds with a slight increase in DOC concentration but these remained within the normal range.</w:t>
      </w:r>
    </w:p>
    <w:p w14:paraId="5B182249" w14:textId="77777777" w:rsidR="00784A1F" w:rsidRPr="005D0C92" w:rsidRDefault="00784A1F" w:rsidP="00784A1F">
      <w:pPr>
        <w:pStyle w:val="Default"/>
        <w:spacing w:after="120" w:line="259" w:lineRule="auto"/>
        <w:rPr>
          <w:rFonts w:asciiTheme="minorHAnsi" w:hAnsiTheme="minorHAnsi" w:cstheme="minorHAnsi"/>
          <w:sz w:val="22"/>
          <w:szCs w:val="22"/>
        </w:rPr>
      </w:pPr>
      <w:r w:rsidRPr="005D0C92">
        <w:rPr>
          <w:rFonts w:asciiTheme="minorHAnsi" w:hAnsiTheme="minorHAnsi" w:cstheme="minorHAnsi"/>
          <w:sz w:val="22"/>
          <w:szCs w:val="22"/>
        </w:rPr>
        <w:t>It is common for DOC concentration to be higher during summer and early autumn in zone 2 (receiving minor to no amount of environmental water). The generally lower flow in Zone 2 means the risk of temperature induced hypoxia during heatwaves is greater in this part of the system. As shown in Watts et al. (2019), the DOC concentration in zone 2 was lower than the other study zones in February 2019, likely due to the higher discharge in this zone than in other years. Typically, flow is extremely low in zone 2 over the summer, the higher than usual flow conditions demonstrate that there is potential to use Commonwealth environmental water to improve water quality in this part of the system in the future.</w:t>
      </w:r>
    </w:p>
    <w:p w14:paraId="47E82076" w14:textId="77777777" w:rsidR="00784A1F" w:rsidRPr="00BF644A" w:rsidRDefault="00784A1F" w:rsidP="00784A1F">
      <w:pPr>
        <w:spacing w:after="120" w:line="259" w:lineRule="auto"/>
        <w:jc w:val="left"/>
        <w:rPr>
          <w:rFonts w:cs="Calibri"/>
          <w:b/>
          <w:i/>
          <w:color w:val="31849B"/>
        </w:rPr>
      </w:pPr>
      <w:r w:rsidRPr="00BF644A">
        <w:rPr>
          <w:rFonts w:cs="Calibri"/>
          <w:b/>
          <w:i/>
          <w:color w:val="31849B"/>
        </w:rPr>
        <w:t>Broader system monitoring</w:t>
      </w:r>
    </w:p>
    <w:p w14:paraId="2F3235D2" w14:textId="77777777" w:rsidR="00784A1F" w:rsidRDefault="00784A1F" w:rsidP="00784A1F">
      <w:pPr>
        <w:spacing w:after="120" w:line="259" w:lineRule="auto"/>
        <w:jc w:val="left"/>
        <w:rPr>
          <w:rFonts w:cs="Calibri"/>
        </w:rPr>
      </w:pPr>
      <w:r>
        <w:rPr>
          <w:rFonts w:cs="Calibri"/>
        </w:rPr>
        <w:t>Water quality monitoring across the broader Edward/Kolety-Wakool system in 2019-20 water year</w:t>
      </w:r>
      <w:r w:rsidRPr="0095586D">
        <w:rPr>
          <w:rFonts w:cs="Calibri"/>
        </w:rPr>
        <w:t xml:space="preserve"> expand</w:t>
      </w:r>
      <w:r>
        <w:rPr>
          <w:rFonts w:cs="Calibri"/>
        </w:rPr>
        <w:t>ed the mo</w:t>
      </w:r>
      <w:r w:rsidRPr="0095586D">
        <w:rPr>
          <w:rFonts w:cs="Calibri"/>
        </w:rPr>
        <w:t>nitoring further downstream in the Wakool River and to Tuppal Creek, the Edward</w:t>
      </w:r>
      <w:r>
        <w:rPr>
          <w:rFonts w:cs="Calibri"/>
        </w:rPr>
        <w:t>/Kolety</w:t>
      </w:r>
      <w:r w:rsidRPr="0095586D">
        <w:rPr>
          <w:rFonts w:cs="Calibri"/>
        </w:rPr>
        <w:t xml:space="preserve"> River, and the Colligen-Niemur River system to better capture the impact of environmental water in the broader system.</w:t>
      </w:r>
    </w:p>
    <w:p w14:paraId="344782CB" w14:textId="77777777" w:rsidR="00784A1F" w:rsidRDefault="00784A1F" w:rsidP="00784A1F">
      <w:pPr>
        <w:spacing w:after="120" w:line="259" w:lineRule="auto"/>
        <w:jc w:val="left"/>
        <w:rPr>
          <w:rFonts w:cs="Calibri"/>
        </w:rPr>
      </w:pPr>
      <w:r w:rsidRPr="00AC11D6">
        <w:t>Concentrations of DO in the Edward</w:t>
      </w:r>
      <w:r>
        <w:t>/Kolety</w:t>
      </w:r>
      <w:r w:rsidRPr="00AC11D6">
        <w:t xml:space="preserve"> River system </w:t>
      </w:r>
      <w:r>
        <w:t xml:space="preserve">and the Colligen-Niemur River system </w:t>
      </w:r>
      <w:r w:rsidRPr="00AC11D6">
        <w:t xml:space="preserve">were above the range of concern to fish populations (below 4 mg/L) over the study season. </w:t>
      </w:r>
      <w:r w:rsidRPr="00877218">
        <w:t xml:space="preserve">It shows the expected seasonal variations with higher concentrations in the winter and lower concentrations correlating to the periods of higher water temperature. </w:t>
      </w:r>
      <w:r w:rsidRPr="00FA6DAC">
        <w:t xml:space="preserve">During 2019-20 the range of DOC concentrations in the </w:t>
      </w:r>
      <w:r w:rsidRPr="00AC11D6">
        <w:t>Edward</w:t>
      </w:r>
      <w:r>
        <w:t>/Kolety</w:t>
      </w:r>
      <w:r w:rsidRPr="00AC11D6">
        <w:t xml:space="preserve"> River system </w:t>
      </w:r>
      <w:r>
        <w:t xml:space="preserve">and </w:t>
      </w:r>
      <w:r w:rsidRPr="00FA6DAC">
        <w:t xml:space="preserve">Colligen-Niemur </w:t>
      </w:r>
      <w:r>
        <w:t xml:space="preserve">system was quite similar </w:t>
      </w:r>
      <w:r w:rsidRPr="00FA6DAC">
        <w:t xml:space="preserve">remaining in the acceptable range. </w:t>
      </w:r>
      <w:r>
        <w:t>A</w:t>
      </w:r>
      <w:r w:rsidRPr="00B963E2">
        <w:t xml:space="preserve"> slight increase in DOC concentrations </w:t>
      </w:r>
      <w:r>
        <w:t xml:space="preserve">occurred in February and March 2020 </w:t>
      </w:r>
      <w:r w:rsidRPr="00B963E2">
        <w:t xml:space="preserve">but these remained within the </w:t>
      </w:r>
      <w:r>
        <w:t xml:space="preserve">acceptable </w:t>
      </w:r>
      <w:r w:rsidRPr="00B963E2">
        <w:t>range</w:t>
      </w:r>
      <w:r>
        <w:t>, th</w:t>
      </w:r>
      <w:r w:rsidRPr="00B963E2">
        <w:t xml:space="preserve">e timing of this pulse corresponds with the lowest DO concentrations observed over the </w:t>
      </w:r>
      <w:r>
        <w:t xml:space="preserve">2019-20 </w:t>
      </w:r>
      <w:r w:rsidRPr="00B963E2">
        <w:t>water year.</w:t>
      </w:r>
      <w:r w:rsidRPr="00CB5D83">
        <w:t xml:space="preserve"> </w:t>
      </w:r>
      <w:r w:rsidRPr="00FA6DAC">
        <w:t>Elevated DOC in May 2020 corresponding with observed dark colo</w:t>
      </w:r>
      <w:r>
        <w:t>u</w:t>
      </w:r>
      <w:r w:rsidRPr="00FA6DAC">
        <w:t xml:space="preserve">red water </w:t>
      </w:r>
      <w:r w:rsidRPr="00FA6DAC">
        <w:rPr>
          <w:color w:val="000000" w:themeColor="text1"/>
        </w:rPr>
        <w:t xml:space="preserve">indicates greater carbon inputs </w:t>
      </w:r>
      <w:r w:rsidRPr="00FA6DAC">
        <w:t xml:space="preserve">associated with the unregulated flows but the oxygen in these sections was quite high and are not of concern. </w:t>
      </w:r>
      <w:r w:rsidRPr="00615127">
        <w:t xml:space="preserve">A pulse of DOC </w:t>
      </w:r>
      <w:r>
        <w:t xml:space="preserve">and nutrients </w:t>
      </w:r>
      <w:r w:rsidRPr="00615127">
        <w:t xml:space="preserve">from the Barmah-Millewa Forest </w:t>
      </w:r>
      <w:r w:rsidRPr="00FA6DAC">
        <w:rPr>
          <w:rFonts w:cs="Calibri"/>
        </w:rPr>
        <w:t xml:space="preserve">was introduced to </w:t>
      </w:r>
      <w:r w:rsidRPr="00615127">
        <w:t>the Edward/Kolety-Wakool River system in October 2019</w:t>
      </w:r>
      <w:r>
        <w:t xml:space="preserve"> </w:t>
      </w:r>
      <w:r w:rsidRPr="00615127">
        <w:t xml:space="preserve">through the Southern </w:t>
      </w:r>
      <w:r>
        <w:t>Connected</w:t>
      </w:r>
      <w:r w:rsidRPr="00615127">
        <w:t xml:space="preserve"> Flow watering action</w:t>
      </w:r>
      <w:r>
        <w:t xml:space="preserve"> in Murray River</w:t>
      </w:r>
      <w:r w:rsidRPr="00AE67D3">
        <w:t xml:space="preserve">. </w:t>
      </w:r>
      <w:r w:rsidRPr="00FA6DAC">
        <w:rPr>
          <w:rFonts w:cs="Calibri"/>
        </w:rPr>
        <w:t>The i</w:t>
      </w:r>
      <w:r>
        <w:rPr>
          <w:rFonts w:cs="Calibri"/>
        </w:rPr>
        <w:t>mpact</w:t>
      </w:r>
      <w:r w:rsidRPr="00FA6DAC">
        <w:rPr>
          <w:rFonts w:cs="Calibri"/>
        </w:rPr>
        <w:t xml:space="preserve"> of this watering action on the </w:t>
      </w:r>
      <w:r w:rsidRPr="0060625F">
        <w:rPr>
          <w:rFonts w:cs="Calibri"/>
          <w:color w:val="000000"/>
        </w:rPr>
        <w:t>Edward/Kolety</w:t>
      </w:r>
      <w:r>
        <w:rPr>
          <w:rFonts w:cs="Calibri"/>
          <w:color w:val="000000"/>
        </w:rPr>
        <w:t>-Wakool</w:t>
      </w:r>
      <w:r w:rsidRPr="0060625F">
        <w:rPr>
          <w:rFonts w:cs="Calibri"/>
          <w:color w:val="000000"/>
        </w:rPr>
        <w:t xml:space="preserve"> River system </w:t>
      </w:r>
      <w:r w:rsidRPr="00FA6DAC">
        <w:rPr>
          <w:rFonts w:cs="Calibri"/>
        </w:rPr>
        <w:t>was slight and the change in DOC and nutrients concentrations was small.</w:t>
      </w:r>
    </w:p>
    <w:p w14:paraId="367186DB" w14:textId="77777777" w:rsidR="00784A1F" w:rsidRPr="00BF644A" w:rsidRDefault="00784A1F" w:rsidP="00784A1F">
      <w:pPr>
        <w:spacing w:after="120" w:line="259" w:lineRule="auto"/>
        <w:jc w:val="left"/>
        <w:rPr>
          <w:rFonts w:cs="Calibri"/>
          <w:b/>
          <w:i/>
          <w:color w:val="31849B"/>
        </w:rPr>
      </w:pPr>
      <w:r w:rsidRPr="00BF644A">
        <w:rPr>
          <w:rFonts w:cs="Calibri"/>
          <w:b/>
          <w:i/>
          <w:color w:val="31849B"/>
        </w:rPr>
        <w:t xml:space="preserve">Evaluation questions for </w:t>
      </w:r>
      <w:r>
        <w:rPr>
          <w:rFonts w:cs="Calibri"/>
          <w:b/>
          <w:i/>
          <w:color w:val="31849B"/>
        </w:rPr>
        <w:t>targeted contingency monitoring</w:t>
      </w:r>
    </w:p>
    <w:p w14:paraId="3C4F429F" w14:textId="77777777" w:rsidR="00784A1F" w:rsidRPr="00735E8B" w:rsidRDefault="00784A1F" w:rsidP="00784A1F">
      <w:pPr>
        <w:spacing w:after="120" w:line="259" w:lineRule="auto"/>
        <w:jc w:val="left"/>
        <w:rPr>
          <w:lang w:val="en-US" w:eastAsia="en-AU"/>
        </w:rPr>
      </w:pPr>
      <w:r w:rsidRPr="00D24BAE">
        <w:rPr>
          <w:rFonts w:eastAsiaTheme="minorHAnsi" w:cs="Calibri"/>
        </w:rPr>
        <w:t xml:space="preserve">The remaining question was not addressed as these conditions </w:t>
      </w:r>
      <w:r>
        <w:t>required to generate blackwater were not present in the Edward/Kolety-Wakool River system during this 2019-20 water year.</w:t>
      </w:r>
    </w:p>
    <w:p w14:paraId="47BB970B" w14:textId="77777777" w:rsidR="00784A1F" w:rsidRDefault="00784A1F" w:rsidP="00784A1F">
      <w:pPr>
        <w:pStyle w:val="ListParagraph"/>
        <w:numPr>
          <w:ilvl w:val="0"/>
          <w:numId w:val="14"/>
        </w:numPr>
        <w:spacing w:after="120" w:line="259" w:lineRule="auto"/>
        <w:ind w:left="426" w:hanging="426"/>
        <w:contextualSpacing/>
        <w:jc w:val="left"/>
      </w:pPr>
      <w:r w:rsidRPr="00BF644A">
        <w:t>What did Commonwealth environmental water contribute to reducing the impact of hypoxic blackwater or other adverse water quality events in the system?</w:t>
      </w:r>
    </w:p>
    <w:p w14:paraId="029E4D34" w14:textId="77777777" w:rsidR="00784A1F" w:rsidRPr="00BF644A" w:rsidRDefault="00784A1F" w:rsidP="00784A1F">
      <w:pPr>
        <w:spacing w:after="120" w:line="259" w:lineRule="auto"/>
        <w:jc w:val="left"/>
        <w:rPr>
          <w:rFonts w:cs="Calibri"/>
          <w:b/>
          <w:i/>
          <w:color w:val="31849B"/>
        </w:rPr>
      </w:pPr>
      <w:r w:rsidRPr="00BF644A">
        <w:rPr>
          <w:rFonts w:cs="Calibri"/>
          <w:b/>
          <w:i/>
          <w:color w:val="31849B"/>
        </w:rPr>
        <w:t xml:space="preserve">Links to other indicators </w:t>
      </w:r>
    </w:p>
    <w:p w14:paraId="0E046CF4" w14:textId="77777777" w:rsidR="00784A1F" w:rsidRPr="002B72B4" w:rsidRDefault="00784A1F" w:rsidP="00784A1F">
      <w:pPr>
        <w:autoSpaceDE w:val="0"/>
        <w:autoSpaceDN w:val="0"/>
        <w:adjustRightInd w:val="0"/>
        <w:spacing w:after="120" w:line="259" w:lineRule="auto"/>
        <w:jc w:val="left"/>
        <w:rPr>
          <w:rFonts w:cs="Calibri"/>
          <w:color w:val="000000"/>
        </w:rPr>
      </w:pPr>
      <w:r w:rsidRPr="002B72B4">
        <w:rPr>
          <w:rFonts w:cs="Calibri"/>
          <w:color w:val="000000"/>
        </w:rPr>
        <w:t>Water quality and river flows are fundamentally linked. Water quality can be positively and negatively influenced by river flows and this can directly or indirectly influence productivity, aquatic vegetation and aq</w:t>
      </w:r>
      <w:r>
        <w:rPr>
          <w:rFonts w:cs="Calibri"/>
          <w:color w:val="000000"/>
        </w:rPr>
        <w:t>uatic organisms including fish.</w:t>
      </w:r>
    </w:p>
    <w:p w14:paraId="5AD494CC" w14:textId="77777777" w:rsidR="00784A1F" w:rsidRPr="002B72B4" w:rsidRDefault="00784A1F" w:rsidP="00784A1F">
      <w:pPr>
        <w:autoSpaceDE w:val="0"/>
        <w:autoSpaceDN w:val="0"/>
        <w:adjustRightInd w:val="0"/>
        <w:spacing w:after="120" w:line="259" w:lineRule="auto"/>
        <w:jc w:val="left"/>
        <w:rPr>
          <w:rFonts w:cs="Calibri"/>
        </w:rPr>
      </w:pPr>
      <w:r w:rsidRPr="002B72B4">
        <w:rPr>
          <w:color w:val="000000" w:themeColor="text1"/>
        </w:rPr>
        <w:t xml:space="preserve">Small inputs of DOC to the river can </w:t>
      </w:r>
      <w:r>
        <w:rPr>
          <w:color w:val="000000" w:themeColor="text1"/>
        </w:rPr>
        <w:t>support</w:t>
      </w:r>
      <w:r w:rsidRPr="002B72B4">
        <w:rPr>
          <w:color w:val="000000" w:themeColor="text1"/>
        </w:rPr>
        <w:t xml:space="preserve"> microbial productivity which become available </w:t>
      </w:r>
      <w:r>
        <w:rPr>
          <w:color w:val="000000" w:themeColor="text1"/>
        </w:rPr>
        <w:t xml:space="preserve">as </w:t>
      </w:r>
      <w:r w:rsidRPr="002B72B4">
        <w:rPr>
          <w:color w:val="000000" w:themeColor="text1"/>
        </w:rPr>
        <w:t xml:space="preserve">food for aquatic organisms such as </w:t>
      </w:r>
      <w:r>
        <w:rPr>
          <w:color w:val="000000" w:themeColor="text1"/>
        </w:rPr>
        <w:t xml:space="preserve">fish. As mentioned in Section 6, </w:t>
      </w:r>
      <w:r w:rsidRPr="002B72B4">
        <w:rPr>
          <w:color w:val="000000" w:themeColor="text1"/>
        </w:rPr>
        <w:t xml:space="preserve">watering actions in 2019-20 water year had a beneficial effect on stream metabolism. Small pulses of DOC were </w:t>
      </w:r>
      <w:r w:rsidRPr="00DA55F9">
        <w:t xml:space="preserve">introduced to the Edward/Kolety-Wakool River system over watering action events in 2019-2020. Input of DOC </w:t>
      </w:r>
      <w:r>
        <w:t xml:space="preserve">to the river system </w:t>
      </w:r>
      <w:r w:rsidRPr="00DA55F9">
        <w:t xml:space="preserve">during watering action 3 was more than in watering action 1, </w:t>
      </w:r>
      <w:r>
        <w:t xml:space="preserve">because </w:t>
      </w:r>
      <w:r w:rsidRPr="00DA55F9">
        <w:t>h</w:t>
      </w:r>
      <w:r w:rsidRPr="002B72B4">
        <w:rPr>
          <w:rFonts w:cs="Calibri"/>
        </w:rPr>
        <w:t>igh</w:t>
      </w:r>
      <w:r>
        <w:rPr>
          <w:rFonts w:cs="Calibri"/>
        </w:rPr>
        <w:t>er</w:t>
      </w:r>
      <w:r w:rsidRPr="002B72B4">
        <w:rPr>
          <w:rFonts w:cs="Calibri"/>
        </w:rPr>
        <w:t xml:space="preserve"> flow events can result in exchange of large amounts of nutrients and carbon between the river and the </w:t>
      </w:r>
      <w:r>
        <w:rPr>
          <w:rFonts w:cs="Calibri"/>
        </w:rPr>
        <w:t>in-channel geomorphic features</w:t>
      </w:r>
      <w:r w:rsidRPr="002B72B4">
        <w:rPr>
          <w:rFonts w:cs="Calibri"/>
        </w:rPr>
        <w:t xml:space="preserve">. </w:t>
      </w:r>
      <w:r w:rsidRPr="009646D1">
        <w:t>This corresponds with that carbon production and consumption during watering action 3 was higher than in watering action 1.</w:t>
      </w:r>
      <w:r w:rsidRPr="002B72B4">
        <w:rPr>
          <w:rFonts w:cs="Calibri"/>
        </w:rPr>
        <w:t xml:space="preserve"> Under certain temperature and flow conditions the input of DOC from large scale events can have the positive outcome of increasing productivity in the river ecosystem.</w:t>
      </w:r>
      <w:r>
        <w:rPr>
          <w:rFonts w:cs="Calibri"/>
        </w:rPr>
        <w:t xml:space="preserve"> </w:t>
      </w:r>
      <w:r w:rsidRPr="002B72B4">
        <w:rPr>
          <w:rFonts w:cs="Calibri"/>
        </w:rPr>
        <w:t xml:space="preserve">However, large scale events also have the potential to result in negative outcomes. For example, an extensive unregulated overbank flooding event in 2016 inundated the Edward/Kolety-Wakool floodplain (including forested areas, cropping and grazing land and urban areas) and introduced considerable quantities of DOC into the river system, causing a widespread hypoxic blackwater event that resulted in the death of native fish. </w:t>
      </w:r>
    </w:p>
    <w:p w14:paraId="6665B7B9" w14:textId="77777777" w:rsidR="00421736" w:rsidRDefault="00421736" w:rsidP="00421736">
      <w:pPr>
        <w:spacing w:after="0" w:line="240" w:lineRule="auto"/>
        <w:rPr>
          <w:rFonts w:eastAsia="Times New Roman"/>
          <w:b/>
          <w:smallCaps/>
          <w:noProof/>
          <w:color w:val="31849B" w:themeColor="accent5" w:themeShade="BF"/>
          <w:spacing w:val="5"/>
          <w:sz w:val="40"/>
          <w:szCs w:val="40"/>
          <w:lang w:val="en-US" w:eastAsia="en-AU"/>
        </w:rPr>
      </w:pPr>
      <w:r>
        <w:br w:type="page"/>
      </w:r>
    </w:p>
    <w:p w14:paraId="3B4F894C" w14:textId="365B44A8" w:rsidR="00256D83" w:rsidRDefault="00752788" w:rsidP="00836CDD">
      <w:pPr>
        <w:pStyle w:val="Heading1"/>
      </w:pPr>
      <w:bookmarkStart w:id="22" w:name="_Toc69846018"/>
      <w:r>
        <w:t>6</w:t>
      </w:r>
      <w:r w:rsidR="00975EDA">
        <w:tab/>
      </w:r>
      <w:r w:rsidR="006624ED">
        <w:t>S</w:t>
      </w:r>
      <w:r w:rsidR="0075648F" w:rsidRPr="00953E68">
        <w:t>tream metabolism</w:t>
      </w:r>
      <w:bookmarkEnd w:id="22"/>
    </w:p>
    <w:p w14:paraId="7ED2A8ED" w14:textId="63AD2B89" w:rsidR="0046477B" w:rsidRPr="0046477B" w:rsidRDefault="00A30448" w:rsidP="0046477B">
      <w:pPr>
        <w:rPr>
          <w:lang w:val="en-US" w:eastAsia="en-AU"/>
        </w:rPr>
      </w:pPr>
      <w:r>
        <w:rPr>
          <w:lang w:val="en-US" w:eastAsia="en-AU"/>
        </w:rPr>
        <w:t xml:space="preserve">Authors: </w:t>
      </w:r>
      <w:r w:rsidR="0046477B">
        <w:rPr>
          <w:lang w:val="en-US" w:eastAsia="en-AU"/>
        </w:rPr>
        <w:t>Nick Bond and Andre Siebers</w:t>
      </w:r>
    </w:p>
    <w:tbl>
      <w:tblPr>
        <w:tblStyle w:val="TableGrid"/>
        <w:tblW w:w="8926" w:type="dxa"/>
        <w:tblLayout w:type="fixed"/>
        <w:tblLook w:val="04A0" w:firstRow="1" w:lastRow="0" w:firstColumn="1" w:lastColumn="0" w:noHBand="0" w:noVBand="1"/>
      </w:tblPr>
      <w:tblGrid>
        <w:gridCol w:w="1975"/>
        <w:gridCol w:w="6951"/>
      </w:tblGrid>
      <w:tr w:rsidR="00F4185A" w:rsidRPr="00A4337E" w14:paraId="748728EA" w14:textId="77777777" w:rsidTr="00675B7A">
        <w:trPr>
          <w:trHeight w:val="725"/>
        </w:trPr>
        <w:tc>
          <w:tcPr>
            <w:tcW w:w="8926" w:type="dxa"/>
            <w:gridSpan w:val="2"/>
            <w:shd w:val="clear" w:color="auto" w:fill="31849B" w:themeFill="accent5" w:themeFillShade="BF"/>
          </w:tcPr>
          <w:p w14:paraId="7587C46B" w14:textId="4EB00FED" w:rsidR="00F4185A" w:rsidRPr="00A4337E" w:rsidRDefault="00F4185A" w:rsidP="00F4185A">
            <w:pPr>
              <w:autoSpaceDE w:val="0"/>
              <w:autoSpaceDN w:val="0"/>
              <w:adjustRightInd w:val="0"/>
              <w:spacing w:before="120" w:after="120" w:line="240" w:lineRule="auto"/>
              <w:jc w:val="left"/>
              <w:rPr>
                <w:rFonts w:asciiTheme="minorHAnsi" w:hAnsiTheme="minorHAnsi" w:cstheme="minorHAnsi"/>
                <w:szCs w:val="22"/>
              </w:rPr>
            </w:pPr>
            <w:r w:rsidRPr="00F4185A">
              <w:rPr>
                <w:b/>
                <w:color w:val="FFFFFF" w:themeColor="background1"/>
                <w:sz w:val="32"/>
                <w:szCs w:val="32"/>
              </w:rPr>
              <w:t>Key findings</w:t>
            </w:r>
          </w:p>
        </w:tc>
      </w:tr>
      <w:tr w:rsidR="00F4185A" w:rsidRPr="002C22DB" w14:paraId="6490B214" w14:textId="77777777" w:rsidTr="00675B7A">
        <w:trPr>
          <w:trHeight w:val="815"/>
        </w:trPr>
        <w:tc>
          <w:tcPr>
            <w:tcW w:w="1975" w:type="dxa"/>
            <w:shd w:val="clear" w:color="auto" w:fill="B6DDE8" w:themeFill="accent5" w:themeFillTint="66"/>
          </w:tcPr>
          <w:p w14:paraId="00399684" w14:textId="2D239C69" w:rsidR="00F4185A" w:rsidRPr="00F4185A" w:rsidRDefault="00F4185A" w:rsidP="003354A4">
            <w:pPr>
              <w:autoSpaceDE w:val="0"/>
              <w:autoSpaceDN w:val="0"/>
              <w:adjustRightInd w:val="0"/>
              <w:spacing w:after="0" w:line="240" w:lineRule="auto"/>
              <w:jc w:val="left"/>
              <w:rPr>
                <w:b/>
                <w:szCs w:val="22"/>
              </w:rPr>
            </w:pPr>
            <w:r w:rsidRPr="00F4185A">
              <w:rPr>
                <w:b/>
                <w:szCs w:val="22"/>
              </w:rPr>
              <w:t>Gross Primary Production</w:t>
            </w:r>
            <w:r w:rsidR="00E60C97">
              <w:rPr>
                <w:b/>
                <w:szCs w:val="22"/>
              </w:rPr>
              <w:t xml:space="preserve"> (GPP)</w:t>
            </w:r>
          </w:p>
        </w:tc>
        <w:tc>
          <w:tcPr>
            <w:tcW w:w="6951" w:type="dxa"/>
          </w:tcPr>
          <w:p w14:paraId="67C760D0" w14:textId="77777777" w:rsidR="004D4DBD" w:rsidRDefault="005D0C92" w:rsidP="00560C01">
            <w:pPr>
              <w:autoSpaceDE w:val="0"/>
              <w:autoSpaceDN w:val="0"/>
              <w:adjustRightInd w:val="0"/>
              <w:spacing w:before="120" w:after="120" w:line="240" w:lineRule="auto"/>
              <w:jc w:val="left"/>
              <w:rPr>
                <w:szCs w:val="22"/>
              </w:rPr>
            </w:pPr>
            <w:r>
              <w:rPr>
                <w:szCs w:val="22"/>
              </w:rPr>
              <w:t>Watering actions did not substantially affect areal rates of gross primary productivity (GPP)(mg O</w:t>
            </w:r>
            <w:r w:rsidRPr="00926304">
              <w:rPr>
                <w:szCs w:val="22"/>
                <w:vertAlign w:val="subscript"/>
              </w:rPr>
              <w:t>2</w:t>
            </w:r>
            <w:r>
              <w:rPr>
                <w:szCs w:val="22"/>
              </w:rPr>
              <w:t>/m</w:t>
            </w:r>
            <w:r w:rsidRPr="00926304">
              <w:rPr>
                <w:szCs w:val="22"/>
                <w:vertAlign w:val="superscript"/>
              </w:rPr>
              <w:t>2</w:t>
            </w:r>
            <w:r>
              <w:rPr>
                <w:szCs w:val="22"/>
              </w:rPr>
              <w:t xml:space="preserve">/day), which largely followed seasonal trends. </w:t>
            </w:r>
            <w:r w:rsidRPr="00FD54D5">
              <w:rPr>
                <w:szCs w:val="22"/>
              </w:rPr>
              <w:t xml:space="preserve">However, when GPP was calculated as the amount of organic carbon (‘fish food’) produced per day (kg C/day) then watering actions </w:t>
            </w:r>
            <w:r>
              <w:rPr>
                <w:szCs w:val="22"/>
              </w:rPr>
              <w:t>were shown to have</w:t>
            </w:r>
            <w:r w:rsidRPr="00FD54D5">
              <w:rPr>
                <w:szCs w:val="22"/>
              </w:rPr>
              <w:t xml:space="preserve"> a beneficial effect (more ‘food’ is better)</w:t>
            </w:r>
            <w:r>
              <w:rPr>
                <w:szCs w:val="22"/>
              </w:rPr>
              <w:t>.</w:t>
            </w:r>
            <w:r w:rsidRPr="00FD54D5">
              <w:rPr>
                <w:szCs w:val="22"/>
              </w:rPr>
              <w:t xml:space="preserve"> The size of the beneficial impact was largely related to the proportion of total flow that came from the watering action</w:t>
            </w:r>
            <w:r>
              <w:rPr>
                <w:szCs w:val="22"/>
              </w:rPr>
              <w:t>, with greater proportional effects of environmental water in winter low-flow periods. C</w:t>
            </w:r>
            <w:r w:rsidRPr="000A6F6F">
              <w:rPr>
                <w:szCs w:val="22"/>
              </w:rPr>
              <w:t>arbon production was enhanced by between 1</w:t>
            </w:r>
            <w:r>
              <w:rPr>
                <w:szCs w:val="22"/>
              </w:rPr>
              <w:t>5</w:t>
            </w:r>
            <w:r w:rsidRPr="000A6F6F">
              <w:rPr>
                <w:szCs w:val="22"/>
              </w:rPr>
              <w:t>% and 2</w:t>
            </w:r>
            <w:r>
              <w:rPr>
                <w:szCs w:val="22"/>
              </w:rPr>
              <w:t>7</w:t>
            </w:r>
            <w:r w:rsidRPr="000A6F6F">
              <w:rPr>
                <w:szCs w:val="22"/>
              </w:rPr>
              <w:t xml:space="preserve">8% </w:t>
            </w:r>
            <w:r>
              <w:rPr>
                <w:szCs w:val="22"/>
              </w:rPr>
              <w:t>during the watering actions</w:t>
            </w:r>
            <w:r w:rsidRPr="000A6F6F">
              <w:rPr>
                <w:szCs w:val="22"/>
              </w:rPr>
              <w:t xml:space="preserve">, with a median across all sites and watering actions of </w:t>
            </w:r>
            <w:r>
              <w:rPr>
                <w:szCs w:val="22"/>
              </w:rPr>
              <w:t>50</w:t>
            </w:r>
            <w:r w:rsidRPr="000A6F6F">
              <w:rPr>
                <w:szCs w:val="22"/>
              </w:rPr>
              <w:t>% more carbon produced during Commonwealth environmental watering actions compared to no Commonwealth environmental water.</w:t>
            </w:r>
          </w:p>
          <w:p w14:paraId="3C500305" w14:textId="560A2290" w:rsidR="00675B7A" w:rsidRPr="004D4DBD" w:rsidRDefault="00675B7A" w:rsidP="00560C01">
            <w:pPr>
              <w:autoSpaceDE w:val="0"/>
              <w:autoSpaceDN w:val="0"/>
              <w:adjustRightInd w:val="0"/>
              <w:spacing w:before="120" w:after="120" w:line="240" w:lineRule="auto"/>
              <w:jc w:val="left"/>
              <w:rPr>
                <w:rFonts w:asciiTheme="minorHAnsi" w:hAnsiTheme="minorHAnsi" w:cstheme="minorHAnsi"/>
                <w:szCs w:val="22"/>
                <w:highlight w:val="yellow"/>
              </w:rPr>
            </w:pPr>
          </w:p>
        </w:tc>
      </w:tr>
      <w:tr w:rsidR="00F4185A" w:rsidRPr="00A4337E" w14:paraId="44F54DBE" w14:textId="77777777" w:rsidTr="00675B7A">
        <w:trPr>
          <w:trHeight w:val="1098"/>
        </w:trPr>
        <w:tc>
          <w:tcPr>
            <w:tcW w:w="1975" w:type="dxa"/>
            <w:shd w:val="clear" w:color="auto" w:fill="B6DDE8" w:themeFill="accent5" w:themeFillTint="66"/>
          </w:tcPr>
          <w:p w14:paraId="1E0C9AA2" w14:textId="1BAA5729" w:rsidR="00F4185A" w:rsidRPr="00F4185A" w:rsidRDefault="00F4185A" w:rsidP="003354A4">
            <w:pPr>
              <w:autoSpaceDE w:val="0"/>
              <w:autoSpaceDN w:val="0"/>
              <w:adjustRightInd w:val="0"/>
              <w:spacing w:after="0" w:line="240" w:lineRule="auto"/>
              <w:jc w:val="left"/>
              <w:rPr>
                <w:b/>
                <w:szCs w:val="22"/>
              </w:rPr>
            </w:pPr>
            <w:r w:rsidRPr="00F4185A">
              <w:rPr>
                <w:b/>
                <w:szCs w:val="22"/>
              </w:rPr>
              <w:t>Ecosystem Respiration</w:t>
            </w:r>
            <w:r w:rsidR="00E60C97">
              <w:rPr>
                <w:b/>
                <w:szCs w:val="22"/>
              </w:rPr>
              <w:t xml:space="preserve"> (ER)</w:t>
            </w:r>
          </w:p>
        </w:tc>
        <w:tc>
          <w:tcPr>
            <w:tcW w:w="6951" w:type="dxa"/>
          </w:tcPr>
          <w:p w14:paraId="64950BDF" w14:textId="5A3E52A5" w:rsidR="00F4185A" w:rsidRPr="004D4DBD" w:rsidRDefault="005D0C92">
            <w:pPr>
              <w:autoSpaceDE w:val="0"/>
              <w:autoSpaceDN w:val="0"/>
              <w:adjustRightInd w:val="0"/>
              <w:spacing w:before="120" w:after="120" w:line="240" w:lineRule="auto"/>
              <w:jc w:val="left"/>
              <w:rPr>
                <w:rFonts w:asciiTheme="minorHAnsi" w:hAnsiTheme="minorHAnsi" w:cstheme="minorHAnsi"/>
                <w:szCs w:val="22"/>
                <w:highlight w:val="yellow"/>
              </w:rPr>
            </w:pPr>
            <w:r>
              <w:rPr>
                <w:szCs w:val="22"/>
              </w:rPr>
              <w:t>As with GPP, areal rates of ecosystem respiration (ER)(mg O</w:t>
            </w:r>
            <w:r w:rsidRPr="00926304">
              <w:rPr>
                <w:szCs w:val="22"/>
                <w:vertAlign w:val="subscript"/>
              </w:rPr>
              <w:t>2</w:t>
            </w:r>
            <w:r>
              <w:rPr>
                <w:szCs w:val="22"/>
              </w:rPr>
              <w:t>/m</w:t>
            </w:r>
            <w:r w:rsidRPr="00926304">
              <w:rPr>
                <w:szCs w:val="22"/>
                <w:vertAlign w:val="superscript"/>
              </w:rPr>
              <w:t>2</w:t>
            </w:r>
            <w:r>
              <w:rPr>
                <w:szCs w:val="22"/>
              </w:rPr>
              <w:t xml:space="preserve">/day) were largely driven by seasonal trends. However, when ER was calculated as the amount of organic carbon consumed per day (kg C/day), then watering actions had a beneficial effect. A higher amount of organic carbon consumed means more nutrient recycling and hence greater nutrient supply to fuel GPP. Carbon consumption </w:t>
            </w:r>
            <w:r w:rsidRPr="000A6F6F">
              <w:rPr>
                <w:szCs w:val="22"/>
              </w:rPr>
              <w:t>was enhanced by between 1</w:t>
            </w:r>
            <w:r>
              <w:rPr>
                <w:szCs w:val="22"/>
              </w:rPr>
              <w:t>8</w:t>
            </w:r>
            <w:r w:rsidRPr="000A6F6F">
              <w:rPr>
                <w:szCs w:val="22"/>
              </w:rPr>
              <w:t>% and 2</w:t>
            </w:r>
            <w:r>
              <w:rPr>
                <w:szCs w:val="22"/>
              </w:rPr>
              <w:t>63</w:t>
            </w:r>
            <w:r w:rsidRPr="000A6F6F">
              <w:rPr>
                <w:szCs w:val="22"/>
              </w:rPr>
              <w:t xml:space="preserve">% </w:t>
            </w:r>
            <w:r>
              <w:rPr>
                <w:szCs w:val="22"/>
              </w:rPr>
              <w:t>during the watering actions</w:t>
            </w:r>
            <w:r w:rsidRPr="000A6F6F">
              <w:rPr>
                <w:szCs w:val="22"/>
              </w:rPr>
              <w:t xml:space="preserve">, with a median across all sites and watering actions of </w:t>
            </w:r>
            <w:r>
              <w:rPr>
                <w:szCs w:val="22"/>
              </w:rPr>
              <w:t>51</w:t>
            </w:r>
            <w:r w:rsidRPr="000A6F6F">
              <w:rPr>
                <w:szCs w:val="22"/>
              </w:rPr>
              <w:t xml:space="preserve">% more carbon </w:t>
            </w:r>
            <w:r>
              <w:rPr>
                <w:szCs w:val="22"/>
              </w:rPr>
              <w:t>consumed</w:t>
            </w:r>
            <w:r w:rsidRPr="000A6F6F">
              <w:rPr>
                <w:szCs w:val="22"/>
              </w:rPr>
              <w:t xml:space="preserve"> during Commonwealth environmental watering actions compared to no Commonwealth environmental water.</w:t>
            </w:r>
          </w:p>
        </w:tc>
      </w:tr>
    </w:tbl>
    <w:p w14:paraId="3D447D60" w14:textId="77777777" w:rsidR="004D4DBD" w:rsidRDefault="004D4DBD" w:rsidP="00F4185A">
      <w:pPr>
        <w:spacing w:after="120" w:line="320" w:lineRule="exact"/>
        <w:jc w:val="left"/>
        <w:rPr>
          <w:b/>
          <w:color w:val="31849B" w:themeColor="accent5" w:themeShade="BF"/>
          <w:sz w:val="28"/>
          <w:szCs w:val="28"/>
        </w:rPr>
      </w:pPr>
    </w:p>
    <w:p w14:paraId="321BE6D4" w14:textId="77777777" w:rsidR="005D0C92" w:rsidRDefault="005D0C92" w:rsidP="005D0C92">
      <w:pPr>
        <w:spacing w:after="120" w:line="259" w:lineRule="auto"/>
        <w:rPr>
          <w:rFonts w:cstheme="minorHAnsi"/>
          <w:b/>
          <w:color w:val="31849B"/>
          <w:sz w:val="28"/>
          <w:szCs w:val="28"/>
        </w:rPr>
      </w:pPr>
      <w:r>
        <w:rPr>
          <w:rFonts w:cstheme="minorHAnsi"/>
          <w:b/>
          <w:color w:val="31849B"/>
          <w:sz w:val="28"/>
          <w:szCs w:val="28"/>
        </w:rPr>
        <w:t>6.1 Background</w:t>
      </w:r>
    </w:p>
    <w:p w14:paraId="737317B9" w14:textId="77777777" w:rsidR="005D0C92" w:rsidRPr="00F633F1" w:rsidRDefault="005D0C92" w:rsidP="005D0C92">
      <w:pPr>
        <w:spacing w:after="120" w:line="259" w:lineRule="auto"/>
        <w:jc w:val="left"/>
        <w:rPr>
          <w:bCs/>
          <w:szCs w:val="22"/>
        </w:rPr>
      </w:pPr>
      <w:r w:rsidRPr="00F633F1">
        <w:rPr>
          <w:bCs/>
          <w:szCs w:val="22"/>
        </w:rPr>
        <w:t xml:space="preserve">Whole stream metabolism measures the production and consumption of </w:t>
      </w:r>
      <w:r>
        <w:rPr>
          <w:bCs/>
          <w:szCs w:val="22"/>
        </w:rPr>
        <w:t>dissolved oxygen (</w:t>
      </w:r>
      <w:r w:rsidRPr="00F633F1">
        <w:rPr>
          <w:bCs/>
          <w:szCs w:val="22"/>
        </w:rPr>
        <w:t>DO</w:t>
      </w:r>
      <w:r>
        <w:rPr>
          <w:bCs/>
          <w:szCs w:val="22"/>
        </w:rPr>
        <w:t>)</w:t>
      </w:r>
      <w:r w:rsidRPr="00F633F1">
        <w:rPr>
          <w:bCs/>
          <w:szCs w:val="22"/>
        </w:rPr>
        <w:t xml:space="preserve"> gas, which occur</w:t>
      </w:r>
      <w:r>
        <w:rPr>
          <w:bCs/>
          <w:szCs w:val="22"/>
        </w:rPr>
        <w:t xml:space="preserve"> </w:t>
      </w:r>
      <w:r w:rsidRPr="00F633F1">
        <w:rPr>
          <w:bCs/>
          <w:szCs w:val="22"/>
        </w:rPr>
        <w:t>as a result of the key ecological processes of photosynthesis and respiration (Odum 1956). Healthy aquatic ecosystems need both processes to generate new biomass, which becomes food for organisms higher up the food chain, and to break down plant and animal detritus and to recycle nutrients to enable growth to occur. Hence metabolism assesses the energy base underpinning aquatic food webs. The relationships between these processes are shown in Figure 6.1.</w:t>
      </w:r>
    </w:p>
    <w:p w14:paraId="216203B4" w14:textId="77777777" w:rsidR="005D0C92" w:rsidRDefault="005D0C92" w:rsidP="005D0C92">
      <w:pPr>
        <w:spacing w:after="120" w:line="259" w:lineRule="auto"/>
        <w:jc w:val="center"/>
        <w:rPr>
          <w:bCs/>
          <w:color w:val="31849B" w:themeColor="accent5" w:themeShade="BF"/>
          <w:szCs w:val="22"/>
        </w:rPr>
      </w:pPr>
      <w:r>
        <w:rPr>
          <w:b/>
          <w:noProof/>
          <w:color w:val="31849B" w:themeColor="accent5" w:themeShade="BF"/>
          <w:sz w:val="28"/>
          <w:szCs w:val="28"/>
          <w:lang w:eastAsia="en-AU"/>
        </w:rPr>
        <w:drawing>
          <wp:inline distT="0" distB="0" distL="0" distR="0" wp14:anchorId="6EA24C00" wp14:editId="634A93E2">
            <wp:extent cx="4000618" cy="20839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179462" cy="2177144"/>
                    </a:xfrm>
                    <a:prstGeom prst="rect">
                      <a:avLst/>
                    </a:prstGeom>
                    <a:noFill/>
                  </pic:spPr>
                </pic:pic>
              </a:graphicData>
            </a:graphic>
          </wp:inline>
        </w:drawing>
      </w:r>
    </w:p>
    <w:p w14:paraId="4834CEA8" w14:textId="77777777" w:rsidR="005D0C92" w:rsidRDefault="005D0C92" w:rsidP="005D0C92">
      <w:pPr>
        <w:spacing w:after="120" w:line="259" w:lineRule="auto"/>
        <w:jc w:val="left"/>
        <w:rPr>
          <w:bCs/>
          <w:sz w:val="20"/>
        </w:rPr>
      </w:pPr>
      <w:r w:rsidRPr="006876F8">
        <w:rPr>
          <w:b/>
          <w:sz w:val="20"/>
        </w:rPr>
        <w:t xml:space="preserve">Figure 6.1 </w:t>
      </w:r>
      <w:r w:rsidRPr="006876F8">
        <w:rPr>
          <w:bCs/>
          <w:sz w:val="20"/>
        </w:rPr>
        <w:t>Relationships between photosynthesis, respiration, organic matter, dissolved gases and nutrients</w:t>
      </w:r>
    </w:p>
    <w:p w14:paraId="2CE8DAB3" w14:textId="77777777" w:rsidR="005D0C92" w:rsidRPr="006876F8" w:rsidRDefault="005D0C92" w:rsidP="005D0C92">
      <w:pPr>
        <w:spacing w:after="120" w:line="259" w:lineRule="auto"/>
        <w:jc w:val="left"/>
        <w:rPr>
          <w:bCs/>
          <w:sz w:val="20"/>
        </w:rPr>
      </w:pPr>
    </w:p>
    <w:p w14:paraId="7C1ACC6E" w14:textId="77777777" w:rsidR="005D0C92" w:rsidRPr="00C41F95" w:rsidRDefault="005D0C92" w:rsidP="005D0C92">
      <w:pPr>
        <w:spacing w:after="120" w:line="259" w:lineRule="auto"/>
        <w:jc w:val="left"/>
        <w:rPr>
          <w:bCs/>
          <w:szCs w:val="22"/>
        </w:rPr>
      </w:pPr>
      <w:r w:rsidRPr="00C41F95">
        <w:rPr>
          <w:bCs/>
          <w:szCs w:val="22"/>
        </w:rPr>
        <w:t>Metabolism is expressed as the increase through photosynthesis or decrease through respiration of DO concentration over a given time frame; most commonly expressed as the change in milligrams of DO per litre per day (mg O</w:t>
      </w:r>
      <w:r w:rsidRPr="00C66692">
        <w:rPr>
          <w:bCs/>
          <w:szCs w:val="22"/>
          <w:vertAlign w:val="subscript"/>
        </w:rPr>
        <w:t>2</w:t>
      </w:r>
      <w:r w:rsidRPr="00C41F95">
        <w:rPr>
          <w:bCs/>
          <w:szCs w:val="22"/>
        </w:rPr>
        <w:t>/L/</w:t>
      </w:r>
      <w:r>
        <w:rPr>
          <w:bCs/>
          <w:szCs w:val="22"/>
        </w:rPr>
        <w:t>d</w:t>
      </w:r>
      <w:r w:rsidRPr="00C41F95">
        <w:rPr>
          <w:bCs/>
          <w:szCs w:val="22"/>
        </w:rPr>
        <w:t>ay). Typical rates of primary production and ER range over two orders of magnitude, from around 0.2 to 20 mg O</w:t>
      </w:r>
      <w:r w:rsidRPr="00765A17">
        <w:rPr>
          <w:bCs/>
          <w:szCs w:val="22"/>
          <w:vertAlign w:val="subscript"/>
        </w:rPr>
        <w:t>2</w:t>
      </w:r>
      <w:r w:rsidRPr="00C41F95">
        <w:rPr>
          <w:bCs/>
          <w:szCs w:val="22"/>
        </w:rPr>
        <w:t>/L/</w:t>
      </w:r>
      <w:r>
        <w:rPr>
          <w:bCs/>
          <w:szCs w:val="22"/>
        </w:rPr>
        <w:t>d</w:t>
      </w:r>
      <w:r w:rsidRPr="00C41F95">
        <w:rPr>
          <w:bCs/>
          <w:szCs w:val="22"/>
        </w:rPr>
        <w:t>ay</w:t>
      </w:r>
      <w:r>
        <w:rPr>
          <w:bCs/>
          <w:szCs w:val="22"/>
        </w:rPr>
        <w:t>,</w:t>
      </w:r>
      <w:r w:rsidRPr="00C41F95">
        <w:rPr>
          <w:bCs/>
          <w:szCs w:val="22"/>
        </w:rPr>
        <w:t xml:space="preserve"> with most measurements falling between 2–20 mg O</w:t>
      </w:r>
      <w:r w:rsidRPr="00765A17">
        <w:rPr>
          <w:bCs/>
          <w:szCs w:val="22"/>
          <w:vertAlign w:val="subscript"/>
        </w:rPr>
        <w:t>2</w:t>
      </w:r>
      <w:r w:rsidRPr="00C41F95">
        <w:rPr>
          <w:bCs/>
          <w:szCs w:val="22"/>
        </w:rPr>
        <w:t>/L/</w:t>
      </w:r>
      <w:r>
        <w:rPr>
          <w:bCs/>
          <w:szCs w:val="22"/>
        </w:rPr>
        <w:t>d</w:t>
      </w:r>
      <w:r w:rsidRPr="00C41F95">
        <w:rPr>
          <w:bCs/>
          <w:szCs w:val="22"/>
        </w:rPr>
        <w:t>ay</w:t>
      </w:r>
      <w:r>
        <w:rPr>
          <w:bCs/>
          <w:szCs w:val="22"/>
        </w:rPr>
        <w:t xml:space="preserve"> </w:t>
      </w:r>
      <w:r>
        <w:rPr>
          <w:bCs/>
          <w:szCs w:val="22"/>
        </w:rPr>
        <w:fldChar w:fldCharType="begin">
          <w:fldData xml:space="preserve">PEVuZE5vdGU+PENpdGU+PEF1dGhvcj5CZXJub3Q8L0F1dGhvcj48WWVhcj4yMDEwPC9ZZWFyPjxS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</w:fldData>
        </w:fldChar>
      </w:r>
      <w:r>
        <w:rPr>
          <w:bCs/>
          <w:szCs w:val="22"/>
        </w:rPr>
        <w:instrText xml:space="preserve"> ADDIN EN.CITE </w:instrText>
      </w:r>
      <w:r>
        <w:rPr>
          <w:bCs/>
          <w:szCs w:val="22"/>
        </w:rPr>
        <w:fldChar w:fldCharType="begin">
          <w:fldData xml:space="preserve">PEVuZE5vdGU+PENpdGU+PEF1dGhvcj5CZXJub3Q8L0F1dGhvcj48WWVhcj4yMDEwPC9ZZWFyPjxS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</w:fldData>
        </w:fldChar>
      </w:r>
      <w:r>
        <w:rPr>
          <w:bCs/>
          <w:szCs w:val="22"/>
        </w:rPr>
        <w:instrText xml:space="preserve"> ADDIN EN.CITE.DATA </w:instrText>
      </w:r>
      <w:r>
        <w:rPr>
          <w:bCs/>
          <w:szCs w:val="22"/>
        </w:rPr>
      </w:r>
      <w:r>
        <w:rPr>
          <w:bCs/>
          <w:szCs w:val="22"/>
        </w:rPr>
        <w:fldChar w:fldCharType="end"/>
      </w:r>
      <w:r>
        <w:rPr>
          <w:bCs/>
          <w:szCs w:val="22"/>
        </w:rPr>
      </w:r>
      <w:r>
        <w:rPr>
          <w:bCs/>
          <w:szCs w:val="22"/>
        </w:rPr>
        <w:fldChar w:fldCharType="separate"/>
      </w:r>
      <w:r>
        <w:rPr>
          <w:bCs/>
          <w:noProof/>
          <w:szCs w:val="22"/>
        </w:rPr>
        <w:t>(Bernot</w:t>
      </w:r>
      <w:r w:rsidRPr="00FE54A6">
        <w:rPr>
          <w:bCs/>
          <w:i/>
          <w:noProof/>
          <w:szCs w:val="22"/>
        </w:rPr>
        <w:t xml:space="preserve"> et al.</w:t>
      </w:r>
      <w:r>
        <w:rPr>
          <w:bCs/>
          <w:noProof/>
          <w:szCs w:val="22"/>
        </w:rPr>
        <w:t>, 2010; Marcarelli</w:t>
      </w:r>
      <w:r w:rsidRPr="00FE54A6">
        <w:rPr>
          <w:bCs/>
          <w:i/>
          <w:noProof/>
          <w:szCs w:val="22"/>
        </w:rPr>
        <w:t xml:space="preserve"> et al.</w:t>
      </w:r>
      <w:r>
        <w:rPr>
          <w:bCs/>
          <w:noProof/>
          <w:szCs w:val="22"/>
        </w:rPr>
        <w:t>, 2011)</w:t>
      </w:r>
      <w:r>
        <w:rPr>
          <w:bCs/>
          <w:szCs w:val="22"/>
        </w:rPr>
        <w:fldChar w:fldCharType="end"/>
      </w:r>
      <w:r w:rsidRPr="00C41F95">
        <w:rPr>
          <w:bCs/>
          <w:szCs w:val="22"/>
        </w:rPr>
        <w:t>.</w:t>
      </w:r>
    </w:p>
    <w:p w14:paraId="2B219C23" w14:textId="77777777" w:rsidR="005D0C92" w:rsidRPr="00C41F95" w:rsidRDefault="005D0C92" w:rsidP="005D0C92">
      <w:pPr>
        <w:spacing w:after="120" w:line="259" w:lineRule="auto"/>
        <w:jc w:val="left"/>
        <w:rPr>
          <w:bCs/>
          <w:szCs w:val="22"/>
        </w:rPr>
      </w:pPr>
      <w:r w:rsidRPr="00C41F95">
        <w:rPr>
          <w:bCs/>
          <w:szCs w:val="22"/>
        </w:rPr>
        <w:t>If process rates are too low, this will limit the amount of food resources (bacteria, algae and water plants) for consumers. This limitation will then constrain populations of larger organisms including fish and amphibians. Rates are expected to vary on a seasonal basis as warmer temperatures and more direct, and longer hours of, sunlight contribute to enhancing primary production during summer and into early autumn. Warmer temperatures and a supply of organic carbon usually result in higher rates of ER</w:t>
      </w:r>
      <w:bookmarkStart w:id="23" w:name="_Hlk53307834"/>
      <w:r>
        <w:rPr>
          <w:bCs/>
          <w:szCs w:val="22"/>
        </w:rPr>
        <w:t xml:space="preserve"> </w:t>
      </w:r>
      <w:r>
        <w:rPr>
          <w:bCs/>
          <w:szCs w:val="22"/>
        </w:rPr>
        <w:fldChar w:fldCharType="begin"/>
      </w:r>
      <w:r>
        <w:rPr>
          <w:bCs/>
          <w:szCs w:val="22"/>
        </w:rPr>
        <w:instrText xml:space="preserve"> ADDIN EN.CITE &lt;EndNote&gt;&lt;Cite&gt;&lt;Author&gt;Roberts&lt;/Author&gt;&lt;Year&gt;2007&lt;/Year&gt;&lt;RecNum&gt;33057&lt;/RecNum&gt;&lt;DisplayText&gt;(Roberts, Mulholland &amp;amp; Hill, 2007)&lt;/DisplayText&gt;&lt;record&gt;&lt;rec-number&gt;33057&lt;/rec-number&gt;&lt;foreign-keys&gt;&lt;key app="EN" db-id="5rpwxxxrw9t2apesze8vvdsi50f950fr5vv5" timestamp="1602388862"&gt;33057&lt;/key&gt;&lt;/foreign-keys&gt;&lt;ref-type name="Journal Article"&gt;17&lt;/ref-type&gt;&lt;contributors&gt;&lt;authors&gt;&lt;author&gt;Roberts, Brian J&lt;/author&gt;&lt;author&gt;Mulholland, Patrick J&lt;/author&gt;&lt;author&gt;Hill, Walter R&lt;/author&gt;&lt;/authors&gt;&lt;/contributors&gt;&lt;titles&gt;&lt;title&gt;Multiple scales of temporal variability in ecosystem metabolism rates: results from 2 years of continuous monitoring in a forested headwater stream&lt;/title&gt;&lt;secondary-title&gt;Ecosystems&lt;/secondary-title&gt;&lt;/titles&gt;&lt;periodical&gt;&lt;full-title&gt;Ecosystems&lt;/full-title&gt;&lt;/periodical&gt;&lt;pages&gt;588-606&lt;/pages&gt;&lt;volume&gt;10&lt;/volume&gt;&lt;number&gt;4&lt;/number&gt;&lt;dates&gt;&lt;year&gt;2007&lt;/year&gt;&lt;/dates&gt;&lt;isbn&gt;1432-9840&lt;/isbn&gt;&lt;urls&gt;&lt;/urls&gt;&lt;/record&gt;&lt;/Cite&gt;&lt;/EndNote&gt;</w:instrText>
      </w:r>
      <w:r>
        <w:rPr>
          <w:bCs/>
          <w:szCs w:val="22"/>
        </w:rPr>
        <w:fldChar w:fldCharType="separate"/>
      </w:r>
      <w:r>
        <w:rPr>
          <w:bCs/>
          <w:noProof/>
          <w:szCs w:val="22"/>
        </w:rPr>
        <w:t>(Roberts, Mulholland &amp; Hill, 2007)</w:t>
      </w:r>
      <w:r>
        <w:rPr>
          <w:bCs/>
          <w:szCs w:val="22"/>
        </w:rPr>
        <w:fldChar w:fldCharType="end"/>
      </w:r>
      <w:bookmarkEnd w:id="23"/>
      <w:r w:rsidRPr="00C41F95">
        <w:rPr>
          <w:bCs/>
          <w:szCs w:val="22"/>
        </w:rPr>
        <w:t>.</w:t>
      </w:r>
    </w:p>
    <w:p w14:paraId="436FAE13" w14:textId="77777777" w:rsidR="005D0C92" w:rsidRPr="00C41F95" w:rsidRDefault="005D0C92" w:rsidP="005D0C92">
      <w:pPr>
        <w:spacing w:after="120" w:line="259" w:lineRule="auto"/>
        <w:jc w:val="left"/>
        <w:rPr>
          <w:bCs/>
          <w:szCs w:val="22"/>
        </w:rPr>
      </w:pPr>
      <w:r w:rsidRPr="00C41F95">
        <w:rPr>
          <w:bCs/>
          <w:szCs w:val="22"/>
        </w:rPr>
        <w:t>In general, there is concern when process rates are too high. Greatly elevated primary production rates usually equate to algal bloom conditions or excessive growth of plants, which may block sunlight penetration, killing other submerged plants, produce algal toxins and large diel DO swings - overnight elevated respiration rates can decrease DO to the point of anoxia (no DO in the water). When an algal bloom collapses, the large biomass of labile organic material is respired, often resulting in extended anoxia. Very low or no DO in the water can result in fish kills and unpleasant odo</w:t>
      </w:r>
      <w:r>
        <w:rPr>
          <w:bCs/>
          <w:szCs w:val="22"/>
        </w:rPr>
        <w:t>u</w:t>
      </w:r>
      <w:r w:rsidRPr="00C41F95">
        <w:rPr>
          <w:bCs/>
          <w:szCs w:val="22"/>
        </w:rPr>
        <w:t>rs.</w:t>
      </w:r>
    </w:p>
    <w:p w14:paraId="2E75F40F" w14:textId="77777777" w:rsidR="005D0C92" w:rsidRPr="00C41F95" w:rsidRDefault="005D0C92" w:rsidP="005D0C92">
      <w:pPr>
        <w:spacing w:after="120" w:line="259" w:lineRule="auto"/>
        <w:jc w:val="left"/>
        <w:rPr>
          <w:bCs/>
          <w:szCs w:val="22"/>
        </w:rPr>
      </w:pPr>
      <w:r w:rsidRPr="00C41F95">
        <w:rPr>
          <w:bCs/>
          <w:szCs w:val="22"/>
        </w:rPr>
        <w:t xml:space="preserve">Sustainable rates of primary production will primarily depend on the characteristics of the aquatic ecosystem. Streams with higher concentrations of nutrients especially those with very open canopies, </w:t>
      </w:r>
      <w:r>
        <w:rPr>
          <w:bCs/>
          <w:szCs w:val="22"/>
        </w:rPr>
        <w:t xml:space="preserve">and </w:t>
      </w:r>
      <w:r w:rsidRPr="00C41F95">
        <w:rPr>
          <w:bCs/>
          <w:szCs w:val="22"/>
        </w:rPr>
        <w:t xml:space="preserve">hence a lot of sunlight </w:t>
      </w:r>
      <w:r>
        <w:rPr>
          <w:bCs/>
          <w:szCs w:val="22"/>
        </w:rPr>
        <w:t>reaching</w:t>
      </w:r>
      <w:r w:rsidRPr="00C41F95">
        <w:rPr>
          <w:bCs/>
          <w:szCs w:val="22"/>
        </w:rPr>
        <w:t xml:space="preserve"> the water, will have much higher natural rates of primary production than forested streams, where rates might be extremely low due to heavy shading and low concentrations</w:t>
      </w:r>
      <w:r>
        <w:rPr>
          <w:bCs/>
          <w:szCs w:val="22"/>
        </w:rPr>
        <w:t xml:space="preserve"> of nutrients</w:t>
      </w:r>
      <w:r w:rsidRPr="00C41F95">
        <w:rPr>
          <w:bCs/>
          <w:szCs w:val="22"/>
        </w:rPr>
        <w:t>. Habitat availability, climate and many other factors also influence food web structure and function.</w:t>
      </w:r>
      <w:r>
        <w:rPr>
          <w:bCs/>
          <w:szCs w:val="22"/>
        </w:rPr>
        <w:t xml:space="preserve"> </w:t>
      </w:r>
      <w:bookmarkStart w:id="24" w:name="_Hlk53307904"/>
      <w:r w:rsidRPr="00C41F95">
        <w:rPr>
          <w:bCs/>
          <w:szCs w:val="22"/>
        </w:rPr>
        <w:t xml:space="preserve">Uehlinger </w:t>
      </w:r>
      <w:r>
        <w:rPr>
          <w:bCs/>
          <w:szCs w:val="22"/>
        </w:rPr>
        <w:fldChar w:fldCharType="begin"/>
      </w:r>
      <w:r>
        <w:rPr>
          <w:bCs/>
          <w:szCs w:val="22"/>
        </w:rPr>
        <w:instrText xml:space="preserve"> ADDIN EN.CITE &lt;EndNote&gt;&lt;Cite ExcludeAuth="1"&gt;&lt;Author&gt;Uehlinger&lt;/Author&gt;&lt;Year&gt;2000&lt;/Year&gt;&lt;RecNum&gt;33061&lt;/RecNum&gt;&lt;DisplayText&gt;(2000)&lt;/DisplayText&gt;&lt;record&gt;&lt;rec-number&gt;33061&lt;/rec-number&gt;&lt;foreign-keys&gt;&lt;key app="EN" db-id="5rpwxxxrw9t2apesze8vvdsi50f950fr5vv5" timestamp="1602389311"&gt;33061&lt;/key&gt;&lt;/foreign-keys&gt;&lt;ref-type name="Journal Article"&gt;17&lt;/ref-type&gt;&lt;contributors&gt;&lt;authors&gt;&lt;author&gt;Uehlinger, Urs&lt;/author&gt;&lt;/authors&gt;&lt;/contributors&gt;&lt;titles&gt;&lt;title&gt;Resistance and resilience of ecosystem metabolism in a flood-prone river system&lt;/title&gt;&lt;secondary-title&gt;Freshwater Biology&lt;/secondary-title&gt;&lt;/titles&gt;&lt;periodical&gt;&lt;full-title&gt;Freshwater Biology&lt;/full-title&gt;&lt;/periodical&gt;&lt;pages&gt;319-332&lt;/pages&gt;&lt;volume&gt;45&lt;/volume&gt;&lt;number&gt;3&lt;/number&gt;&lt;keywords&gt;&lt;keyword&gt;disturbance&lt;/keyword&gt;&lt;keyword&gt;ecosystem respiration&lt;/keyword&gt;&lt;keyword&gt;longitudinal change&lt;/keyword&gt;&lt;keyword&gt;primary production&lt;/keyword&gt;&lt;keyword&gt;spates&lt;/keyword&gt;&lt;keyword&gt;spatial scaling&lt;/keyword&gt;&lt;keyword&gt;stability&lt;/keyword&gt;&lt;/keywords&gt;&lt;dates&gt;&lt;year&gt;2000&lt;/year&gt;&lt;pub-dates&gt;&lt;date&gt;2000/11/01&lt;/date&gt;&lt;/pub-dates&gt;&lt;/dates&gt;&lt;publisher&gt;John Wiley &amp;amp; Sons, Ltd&lt;/publisher&gt;&lt;isbn&gt;0046-5070&lt;/isbn&gt;&lt;urls&gt;&lt;related-urls&gt;&lt;url&gt;https://doi.org/10.1111/j.1365-2427.2000.00620.x&lt;/url&gt;&lt;/related-urls&gt;&lt;/urls&gt;&lt;electronic-resource-num&gt;10.1111/j.1365-2427.2000.00620.x&lt;/electronic-resource-num&gt;&lt;access-date&gt;2020/10/10&lt;/access-date&gt;&lt;/record&gt;&lt;/Cite&gt;&lt;/EndNote&gt;</w:instrText>
      </w:r>
      <w:r>
        <w:rPr>
          <w:bCs/>
          <w:szCs w:val="22"/>
        </w:rPr>
        <w:fldChar w:fldCharType="separate"/>
      </w:r>
      <w:r>
        <w:rPr>
          <w:bCs/>
          <w:noProof/>
          <w:szCs w:val="22"/>
        </w:rPr>
        <w:t>(2000)</w:t>
      </w:r>
      <w:r>
        <w:rPr>
          <w:bCs/>
          <w:szCs w:val="22"/>
        </w:rPr>
        <w:fldChar w:fldCharType="end"/>
      </w:r>
      <w:r w:rsidRPr="00C41F95">
        <w:rPr>
          <w:bCs/>
          <w:szCs w:val="22"/>
        </w:rPr>
        <w:t xml:space="preserve"> </w:t>
      </w:r>
      <w:bookmarkEnd w:id="24"/>
      <w:r w:rsidRPr="00C41F95">
        <w:rPr>
          <w:bCs/>
          <w:szCs w:val="22"/>
        </w:rPr>
        <w:t>demonstrated that freshes with sufficient stream power to cause scouring can ‘reset’ primary production to very low rates which are then maintained until biomass of primary producers is re-established. These scouring freshes are normally found in high gradient streams and are considered unlikely to occur in lowland streams such as those in the Edward/Kolety-Wakool system.</w:t>
      </w:r>
    </w:p>
    <w:p w14:paraId="7E209F2A" w14:textId="77777777" w:rsidR="005D0C92" w:rsidRDefault="005D0C92" w:rsidP="005D0C92">
      <w:pPr>
        <w:spacing w:after="120" w:line="259" w:lineRule="auto"/>
        <w:jc w:val="left"/>
        <w:rPr>
          <w:bCs/>
          <w:szCs w:val="22"/>
        </w:rPr>
      </w:pPr>
      <w:r w:rsidRPr="00C41F95">
        <w:rPr>
          <w:bCs/>
          <w:szCs w:val="22"/>
        </w:rPr>
        <w:t>This chapter reports on stream metabolism in response to flows in the 201</w:t>
      </w:r>
      <w:r>
        <w:rPr>
          <w:bCs/>
          <w:szCs w:val="22"/>
        </w:rPr>
        <w:t>9</w:t>
      </w:r>
      <w:r w:rsidRPr="00C41F95">
        <w:rPr>
          <w:bCs/>
          <w:szCs w:val="22"/>
        </w:rPr>
        <w:t>-</w:t>
      </w:r>
      <w:r>
        <w:rPr>
          <w:bCs/>
          <w:szCs w:val="22"/>
        </w:rPr>
        <w:t>20</w:t>
      </w:r>
      <w:r w:rsidRPr="00C41F95">
        <w:rPr>
          <w:bCs/>
          <w:szCs w:val="22"/>
        </w:rPr>
        <w:t xml:space="preserve"> water year and will consider changes in GPP and ER in the system</w:t>
      </w:r>
      <w:r>
        <w:rPr>
          <w:bCs/>
          <w:szCs w:val="22"/>
        </w:rPr>
        <w:t xml:space="preserve"> in response to watering actions</w:t>
      </w:r>
      <w:r w:rsidRPr="00C41F95">
        <w:rPr>
          <w:bCs/>
          <w:szCs w:val="22"/>
        </w:rPr>
        <w:t>.</w:t>
      </w:r>
    </w:p>
    <w:p w14:paraId="0AEC85EF" w14:textId="77777777" w:rsidR="005D0C92" w:rsidRPr="00577262" w:rsidRDefault="005D0C92" w:rsidP="005D0C92">
      <w:pPr>
        <w:spacing w:after="120" w:line="259" w:lineRule="auto"/>
        <w:jc w:val="left"/>
        <w:rPr>
          <w:b/>
          <w:color w:val="31849B" w:themeColor="accent5" w:themeShade="BF"/>
          <w:sz w:val="28"/>
          <w:szCs w:val="28"/>
        </w:rPr>
      </w:pPr>
      <w:r>
        <w:rPr>
          <w:rFonts w:cstheme="minorHAnsi"/>
          <w:b/>
          <w:color w:val="31849B"/>
          <w:sz w:val="28"/>
          <w:szCs w:val="28"/>
        </w:rPr>
        <w:t xml:space="preserve">6.2 </w:t>
      </w:r>
      <w:r w:rsidRPr="000F287E">
        <w:rPr>
          <w:rFonts w:cstheme="minorHAnsi"/>
          <w:b/>
          <w:color w:val="31849B"/>
          <w:sz w:val="28"/>
          <w:szCs w:val="28"/>
        </w:rPr>
        <w:t>Environmental watering actions in 2019-20</w:t>
      </w:r>
    </w:p>
    <w:p w14:paraId="2EDACC89" w14:textId="77777777" w:rsidR="005D0C92" w:rsidRDefault="005D0C92" w:rsidP="005D0C92">
      <w:pPr>
        <w:spacing w:after="120" w:line="259" w:lineRule="auto"/>
        <w:jc w:val="left"/>
        <w:rPr>
          <w:bCs/>
          <w:szCs w:val="22"/>
        </w:rPr>
      </w:pPr>
      <w:r>
        <w:rPr>
          <w:bCs/>
          <w:szCs w:val="22"/>
        </w:rPr>
        <w:t>Three</w:t>
      </w:r>
      <w:r w:rsidRPr="00577262">
        <w:rPr>
          <w:bCs/>
          <w:szCs w:val="22"/>
        </w:rPr>
        <w:t xml:space="preserve"> </w:t>
      </w:r>
      <w:r>
        <w:rPr>
          <w:bCs/>
          <w:szCs w:val="22"/>
        </w:rPr>
        <w:t>C</w:t>
      </w:r>
      <w:r w:rsidRPr="00577262">
        <w:rPr>
          <w:bCs/>
          <w:szCs w:val="22"/>
        </w:rPr>
        <w:t xml:space="preserve">ommonwealth environmental watering actions were delivered in the </w:t>
      </w:r>
      <w:r>
        <w:t>Edward/Kolety-Wakool</w:t>
      </w:r>
      <w:r w:rsidRPr="00577262">
        <w:rPr>
          <w:bCs/>
          <w:szCs w:val="22"/>
        </w:rPr>
        <w:t xml:space="preserve"> system in 201</w:t>
      </w:r>
      <w:r>
        <w:rPr>
          <w:bCs/>
          <w:szCs w:val="22"/>
        </w:rPr>
        <w:t>9</w:t>
      </w:r>
      <w:r w:rsidRPr="00577262">
        <w:rPr>
          <w:bCs/>
          <w:szCs w:val="22"/>
        </w:rPr>
        <w:t>-</w:t>
      </w:r>
      <w:r>
        <w:rPr>
          <w:bCs/>
          <w:szCs w:val="22"/>
        </w:rPr>
        <w:t xml:space="preserve">20 </w:t>
      </w:r>
      <w:r w:rsidRPr="00577262">
        <w:rPr>
          <w:bCs/>
          <w:szCs w:val="22"/>
        </w:rPr>
        <w:t>(</w:t>
      </w:r>
      <w:r>
        <w:rPr>
          <w:bCs/>
          <w:szCs w:val="22"/>
        </w:rPr>
        <w:t>S</w:t>
      </w:r>
      <w:r w:rsidRPr="00577262">
        <w:rPr>
          <w:bCs/>
          <w:szCs w:val="22"/>
        </w:rPr>
        <w:t xml:space="preserve">ection </w:t>
      </w:r>
      <w:r>
        <w:rPr>
          <w:bCs/>
          <w:szCs w:val="22"/>
        </w:rPr>
        <w:t>4</w:t>
      </w:r>
      <w:r w:rsidRPr="00577262">
        <w:rPr>
          <w:bCs/>
          <w:szCs w:val="22"/>
        </w:rPr>
        <w:t xml:space="preserve">). The response of stream metabolism to </w:t>
      </w:r>
      <w:r>
        <w:rPr>
          <w:bCs/>
          <w:szCs w:val="22"/>
        </w:rPr>
        <w:t xml:space="preserve">two of </w:t>
      </w:r>
      <w:r w:rsidRPr="00577262">
        <w:rPr>
          <w:bCs/>
          <w:szCs w:val="22"/>
        </w:rPr>
        <w:t>these watering actions (Table 6.1) was evaluated.</w:t>
      </w:r>
      <w:r>
        <w:rPr>
          <w:bCs/>
          <w:szCs w:val="22"/>
        </w:rPr>
        <w:t xml:space="preserve"> Watering action 2 was not evaluated as it was a short (18 day) transition period between watering actions 1 and 3.</w:t>
      </w:r>
    </w:p>
    <w:p w14:paraId="1AE56BC7" w14:textId="77777777" w:rsidR="005D0C92" w:rsidRPr="00577262" w:rsidRDefault="005D0C92" w:rsidP="005D0C92">
      <w:pPr>
        <w:spacing w:after="0" w:line="259" w:lineRule="auto"/>
        <w:jc w:val="left"/>
        <w:rPr>
          <w:bCs/>
          <w:szCs w:val="22"/>
        </w:rPr>
      </w:pPr>
      <w:r w:rsidRPr="00866918">
        <w:rPr>
          <w:b/>
          <w:sz w:val="20"/>
        </w:rPr>
        <w:t>Table 6.1</w:t>
      </w:r>
      <w:r w:rsidRPr="00866918">
        <w:rPr>
          <w:bCs/>
          <w:sz w:val="20"/>
        </w:rPr>
        <w:t xml:space="preserve"> Environmental watering actions assessed for ecosystem metabolism in the </w:t>
      </w:r>
      <w:r w:rsidRPr="00866918">
        <w:rPr>
          <w:sz w:val="20"/>
          <w:szCs w:val="18"/>
        </w:rPr>
        <w:t>Edward/Kolety-Wakool</w:t>
      </w:r>
      <w:r w:rsidRPr="00866918">
        <w:rPr>
          <w:bCs/>
          <w:sz w:val="20"/>
        </w:rPr>
        <w:t xml:space="preserve"> system in 2019-20</w:t>
      </w:r>
    </w:p>
    <w:tbl>
      <w:tblPr>
        <w:tblStyle w:val="TableGridLight"/>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328"/>
        <w:gridCol w:w="1935"/>
        <w:gridCol w:w="2192"/>
        <w:gridCol w:w="1520"/>
        <w:gridCol w:w="3085"/>
      </w:tblGrid>
      <w:tr w:rsidR="005D0C92" w14:paraId="6A5E77A9" w14:textId="77777777" w:rsidTr="005D0C92">
        <w:trPr>
          <w:trHeight w:val="285"/>
        </w:trPr>
        <w:tc>
          <w:tcPr>
            <w:tcW w:w="0" w:type="auto"/>
            <w:tcBorders>
              <w:top w:val="single" w:sz="4" w:space="0" w:color="auto"/>
              <w:bottom w:val="single" w:sz="4" w:space="0" w:color="auto"/>
            </w:tcBorders>
            <w:shd w:val="clear" w:color="auto" w:fill="92CDDC"/>
          </w:tcPr>
          <w:p w14:paraId="6E647A1F" w14:textId="77777777" w:rsidR="005D0C92" w:rsidRPr="004C79AA" w:rsidRDefault="005D0C92" w:rsidP="005D0C92">
            <w:pPr>
              <w:pStyle w:val="BodyText"/>
              <w:spacing w:after="120" w:line="259" w:lineRule="auto"/>
              <w:jc w:val="center"/>
              <w:rPr>
                <w:rFonts w:asciiTheme="minorHAnsi" w:hAnsiTheme="minorHAnsi"/>
                <w:b/>
                <w:iCs/>
                <w:sz w:val="22"/>
                <w:szCs w:val="22"/>
              </w:rPr>
            </w:pPr>
          </w:p>
        </w:tc>
        <w:tc>
          <w:tcPr>
            <w:tcW w:w="1935" w:type="dxa"/>
            <w:tcBorders>
              <w:top w:val="single" w:sz="4" w:space="0" w:color="auto"/>
              <w:bottom w:val="single" w:sz="4" w:space="0" w:color="auto"/>
            </w:tcBorders>
            <w:shd w:val="clear" w:color="auto" w:fill="92CDDC"/>
          </w:tcPr>
          <w:p w14:paraId="1FADE662" w14:textId="77777777" w:rsidR="005D0C92" w:rsidRPr="004C79AA" w:rsidRDefault="005D0C92" w:rsidP="005D0C92">
            <w:pPr>
              <w:pStyle w:val="BodyText"/>
              <w:spacing w:after="120" w:line="259" w:lineRule="auto"/>
              <w:jc w:val="left"/>
              <w:rPr>
                <w:rFonts w:asciiTheme="minorHAnsi" w:hAnsiTheme="minorHAnsi"/>
                <w:b/>
                <w:iCs/>
                <w:sz w:val="22"/>
                <w:szCs w:val="22"/>
              </w:rPr>
            </w:pPr>
            <w:r w:rsidRPr="004C79AA">
              <w:rPr>
                <w:rFonts w:asciiTheme="minorHAnsi" w:hAnsiTheme="minorHAnsi"/>
                <w:b/>
                <w:iCs/>
                <w:sz w:val="22"/>
                <w:szCs w:val="22"/>
              </w:rPr>
              <w:t>Watering action</w:t>
            </w:r>
          </w:p>
        </w:tc>
        <w:tc>
          <w:tcPr>
            <w:tcW w:w="2192" w:type="dxa"/>
            <w:tcBorders>
              <w:top w:val="single" w:sz="4" w:space="0" w:color="auto"/>
              <w:bottom w:val="single" w:sz="4" w:space="0" w:color="auto"/>
            </w:tcBorders>
            <w:shd w:val="clear" w:color="auto" w:fill="92CDDC"/>
          </w:tcPr>
          <w:p w14:paraId="6D6BFF76" w14:textId="77777777" w:rsidR="005D0C92" w:rsidRPr="004C79AA" w:rsidRDefault="005D0C92" w:rsidP="005D0C92">
            <w:pPr>
              <w:pStyle w:val="BodyText"/>
              <w:spacing w:after="120" w:line="259" w:lineRule="auto"/>
              <w:jc w:val="left"/>
              <w:rPr>
                <w:rFonts w:asciiTheme="minorHAnsi" w:hAnsiTheme="minorHAnsi"/>
                <w:b/>
                <w:iCs/>
                <w:sz w:val="22"/>
                <w:szCs w:val="22"/>
              </w:rPr>
            </w:pPr>
            <w:r w:rsidRPr="004C79AA">
              <w:rPr>
                <w:rFonts w:asciiTheme="minorHAnsi" w:hAnsiTheme="minorHAnsi"/>
                <w:b/>
                <w:iCs/>
                <w:sz w:val="22"/>
                <w:szCs w:val="22"/>
              </w:rPr>
              <w:t>Type of action</w:t>
            </w:r>
          </w:p>
        </w:tc>
        <w:tc>
          <w:tcPr>
            <w:tcW w:w="0" w:type="auto"/>
            <w:tcBorders>
              <w:top w:val="single" w:sz="4" w:space="0" w:color="auto"/>
              <w:bottom w:val="single" w:sz="4" w:space="0" w:color="auto"/>
            </w:tcBorders>
            <w:shd w:val="clear" w:color="auto" w:fill="92CDDC"/>
          </w:tcPr>
          <w:p w14:paraId="6334451B" w14:textId="77777777" w:rsidR="005D0C92" w:rsidRPr="004C79AA" w:rsidRDefault="005D0C92" w:rsidP="005D0C92">
            <w:pPr>
              <w:pStyle w:val="BodyText"/>
              <w:spacing w:after="120" w:line="259" w:lineRule="auto"/>
              <w:jc w:val="left"/>
              <w:rPr>
                <w:rFonts w:asciiTheme="minorHAnsi" w:hAnsiTheme="minorHAnsi"/>
                <w:b/>
                <w:iCs/>
                <w:sz w:val="22"/>
                <w:szCs w:val="22"/>
              </w:rPr>
            </w:pPr>
            <w:r w:rsidRPr="004C79AA">
              <w:rPr>
                <w:rFonts w:asciiTheme="minorHAnsi" w:hAnsiTheme="minorHAnsi"/>
                <w:b/>
                <w:iCs/>
                <w:sz w:val="22"/>
                <w:szCs w:val="22"/>
              </w:rPr>
              <w:t>Dates</w:t>
            </w:r>
          </w:p>
        </w:tc>
        <w:tc>
          <w:tcPr>
            <w:tcW w:w="0" w:type="auto"/>
            <w:tcBorders>
              <w:top w:val="single" w:sz="4" w:space="0" w:color="auto"/>
              <w:bottom w:val="single" w:sz="4" w:space="0" w:color="auto"/>
            </w:tcBorders>
            <w:shd w:val="clear" w:color="auto" w:fill="92CDDC"/>
          </w:tcPr>
          <w:p w14:paraId="674C04BB" w14:textId="77777777" w:rsidR="005D0C92" w:rsidRPr="004C79AA" w:rsidRDefault="005D0C92" w:rsidP="005D0C92">
            <w:pPr>
              <w:pStyle w:val="BodyText"/>
              <w:spacing w:after="120" w:line="259" w:lineRule="auto"/>
              <w:jc w:val="left"/>
              <w:rPr>
                <w:rFonts w:asciiTheme="minorHAnsi" w:hAnsiTheme="minorHAnsi"/>
                <w:b/>
                <w:iCs/>
                <w:sz w:val="22"/>
                <w:szCs w:val="22"/>
              </w:rPr>
            </w:pPr>
            <w:r w:rsidRPr="004C79AA">
              <w:rPr>
                <w:rFonts w:asciiTheme="minorHAnsi" w:hAnsiTheme="minorHAnsi"/>
                <w:b/>
                <w:iCs/>
                <w:sz w:val="22"/>
                <w:szCs w:val="22"/>
              </w:rPr>
              <w:t>Rivers</w:t>
            </w:r>
          </w:p>
        </w:tc>
      </w:tr>
      <w:tr w:rsidR="005D0C92" w:rsidRPr="00B353C6" w14:paraId="4CCBA091" w14:textId="77777777" w:rsidTr="005D0C92">
        <w:trPr>
          <w:trHeight w:val="255"/>
        </w:trPr>
        <w:tc>
          <w:tcPr>
            <w:tcW w:w="0" w:type="auto"/>
            <w:tcBorders>
              <w:top w:val="single" w:sz="4" w:space="0" w:color="auto"/>
            </w:tcBorders>
          </w:tcPr>
          <w:p w14:paraId="452186A8" w14:textId="77777777" w:rsidR="005D0C92" w:rsidRPr="00B353C6"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1</w:t>
            </w:r>
          </w:p>
        </w:tc>
        <w:tc>
          <w:tcPr>
            <w:tcW w:w="1935" w:type="dxa"/>
            <w:tcBorders>
              <w:top w:val="single" w:sz="4" w:space="0" w:color="auto"/>
            </w:tcBorders>
          </w:tcPr>
          <w:p w14:paraId="3237A2F7" w14:textId="77777777" w:rsidR="005D0C92" w:rsidRPr="00B353C6"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Winter base flow</w:t>
            </w:r>
          </w:p>
        </w:tc>
        <w:tc>
          <w:tcPr>
            <w:tcW w:w="2192" w:type="dxa"/>
            <w:tcBorders>
              <w:top w:val="single" w:sz="4" w:space="0" w:color="auto"/>
            </w:tcBorders>
          </w:tcPr>
          <w:p w14:paraId="1B739F98" w14:textId="77777777" w:rsidR="005D0C92" w:rsidRPr="00B353C6"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Minimum base flow (200 ML/day)</w:t>
            </w:r>
          </w:p>
        </w:tc>
        <w:tc>
          <w:tcPr>
            <w:tcW w:w="0" w:type="auto"/>
            <w:tcBorders>
              <w:top w:val="single" w:sz="4" w:space="0" w:color="auto"/>
            </w:tcBorders>
          </w:tcPr>
          <w:p w14:paraId="3DBE5718" w14:textId="77777777" w:rsidR="005D0C92" w:rsidRPr="00B353C6" w:rsidRDefault="005D0C92" w:rsidP="005D0C92">
            <w:pPr>
              <w:pStyle w:val="BodyText"/>
              <w:spacing w:after="120" w:line="259" w:lineRule="auto"/>
              <w:jc w:val="left"/>
              <w:rPr>
                <w:rFonts w:asciiTheme="minorHAnsi" w:hAnsiTheme="minorHAnsi"/>
                <w:bCs/>
                <w:iCs/>
                <w:sz w:val="22"/>
                <w:szCs w:val="22"/>
              </w:rPr>
            </w:pPr>
            <w:r w:rsidRPr="009F5FEF">
              <w:rPr>
                <w:rFonts w:asciiTheme="minorHAnsi" w:hAnsiTheme="minorHAnsi"/>
                <w:bCs/>
                <w:iCs/>
                <w:sz w:val="22"/>
                <w:szCs w:val="22"/>
              </w:rPr>
              <w:t>15/05/19 - 9/08/2019</w:t>
            </w:r>
          </w:p>
        </w:tc>
        <w:tc>
          <w:tcPr>
            <w:tcW w:w="0" w:type="auto"/>
            <w:tcBorders>
              <w:top w:val="single" w:sz="4" w:space="0" w:color="auto"/>
            </w:tcBorders>
          </w:tcPr>
          <w:p w14:paraId="4A201B7E" w14:textId="77777777" w:rsidR="005D0C92" w:rsidRPr="00B353C6"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 xml:space="preserve">Yallakool Creek, mid- and lower Wakool River, </w:t>
            </w:r>
            <w:r w:rsidRPr="00E677B2">
              <w:rPr>
                <w:rFonts w:asciiTheme="minorHAnsi" w:hAnsiTheme="minorHAnsi"/>
                <w:bCs/>
                <w:iCs/>
                <w:sz w:val="22"/>
                <w:szCs w:val="22"/>
              </w:rPr>
              <w:t>Colligen Creek-Niemur River</w:t>
            </w:r>
          </w:p>
        </w:tc>
      </w:tr>
      <w:tr w:rsidR="005D0C92" w:rsidRPr="00B353C6" w14:paraId="76AF0B07" w14:textId="77777777" w:rsidTr="005D0C92">
        <w:trPr>
          <w:trHeight w:val="255"/>
        </w:trPr>
        <w:tc>
          <w:tcPr>
            <w:tcW w:w="0" w:type="auto"/>
          </w:tcPr>
          <w:p w14:paraId="3ADBB4D1" w14:textId="77777777" w:rsidR="005D0C92" w:rsidRPr="000667CA"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3</w:t>
            </w:r>
          </w:p>
        </w:tc>
        <w:tc>
          <w:tcPr>
            <w:tcW w:w="1935" w:type="dxa"/>
          </w:tcPr>
          <w:p w14:paraId="19B47D1C"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Spring-summer freshes and elevated base flow</w:t>
            </w:r>
          </w:p>
        </w:tc>
        <w:tc>
          <w:tcPr>
            <w:tcW w:w="2192" w:type="dxa"/>
          </w:tcPr>
          <w:p w14:paraId="3C306414"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a) Winter / spring early fresh</w:t>
            </w:r>
          </w:p>
          <w:p w14:paraId="277C22FE"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b) Early spring elevated base flow</w:t>
            </w:r>
          </w:p>
          <w:p w14:paraId="605727F0"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c) Late spring fresh</w:t>
            </w:r>
          </w:p>
          <w:p w14:paraId="0AA40ED6"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d) Late spring elevated base flow</w:t>
            </w:r>
          </w:p>
          <w:p w14:paraId="52D9E9C1"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e) Recession</w:t>
            </w:r>
          </w:p>
        </w:tc>
        <w:tc>
          <w:tcPr>
            <w:tcW w:w="0" w:type="auto"/>
          </w:tcPr>
          <w:p w14:paraId="0CE96BEE" w14:textId="77777777" w:rsidR="005D0C92" w:rsidRDefault="005D0C92" w:rsidP="005D0C92">
            <w:pPr>
              <w:pStyle w:val="BodyText"/>
              <w:spacing w:after="120" w:line="259" w:lineRule="auto"/>
              <w:jc w:val="left"/>
              <w:rPr>
                <w:rFonts w:asciiTheme="minorHAnsi" w:hAnsiTheme="minorHAnsi"/>
                <w:bCs/>
                <w:iCs/>
                <w:sz w:val="22"/>
                <w:szCs w:val="22"/>
              </w:rPr>
            </w:pPr>
            <w:r w:rsidRPr="005C7284">
              <w:rPr>
                <w:rFonts w:asciiTheme="minorHAnsi" w:hAnsiTheme="minorHAnsi"/>
                <w:bCs/>
                <w:iCs/>
                <w:sz w:val="22"/>
                <w:szCs w:val="22"/>
              </w:rPr>
              <w:t>28/08/19 -</w:t>
            </w:r>
            <w:r>
              <w:rPr>
                <w:rFonts w:asciiTheme="minorHAnsi" w:hAnsiTheme="minorHAnsi"/>
                <w:bCs/>
                <w:iCs/>
                <w:sz w:val="22"/>
                <w:szCs w:val="22"/>
              </w:rPr>
              <w:t xml:space="preserve"> </w:t>
            </w:r>
            <w:r w:rsidRPr="00130885">
              <w:rPr>
                <w:rFonts w:asciiTheme="minorHAnsi" w:hAnsiTheme="minorHAnsi"/>
                <w:bCs/>
                <w:iCs/>
                <w:sz w:val="22"/>
                <w:szCs w:val="22"/>
              </w:rPr>
              <w:t>22/12/19</w:t>
            </w:r>
          </w:p>
        </w:tc>
        <w:tc>
          <w:tcPr>
            <w:tcW w:w="0" w:type="auto"/>
          </w:tcPr>
          <w:p w14:paraId="71DE42A1" w14:textId="77777777"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 xml:space="preserve">Yallakool Creek, mid- and lower Wakool River, </w:t>
            </w:r>
            <w:r w:rsidRPr="00E677B2">
              <w:rPr>
                <w:rFonts w:asciiTheme="minorHAnsi" w:hAnsiTheme="minorHAnsi"/>
                <w:bCs/>
                <w:iCs/>
                <w:sz w:val="22"/>
                <w:szCs w:val="22"/>
              </w:rPr>
              <w:t>Colligen Creek-Niemur River</w:t>
            </w:r>
          </w:p>
        </w:tc>
      </w:tr>
    </w:tbl>
    <w:p w14:paraId="34470527" w14:textId="77777777" w:rsidR="005D0C92" w:rsidRDefault="005D0C92" w:rsidP="005D0C92">
      <w:pPr>
        <w:spacing w:after="120" w:line="259" w:lineRule="auto"/>
        <w:jc w:val="left"/>
        <w:rPr>
          <w:b/>
          <w:color w:val="31849B" w:themeColor="accent5" w:themeShade="BF"/>
          <w:sz w:val="28"/>
          <w:szCs w:val="28"/>
        </w:rPr>
      </w:pPr>
    </w:p>
    <w:p w14:paraId="239D7B84" w14:textId="77777777" w:rsidR="005D0C92" w:rsidRDefault="005D0C92" w:rsidP="005D0C92">
      <w:pPr>
        <w:spacing w:after="120" w:line="259" w:lineRule="auto"/>
        <w:jc w:val="left"/>
        <w:rPr>
          <w:b/>
          <w:color w:val="31849B" w:themeColor="accent5" w:themeShade="BF"/>
          <w:sz w:val="28"/>
          <w:szCs w:val="28"/>
        </w:rPr>
      </w:pPr>
      <w:r>
        <w:rPr>
          <w:rFonts w:cstheme="minorHAnsi"/>
          <w:b/>
          <w:color w:val="31849B"/>
          <w:sz w:val="28"/>
          <w:szCs w:val="28"/>
        </w:rPr>
        <w:t xml:space="preserve">6.3 </w:t>
      </w:r>
      <w:r w:rsidRPr="00204939">
        <w:rPr>
          <w:rFonts w:cstheme="minorHAnsi"/>
          <w:b/>
          <w:color w:val="31849B"/>
          <w:sz w:val="28"/>
          <w:szCs w:val="28"/>
        </w:rPr>
        <w:t>Selected area questions</w:t>
      </w:r>
      <w:r>
        <w:rPr>
          <w:rFonts w:cstheme="minorHAnsi"/>
          <w:b/>
          <w:color w:val="31849B"/>
          <w:sz w:val="28"/>
          <w:szCs w:val="28"/>
        </w:rPr>
        <w:t xml:space="preserve"> </w:t>
      </w:r>
    </w:p>
    <w:p w14:paraId="6B984254" w14:textId="77777777" w:rsidR="005D0C92" w:rsidRDefault="005D0C92" w:rsidP="005D0C92">
      <w:pPr>
        <w:spacing w:after="120" w:line="259" w:lineRule="auto"/>
        <w:jc w:val="left"/>
        <w:rPr>
          <w:bCs/>
          <w:szCs w:val="22"/>
        </w:rPr>
      </w:pPr>
      <w:r w:rsidRPr="000E3992">
        <w:rPr>
          <w:bCs/>
          <w:szCs w:val="22"/>
        </w:rPr>
        <w:t xml:space="preserve">The Edward/Kolety-Wakool </w:t>
      </w:r>
      <w:r>
        <w:rPr>
          <w:bCs/>
          <w:szCs w:val="22"/>
        </w:rPr>
        <w:t>MER</w:t>
      </w:r>
      <w:r w:rsidRPr="000E3992">
        <w:rPr>
          <w:bCs/>
          <w:szCs w:val="22"/>
        </w:rPr>
        <w:t xml:space="preserve"> reports </w:t>
      </w:r>
      <w:r>
        <w:rPr>
          <w:bCs/>
          <w:szCs w:val="22"/>
        </w:rPr>
        <w:t>follow the previous Long-term Intervention Monitoring (LTIM) Selected Area evaluation of</w:t>
      </w:r>
      <w:r w:rsidRPr="000E3992">
        <w:rPr>
          <w:bCs/>
          <w:szCs w:val="22"/>
        </w:rPr>
        <w:t xml:space="preserve"> stream metabolism </w:t>
      </w:r>
      <w:r>
        <w:rPr>
          <w:bCs/>
          <w:szCs w:val="22"/>
        </w:rPr>
        <w:t xml:space="preserve">responses </w:t>
      </w:r>
      <w:r w:rsidRPr="000E3992">
        <w:rPr>
          <w:bCs/>
          <w:szCs w:val="22"/>
        </w:rPr>
        <w:t>to Commonwealth environmental water delivery</w:t>
      </w:r>
      <w:r>
        <w:rPr>
          <w:bCs/>
          <w:szCs w:val="22"/>
        </w:rPr>
        <w:t xml:space="preserve"> (Watts et al. 2019).</w:t>
      </w:r>
      <w:r w:rsidRPr="000E3992">
        <w:rPr>
          <w:bCs/>
          <w:szCs w:val="22"/>
        </w:rPr>
        <w:t xml:space="preserve"> Th</w:t>
      </w:r>
      <w:r>
        <w:rPr>
          <w:bCs/>
          <w:szCs w:val="22"/>
        </w:rPr>
        <w:t>e</w:t>
      </w:r>
      <w:r w:rsidRPr="000E3992">
        <w:rPr>
          <w:bCs/>
          <w:szCs w:val="22"/>
        </w:rPr>
        <w:t xml:space="preserve"> question</w:t>
      </w:r>
      <w:r>
        <w:rPr>
          <w:bCs/>
          <w:szCs w:val="22"/>
        </w:rPr>
        <w:t>s addressed</w:t>
      </w:r>
      <w:r w:rsidRPr="000E3992">
        <w:rPr>
          <w:bCs/>
          <w:szCs w:val="22"/>
        </w:rPr>
        <w:t xml:space="preserve"> </w:t>
      </w:r>
      <w:r>
        <w:rPr>
          <w:bCs/>
          <w:szCs w:val="22"/>
        </w:rPr>
        <w:t>addresses</w:t>
      </w:r>
      <w:r w:rsidRPr="000E3992">
        <w:rPr>
          <w:bCs/>
          <w:szCs w:val="22"/>
        </w:rPr>
        <w:t xml:space="preserve"> the importance of new organic (plant) matter, created through photosynthesis, supplying essential energy to the food web and the critical role of respiration in breaking down organic detritus and therefore resupplying nutrients to enable such growth to occur</w:t>
      </w:r>
      <w:r>
        <w:rPr>
          <w:bCs/>
          <w:szCs w:val="22"/>
        </w:rPr>
        <w:t xml:space="preserve"> (Table 6.2)</w:t>
      </w:r>
      <w:r w:rsidRPr="000E3992">
        <w:rPr>
          <w:bCs/>
          <w:szCs w:val="22"/>
        </w:rPr>
        <w:t>.</w:t>
      </w:r>
    </w:p>
    <w:p w14:paraId="4B358661" w14:textId="77777777" w:rsidR="005D0C92" w:rsidRPr="000E3992" w:rsidRDefault="005D0C92" w:rsidP="005D0C92">
      <w:pPr>
        <w:spacing w:after="120" w:line="259" w:lineRule="auto"/>
        <w:jc w:val="left"/>
        <w:rPr>
          <w:bCs/>
          <w:szCs w:val="22"/>
        </w:rPr>
      </w:pPr>
    </w:p>
    <w:p w14:paraId="5F710670" w14:textId="77777777" w:rsidR="005D0C92" w:rsidRPr="005034B3" w:rsidRDefault="005D0C92" w:rsidP="005D0C92">
      <w:pPr>
        <w:spacing w:after="120" w:line="259" w:lineRule="auto"/>
        <w:jc w:val="left"/>
        <w:rPr>
          <w:bCs/>
          <w:sz w:val="20"/>
        </w:rPr>
      </w:pPr>
      <w:r w:rsidRPr="005034B3">
        <w:rPr>
          <w:b/>
          <w:sz w:val="20"/>
        </w:rPr>
        <w:t>Table 6.2</w:t>
      </w:r>
      <w:r w:rsidRPr="005034B3">
        <w:rPr>
          <w:bCs/>
          <w:sz w:val="20"/>
        </w:rPr>
        <w:t xml:space="preserve"> </w:t>
      </w:r>
      <w:r w:rsidRPr="005034B3">
        <w:rPr>
          <w:sz w:val="20"/>
          <w:szCs w:val="18"/>
        </w:rPr>
        <w:t>Selected Area evaluation questions relating to the effect of Commonwealth environmental water on stream metabolism</w:t>
      </w:r>
    </w:p>
    <w:tbl>
      <w:tblPr>
        <w:tblStyle w:val="TableGridLight"/>
        <w:tblW w:w="5000" w:type="pct"/>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1990"/>
        <w:gridCol w:w="7070"/>
      </w:tblGrid>
      <w:tr w:rsidR="005D0C92" w14:paraId="37E1B433" w14:textId="77777777" w:rsidTr="005D0C92">
        <w:trPr>
          <w:trHeight w:val="285"/>
        </w:trPr>
        <w:tc>
          <w:tcPr>
            <w:tcW w:w="1098" w:type="pct"/>
            <w:tcBorders>
              <w:top w:val="single" w:sz="4" w:space="0" w:color="auto"/>
              <w:bottom w:val="single" w:sz="4" w:space="0" w:color="auto"/>
              <w:right w:val="single" w:sz="4" w:space="0" w:color="auto"/>
            </w:tcBorders>
            <w:shd w:val="clear" w:color="auto" w:fill="92CDDC"/>
          </w:tcPr>
          <w:p w14:paraId="0E10D04E" w14:textId="77777777" w:rsidR="005D0C92" w:rsidRPr="00C04F23" w:rsidRDefault="005D0C92" w:rsidP="005D0C92">
            <w:pPr>
              <w:pStyle w:val="BodyText"/>
              <w:spacing w:after="120" w:line="259" w:lineRule="auto"/>
              <w:jc w:val="left"/>
              <w:rPr>
                <w:rFonts w:asciiTheme="minorHAnsi" w:hAnsiTheme="minorHAnsi"/>
                <w:b/>
                <w:iCs/>
                <w:sz w:val="22"/>
                <w:szCs w:val="22"/>
              </w:rPr>
            </w:pPr>
            <w:r w:rsidRPr="00C04F23">
              <w:rPr>
                <w:rFonts w:asciiTheme="minorHAnsi" w:hAnsiTheme="minorHAnsi"/>
                <w:b/>
                <w:iCs/>
                <w:sz w:val="22"/>
                <w:szCs w:val="22"/>
              </w:rPr>
              <w:t>Key components</w:t>
            </w:r>
          </w:p>
        </w:tc>
        <w:tc>
          <w:tcPr>
            <w:tcW w:w="3902" w:type="pct"/>
            <w:tcBorders>
              <w:top w:val="single" w:sz="4" w:space="0" w:color="auto"/>
              <w:left w:val="single" w:sz="4" w:space="0" w:color="auto"/>
              <w:bottom w:val="single" w:sz="4" w:space="0" w:color="auto"/>
            </w:tcBorders>
            <w:shd w:val="clear" w:color="auto" w:fill="92CDDC"/>
          </w:tcPr>
          <w:p w14:paraId="3613FD1B" w14:textId="77777777" w:rsidR="005D0C92" w:rsidRPr="00C04F23" w:rsidRDefault="005D0C92" w:rsidP="005D0C92">
            <w:pPr>
              <w:pStyle w:val="BodyText"/>
              <w:spacing w:after="120" w:line="259" w:lineRule="auto"/>
              <w:jc w:val="left"/>
              <w:rPr>
                <w:rFonts w:asciiTheme="minorHAnsi" w:hAnsiTheme="minorHAnsi"/>
                <w:b/>
                <w:iCs/>
                <w:sz w:val="22"/>
                <w:szCs w:val="22"/>
              </w:rPr>
            </w:pPr>
            <w:r w:rsidRPr="00C04F23">
              <w:rPr>
                <w:rFonts w:asciiTheme="minorHAnsi" w:hAnsiTheme="minorHAnsi"/>
                <w:b/>
                <w:iCs/>
                <w:sz w:val="22"/>
                <w:szCs w:val="22"/>
              </w:rPr>
              <w:t>Selected Area questions</w:t>
            </w:r>
          </w:p>
        </w:tc>
      </w:tr>
      <w:tr w:rsidR="005D0C92" w:rsidRPr="00B353C6" w14:paraId="32FBEAB6" w14:textId="77777777" w:rsidTr="005D0C92">
        <w:trPr>
          <w:trHeight w:val="255"/>
        </w:trPr>
        <w:tc>
          <w:tcPr>
            <w:tcW w:w="1098" w:type="pct"/>
            <w:tcBorders>
              <w:top w:val="single" w:sz="4" w:space="0" w:color="auto"/>
              <w:right w:val="single" w:sz="4" w:space="0" w:color="auto"/>
            </w:tcBorders>
          </w:tcPr>
          <w:p w14:paraId="68CAD5A0" w14:textId="77777777" w:rsidR="005D0C92" w:rsidRPr="00B353C6"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GPP, ER, NPP</w:t>
            </w:r>
          </w:p>
        </w:tc>
        <w:tc>
          <w:tcPr>
            <w:tcW w:w="3902" w:type="pct"/>
            <w:tcBorders>
              <w:top w:val="single" w:sz="4" w:space="0" w:color="auto"/>
              <w:left w:val="single" w:sz="4" w:space="0" w:color="auto"/>
            </w:tcBorders>
          </w:tcPr>
          <w:p w14:paraId="487257CE" w14:textId="77777777" w:rsidR="005D0C92" w:rsidRDefault="005D0C92" w:rsidP="0040642F">
            <w:pPr>
              <w:pStyle w:val="BodyText"/>
              <w:numPr>
                <w:ilvl w:val="0"/>
                <w:numId w:val="28"/>
              </w:numPr>
              <w:spacing w:after="120" w:line="259" w:lineRule="auto"/>
              <w:ind w:left="459" w:hanging="284"/>
              <w:jc w:val="left"/>
              <w:rPr>
                <w:rFonts w:asciiTheme="minorHAnsi" w:hAnsiTheme="minorHAnsi"/>
                <w:bCs/>
                <w:iCs/>
                <w:sz w:val="22"/>
                <w:szCs w:val="22"/>
              </w:rPr>
            </w:pPr>
            <w:r w:rsidRPr="00937D87">
              <w:rPr>
                <w:rFonts w:asciiTheme="minorHAnsi" w:hAnsiTheme="minorHAnsi"/>
                <w:bCs/>
                <w:iCs/>
                <w:sz w:val="22"/>
                <w:szCs w:val="22"/>
              </w:rPr>
              <w:t>What was the effect of Commonwealth environmental watering actions on rates of GPP, ER, and NPP?</w:t>
            </w:r>
          </w:p>
          <w:p w14:paraId="659F5D44" w14:textId="77777777" w:rsidR="005D0C92" w:rsidRDefault="005D0C92" w:rsidP="0040642F">
            <w:pPr>
              <w:pStyle w:val="BodyText"/>
              <w:numPr>
                <w:ilvl w:val="0"/>
                <w:numId w:val="28"/>
              </w:numPr>
              <w:spacing w:after="120" w:line="259" w:lineRule="auto"/>
              <w:ind w:left="459" w:hanging="284"/>
              <w:jc w:val="left"/>
              <w:rPr>
                <w:rFonts w:asciiTheme="minorHAnsi" w:hAnsiTheme="minorHAnsi"/>
                <w:bCs/>
                <w:iCs/>
                <w:sz w:val="22"/>
                <w:szCs w:val="22"/>
              </w:rPr>
            </w:pPr>
            <w:r w:rsidRPr="003E65F7">
              <w:rPr>
                <w:rFonts w:asciiTheme="minorHAnsi" w:hAnsiTheme="minorHAnsi"/>
                <w:bCs/>
                <w:iCs/>
                <w:sz w:val="22"/>
                <w:szCs w:val="22"/>
              </w:rPr>
              <w:t>What did Commonwealth environmental water contribute to total GPP, ER, and NPP?</w:t>
            </w:r>
          </w:p>
          <w:p w14:paraId="2DC9D4F8" w14:textId="77777777" w:rsidR="005D0C92" w:rsidRPr="00B353C6" w:rsidRDefault="005D0C92" w:rsidP="0040642F">
            <w:pPr>
              <w:pStyle w:val="BodyText"/>
              <w:numPr>
                <w:ilvl w:val="0"/>
                <w:numId w:val="28"/>
              </w:numPr>
              <w:spacing w:after="120" w:line="259" w:lineRule="auto"/>
              <w:ind w:left="459" w:hanging="284"/>
              <w:jc w:val="left"/>
              <w:rPr>
                <w:rFonts w:asciiTheme="minorHAnsi" w:hAnsiTheme="minorHAnsi"/>
                <w:bCs/>
                <w:iCs/>
                <w:sz w:val="22"/>
                <w:szCs w:val="22"/>
              </w:rPr>
            </w:pPr>
            <w:r w:rsidRPr="00A133A9">
              <w:rPr>
                <w:rFonts w:asciiTheme="minorHAnsi" w:hAnsiTheme="minorHAnsi"/>
                <w:bCs/>
                <w:iCs/>
                <w:sz w:val="22"/>
                <w:szCs w:val="22"/>
              </w:rPr>
              <w:t>Which aspect of Commonwealth environmental water delivery contributed most to productivity outcomes?</w:t>
            </w:r>
          </w:p>
        </w:tc>
      </w:tr>
    </w:tbl>
    <w:p w14:paraId="6556C747" w14:textId="77777777" w:rsidR="00675B7A" w:rsidRDefault="00675B7A" w:rsidP="005D0C92">
      <w:pPr>
        <w:spacing w:after="120" w:line="259" w:lineRule="auto"/>
        <w:jc w:val="left"/>
        <w:rPr>
          <w:rFonts w:cstheme="minorHAnsi"/>
          <w:b/>
          <w:color w:val="31849B"/>
          <w:sz w:val="28"/>
          <w:szCs w:val="28"/>
        </w:rPr>
      </w:pPr>
    </w:p>
    <w:p w14:paraId="7306EC30" w14:textId="77777777" w:rsidR="005D0C92" w:rsidRPr="00272A8F" w:rsidRDefault="005D0C92" w:rsidP="005D0C92">
      <w:pPr>
        <w:spacing w:after="120" w:line="259" w:lineRule="auto"/>
        <w:jc w:val="left"/>
        <w:rPr>
          <w:b/>
          <w:color w:val="31849B"/>
          <w:sz w:val="28"/>
          <w:szCs w:val="28"/>
        </w:rPr>
      </w:pPr>
      <w:r w:rsidRPr="00272A8F">
        <w:rPr>
          <w:rFonts w:cstheme="minorHAnsi"/>
          <w:b/>
          <w:color w:val="31849B"/>
          <w:sz w:val="28"/>
          <w:szCs w:val="28"/>
        </w:rPr>
        <w:t xml:space="preserve">6.4 Methods </w:t>
      </w:r>
    </w:p>
    <w:p w14:paraId="6B9FD7E9" w14:textId="77777777" w:rsidR="005D0C92" w:rsidRPr="00272A8F" w:rsidRDefault="005D0C92" w:rsidP="005D0C92">
      <w:pPr>
        <w:pStyle w:val="BodyText"/>
        <w:spacing w:after="120" w:line="259" w:lineRule="auto"/>
        <w:rPr>
          <w:rFonts w:asciiTheme="minorHAnsi" w:hAnsiTheme="minorHAnsi"/>
          <w:b/>
          <w:i/>
          <w:color w:val="31849B"/>
          <w:sz w:val="22"/>
          <w:szCs w:val="22"/>
        </w:rPr>
      </w:pPr>
      <w:r w:rsidRPr="00272A8F">
        <w:rPr>
          <w:rFonts w:asciiTheme="minorHAnsi" w:hAnsiTheme="minorHAnsi"/>
          <w:b/>
          <w:i/>
          <w:color w:val="31849B"/>
          <w:sz w:val="22"/>
          <w:szCs w:val="22"/>
        </w:rPr>
        <w:t>Data collection</w:t>
      </w:r>
    </w:p>
    <w:p w14:paraId="6E2AE3D4" w14:textId="77777777" w:rsidR="005D0C92" w:rsidRDefault="005D0C92" w:rsidP="005D0C92">
      <w:pPr>
        <w:spacing w:after="120" w:line="259" w:lineRule="auto"/>
        <w:jc w:val="left"/>
      </w:pPr>
      <w:r>
        <w:t>S</w:t>
      </w:r>
      <w:r w:rsidRPr="006D00D0">
        <w:t xml:space="preserve">tream metabolism measurements were performed in accordance with the LTIM Standard Operating Procedure </w:t>
      </w:r>
      <w:r>
        <w:fldChar w:fldCharType="begin"/>
      </w:r>
      <w:r>
        <w:instrText xml:space="preserve"> ADDIN EN.CITE &lt;EndNote&gt;&lt;Cite&gt;&lt;Author&gt;Hale&lt;/Author&gt;&lt;Year&gt;2014&lt;/Year&gt;&lt;RecNum&gt;33062&lt;/RecNum&gt;&lt;DisplayText&gt;(Hale&lt;style face="italic"&gt; et al.&lt;/style&gt;, 2014)&lt;/DisplayText&gt;&lt;record&gt;&lt;rec-number&gt;33062&lt;/rec-number&gt;&lt;foreign-keys&gt;&lt;key app="EN" db-id="5rpwxxxrw9t2apesze8vvdsi50f950fr5vv5" timestamp="1602389516"&gt;33062&lt;/key&gt;&lt;/foreign-keys&gt;&lt;ref-type name="Journal Article"&gt;17&lt;/ref-type&gt;&lt;contributors&gt;&lt;authors&gt;&lt;author&gt;Hale,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Project–Standard Methods&lt;/title&gt;&lt;secondary-title&gt;Final Report prepared for the Commonwealth Environmental Water Office by The Murray-Darling Freshwater Research Centre. MDFRC Publication&lt;/secondary-title&gt;&lt;/titles&gt;&lt;periodical&gt;&lt;full-title&gt;Final Report prepared for the Commonwealth Environmental Water Office by The Murray-Darling Freshwater Research Centre. MDFRC Publication&lt;/full-title&gt;&lt;/periodical&gt;&lt;pages&gt;2014&lt;/pages&gt;&lt;volume&gt;29&lt;/volume&gt;&lt;dates&gt;&lt;year&gt;2014&lt;/year&gt;&lt;/dates&gt;&lt;urls&gt;&lt;/urls&gt;&lt;/record&gt;&lt;/Cite&gt;&lt;/EndNote&gt;</w:instrText>
      </w:r>
      <w:r>
        <w:fldChar w:fldCharType="separate"/>
      </w:r>
      <w:r>
        <w:rPr>
          <w:noProof/>
        </w:rPr>
        <w:t>(Hale</w:t>
      </w:r>
      <w:r w:rsidRPr="00FE54A6">
        <w:rPr>
          <w:i/>
          <w:noProof/>
        </w:rPr>
        <w:t xml:space="preserve"> et al.</w:t>
      </w:r>
      <w:r>
        <w:rPr>
          <w:noProof/>
        </w:rPr>
        <w:t>, 2014)</w:t>
      </w:r>
      <w:r>
        <w:fldChar w:fldCharType="end"/>
      </w:r>
      <w:r w:rsidRPr="006D00D0">
        <w:t>.</w:t>
      </w:r>
      <w:r>
        <w:t xml:space="preserve"> Water temperature and dissolved oxygen were logged every ten minutes with at least one logger placed in each of the four study zones; in zones 1, 3 and 4, loggers were placed at the upstream and downstream end of these zones. For 2019-20, water temperature and dissolved oxygen were also logged at the Old Morago Road site on Colligen Creek. Data were downloaded and loggers calibrated approximately once per month if sites were accessible, and more frequently (often fortnightly) during summer to avoid problems with probe biofouling. Light and depth loggers were deployed alongside oxygen loggers and data were downloaded on an approximately monthly basis. The data collected by the loggers was also used to calculate daily average temperature and dissolved oxygen concentrations (see Section 5) for each of the zones.</w:t>
      </w:r>
    </w:p>
    <w:p w14:paraId="7E73224A" w14:textId="77777777" w:rsidR="005D0C92" w:rsidRDefault="005D0C92" w:rsidP="005D0C92">
      <w:pPr>
        <w:spacing w:after="120" w:line="259" w:lineRule="auto"/>
        <w:jc w:val="left"/>
      </w:pPr>
      <w:r>
        <w:t>In accord with the LTIM Standard Protocol, temperature (</w:t>
      </w:r>
      <w:r>
        <w:rPr>
          <w:rFonts w:cs="Calibri"/>
        </w:rPr>
        <w:t>°</w:t>
      </w:r>
      <w:r>
        <w:t>C), electrical conductivity (</w:t>
      </w:r>
      <w:r>
        <w:rPr>
          <w:rFonts w:cs="Calibri"/>
        </w:rPr>
        <w:t>μ</w:t>
      </w:r>
      <w:r>
        <w:t>S/cm), dissolved oxygen (%), pH and turbidity (NTU) were also measured as spot recordings fortnightly within each zone. For 2019-20, average water depth was also estimated from hydraulic flow modelling (undertaken by Marine Solutions on behalf of CSU) which derived 5 cross-sectional wetted areas of each zone at varying discharge (approximately 25 to 1900 ML/day). A 2</w:t>
      </w:r>
      <w:r w:rsidRPr="00AE07A4">
        <w:rPr>
          <w:vertAlign w:val="superscript"/>
        </w:rPr>
        <w:t>nd</w:t>
      </w:r>
      <w:r>
        <w:t>-order polynomial trendline was derived from the 5 discharge-depth relationships and used to predict average depth from daily discharge data.</w:t>
      </w:r>
    </w:p>
    <w:p w14:paraId="21F76ED7" w14:textId="77777777" w:rsidR="005D0C92" w:rsidRPr="00272A8F" w:rsidRDefault="005D0C92" w:rsidP="005D0C92">
      <w:pPr>
        <w:pStyle w:val="BodyText"/>
        <w:spacing w:after="120" w:line="259" w:lineRule="auto"/>
        <w:jc w:val="left"/>
        <w:rPr>
          <w:rFonts w:asciiTheme="minorHAnsi" w:hAnsiTheme="minorHAnsi"/>
          <w:b/>
          <w:i/>
          <w:color w:val="31849B"/>
          <w:sz w:val="22"/>
          <w:szCs w:val="22"/>
        </w:rPr>
      </w:pPr>
      <w:r w:rsidRPr="00272A8F">
        <w:rPr>
          <w:rFonts w:asciiTheme="minorHAnsi" w:hAnsiTheme="minorHAnsi"/>
          <w:b/>
          <w:i/>
          <w:color w:val="31849B"/>
          <w:sz w:val="22"/>
          <w:szCs w:val="22"/>
        </w:rPr>
        <w:t>Data analysis</w:t>
      </w:r>
    </w:p>
    <w:p w14:paraId="2C63EE9F" w14:textId="77777777" w:rsidR="005D0C92" w:rsidRPr="00FE54A6" w:rsidRDefault="005D0C92" w:rsidP="005D0C92">
      <w:pPr>
        <w:spacing w:after="120" w:line="259" w:lineRule="auto"/>
        <w:jc w:val="left"/>
        <w:rPr>
          <w:szCs w:val="22"/>
        </w:rPr>
      </w:pPr>
      <w:r w:rsidRPr="00230769">
        <w:t>Acceptance criteria for inclusion of daily results</w:t>
      </w:r>
      <w:r>
        <w:t xml:space="preserve"> </w:t>
      </w:r>
      <w:r w:rsidRPr="00230769">
        <w:t>from the BASE</w:t>
      </w:r>
      <w:r>
        <w:t>v2</w:t>
      </w:r>
      <w:r w:rsidRPr="00230769">
        <w:t xml:space="preserve"> model </w:t>
      </w:r>
      <w:r>
        <w:fldChar w:fldCharType="begin">
          <w:fldData xml:space="preserve">PEVuZE5vdGU+PENpdGU+PEF1dGhvcj5HcmFjZTwvQXV0aG9yPjxZZWFyPjIwMTU8L1llYXI+PFJl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</w:fldData>
        </w:fldChar>
      </w:r>
      <w:r>
        <w:instrText xml:space="preserve"> ADDIN EN.CITE </w:instrText>
      </w:r>
      <w:r>
        <w:fldChar w:fldCharType="begin">
          <w:fldData xml:space="preserve">PEVuZE5vdGU+PENpdGU+PEF1dGhvcj5HcmFjZTwvQXV0aG9yPjxZZWFyPjIwMTU8L1llYXI+PFJl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</w:fldData>
        </w:fldChar>
      </w:r>
      <w:r>
        <w:instrText xml:space="preserve"> ADDIN EN.CITE.DATA </w:instrText>
      </w:r>
      <w:r>
        <w:fldChar w:fldCharType="end"/>
      </w:r>
      <w:r>
        <w:fldChar w:fldCharType="separate"/>
      </w:r>
      <w:r>
        <w:rPr>
          <w:noProof/>
        </w:rPr>
        <w:t>(updated from Grace</w:t>
      </w:r>
      <w:r w:rsidRPr="00FE54A6">
        <w:rPr>
          <w:i/>
          <w:noProof/>
        </w:rPr>
        <w:t xml:space="preserve"> et al.</w:t>
      </w:r>
      <w:r>
        <w:rPr>
          <w:noProof/>
        </w:rPr>
        <w:t>, 2015; according to Song</w:t>
      </w:r>
      <w:r w:rsidRPr="00FE54A6">
        <w:rPr>
          <w:i/>
          <w:noProof/>
        </w:rPr>
        <w:t xml:space="preserve"> et al.</w:t>
      </w:r>
      <w:r>
        <w:rPr>
          <w:noProof/>
        </w:rPr>
        <w:t>, 2016)</w:t>
      </w:r>
      <w:r>
        <w:fldChar w:fldCharType="end"/>
      </w:r>
      <w:r w:rsidRPr="00230769">
        <w:t xml:space="preserve"> </w:t>
      </w:r>
      <w:r>
        <w:t xml:space="preserve">followed Watts et al. </w:t>
      </w:r>
      <w:r>
        <w:fldChar w:fldCharType="begin"/>
      </w:r>
      <w:r>
        <w:instrText xml:space="preserve"> ADDIN EN.CITE &lt;EndNote&gt;&lt;Cite ExcludeAuth="1"&gt;&lt;Author&gt;Watts&lt;/Author&gt;&lt;Year&gt;2019&lt;/Year&gt;&lt;RecNum&gt;33065&lt;/RecNum&gt;&lt;DisplayText&gt;(2019)&lt;/DisplayText&gt;&lt;record&gt;&lt;rec-number&gt;33065&lt;/rec-number&gt;&lt;foreign-keys&gt;&lt;key app="EN" db-id="5rpwxxxrw9t2apesze8vvdsi50f950fr5vv5" timestamp="1602389853"&gt;33065&lt;/key&gt;&lt;/foreign-keys&gt;&lt;ref-type name="Journal Article"&gt;17&lt;/ref-type&gt;&lt;contributors&gt;&lt;authors&gt;&lt;author&gt;Watts, Robyn J&lt;/author&gt;&lt;author&gt;McCasker, Nicole&lt;/author&gt;&lt;author&gt;Howitt, Julia A&lt;/author&gt;&lt;author&gt;Thiem, Jason&lt;/author&gt;&lt;author&gt;Grace, Mike&lt;/author&gt;&lt;author&gt;Kopf, Richard K&lt;/author&gt;&lt;author&gt;Healy, Sascha&lt;/author&gt;&lt;author&gt;Bond, Nick&lt;/author&gt;&lt;/authors&gt;&lt;/contributors&gt;&lt;titles&gt;&lt;title&gt;Commonwealth Environmental Water Office Long Term Intervention Monitoring Project: Edward–Wakool River system-selected area evaluation report, 2018–19&lt;/title&gt;&lt;secondary-title&gt;Report prepared for Commonwealth Environmental Water Office. Commonwealth of Australia, Albury, NSW Australia&lt;/secondary-title&gt;&lt;/titles&gt;&lt;periodical&gt;&lt;full-title&gt;Report prepared for Commonwealth Environmental Water Office. Commonwealth of Australia, Albury, NSW Australia&lt;/full-title&gt;&lt;/periodical&gt;&lt;dates&gt;&lt;year&gt;2019&lt;/year&gt;&lt;/dates&gt;&lt;urls&gt;&lt;/urls&gt;&lt;/record&gt;&lt;/Cite&gt;&lt;/EndNote&gt;</w:instrText>
      </w:r>
      <w:r>
        <w:fldChar w:fldCharType="separate"/>
      </w:r>
      <w:r>
        <w:rPr>
          <w:noProof/>
        </w:rPr>
        <w:t>(2019)</w:t>
      </w:r>
      <w:r>
        <w:fldChar w:fldCharType="end"/>
      </w:r>
      <w:r>
        <w:t xml:space="preserve"> as </w:t>
      </w:r>
      <w:r w:rsidRPr="003204CC">
        <w:t>established at the July 2015 LTIM Workshop and then refined at the equivalent meeting in July 2016.</w:t>
      </w:r>
      <w:r>
        <w:t xml:space="preserve"> These criteria were that the fitted model for a day must have (i) an R</w:t>
      </w:r>
      <w:r w:rsidRPr="00F171D7">
        <w:rPr>
          <w:vertAlign w:val="superscript"/>
        </w:rPr>
        <w:t>2</w:t>
      </w:r>
      <w:r>
        <w:t xml:space="preserve"> </w:t>
      </w:r>
      <w:r w:rsidRPr="00C750F0">
        <w:t xml:space="preserve">value of at least 0.90 </w:t>
      </w:r>
      <w:r w:rsidRPr="009433A9">
        <w:rPr>
          <w:i/>
          <w:iCs/>
        </w:rPr>
        <w:t>and</w:t>
      </w:r>
      <w:r>
        <w:t xml:space="preserve"> </w:t>
      </w:r>
      <w:r w:rsidRPr="00C750F0">
        <w:t>a coefficient of variation f</w:t>
      </w:r>
      <w:r>
        <w:t xml:space="preserve">or </w:t>
      </w:r>
      <w:r w:rsidRPr="00C750F0">
        <w:t>the GPP, ER</w:t>
      </w:r>
      <w:r>
        <w:t>,</w:t>
      </w:r>
      <w:r w:rsidRPr="00C750F0">
        <w:t xml:space="preserve"> and K</w:t>
      </w:r>
      <w:r>
        <w:t xml:space="preserve"> </w:t>
      </w:r>
      <w:r w:rsidRPr="00C750F0">
        <w:t>parameters</w:t>
      </w:r>
      <w:r>
        <w:t xml:space="preserve"> </w:t>
      </w:r>
      <w:r w:rsidRPr="00C750F0">
        <w:t>of &lt; 50%</w:t>
      </w:r>
      <w:r>
        <w:t xml:space="preserve">, (ii) a </w:t>
      </w:r>
      <w:r w:rsidRPr="004B3E8B">
        <w:t>reaeration coefficient</w:t>
      </w:r>
      <w:r>
        <w:t xml:space="preserve"> (K)</w:t>
      </w:r>
      <w:r w:rsidRPr="004B3E8B">
        <w:t xml:space="preserve"> </w:t>
      </w:r>
      <w:r>
        <w:t>within</w:t>
      </w:r>
      <w:r w:rsidRPr="004B3E8B">
        <w:t xml:space="preserve"> the range</w:t>
      </w:r>
      <w:r>
        <w:t xml:space="preserve"> </w:t>
      </w:r>
      <w:r w:rsidRPr="004B3E8B">
        <w:t>0.1 to 15</w:t>
      </w:r>
      <w:r>
        <w:t xml:space="preserve">, and (iii) </w:t>
      </w:r>
      <w:r w:rsidRPr="00A423B8">
        <w:t xml:space="preserve">model fit parameter PPfit </w:t>
      </w:r>
      <w:r>
        <w:t>with</w:t>
      </w:r>
      <w:r w:rsidRPr="00A423B8">
        <w:t>in the range 0.1 to 0.9</w:t>
      </w:r>
      <w:r>
        <w:t xml:space="preserve">. </w:t>
      </w:r>
      <w:r w:rsidRPr="00B33A1A">
        <w:t>Values outside th</w:t>
      </w:r>
      <w:r>
        <w:t>ese</w:t>
      </w:r>
      <w:r w:rsidRPr="00B33A1A">
        <w:t xml:space="preserve"> </w:t>
      </w:r>
      <w:r>
        <w:t>parameters</w:t>
      </w:r>
      <w:r w:rsidRPr="00B33A1A">
        <w:t xml:space="preserve"> indicate that the ’best fit’ to the data was still an implausible model.</w:t>
      </w:r>
    </w:p>
    <w:p w14:paraId="10C60C4D" w14:textId="77777777" w:rsidR="005D0C92" w:rsidRDefault="005D0C92" w:rsidP="005D0C92">
      <w:pPr>
        <w:spacing w:after="120" w:line="259" w:lineRule="auto"/>
        <w:jc w:val="left"/>
      </w:pPr>
      <w:r>
        <w:t>The original units of GPP and ER estimation from BASE are volumetric (mg O</w:t>
      </w:r>
      <w:r w:rsidRPr="005617D5">
        <w:rPr>
          <w:vertAlign w:val="subscript"/>
        </w:rPr>
        <w:t>2</w:t>
      </w:r>
      <w:r>
        <w:t xml:space="preserve">/L/day) and can be affected by concentration and dilution effects from varying discharge </w:t>
      </w:r>
      <w:r>
        <w:fldChar w:fldCharType="begin"/>
      </w:r>
      <w:r>
        <w:instrText xml:space="preserve"> ADDIN EN.CITE &lt;EndNote&gt;&lt;Cite&gt;&lt;Author&gt;Watts&lt;/Author&gt;&lt;Year&gt;2019&lt;/Year&gt;&lt;RecNum&gt;33065&lt;/RecNum&gt;&lt;DisplayText&gt;(Watts&lt;style face="italic"&gt; et al.&lt;/style&gt;, 2019)&lt;/DisplayText&gt;&lt;record&gt;&lt;rec-number&gt;33065&lt;/rec-number&gt;&lt;foreign-keys&gt;&lt;key app="EN" db-id="5rpwxxxrw9t2apesze8vvdsi50f950fr5vv5" timestamp="1602389853"&gt;33065&lt;/key&gt;&lt;/foreign-keys&gt;&lt;ref-type name="Journal Article"&gt;17&lt;/ref-type&gt;&lt;contributors&gt;&lt;authors&gt;&lt;author&gt;Watts, Robyn J&lt;/author&gt;&lt;author&gt;McCasker, Nicole&lt;/author&gt;&lt;author&gt;Howitt, Julia A&lt;/author&gt;&lt;author&gt;Thiem, Jason&lt;/author&gt;&lt;author&gt;Grace, Mike&lt;/author&gt;&lt;author&gt;Kopf, Richard K&lt;/author&gt;&lt;author&gt;Healy, Sascha&lt;/author&gt;&lt;author&gt;Bond, Nick&lt;/author&gt;&lt;/authors&gt;&lt;/contributors&gt;&lt;titles&gt;&lt;title&gt;Commonwealth Environmental Water Office Long Term Intervention Monitoring Project: Edward–Wakool River system-selected area evaluation report, 2018–19&lt;/title&gt;&lt;secondary-title&gt;Report prepared for Commonwealth Environmental Water Office. Commonwealth of Australia, Albury, NSW Australia&lt;/secondary-title&gt;&lt;/titles&gt;&lt;periodical&gt;&lt;full-title&gt;Report prepared for Commonwealth Environmental Water Office. Commonwealth of Australia, Albury, NSW Australia&lt;/full-title&gt;&lt;/periodical&gt;&lt;dates&gt;&lt;year&gt;2019&lt;/year&gt;&lt;/dates&gt;&lt;urls&gt;&lt;/urls&gt;&lt;/record&gt;&lt;/Cite&gt;&lt;/EndNote&gt;</w:instrText>
      </w:r>
      <w:r>
        <w:fldChar w:fldCharType="separate"/>
      </w:r>
      <w:r>
        <w:rPr>
          <w:noProof/>
        </w:rPr>
        <w:t>(Watts</w:t>
      </w:r>
      <w:r w:rsidRPr="005F4A64">
        <w:rPr>
          <w:i/>
          <w:noProof/>
        </w:rPr>
        <w:t xml:space="preserve"> et al.</w:t>
      </w:r>
      <w:r>
        <w:rPr>
          <w:noProof/>
        </w:rPr>
        <w:t>, 2019)</w:t>
      </w:r>
      <w:r>
        <w:fldChar w:fldCharType="end"/>
      </w:r>
      <w:r>
        <w:t>. We therefore converted all GPP and ER estimates to areal rates (g O</w:t>
      </w:r>
      <w:r w:rsidRPr="009032FE">
        <w:rPr>
          <w:vertAlign w:val="subscript"/>
        </w:rPr>
        <w:t>2</w:t>
      </w:r>
      <w:r>
        <w:t>/m</w:t>
      </w:r>
      <w:r w:rsidRPr="009032FE">
        <w:rPr>
          <w:vertAlign w:val="superscript"/>
        </w:rPr>
        <w:t>2</w:t>
      </w:r>
      <w:r>
        <w:t xml:space="preserve">/day) by multiplication with estimated average depth. </w:t>
      </w:r>
      <w:r w:rsidRPr="00557AF3">
        <w:rPr>
          <w:bCs/>
          <w:szCs w:val="22"/>
        </w:rPr>
        <w:t>This approach addresses issues</w:t>
      </w:r>
      <w:r>
        <w:rPr>
          <w:bCs/>
          <w:szCs w:val="22"/>
        </w:rPr>
        <w:t xml:space="preserve"> </w:t>
      </w:r>
      <w:r w:rsidRPr="00557AF3">
        <w:rPr>
          <w:bCs/>
          <w:szCs w:val="22"/>
        </w:rPr>
        <w:t>associated with the fact that higher flows are often associated with lower rates of production per litre.</w:t>
      </w:r>
    </w:p>
    <w:p w14:paraId="18D2A4D7" w14:textId="77777777" w:rsidR="005D0C92" w:rsidRDefault="005D0C92" w:rsidP="005D0C92">
      <w:pPr>
        <w:spacing w:after="120" w:line="259" w:lineRule="auto"/>
        <w:jc w:val="left"/>
        <w:rPr>
          <w:bCs/>
          <w:szCs w:val="22"/>
        </w:rPr>
      </w:pPr>
      <w:r>
        <w:rPr>
          <w:bCs/>
          <w:szCs w:val="22"/>
        </w:rPr>
        <w:t>For the environmental watering action periods 1 and 3, t</w:t>
      </w:r>
      <w:r w:rsidRPr="00557AF3">
        <w:rPr>
          <w:bCs/>
          <w:szCs w:val="22"/>
        </w:rPr>
        <w:t xml:space="preserve">he estimation of the additional daily carbon production (kg) attributable to Commonwealth environmental watering actions entailed the following steps. </w:t>
      </w:r>
    </w:p>
    <w:p w14:paraId="640A8ECA" w14:textId="77777777" w:rsidR="005D0C92" w:rsidRDefault="005D0C92" w:rsidP="0040642F">
      <w:pPr>
        <w:pStyle w:val="ListParagraph"/>
        <w:numPr>
          <w:ilvl w:val="0"/>
          <w:numId w:val="27"/>
        </w:numPr>
        <w:spacing w:after="120" w:line="259" w:lineRule="auto"/>
        <w:jc w:val="left"/>
        <w:rPr>
          <w:bCs/>
          <w:szCs w:val="22"/>
        </w:rPr>
      </w:pPr>
      <w:r>
        <w:rPr>
          <w:bCs/>
          <w:szCs w:val="22"/>
        </w:rPr>
        <w:t xml:space="preserve">Rates of carbon produced and consumed each day were </w:t>
      </w:r>
      <w:r w:rsidRPr="007471D2">
        <w:rPr>
          <w:bCs/>
          <w:szCs w:val="22"/>
        </w:rPr>
        <w:t xml:space="preserve">calculated by </w:t>
      </w:r>
      <w:r w:rsidRPr="00423B67">
        <w:rPr>
          <w:bCs/>
          <w:szCs w:val="22"/>
        </w:rPr>
        <w:t>multiplying GPP or ER in mg O</w:t>
      </w:r>
      <w:r w:rsidRPr="00423B67">
        <w:rPr>
          <w:bCs/>
          <w:szCs w:val="22"/>
          <w:vertAlign w:val="subscript"/>
        </w:rPr>
        <w:t>2</w:t>
      </w:r>
      <w:r w:rsidRPr="00423B67">
        <w:rPr>
          <w:bCs/>
          <w:szCs w:val="22"/>
        </w:rPr>
        <w:t xml:space="preserve">/L/Day by the number of </w:t>
      </w:r>
      <w:r>
        <w:rPr>
          <w:bCs/>
          <w:szCs w:val="22"/>
        </w:rPr>
        <w:t>l</w:t>
      </w:r>
      <w:r w:rsidRPr="00423B67">
        <w:rPr>
          <w:bCs/>
          <w:szCs w:val="22"/>
        </w:rPr>
        <w:t xml:space="preserve">itres discharged that day. </w:t>
      </w:r>
      <w:r>
        <w:rPr>
          <w:bCs/>
          <w:szCs w:val="22"/>
        </w:rPr>
        <w:t>C</w:t>
      </w:r>
      <w:r w:rsidRPr="007471D2">
        <w:rPr>
          <w:bCs/>
          <w:szCs w:val="22"/>
        </w:rPr>
        <w:t xml:space="preserve">onversion to organic carbon involves a factor of 12/32 (ratio of atomic mass of C </w:t>
      </w:r>
      <w:r>
        <w:rPr>
          <w:bCs/>
          <w:szCs w:val="22"/>
        </w:rPr>
        <w:t>to</w:t>
      </w:r>
      <w:r w:rsidRPr="007471D2">
        <w:rPr>
          <w:bCs/>
          <w:szCs w:val="22"/>
        </w:rPr>
        <w:t xml:space="preserve"> molecular mass of O</w:t>
      </w:r>
      <w:r w:rsidRPr="009660D7">
        <w:rPr>
          <w:bCs/>
          <w:szCs w:val="22"/>
          <w:vertAlign w:val="subscript"/>
        </w:rPr>
        <w:t>2</w:t>
      </w:r>
      <w:r w:rsidRPr="007471D2">
        <w:rPr>
          <w:bCs/>
          <w:szCs w:val="22"/>
        </w:rPr>
        <w:t>). This factor does not include any physiological efficiency factor for converting oxygen to organic carbon which typically is in the range 0.8</w:t>
      </w:r>
      <w:r>
        <w:rPr>
          <w:bCs/>
          <w:szCs w:val="22"/>
        </w:rPr>
        <w:t xml:space="preserve"> to </w:t>
      </w:r>
      <w:r w:rsidRPr="007471D2">
        <w:rPr>
          <w:bCs/>
          <w:szCs w:val="22"/>
        </w:rPr>
        <w:t>1.</w:t>
      </w:r>
      <w:r>
        <w:rPr>
          <w:bCs/>
          <w:szCs w:val="22"/>
        </w:rPr>
        <w:t xml:space="preserve"> </w:t>
      </w:r>
      <w:r w:rsidRPr="00A7015A">
        <w:rPr>
          <w:bCs/>
          <w:szCs w:val="22"/>
        </w:rPr>
        <w:t>Given the exploratory use of this metric, concern over conversion efficiency at this stage is unwarranted.</w:t>
      </w:r>
    </w:p>
    <w:p w14:paraId="0414CE8D" w14:textId="77777777" w:rsidR="005D0C92" w:rsidRPr="009B28A7" w:rsidRDefault="005D0C92" w:rsidP="0040642F">
      <w:pPr>
        <w:pStyle w:val="ListParagraph"/>
        <w:numPr>
          <w:ilvl w:val="0"/>
          <w:numId w:val="27"/>
        </w:numPr>
        <w:spacing w:after="0" w:line="259" w:lineRule="auto"/>
        <w:ind w:left="714" w:hanging="357"/>
        <w:jc w:val="left"/>
        <w:rPr>
          <w:bCs/>
          <w:szCs w:val="22"/>
        </w:rPr>
      </w:pPr>
      <w:r>
        <w:rPr>
          <w:bCs/>
          <w:szCs w:val="22"/>
        </w:rPr>
        <w:t>T</w:t>
      </w:r>
      <w:r w:rsidRPr="0099278B">
        <w:rPr>
          <w:bCs/>
          <w:szCs w:val="22"/>
        </w:rPr>
        <w:t>otal</w:t>
      </w:r>
      <w:r>
        <w:rPr>
          <w:bCs/>
          <w:szCs w:val="22"/>
        </w:rPr>
        <w:t xml:space="preserve"> </w:t>
      </w:r>
      <w:r w:rsidRPr="009B28A7">
        <w:rPr>
          <w:bCs/>
          <w:szCs w:val="22"/>
        </w:rPr>
        <w:t xml:space="preserve">production for each day was estimated by multiplying the rate of production derived for that day (in </w:t>
      </w:r>
      <w:r>
        <w:rPr>
          <w:bCs/>
          <w:szCs w:val="22"/>
        </w:rPr>
        <w:t>k</w:t>
      </w:r>
      <w:r w:rsidRPr="009B28A7">
        <w:rPr>
          <w:bCs/>
          <w:szCs w:val="22"/>
        </w:rPr>
        <w:t>g C/L/day) by the observed discharge on that day (L).</w:t>
      </w:r>
    </w:p>
    <w:p w14:paraId="2D44B1AB" w14:textId="77777777" w:rsidR="005D0C92" w:rsidRDefault="005D0C92" w:rsidP="0040642F">
      <w:pPr>
        <w:pStyle w:val="ListParagraph"/>
        <w:numPr>
          <w:ilvl w:val="0"/>
          <w:numId w:val="27"/>
        </w:numPr>
        <w:spacing w:after="0" w:line="259" w:lineRule="auto"/>
        <w:ind w:left="714" w:hanging="357"/>
        <w:jc w:val="left"/>
        <w:rPr>
          <w:bCs/>
          <w:szCs w:val="22"/>
        </w:rPr>
      </w:pPr>
      <w:r w:rsidRPr="0099278B">
        <w:rPr>
          <w:bCs/>
          <w:szCs w:val="22"/>
        </w:rPr>
        <w:t>To calculate the discharge predicted to have occurred in the absence of Commonwealth Environmental Water (CEW), we subtracted the volume of</w:t>
      </w:r>
      <w:r>
        <w:rPr>
          <w:bCs/>
          <w:szCs w:val="22"/>
        </w:rPr>
        <w:t xml:space="preserve"> </w:t>
      </w:r>
      <w:r w:rsidRPr="0099278B">
        <w:rPr>
          <w:bCs/>
          <w:szCs w:val="22"/>
        </w:rPr>
        <w:t>CEW from the total discharge (observed discharge –</w:t>
      </w:r>
      <w:r>
        <w:rPr>
          <w:bCs/>
          <w:szCs w:val="22"/>
        </w:rPr>
        <w:t xml:space="preserve"> </w:t>
      </w:r>
      <w:r w:rsidRPr="0099278B">
        <w:rPr>
          <w:bCs/>
          <w:szCs w:val="22"/>
        </w:rPr>
        <w:t>CEW).</w:t>
      </w:r>
    </w:p>
    <w:p w14:paraId="3F60BAAC" w14:textId="77777777" w:rsidR="005D0C92" w:rsidRDefault="005D0C92" w:rsidP="0040642F">
      <w:pPr>
        <w:pStyle w:val="ListParagraph"/>
        <w:numPr>
          <w:ilvl w:val="0"/>
          <w:numId w:val="27"/>
        </w:numPr>
        <w:spacing w:after="0" w:line="259" w:lineRule="auto"/>
        <w:ind w:left="714" w:hanging="357"/>
        <w:jc w:val="left"/>
        <w:rPr>
          <w:bCs/>
          <w:szCs w:val="22"/>
        </w:rPr>
      </w:pPr>
      <w:r>
        <w:rPr>
          <w:bCs/>
          <w:szCs w:val="22"/>
        </w:rPr>
        <w:t xml:space="preserve">To calculate the average depth of the water column in the </w:t>
      </w:r>
      <w:r w:rsidRPr="0099278B">
        <w:rPr>
          <w:bCs/>
          <w:szCs w:val="22"/>
        </w:rPr>
        <w:t xml:space="preserve">absence of </w:t>
      </w:r>
      <w:r>
        <w:rPr>
          <w:bCs/>
          <w:szCs w:val="22"/>
        </w:rPr>
        <w:t>CEW</w:t>
      </w:r>
      <w:r w:rsidRPr="0099278B">
        <w:rPr>
          <w:bCs/>
          <w:szCs w:val="22"/>
        </w:rPr>
        <w:t xml:space="preserve">, we </w:t>
      </w:r>
      <w:r>
        <w:rPr>
          <w:bCs/>
          <w:szCs w:val="22"/>
        </w:rPr>
        <w:t xml:space="preserve">applied the estimation equations for average depth to </w:t>
      </w:r>
      <w:r w:rsidRPr="0099278B">
        <w:rPr>
          <w:bCs/>
          <w:szCs w:val="22"/>
        </w:rPr>
        <w:t xml:space="preserve">the discharge predicted to have occurred in the absence of </w:t>
      </w:r>
      <w:r>
        <w:rPr>
          <w:bCs/>
          <w:szCs w:val="22"/>
        </w:rPr>
        <w:t>CEW</w:t>
      </w:r>
      <w:r w:rsidRPr="0099278B">
        <w:rPr>
          <w:bCs/>
          <w:szCs w:val="22"/>
        </w:rPr>
        <w:t>.</w:t>
      </w:r>
    </w:p>
    <w:p w14:paraId="7CE6323F" w14:textId="77777777" w:rsidR="005D0C92" w:rsidRDefault="005D0C92" w:rsidP="0040642F">
      <w:pPr>
        <w:pStyle w:val="ListParagraph"/>
        <w:numPr>
          <w:ilvl w:val="0"/>
          <w:numId w:val="27"/>
        </w:numPr>
        <w:spacing w:after="0" w:line="259" w:lineRule="auto"/>
        <w:ind w:left="714" w:hanging="357"/>
        <w:jc w:val="left"/>
        <w:rPr>
          <w:bCs/>
          <w:szCs w:val="22"/>
        </w:rPr>
      </w:pPr>
      <w:r>
        <w:rPr>
          <w:bCs/>
          <w:szCs w:val="22"/>
        </w:rPr>
        <w:t xml:space="preserve">To estimate volumetric rates of GPP and ER in the </w:t>
      </w:r>
      <w:r w:rsidRPr="0099278B">
        <w:rPr>
          <w:bCs/>
          <w:szCs w:val="22"/>
        </w:rPr>
        <w:t xml:space="preserve">absence of </w:t>
      </w:r>
      <w:r>
        <w:rPr>
          <w:bCs/>
          <w:szCs w:val="22"/>
        </w:rPr>
        <w:t>CEW, we divided areal</w:t>
      </w:r>
      <w:r w:rsidRPr="0099278B">
        <w:rPr>
          <w:bCs/>
          <w:szCs w:val="22"/>
        </w:rPr>
        <w:t xml:space="preserve"> rate</w:t>
      </w:r>
      <w:r>
        <w:rPr>
          <w:bCs/>
          <w:szCs w:val="22"/>
        </w:rPr>
        <w:t>s</w:t>
      </w:r>
      <w:r w:rsidRPr="0099278B">
        <w:rPr>
          <w:bCs/>
          <w:szCs w:val="22"/>
        </w:rPr>
        <w:t xml:space="preserve"> of production </w:t>
      </w:r>
      <w:r>
        <w:rPr>
          <w:bCs/>
          <w:szCs w:val="22"/>
        </w:rPr>
        <w:t>and consumption (in g O</w:t>
      </w:r>
      <w:r w:rsidRPr="00E8605B">
        <w:rPr>
          <w:bCs/>
          <w:szCs w:val="22"/>
          <w:vertAlign w:val="subscript"/>
        </w:rPr>
        <w:t>2</w:t>
      </w:r>
      <w:r>
        <w:rPr>
          <w:bCs/>
          <w:szCs w:val="22"/>
        </w:rPr>
        <w:t>/m</w:t>
      </w:r>
      <w:r w:rsidRPr="00E8605B">
        <w:rPr>
          <w:bCs/>
          <w:szCs w:val="22"/>
          <w:vertAlign w:val="superscript"/>
        </w:rPr>
        <w:t>2</w:t>
      </w:r>
      <w:r>
        <w:rPr>
          <w:bCs/>
          <w:szCs w:val="22"/>
        </w:rPr>
        <w:t xml:space="preserve">/day) for each day by the estimated average depth of the water column in the </w:t>
      </w:r>
      <w:r w:rsidRPr="0099278B">
        <w:rPr>
          <w:bCs/>
          <w:szCs w:val="22"/>
        </w:rPr>
        <w:t xml:space="preserve">absence of </w:t>
      </w:r>
      <w:r>
        <w:rPr>
          <w:bCs/>
          <w:szCs w:val="22"/>
        </w:rPr>
        <w:t>CEW. Rates were then converted to units of organic carbon as above.</w:t>
      </w:r>
    </w:p>
    <w:p w14:paraId="26228BF5" w14:textId="77777777" w:rsidR="005D0C92" w:rsidRDefault="005D0C92" w:rsidP="0040642F">
      <w:pPr>
        <w:pStyle w:val="ListParagraph"/>
        <w:numPr>
          <w:ilvl w:val="0"/>
          <w:numId w:val="27"/>
        </w:numPr>
        <w:spacing w:after="0" w:line="259" w:lineRule="auto"/>
        <w:ind w:left="714" w:hanging="357"/>
        <w:jc w:val="left"/>
        <w:rPr>
          <w:bCs/>
          <w:szCs w:val="22"/>
        </w:rPr>
      </w:pPr>
      <w:r w:rsidRPr="0099278B">
        <w:rPr>
          <w:bCs/>
          <w:szCs w:val="22"/>
        </w:rPr>
        <w:t>Th</w:t>
      </w:r>
      <w:r>
        <w:rPr>
          <w:bCs/>
          <w:szCs w:val="22"/>
        </w:rPr>
        <w:t>e</w:t>
      </w:r>
      <w:r w:rsidRPr="0099278B">
        <w:rPr>
          <w:bCs/>
          <w:szCs w:val="22"/>
        </w:rPr>
        <w:t>s</w:t>
      </w:r>
      <w:r>
        <w:rPr>
          <w:bCs/>
          <w:szCs w:val="22"/>
        </w:rPr>
        <w:t>e</w:t>
      </w:r>
      <w:r w:rsidRPr="0099278B">
        <w:rPr>
          <w:bCs/>
          <w:szCs w:val="22"/>
        </w:rPr>
        <w:t xml:space="preserve"> alternative rate</w:t>
      </w:r>
      <w:r>
        <w:rPr>
          <w:bCs/>
          <w:szCs w:val="22"/>
        </w:rPr>
        <w:t>s</w:t>
      </w:r>
      <w:r w:rsidRPr="0099278B">
        <w:rPr>
          <w:bCs/>
          <w:szCs w:val="22"/>
        </w:rPr>
        <w:t xml:space="preserve"> of production </w:t>
      </w:r>
      <w:r>
        <w:rPr>
          <w:bCs/>
          <w:szCs w:val="22"/>
        </w:rPr>
        <w:t xml:space="preserve">and consumption </w:t>
      </w:r>
      <w:r w:rsidRPr="0099278B">
        <w:rPr>
          <w:bCs/>
          <w:szCs w:val="22"/>
        </w:rPr>
        <w:t>w</w:t>
      </w:r>
      <w:r>
        <w:rPr>
          <w:bCs/>
          <w:szCs w:val="22"/>
        </w:rPr>
        <w:t>ere</w:t>
      </w:r>
      <w:r w:rsidRPr="0099278B">
        <w:rPr>
          <w:bCs/>
          <w:szCs w:val="22"/>
        </w:rPr>
        <w:t xml:space="preserve"> then multiplied by the non-CEW discharge volume to determine the total production predicted to have occurred on that day in the absence of CEW.</w:t>
      </w:r>
    </w:p>
    <w:p w14:paraId="165FED3B" w14:textId="77777777" w:rsidR="005D0C92" w:rsidRDefault="005D0C92" w:rsidP="0040642F">
      <w:pPr>
        <w:pStyle w:val="ListParagraph"/>
        <w:numPr>
          <w:ilvl w:val="0"/>
          <w:numId w:val="27"/>
        </w:numPr>
        <w:spacing w:after="0" w:line="259" w:lineRule="auto"/>
        <w:ind w:left="714" w:hanging="357"/>
        <w:jc w:val="left"/>
        <w:rPr>
          <w:bCs/>
          <w:szCs w:val="22"/>
        </w:rPr>
      </w:pPr>
      <w:r w:rsidRPr="0099278B">
        <w:rPr>
          <w:bCs/>
          <w:szCs w:val="22"/>
        </w:rPr>
        <w:t>Th</w:t>
      </w:r>
      <w:r>
        <w:rPr>
          <w:bCs/>
          <w:szCs w:val="22"/>
        </w:rPr>
        <w:t>e</w:t>
      </w:r>
      <w:r w:rsidRPr="0099278B">
        <w:rPr>
          <w:bCs/>
          <w:szCs w:val="22"/>
        </w:rPr>
        <w:t xml:space="preserve"> above steps produced</w:t>
      </w:r>
      <w:r>
        <w:rPr>
          <w:bCs/>
          <w:szCs w:val="22"/>
        </w:rPr>
        <w:t xml:space="preserve"> </w:t>
      </w:r>
      <w:r w:rsidRPr="0099278B">
        <w:rPr>
          <w:bCs/>
          <w:szCs w:val="22"/>
        </w:rPr>
        <w:t>two</w:t>
      </w:r>
      <w:r>
        <w:rPr>
          <w:bCs/>
          <w:szCs w:val="22"/>
        </w:rPr>
        <w:t xml:space="preserve"> </w:t>
      </w:r>
      <w:r w:rsidRPr="0099278B">
        <w:rPr>
          <w:bCs/>
          <w:szCs w:val="22"/>
        </w:rPr>
        <w:t>time-series of estimated total daily production with and without CEW.</w:t>
      </w:r>
    </w:p>
    <w:p w14:paraId="791C9EE3" w14:textId="77777777" w:rsidR="005D0C92" w:rsidRPr="004E0589" w:rsidRDefault="005D0C92" w:rsidP="0040642F">
      <w:pPr>
        <w:pStyle w:val="ListParagraph"/>
        <w:numPr>
          <w:ilvl w:val="0"/>
          <w:numId w:val="27"/>
        </w:numPr>
        <w:spacing w:after="240" w:line="259" w:lineRule="auto"/>
        <w:ind w:left="714" w:hanging="357"/>
        <w:jc w:val="left"/>
        <w:rPr>
          <w:bCs/>
          <w:szCs w:val="22"/>
        </w:rPr>
      </w:pPr>
      <w:r w:rsidRPr="0099278B">
        <w:rPr>
          <w:bCs/>
          <w:szCs w:val="22"/>
        </w:rPr>
        <w:t xml:space="preserve">The daily estimates of CEW/non-CEW derived production were averaged to determine the </w:t>
      </w:r>
      <w:r>
        <w:rPr>
          <w:bCs/>
          <w:szCs w:val="22"/>
        </w:rPr>
        <w:t>mean</w:t>
      </w:r>
      <w:r w:rsidRPr="0099278B">
        <w:rPr>
          <w:bCs/>
          <w:szCs w:val="22"/>
        </w:rPr>
        <w:t xml:space="preserve"> daily additional production during watering actions and total additional production over</w:t>
      </w:r>
      <w:r>
        <w:rPr>
          <w:bCs/>
          <w:szCs w:val="22"/>
        </w:rPr>
        <w:t xml:space="preserve"> </w:t>
      </w:r>
      <w:r w:rsidRPr="0099278B">
        <w:rPr>
          <w:bCs/>
          <w:szCs w:val="22"/>
        </w:rPr>
        <w:t>the entire watering actio</w:t>
      </w:r>
      <w:r>
        <w:rPr>
          <w:bCs/>
          <w:szCs w:val="22"/>
        </w:rPr>
        <w:t>n.</w:t>
      </w:r>
    </w:p>
    <w:p w14:paraId="5A085BFB" w14:textId="77777777" w:rsidR="005D0C92" w:rsidRPr="008A17DC" w:rsidRDefault="005D0C92" w:rsidP="005D0C92">
      <w:pPr>
        <w:spacing w:after="120" w:line="259" w:lineRule="auto"/>
        <w:jc w:val="left"/>
        <w:rPr>
          <w:bCs/>
          <w:szCs w:val="22"/>
        </w:rPr>
      </w:pPr>
      <w:r w:rsidRPr="008A17DC">
        <w:rPr>
          <w:b/>
          <w:color w:val="31849B"/>
          <w:sz w:val="28"/>
          <w:szCs w:val="28"/>
        </w:rPr>
        <w:t>6.5 Results</w:t>
      </w:r>
    </w:p>
    <w:p w14:paraId="0DBD8D38" w14:textId="77777777" w:rsidR="005D0C92" w:rsidRPr="00217DC6" w:rsidRDefault="005D0C92" w:rsidP="005D0C92">
      <w:pPr>
        <w:pStyle w:val="BodyText"/>
        <w:spacing w:after="120" w:line="259" w:lineRule="auto"/>
        <w:rPr>
          <w:rFonts w:asciiTheme="minorHAnsi" w:hAnsiTheme="minorHAnsi"/>
          <w:b/>
          <w:i/>
          <w:color w:val="31849B"/>
          <w:sz w:val="22"/>
          <w:szCs w:val="22"/>
        </w:rPr>
      </w:pPr>
      <w:r w:rsidRPr="00217DC6">
        <w:rPr>
          <w:rFonts w:asciiTheme="minorHAnsi" w:hAnsiTheme="minorHAnsi"/>
          <w:b/>
          <w:i/>
          <w:color w:val="31849B"/>
          <w:sz w:val="22"/>
          <w:szCs w:val="22"/>
        </w:rPr>
        <w:t xml:space="preserve">Rates of </w:t>
      </w:r>
      <w:r>
        <w:rPr>
          <w:rFonts w:asciiTheme="minorHAnsi" w:hAnsiTheme="minorHAnsi"/>
          <w:b/>
          <w:i/>
          <w:color w:val="31849B"/>
          <w:sz w:val="22"/>
          <w:szCs w:val="22"/>
        </w:rPr>
        <w:t>stream</w:t>
      </w:r>
      <w:r w:rsidRPr="00217DC6">
        <w:rPr>
          <w:rFonts w:asciiTheme="minorHAnsi" w:hAnsiTheme="minorHAnsi"/>
          <w:b/>
          <w:i/>
          <w:color w:val="31849B"/>
          <w:sz w:val="22"/>
          <w:szCs w:val="22"/>
        </w:rPr>
        <w:t xml:space="preserve"> metabolism</w:t>
      </w:r>
    </w:p>
    <w:p w14:paraId="3BDF5970" w14:textId="77777777" w:rsidR="005D0C92" w:rsidRDefault="005D0C92" w:rsidP="005D0C92">
      <w:pPr>
        <w:pStyle w:val="BodyText"/>
        <w:spacing w:after="120" w:line="259" w:lineRule="auto"/>
        <w:jc w:val="left"/>
        <w:rPr>
          <w:rFonts w:ascii="Calibri" w:hAnsi="Calibri"/>
          <w:sz w:val="22"/>
          <w:szCs w:val="20"/>
          <w:lang w:val="en-AU"/>
        </w:rPr>
      </w:pPr>
      <w:r w:rsidRPr="006F6B93">
        <w:rPr>
          <w:rFonts w:ascii="Calibri" w:hAnsi="Calibri"/>
          <w:sz w:val="22"/>
          <w:szCs w:val="20"/>
          <w:lang w:val="en-AU"/>
        </w:rPr>
        <w:t xml:space="preserve">Using the acceptance criteria for each day’s diel DO curve, the acceptance rate ranged from a low of </w:t>
      </w:r>
      <w:r>
        <w:rPr>
          <w:rFonts w:ascii="Calibri" w:hAnsi="Calibri"/>
          <w:sz w:val="22"/>
          <w:szCs w:val="20"/>
          <w:lang w:val="en-AU"/>
        </w:rPr>
        <w:t>3</w:t>
      </w:r>
      <w:r w:rsidRPr="006F6B93">
        <w:rPr>
          <w:rFonts w:ascii="Calibri" w:hAnsi="Calibri"/>
          <w:sz w:val="22"/>
          <w:szCs w:val="20"/>
          <w:lang w:val="en-AU"/>
        </w:rPr>
        <w:t xml:space="preserve">% of all days with data available for zone </w:t>
      </w:r>
      <w:r>
        <w:rPr>
          <w:rFonts w:ascii="Calibri" w:hAnsi="Calibri"/>
          <w:sz w:val="22"/>
          <w:szCs w:val="20"/>
          <w:lang w:val="en-AU"/>
        </w:rPr>
        <w:t>3</w:t>
      </w:r>
      <w:r w:rsidRPr="006F6B93">
        <w:rPr>
          <w:rFonts w:ascii="Calibri" w:hAnsi="Calibri"/>
          <w:sz w:val="22"/>
          <w:szCs w:val="20"/>
          <w:lang w:val="en-AU"/>
        </w:rPr>
        <w:t xml:space="preserve"> Upstream to a high of </w:t>
      </w:r>
      <w:r>
        <w:rPr>
          <w:rFonts w:ascii="Calibri" w:hAnsi="Calibri"/>
          <w:sz w:val="22"/>
          <w:szCs w:val="20"/>
          <w:lang w:val="en-AU"/>
        </w:rPr>
        <w:t>63</w:t>
      </w:r>
      <w:r w:rsidRPr="006F6B93">
        <w:rPr>
          <w:rFonts w:ascii="Calibri" w:hAnsi="Calibri"/>
          <w:sz w:val="22"/>
          <w:szCs w:val="20"/>
          <w:lang w:val="en-AU"/>
        </w:rPr>
        <w:t xml:space="preserve">% at zone </w:t>
      </w:r>
      <w:r>
        <w:rPr>
          <w:rFonts w:ascii="Calibri" w:hAnsi="Calibri"/>
          <w:sz w:val="22"/>
          <w:szCs w:val="20"/>
          <w:lang w:val="en-AU"/>
        </w:rPr>
        <w:t>1</w:t>
      </w:r>
      <w:r w:rsidRPr="006F6B93">
        <w:rPr>
          <w:rFonts w:ascii="Calibri" w:hAnsi="Calibri"/>
          <w:sz w:val="22"/>
          <w:szCs w:val="20"/>
          <w:lang w:val="en-AU"/>
        </w:rPr>
        <w:t xml:space="preserve"> </w:t>
      </w:r>
      <w:r>
        <w:rPr>
          <w:rFonts w:ascii="Calibri" w:hAnsi="Calibri"/>
          <w:sz w:val="22"/>
          <w:szCs w:val="20"/>
          <w:lang w:val="en-AU"/>
        </w:rPr>
        <w:t>Downstream</w:t>
      </w:r>
      <w:r w:rsidRPr="006F6B93">
        <w:rPr>
          <w:rFonts w:ascii="Calibri" w:hAnsi="Calibri"/>
          <w:sz w:val="22"/>
          <w:szCs w:val="20"/>
          <w:lang w:val="en-AU"/>
        </w:rPr>
        <w:t xml:space="preserve"> </w:t>
      </w:r>
      <w:r>
        <w:rPr>
          <w:rFonts w:ascii="Calibri" w:hAnsi="Calibri"/>
          <w:sz w:val="22"/>
          <w:szCs w:val="20"/>
          <w:lang w:val="en-AU"/>
        </w:rPr>
        <w:t>(</w:t>
      </w:r>
      <w:r w:rsidRPr="006F6B93">
        <w:rPr>
          <w:rFonts w:ascii="Calibri" w:hAnsi="Calibri"/>
          <w:sz w:val="22"/>
          <w:szCs w:val="20"/>
          <w:lang w:val="en-AU"/>
        </w:rPr>
        <w:t xml:space="preserve">Table </w:t>
      </w:r>
      <w:r>
        <w:rPr>
          <w:rFonts w:ascii="Calibri" w:hAnsi="Calibri"/>
          <w:sz w:val="22"/>
          <w:szCs w:val="20"/>
          <w:lang w:val="en-AU"/>
        </w:rPr>
        <w:t>6.3)</w:t>
      </w:r>
      <w:r w:rsidRPr="006F6B93">
        <w:rPr>
          <w:rFonts w:ascii="Calibri" w:hAnsi="Calibri"/>
          <w:sz w:val="22"/>
          <w:szCs w:val="20"/>
          <w:lang w:val="en-AU"/>
        </w:rPr>
        <w:t>.</w:t>
      </w:r>
      <w:r>
        <w:rPr>
          <w:rFonts w:ascii="Calibri" w:hAnsi="Calibri"/>
          <w:sz w:val="22"/>
          <w:szCs w:val="20"/>
          <w:lang w:val="en-AU"/>
        </w:rPr>
        <w:t xml:space="preserve"> These values are low compared to 2018-19 (29-65%), 2017-18 (58-79%), 2016-17 (17-48%) and 2015-16 (14-67%) </w:t>
      </w:r>
      <w:r>
        <w:rPr>
          <w:rFonts w:ascii="Calibri" w:hAnsi="Calibri"/>
          <w:sz w:val="22"/>
          <w:szCs w:val="20"/>
          <w:lang w:val="en-AU"/>
        </w:rPr>
        <w:fldChar w:fldCharType="begin"/>
      </w:r>
      <w:r>
        <w:rPr>
          <w:rFonts w:ascii="Calibri" w:hAnsi="Calibri"/>
          <w:sz w:val="22"/>
          <w:szCs w:val="20"/>
          <w:lang w:val="en-AU"/>
        </w:rPr>
        <w:instrText xml:space="preserve"> ADDIN EN.CITE &lt;EndNote&gt;&lt;Cite&gt;&lt;Author&gt;Watts&lt;/Author&gt;&lt;Year&gt;2019&lt;/Year&gt;&lt;RecNum&gt;33065&lt;/RecNum&gt;&lt;DisplayText&gt;(Watts&lt;style face="italic"&gt; et al.&lt;/style&gt;, 2019)&lt;/DisplayText&gt;&lt;record&gt;&lt;rec-number&gt;33065&lt;/rec-number&gt;&lt;foreign-keys&gt;&lt;key app="EN" db-id="5rpwxxxrw9t2apesze8vvdsi50f950fr5vv5" timestamp="1602389853"&gt;33065&lt;/key&gt;&lt;/foreign-keys&gt;&lt;ref-type name="Journal Article"&gt;17&lt;/ref-type&gt;&lt;contributors&gt;&lt;authors&gt;&lt;author&gt;Watts, Robyn J&lt;/author&gt;&lt;author&gt;McCasker, Nicole&lt;/author&gt;&lt;author&gt;Howitt, Julia A&lt;/author&gt;&lt;author&gt;Thiem, Jason&lt;/author&gt;&lt;author&gt;Grace, Mike&lt;/author&gt;&lt;author&gt;Kopf, Richard K&lt;/author&gt;&lt;author&gt;Healy, Sascha&lt;/author&gt;&lt;author&gt;Bond, Nick&lt;/author&gt;&lt;/authors&gt;&lt;/contributors&gt;&lt;titles&gt;&lt;title&gt;Commonwealth Environmental Water Office Long Term Intervention Monitoring Project: Edward–Wakool River system-selected area evaluation report, 2018–19&lt;/title&gt;&lt;secondary-title&gt;Report prepared for Commonwealth Environmental Water Office. Commonwealth of Australia, Albury, NSW Australia&lt;/secondary-title&gt;&lt;/titles&gt;&lt;periodical&gt;&lt;full-title&gt;Report prepared for Commonwealth Environmental Water Office. Commonwealth of Australia, Albury, NSW Australia&lt;/full-title&gt;&lt;/periodical&gt;&lt;dates&gt;&lt;year&gt;2019&lt;/year&gt;&lt;/dates&gt;&lt;urls&gt;&lt;/urls&gt;&lt;/record&gt;&lt;/Cite&gt;&lt;/EndNote&gt;</w:instrText>
      </w:r>
      <w:r>
        <w:rPr>
          <w:rFonts w:ascii="Calibri" w:hAnsi="Calibri"/>
          <w:sz w:val="22"/>
          <w:szCs w:val="20"/>
          <w:lang w:val="en-AU"/>
        </w:rPr>
        <w:fldChar w:fldCharType="separate"/>
      </w:r>
      <w:r>
        <w:rPr>
          <w:rFonts w:ascii="Calibri" w:hAnsi="Calibri"/>
          <w:noProof/>
          <w:sz w:val="22"/>
          <w:szCs w:val="20"/>
          <w:lang w:val="en-AU"/>
        </w:rPr>
        <w:t>(Watts</w:t>
      </w:r>
      <w:r w:rsidRPr="005F4A64">
        <w:rPr>
          <w:rFonts w:ascii="Calibri" w:hAnsi="Calibri"/>
          <w:i/>
          <w:noProof/>
          <w:sz w:val="22"/>
          <w:szCs w:val="20"/>
          <w:lang w:val="en-AU"/>
        </w:rPr>
        <w:t xml:space="preserve"> et al.</w:t>
      </w:r>
      <w:r>
        <w:rPr>
          <w:rFonts w:ascii="Calibri" w:hAnsi="Calibri"/>
          <w:noProof/>
          <w:sz w:val="22"/>
          <w:szCs w:val="20"/>
          <w:lang w:val="en-AU"/>
        </w:rPr>
        <w:t>, 2019)</w:t>
      </w:r>
      <w:r>
        <w:rPr>
          <w:rFonts w:ascii="Calibri" w:hAnsi="Calibri"/>
          <w:sz w:val="22"/>
          <w:szCs w:val="20"/>
          <w:lang w:val="en-AU"/>
        </w:rPr>
        <w:fldChar w:fldCharType="end"/>
      </w:r>
      <w:r>
        <w:rPr>
          <w:rFonts w:ascii="Calibri" w:hAnsi="Calibri"/>
          <w:sz w:val="22"/>
          <w:szCs w:val="20"/>
          <w:lang w:val="en-AU"/>
        </w:rPr>
        <w:t>. Examination of the underlying oxygen logger data suggests that many of the unusable data days in 2019-20 are due to measurement errors (e.g., temporary logger malfunctions) rather than variation in environmental conditions (e.g., flow events).</w:t>
      </w:r>
    </w:p>
    <w:p w14:paraId="27259D2F" w14:textId="77777777" w:rsidR="005D0C92" w:rsidRPr="00A618AF" w:rsidRDefault="005D0C92" w:rsidP="005D0C92">
      <w:pPr>
        <w:pStyle w:val="BodyText"/>
        <w:spacing w:after="120" w:line="259" w:lineRule="auto"/>
        <w:rPr>
          <w:rFonts w:ascii="Calibri" w:hAnsi="Calibri"/>
          <w:sz w:val="20"/>
          <w:szCs w:val="18"/>
          <w:lang w:val="en-AU"/>
        </w:rPr>
      </w:pPr>
      <w:r w:rsidRPr="00A618AF">
        <w:rPr>
          <w:rFonts w:ascii="Calibri" w:hAnsi="Calibri"/>
          <w:b/>
          <w:bCs/>
          <w:sz w:val="20"/>
          <w:szCs w:val="18"/>
          <w:lang w:val="en-AU"/>
        </w:rPr>
        <w:t>Table 6.3</w:t>
      </w:r>
      <w:r w:rsidRPr="00A618AF">
        <w:rPr>
          <w:rFonts w:ascii="Calibri" w:hAnsi="Calibri"/>
          <w:sz w:val="20"/>
          <w:szCs w:val="18"/>
          <w:lang w:val="en-AU"/>
        </w:rPr>
        <w:t xml:space="preserve"> Summary of data availability for the eight data logger sites, May 2019 – June 2020.</w:t>
      </w:r>
    </w:p>
    <w:tbl>
      <w:tblPr>
        <w:tblStyle w:val="TableGridLight"/>
        <w:tblW w:w="0" w:type="auto"/>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ayout w:type="fixed"/>
        <w:tblLook w:val="04A0" w:firstRow="1" w:lastRow="0" w:firstColumn="1" w:lastColumn="0" w:noHBand="0" w:noVBand="1"/>
      </w:tblPr>
      <w:tblGrid>
        <w:gridCol w:w="2596"/>
        <w:gridCol w:w="1442"/>
        <w:gridCol w:w="1302"/>
        <w:gridCol w:w="1707"/>
        <w:gridCol w:w="1441"/>
      </w:tblGrid>
      <w:tr w:rsidR="005D0C92" w14:paraId="6D4D4986" w14:textId="77777777" w:rsidTr="005D0C92">
        <w:tc>
          <w:tcPr>
            <w:tcW w:w="2596" w:type="dxa"/>
            <w:shd w:val="clear" w:color="auto" w:fill="92CDDC"/>
          </w:tcPr>
          <w:p w14:paraId="690BE705" w14:textId="77777777" w:rsidR="005D0C92" w:rsidRPr="00B353C6" w:rsidRDefault="005D0C92" w:rsidP="005D0C92">
            <w:pPr>
              <w:pStyle w:val="BodyText"/>
              <w:spacing w:after="120" w:line="259" w:lineRule="auto"/>
              <w:jc w:val="center"/>
              <w:rPr>
                <w:rFonts w:asciiTheme="minorHAnsi" w:hAnsiTheme="minorHAnsi"/>
                <w:bCs/>
                <w:iCs/>
                <w:sz w:val="22"/>
                <w:szCs w:val="22"/>
              </w:rPr>
            </w:pPr>
            <w:r w:rsidRPr="00B353C6">
              <w:rPr>
                <w:rFonts w:asciiTheme="minorHAnsi" w:hAnsiTheme="minorHAnsi"/>
                <w:bCs/>
                <w:iCs/>
                <w:sz w:val="22"/>
                <w:szCs w:val="22"/>
              </w:rPr>
              <w:t>Hydrological zone</w:t>
            </w:r>
          </w:p>
        </w:tc>
        <w:tc>
          <w:tcPr>
            <w:tcW w:w="1442" w:type="dxa"/>
            <w:shd w:val="clear" w:color="auto" w:fill="92CDDC"/>
          </w:tcPr>
          <w:p w14:paraId="08AA9E96" w14:textId="77777777" w:rsidR="005D0C92" w:rsidRPr="00B353C6"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Site</w:t>
            </w:r>
          </w:p>
        </w:tc>
        <w:tc>
          <w:tcPr>
            <w:tcW w:w="1302" w:type="dxa"/>
            <w:shd w:val="clear" w:color="auto" w:fill="92CDDC"/>
          </w:tcPr>
          <w:p w14:paraId="149285F6" w14:textId="77777777" w:rsidR="005D0C92" w:rsidRPr="00B353C6"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Total days</w:t>
            </w:r>
          </w:p>
        </w:tc>
        <w:tc>
          <w:tcPr>
            <w:tcW w:w="1707" w:type="dxa"/>
            <w:shd w:val="clear" w:color="auto" w:fill="92CDDC"/>
          </w:tcPr>
          <w:p w14:paraId="5429DAF3" w14:textId="77777777" w:rsidR="005D0C92" w:rsidRPr="00B353C6"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Days with acceptable data</w:t>
            </w:r>
          </w:p>
        </w:tc>
        <w:tc>
          <w:tcPr>
            <w:tcW w:w="1441" w:type="dxa"/>
            <w:shd w:val="clear" w:color="auto" w:fill="92CDDC"/>
          </w:tcPr>
          <w:p w14:paraId="64C17909" w14:textId="77777777" w:rsidR="005D0C92" w:rsidRPr="00B353C6" w:rsidRDefault="005D0C92" w:rsidP="005D0C92">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 Acceptable data days</w:t>
            </w:r>
          </w:p>
        </w:tc>
      </w:tr>
      <w:tr w:rsidR="005D0C92" w14:paraId="1DA577DF" w14:textId="77777777" w:rsidTr="005D0C92">
        <w:trPr>
          <w:trHeight w:val="255"/>
        </w:trPr>
        <w:tc>
          <w:tcPr>
            <w:tcW w:w="2596" w:type="dxa"/>
            <w:vMerge w:val="restart"/>
          </w:tcPr>
          <w:p w14:paraId="490A922A"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Zone 1: Yallakool Creek</w:t>
            </w:r>
          </w:p>
        </w:tc>
        <w:tc>
          <w:tcPr>
            <w:tcW w:w="1442" w:type="dxa"/>
          </w:tcPr>
          <w:p w14:paraId="35963218"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Upstream</w:t>
            </w:r>
          </w:p>
        </w:tc>
        <w:tc>
          <w:tcPr>
            <w:tcW w:w="1302" w:type="dxa"/>
          </w:tcPr>
          <w:p w14:paraId="5E0C9E94"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100</w:t>
            </w:r>
          </w:p>
        </w:tc>
        <w:tc>
          <w:tcPr>
            <w:tcW w:w="1707" w:type="dxa"/>
          </w:tcPr>
          <w:p w14:paraId="252C8822"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14</w:t>
            </w:r>
          </w:p>
        </w:tc>
        <w:tc>
          <w:tcPr>
            <w:tcW w:w="1441" w:type="dxa"/>
          </w:tcPr>
          <w:p w14:paraId="386F3733"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14</w:t>
            </w:r>
          </w:p>
        </w:tc>
      </w:tr>
      <w:tr w:rsidR="005D0C92" w14:paraId="5F1B8F8A" w14:textId="77777777" w:rsidTr="005D0C92">
        <w:trPr>
          <w:trHeight w:val="285"/>
        </w:trPr>
        <w:tc>
          <w:tcPr>
            <w:tcW w:w="2596" w:type="dxa"/>
            <w:vMerge/>
          </w:tcPr>
          <w:p w14:paraId="6FF45F67" w14:textId="77777777" w:rsidR="005D0C92" w:rsidRDefault="005D0C92" w:rsidP="005D0C92">
            <w:pPr>
              <w:pStyle w:val="BodyText"/>
              <w:spacing w:after="120" w:line="240" w:lineRule="auto"/>
              <w:contextualSpacing/>
              <w:jc w:val="left"/>
              <w:rPr>
                <w:rFonts w:asciiTheme="minorHAnsi" w:hAnsiTheme="minorHAnsi"/>
                <w:bCs/>
                <w:iCs/>
                <w:sz w:val="22"/>
                <w:szCs w:val="22"/>
              </w:rPr>
            </w:pPr>
          </w:p>
        </w:tc>
        <w:tc>
          <w:tcPr>
            <w:tcW w:w="1442" w:type="dxa"/>
          </w:tcPr>
          <w:p w14:paraId="0CFCF7DE"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Downstream</w:t>
            </w:r>
          </w:p>
        </w:tc>
        <w:tc>
          <w:tcPr>
            <w:tcW w:w="1302" w:type="dxa"/>
          </w:tcPr>
          <w:p w14:paraId="5FBDC674"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397</w:t>
            </w:r>
          </w:p>
        </w:tc>
        <w:tc>
          <w:tcPr>
            <w:tcW w:w="1707" w:type="dxa"/>
          </w:tcPr>
          <w:p w14:paraId="0E7342EF"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251</w:t>
            </w:r>
          </w:p>
        </w:tc>
        <w:tc>
          <w:tcPr>
            <w:tcW w:w="1441" w:type="dxa"/>
          </w:tcPr>
          <w:p w14:paraId="76DB88C9"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63</w:t>
            </w:r>
          </w:p>
        </w:tc>
      </w:tr>
      <w:tr w:rsidR="005D0C92" w14:paraId="6ECA63C4" w14:textId="77777777" w:rsidTr="005D0C92">
        <w:tc>
          <w:tcPr>
            <w:tcW w:w="2596" w:type="dxa"/>
          </w:tcPr>
          <w:p w14:paraId="3F5E792D"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Zone 2: Wakool River</w:t>
            </w:r>
          </w:p>
        </w:tc>
        <w:tc>
          <w:tcPr>
            <w:tcW w:w="1442" w:type="dxa"/>
          </w:tcPr>
          <w:p w14:paraId="265B773C"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Downstream</w:t>
            </w:r>
          </w:p>
        </w:tc>
        <w:tc>
          <w:tcPr>
            <w:tcW w:w="1302" w:type="dxa"/>
          </w:tcPr>
          <w:p w14:paraId="1DFA0201"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397</w:t>
            </w:r>
          </w:p>
        </w:tc>
        <w:tc>
          <w:tcPr>
            <w:tcW w:w="1707" w:type="dxa"/>
          </w:tcPr>
          <w:p w14:paraId="1B2BA599"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229</w:t>
            </w:r>
          </w:p>
        </w:tc>
        <w:tc>
          <w:tcPr>
            <w:tcW w:w="1441" w:type="dxa"/>
          </w:tcPr>
          <w:p w14:paraId="747CB220"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58</w:t>
            </w:r>
          </w:p>
        </w:tc>
      </w:tr>
      <w:tr w:rsidR="005D0C92" w14:paraId="5D6021C7" w14:textId="77777777" w:rsidTr="005D0C92">
        <w:trPr>
          <w:trHeight w:val="270"/>
        </w:trPr>
        <w:tc>
          <w:tcPr>
            <w:tcW w:w="2596" w:type="dxa"/>
            <w:vMerge w:val="restart"/>
          </w:tcPr>
          <w:p w14:paraId="65625701"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Zone 3: Wakool River upstream Thule Creek</w:t>
            </w:r>
          </w:p>
        </w:tc>
        <w:tc>
          <w:tcPr>
            <w:tcW w:w="1442" w:type="dxa"/>
          </w:tcPr>
          <w:p w14:paraId="08B0A47F"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Upstream</w:t>
            </w:r>
          </w:p>
        </w:tc>
        <w:tc>
          <w:tcPr>
            <w:tcW w:w="1302" w:type="dxa"/>
          </w:tcPr>
          <w:p w14:paraId="7BA35B86"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100</w:t>
            </w:r>
          </w:p>
        </w:tc>
        <w:tc>
          <w:tcPr>
            <w:tcW w:w="1707" w:type="dxa"/>
          </w:tcPr>
          <w:p w14:paraId="44FB1725"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w:t>
            </w:r>
          </w:p>
        </w:tc>
        <w:tc>
          <w:tcPr>
            <w:tcW w:w="1441" w:type="dxa"/>
          </w:tcPr>
          <w:p w14:paraId="6FB3BCD5"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w:t>
            </w:r>
          </w:p>
        </w:tc>
      </w:tr>
      <w:tr w:rsidR="005D0C92" w14:paraId="2B3418DA" w14:textId="77777777" w:rsidTr="005D0C92">
        <w:trPr>
          <w:trHeight w:val="225"/>
        </w:trPr>
        <w:tc>
          <w:tcPr>
            <w:tcW w:w="2596" w:type="dxa"/>
            <w:vMerge/>
          </w:tcPr>
          <w:p w14:paraId="4BFCA66F"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p>
        </w:tc>
        <w:tc>
          <w:tcPr>
            <w:tcW w:w="1442" w:type="dxa"/>
          </w:tcPr>
          <w:p w14:paraId="3689D3AE"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Downstream</w:t>
            </w:r>
          </w:p>
        </w:tc>
        <w:tc>
          <w:tcPr>
            <w:tcW w:w="1302" w:type="dxa"/>
          </w:tcPr>
          <w:p w14:paraId="608A8E81"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373</w:t>
            </w:r>
          </w:p>
        </w:tc>
        <w:tc>
          <w:tcPr>
            <w:tcW w:w="1707" w:type="dxa"/>
          </w:tcPr>
          <w:p w14:paraId="3E89D1F7"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44</w:t>
            </w:r>
          </w:p>
        </w:tc>
        <w:tc>
          <w:tcPr>
            <w:tcW w:w="1441" w:type="dxa"/>
          </w:tcPr>
          <w:p w14:paraId="4848C82C"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12</w:t>
            </w:r>
          </w:p>
        </w:tc>
      </w:tr>
      <w:tr w:rsidR="005D0C92" w14:paraId="0AE8B425" w14:textId="77777777" w:rsidTr="005D0C92">
        <w:trPr>
          <w:trHeight w:val="300"/>
        </w:trPr>
        <w:tc>
          <w:tcPr>
            <w:tcW w:w="2596" w:type="dxa"/>
            <w:vMerge w:val="restart"/>
          </w:tcPr>
          <w:p w14:paraId="08AA2702"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Zone 4: Wakool River downstream Thule Creek</w:t>
            </w:r>
          </w:p>
        </w:tc>
        <w:tc>
          <w:tcPr>
            <w:tcW w:w="1442" w:type="dxa"/>
          </w:tcPr>
          <w:p w14:paraId="02A739F8"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Upstream</w:t>
            </w:r>
          </w:p>
        </w:tc>
        <w:tc>
          <w:tcPr>
            <w:tcW w:w="1302" w:type="dxa"/>
          </w:tcPr>
          <w:p w14:paraId="64678215"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98</w:t>
            </w:r>
          </w:p>
        </w:tc>
        <w:tc>
          <w:tcPr>
            <w:tcW w:w="1707" w:type="dxa"/>
          </w:tcPr>
          <w:p w14:paraId="71F6592A"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13</w:t>
            </w:r>
          </w:p>
        </w:tc>
        <w:tc>
          <w:tcPr>
            <w:tcW w:w="1441" w:type="dxa"/>
          </w:tcPr>
          <w:p w14:paraId="12C78291"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13</w:t>
            </w:r>
          </w:p>
        </w:tc>
      </w:tr>
      <w:tr w:rsidR="005D0C92" w14:paraId="22663CC5" w14:textId="77777777" w:rsidTr="005D0C92">
        <w:trPr>
          <w:trHeight w:val="210"/>
        </w:trPr>
        <w:tc>
          <w:tcPr>
            <w:tcW w:w="2596" w:type="dxa"/>
            <w:vMerge/>
          </w:tcPr>
          <w:p w14:paraId="1C539D26"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p>
        </w:tc>
        <w:tc>
          <w:tcPr>
            <w:tcW w:w="1442" w:type="dxa"/>
          </w:tcPr>
          <w:p w14:paraId="4EC08D00"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Downstream</w:t>
            </w:r>
          </w:p>
        </w:tc>
        <w:tc>
          <w:tcPr>
            <w:tcW w:w="1302" w:type="dxa"/>
          </w:tcPr>
          <w:p w14:paraId="4BEE1CCE"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403</w:t>
            </w:r>
          </w:p>
        </w:tc>
        <w:tc>
          <w:tcPr>
            <w:tcW w:w="1707" w:type="dxa"/>
          </w:tcPr>
          <w:p w14:paraId="08D3E295"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194</w:t>
            </w:r>
          </w:p>
        </w:tc>
        <w:tc>
          <w:tcPr>
            <w:tcW w:w="1441" w:type="dxa"/>
          </w:tcPr>
          <w:p w14:paraId="43A81624"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48</w:t>
            </w:r>
          </w:p>
        </w:tc>
      </w:tr>
      <w:tr w:rsidR="005D0C92" w14:paraId="0EF4A700" w14:textId="77777777" w:rsidTr="005D0C92">
        <w:tc>
          <w:tcPr>
            <w:tcW w:w="2596" w:type="dxa"/>
          </w:tcPr>
          <w:p w14:paraId="4736154D"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r>
              <w:rPr>
                <w:rFonts w:asciiTheme="minorHAnsi" w:hAnsiTheme="minorHAnsi"/>
                <w:bCs/>
                <w:iCs/>
                <w:sz w:val="22"/>
                <w:szCs w:val="22"/>
              </w:rPr>
              <w:t>Old Morago: Colligen Creek</w:t>
            </w:r>
          </w:p>
        </w:tc>
        <w:tc>
          <w:tcPr>
            <w:tcW w:w="1442" w:type="dxa"/>
          </w:tcPr>
          <w:p w14:paraId="00DC0C9C" w14:textId="77777777" w:rsidR="005D0C92" w:rsidRPr="00B353C6" w:rsidRDefault="005D0C92" w:rsidP="005D0C92">
            <w:pPr>
              <w:pStyle w:val="BodyText"/>
              <w:spacing w:after="120" w:line="240" w:lineRule="auto"/>
              <w:contextualSpacing/>
              <w:jc w:val="left"/>
              <w:rPr>
                <w:rFonts w:asciiTheme="minorHAnsi" w:hAnsiTheme="minorHAnsi"/>
                <w:bCs/>
                <w:iCs/>
                <w:sz w:val="22"/>
                <w:szCs w:val="22"/>
              </w:rPr>
            </w:pPr>
          </w:p>
        </w:tc>
        <w:tc>
          <w:tcPr>
            <w:tcW w:w="1302" w:type="dxa"/>
          </w:tcPr>
          <w:p w14:paraId="14DC63CA"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300</w:t>
            </w:r>
          </w:p>
        </w:tc>
        <w:tc>
          <w:tcPr>
            <w:tcW w:w="1707" w:type="dxa"/>
          </w:tcPr>
          <w:p w14:paraId="65ECE8D1"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70</w:t>
            </w:r>
          </w:p>
        </w:tc>
        <w:tc>
          <w:tcPr>
            <w:tcW w:w="1441" w:type="dxa"/>
          </w:tcPr>
          <w:p w14:paraId="4CAC7440" w14:textId="77777777" w:rsidR="005D0C92" w:rsidRPr="00B353C6" w:rsidRDefault="005D0C92" w:rsidP="005D0C92">
            <w:pPr>
              <w:pStyle w:val="BodyText"/>
              <w:spacing w:after="120" w:line="240" w:lineRule="auto"/>
              <w:contextualSpacing/>
              <w:jc w:val="center"/>
              <w:rPr>
                <w:rFonts w:asciiTheme="minorHAnsi" w:hAnsiTheme="minorHAnsi"/>
                <w:bCs/>
                <w:iCs/>
                <w:sz w:val="22"/>
                <w:szCs w:val="22"/>
              </w:rPr>
            </w:pPr>
            <w:r>
              <w:rPr>
                <w:rFonts w:asciiTheme="minorHAnsi" w:hAnsiTheme="minorHAnsi"/>
                <w:bCs/>
                <w:iCs/>
                <w:sz w:val="22"/>
                <w:szCs w:val="22"/>
              </w:rPr>
              <w:t>23</w:t>
            </w:r>
          </w:p>
        </w:tc>
      </w:tr>
    </w:tbl>
    <w:p w14:paraId="0E1174F2" w14:textId="77777777" w:rsidR="00675B7A" w:rsidRDefault="00675B7A" w:rsidP="005D0C92">
      <w:pPr>
        <w:pStyle w:val="BodyText"/>
        <w:spacing w:after="120" w:line="259" w:lineRule="auto"/>
        <w:jc w:val="left"/>
        <w:rPr>
          <w:rFonts w:asciiTheme="minorHAnsi" w:hAnsiTheme="minorHAnsi"/>
          <w:bCs/>
          <w:iCs/>
          <w:sz w:val="22"/>
          <w:szCs w:val="22"/>
        </w:rPr>
      </w:pPr>
    </w:p>
    <w:p w14:paraId="39AE4B19" w14:textId="77777777" w:rsidR="00675B7A" w:rsidRDefault="00675B7A">
      <w:pPr>
        <w:spacing w:after="0" w:line="240" w:lineRule="auto"/>
        <w:jc w:val="left"/>
        <w:rPr>
          <w:rFonts w:asciiTheme="minorHAnsi" w:hAnsiTheme="minorHAnsi"/>
          <w:bCs/>
          <w:iCs/>
          <w:szCs w:val="22"/>
          <w:lang w:val="en-US"/>
        </w:rPr>
      </w:pPr>
      <w:r>
        <w:rPr>
          <w:rFonts w:asciiTheme="minorHAnsi" w:hAnsiTheme="minorHAnsi"/>
          <w:bCs/>
          <w:iCs/>
          <w:szCs w:val="22"/>
        </w:rPr>
        <w:br w:type="page"/>
      </w:r>
    </w:p>
    <w:p w14:paraId="5AB7661E" w14:textId="4EC01339" w:rsidR="005D0C92"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Median GPP values for all eight</w:t>
      </w:r>
      <w:r w:rsidRPr="00457E4D">
        <w:rPr>
          <w:rFonts w:asciiTheme="minorHAnsi" w:hAnsiTheme="minorHAnsi"/>
          <w:bCs/>
          <w:iCs/>
          <w:sz w:val="22"/>
          <w:szCs w:val="22"/>
        </w:rPr>
        <w:t xml:space="preserve"> sites f</w:t>
      </w:r>
      <w:r>
        <w:rPr>
          <w:rFonts w:asciiTheme="minorHAnsi" w:hAnsiTheme="minorHAnsi"/>
          <w:bCs/>
          <w:iCs/>
          <w:sz w:val="22"/>
          <w:szCs w:val="22"/>
        </w:rPr>
        <w:t>e</w:t>
      </w:r>
      <w:r w:rsidRPr="00457E4D">
        <w:rPr>
          <w:rFonts w:asciiTheme="minorHAnsi" w:hAnsiTheme="minorHAnsi"/>
          <w:bCs/>
          <w:iCs/>
          <w:sz w:val="22"/>
          <w:szCs w:val="22"/>
        </w:rPr>
        <w:t xml:space="preserve">ll within a narrow range of </w:t>
      </w:r>
      <w:r>
        <w:rPr>
          <w:rFonts w:asciiTheme="minorHAnsi" w:hAnsiTheme="minorHAnsi"/>
          <w:bCs/>
          <w:iCs/>
          <w:sz w:val="22"/>
          <w:szCs w:val="22"/>
        </w:rPr>
        <w:t>0.9</w:t>
      </w:r>
      <w:r w:rsidRPr="00457E4D">
        <w:rPr>
          <w:rFonts w:asciiTheme="minorHAnsi" w:hAnsiTheme="minorHAnsi"/>
          <w:bCs/>
          <w:iCs/>
          <w:sz w:val="22"/>
          <w:szCs w:val="22"/>
        </w:rPr>
        <w:t xml:space="preserve"> to </w:t>
      </w:r>
      <w:r>
        <w:rPr>
          <w:rFonts w:asciiTheme="minorHAnsi" w:hAnsiTheme="minorHAnsi"/>
          <w:bCs/>
          <w:iCs/>
          <w:sz w:val="22"/>
          <w:szCs w:val="22"/>
        </w:rPr>
        <w:t>4.2</w:t>
      </w:r>
      <w:r w:rsidRPr="00457E4D">
        <w:rPr>
          <w:rFonts w:asciiTheme="minorHAnsi" w:hAnsiTheme="minorHAnsi"/>
          <w:bCs/>
          <w:iCs/>
          <w:sz w:val="22"/>
          <w:szCs w:val="22"/>
        </w:rPr>
        <w:t xml:space="preserve"> </w:t>
      </w:r>
      <w:r>
        <w:rPr>
          <w:rFonts w:asciiTheme="minorHAnsi" w:hAnsiTheme="minorHAnsi"/>
          <w:bCs/>
          <w:iCs/>
          <w:sz w:val="22"/>
          <w:szCs w:val="22"/>
        </w:rPr>
        <w:t>m</w:t>
      </w:r>
      <w:r w:rsidRPr="00457E4D">
        <w:rPr>
          <w:rFonts w:asciiTheme="minorHAnsi" w:hAnsiTheme="minorHAnsi"/>
          <w:bCs/>
          <w:iCs/>
          <w:sz w:val="22"/>
          <w:szCs w:val="22"/>
        </w:rPr>
        <w:t>g O</w:t>
      </w:r>
      <w:r w:rsidRPr="00732FDA">
        <w:rPr>
          <w:rFonts w:asciiTheme="minorHAnsi" w:hAnsiTheme="minorHAnsi"/>
          <w:bCs/>
          <w:iCs/>
          <w:sz w:val="22"/>
          <w:szCs w:val="22"/>
          <w:vertAlign w:val="subscript"/>
        </w:rPr>
        <w:t>2</w:t>
      </w:r>
      <w:r w:rsidRPr="00457E4D">
        <w:rPr>
          <w:rFonts w:asciiTheme="minorHAnsi" w:hAnsiTheme="minorHAnsi"/>
          <w:bCs/>
          <w:iCs/>
          <w:sz w:val="22"/>
          <w:szCs w:val="22"/>
        </w:rPr>
        <w:t>/</w:t>
      </w:r>
      <w:r>
        <w:rPr>
          <w:rFonts w:asciiTheme="minorHAnsi" w:hAnsiTheme="minorHAnsi"/>
          <w:bCs/>
          <w:iCs/>
          <w:sz w:val="22"/>
          <w:szCs w:val="22"/>
        </w:rPr>
        <w:t>L</w:t>
      </w:r>
      <w:r w:rsidRPr="00457E4D">
        <w:rPr>
          <w:rFonts w:asciiTheme="minorHAnsi" w:hAnsiTheme="minorHAnsi"/>
          <w:bCs/>
          <w:iCs/>
          <w:sz w:val="22"/>
          <w:szCs w:val="22"/>
        </w:rPr>
        <w:t>/</w:t>
      </w:r>
      <w:r>
        <w:rPr>
          <w:rFonts w:asciiTheme="minorHAnsi" w:hAnsiTheme="minorHAnsi"/>
          <w:bCs/>
          <w:iCs/>
          <w:sz w:val="22"/>
          <w:szCs w:val="22"/>
        </w:rPr>
        <w:t>d</w:t>
      </w:r>
      <w:r w:rsidRPr="00457E4D">
        <w:rPr>
          <w:rFonts w:asciiTheme="minorHAnsi" w:hAnsiTheme="minorHAnsi"/>
          <w:bCs/>
          <w:iCs/>
          <w:sz w:val="22"/>
          <w:szCs w:val="22"/>
        </w:rPr>
        <w:t>ay</w:t>
      </w:r>
      <w:r>
        <w:rPr>
          <w:rFonts w:asciiTheme="minorHAnsi" w:hAnsiTheme="minorHAnsi"/>
          <w:bCs/>
          <w:iCs/>
          <w:sz w:val="22"/>
          <w:szCs w:val="22"/>
        </w:rPr>
        <w:t xml:space="preserve">, similar to the range in 2018-19 (1.2 to 2.0 </w:t>
      </w:r>
      <w:r w:rsidRPr="00B36E67">
        <w:rPr>
          <w:rFonts w:asciiTheme="minorHAnsi" w:hAnsiTheme="minorHAnsi"/>
          <w:bCs/>
          <w:iCs/>
          <w:sz w:val="22"/>
          <w:szCs w:val="22"/>
        </w:rPr>
        <w:t>mg O</w:t>
      </w:r>
      <w:r w:rsidRPr="00B36E67">
        <w:rPr>
          <w:rFonts w:asciiTheme="minorHAnsi" w:hAnsiTheme="minorHAnsi"/>
          <w:bCs/>
          <w:iCs/>
          <w:sz w:val="22"/>
          <w:szCs w:val="22"/>
          <w:vertAlign w:val="subscript"/>
        </w:rPr>
        <w:t>2</w:t>
      </w:r>
      <w:r w:rsidRPr="00B36E67">
        <w:rPr>
          <w:rFonts w:asciiTheme="minorHAnsi" w:hAnsiTheme="minorHAnsi"/>
          <w:bCs/>
          <w:iCs/>
          <w:sz w:val="22"/>
          <w:szCs w:val="22"/>
        </w:rPr>
        <w:t>/L/</w:t>
      </w:r>
      <w:r>
        <w:rPr>
          <w:rFonts w:asciiTheme="minorHAnsi" w:hAnsiTheme="minorHAnsi"/>
          <w:bCs/>
          <w:iCs/>
          <w:sz w:val="22"/>
          <w:szCs w:val="22"/>
        </w:rPr>
        <w:t>d</w:t>
      </w:r>
      <w:r w:rsidRPr="00B36E67">
        <w:rPr>
          <w:rFonts w:asciiTheme="minorHAnsi" w:hAnsiTheme="minorHAnsi"/>
          <w:bCs/>
          <w:iCs/>
          <w:sz w:val="22"/>
          <w:szCs w:val="22"/>
        </w:rPr>
        <w:t>ay</w:t>
      </w:r>
      <w:r>
        <w:rPr>
          <w:rFonts w:asciiTheme="minorHAnsi" w:hAnsiTheme="minorHAnsi"/>
          <w:bCs/>
          <w:iCs/>
          <w:sz w:val="22"/>
          <w:szCs w:val="22"/>
        </w:rPr>
        <w:t>), 2017-18 (</w:t>
      </w:r>
      <w:r w:rsidRPr="00B36E67">
        <w:rPr>
          <w:rFonts w:asciiTheme="minorHAnsi" w:hAnsiTheme="minorHAnsi"/>
          <w:bCs/>
          <w:iCs/>
          <w:sz w:val="22"/>
          <w:szCs w:val="22"/>
        </w:rPr>
        <w:t>1.1 to 2.6 mg O</w:t>
      </w:r>
      <w:r w:rsidRPr="00B36E67">
        <w:rPr>
          <w:rFonts w:asciiTheme="minorHAnsi" w:hAnsiTheme="minorHAnsi"/>
          <w:bCs/>
          <w:iCs/>
          <w:sz w:val="22"/>
          <w:szCs w:val="22"/>
          <w:vertAlign w:val="subscript"/>
        </w:rPr>
        <w:t>2</w:t>
      </w:r>
      <w:r w:rsidRPr="00B36E67">
        <w:rPr>
          <w:rFonts w:asciiTheme="minorHAnsi" w:hAnsiTheme="minorHAnsi"/>
          <w:bCs/>
          <w:iCs/>
          <w:sz w:val="22"/>
          <w:szCs w:val="22"/>
        </w:rPr>
        <w:t>/L/</w:t>
      </w:r>
      <w:r>
        <w:rPr>
          <w:rFonts w:asciiTheme="minorHAnsi" w:hAnsiTheme="minorHAnsi"/>
          <w:bCs/>
          <w:iCs/>
          <w:sz w:val="22"/>
          <w:szCs w:val="22"/>
        </w:rPr>
        <w:t>d</w:t>
      </w:r>
      <w:r w:rsidRPr="00B36E67">
        <w:rPr>
          <w:rFonts w:asciiTheme="minorHAnsi" w:hAnsiTheme="minorHAnsi"/>
          <w:bCs/>
          <w:iCs/>
          <w:sz w:val="22"/>
          <w:szCs w:val="22"/>
        </w:rPr>
        <w:t>ay</w:t>
      </w:r>
      <w:r>
        <w:rPr>
          <w:rFonts w:asciiTheme="minorHAnsi" w:hAnsiTheme="minorHAnsi"/>
          <w:bCs/>
          <w:iCs/>
          <w:sz w:val="22"/>
          <w:szCs w:val="22"/>
        </w:rPr>
        <w:t xml:space="preserve">), </w:t>
      </w:r>
      <w:r w:rsidRPr="00457E4D">
        <w:rPr>
          <w:rFonts w:asciiTheme="minorHAnsi" w:hAnsiTheme="minorHAnsi"/>
          <w:bCs/>
          <w:iCs/>
          <w:sz w:val="22"/>
          <w:szCs w:val="22"/>
        </w:rPr>
        <w:t>2015-16 (1.4 to 4.1 mg O</w:t>
      </w:r>
      <w:r w:rsidRPr="00DB1584">
        <w:rPr>
          <w:rFonts w:asciiTheme="minorHAnsi" w:hAnsiTheme="minorHAnsi"/>
          <w:bCs/>
          <w:iCs/>
          <w:sz w:val="22"/>
          <w:szCs w:val="22"/>
          <w:vertAlign w:val="subscript"/>
        </w:rPr>
        <w:t>2</w:t>
      </w:r>
      <w:r w:rsidRPr="00457E4D">
        <w:rPr>
          <w:rFonts w:asciiTheme="minorHAnsi" w:hAnsiTheme="minorHAnsi"/>
          <w:bCs/>
          <w:iCs/>
          <w:sz w:val="22"/>
          <w:szCs w:val="22"/>
        </w:rPr>
        <w:t>/L/Day) and 2016-17 (1.6 to 3.9 mg O</w:t>
      </w:r>
      <w:r w:rsidRPr="00DB1584">
        <w:rPr>
          <w:rFonts w:asciiTheme="minorHAnsi" w:hAnsiTheme="minorHAnsi"/>
          <w:bCs/>
          <w:iCs/>
          <w:sz w:val="22"/>
          <w:szCs w:val="22"/>
          <w:vertAlign w:val="subscript"/>
        </w:rPr>
        <w:t>2</w:t>
      </w:r>
      <w:r w:rsidRPr="00457E4D">
        <w:rPr>
          <w:rFonts w:asciiTheme="minorHAnsi" w:hAnsiTheme="minorHAnsi"/>
          <w:bCs/>
          <w:iCs/>
          <w:sz w:val="22"/>
          <w:szCs w:val="22"/>
        </w:rPr>
        <w:t>/L/Day)</w:t>
      </w:r>
      <w:r>
        <w:rPr>
          <w:rFonts w:asciiTheme="minorHAnsi" w:hAnsiTheme="minorHAnsi"/>
          <w:bCs/>
          <w:iCs/>
          <w:sz w:val="22"/>
          <w:szCs w:val="22"/>
        </w:rPr>
        <w:t>. When converted to areal rates, t</w:t>
      </w:r>
      <w:r w:rsidRPr="00457E4D">
        <w:rPr>
          <w:rFonts w:asciiTheme="minorHAnsi" w:hAnsiTheme="minorHAnsi"/>
          <w:bCs/>
          <w:iCs/>
          <w:sz w:val="22"/>
          <w:szCs w:val="22"/>
        </w:rPr>
        <w:t xml:space="preserve">he median GPP values </w:t>
      </w:r>
      <w:r>
        <w:rPr>
          <w:rFonts w:asciiTheme="minorHAnsi" w:hAnsiTheme="minorHAnsi"/>
          <w:bCs/>
          <w:iCs/>
          <w:sz w:val="22"/>
          <w:szCs w:val="22"/>
        </w:rPr>
        <w:t>had a similarly narrow range (from</w:t>
      </w:r>
      <w:r w:rsidRPr="00457E4D">
        <w:rPr>
          <w:rFonts w:asciiTheme="minorHAnsi" w:hAnsiTheme="minorHAnsi"/>
          <w:bCs/>
          <w:iCs/>
          <w:sz w:val="22"/>
          <w:szCs w:val="22"/>
        </w:rPr>
        <w:t xml:space="preserve"> </w:t>
      </w:r>
      <w:r>
        <w:rPr>
          <w:rFonts w:asciiTheme="minorHAnsi" w:hAnsiTheme="minorHAnsi"/>
          <w:bCs/>
          <w:iCs/>
          <w:sz w:val="22"/>
          <w:szCs w:val="22"/>
        </w:rPr>
        <w:t>0.9</w:t>
      </w:r>
      <w:r w:rsidRPr="00457E4D">
        <w:rPr>
          <w:rFonts w:asciiTheme="minorHAnsi" w:hAnsiTheme="minorHAnsi"/>
          <w:bCs/>
          <w:iCs/>
          <w:sz w:val="22"/>
          <w:szCs w:val="22"/>
        </w:rPr>
        <w:t xml:space="preserve"> to 2.</w:t>
      </w:r>
      <w:r>
        <w:rPr>
          <w:rFonts w:asciiTheme="minorHAnsi" w:hAnsiTheme="minorHAnsi"/>
          <w:bCs/>
          <w:iCs/>
          <w:sz w:val="22"/>
          <w:szCs w:val="22"/>
        </w:rPr>
        <w:t>9</w:t>
      </w:r>
      <w:r w:rsidRPr="00457E4D">
        <w:rPr>
          <w:rFonts w:asciiTheme="minorHAnsi" w:hAnsiTheme="minorHAnsi"/>
          <w:bCs/>
          <w:iCs/>
          <w:sz w:val="22"/>
          <w:szCs w:val="22"/>
        </w:rPr>
        <w:t xml:space="preserve"> g O</w:t>
      </w:r>
      <w:r w:rsidRPr="00732FDA">
        <w:rPr>
          <w:rFonts w:asciiTheme="minorHAnsi" w:hAnsiTheme="minorHAnsi"/>
          <w:bCs/>
          <w:iCs/>
          <w:sz w:val="22"/>
          <w:szCs w:val="22"/>
          <w:vertAlign w:val="subscript"/>
        </w:rPr>
        <w:t>2</w:t>
      </w:r>
      <w:r w:rsidRPr="00457E4D">
        <w:rPr>
          <w:rFonts w:asciiTheme="minorHAnsi" w:hAnsiTheme="minorHAnsi"/>
          <w:bCs/>
          <w:iCs/>
          <w:sz w:val="22"/>
          <w:szCs w:val="22"/>
        </w:rPr>
        <w:t>/</w:t>
      </w:r>
      <w:r>
        <w:rPr>
          <w:rFonts w:asciiTheme="minorHAnsi" w:hAnsiTheme="minorHAnsi"/>
          <w:bCs/>
          <w:iCs/>
          <w:sz w:val="22"/>
          <w:szCs w:val="22"/>
        </w:rPr>
        <w:t>m</w:t>
      </w:r>
      <w:r w:rsidRPr="00732FDA">
        <w:rPr>
          <w:rFonts w:asciiTheme="minorHAnsi" w:hAnsiTheme="minorHAnsi"/>
          <w:bCs/>
          <w:iCs/>
          <w:sz w:val="22"/>
          <w:szCs w:val="22"/>
          <w:vertAlign w:val="superscript"/>
        </w:rPr>
        <w:t>2</w:t>
      </w:r>
      <w:r w:rsidRPr="00457E4D">
        <w:rPr>
          <w:rFonts w:asciiTheme="minorHAnsi" w:hAnsiTheme="minorHAnsi"/>
          <w:bCs/>
          <w:iCs/>
          <w:sz w:val="22"/>
          <w:szCs w:val="22"/>
        </w:rPr>
        <w:t>/</w:t>
      </w:r>
      <w:r>
        <w:rPr>
          <w:rFonts w:asciiTheme="minorHAnsi" w:hAnsiTheme="minorHAnsi"/>
          <w:bCs/>
          <w:iCs/>
          <w:sz w:val="22"/>
          <w:szCs w:val="22"/>
        </w:rPr>
        <w:t>d</w:t>
      </w:r>
      <w:r w:rsidRPr="00457E4D">
        <w:rPr>
          <w:rFonts w:asciiTheme="minorHAnsi" w:hAnsiTheme="minorHAnsi"/>
          <w:bCs/>
          <w:iCs/>
          <w:sz w:val="22"/>
          <w:szCs w:val="22"/>
        </w:rPr>
        <w:t>ay</w:t>
      </w:r>
      <w:r>
        <w:rPr>
          <w:rFonts w:asciiTheme="minorHAnsi" w:hAnsiTheme="minorHAnsi"/>
          <w:bCs/>
          <w:iCs/>
          <w:sz w:val="22"/>
          <w:szCs w:val="22"/>
        </w:rPr>
        <w:t xml:space="preserve">) (Table 6.4). Major events such as large flows and anoxia can often preclude </w:t>
      </w:r>
      <w:r w:rsidRPr="00457E4D">
        <w:rPr>
          <w:rFonts w:asciiTheme="minorHAnsi" w:hAnsiTheme="minorHAnsi"/>
          <w:bCs/>
          <w:iCs/>
          <w:sz w:val="22"/>
          <w:szCs w:val="22"/>
        </w:rPr>
        <w:t>data meeting acceptance criteria</w:t>
      </w:r>
      <w:r>
        <w:rPr>
          <w:rFonts w:asciiTheme="minorHAnsi" w:hAnsiTheme="minorHAnsi"/>
          <w:bCs/>
          <w:iCs/>
          <w:sz w:val="22"/>
          <w:szCs w:val="22"/>
        </w:rPr>
        <w:t>. These comparisons are therefore made using metabolic rates obtained primarily during in-channel flow conditions.</w:t>
      </w:r>
    </w:p>
    <w:p w14:paraId="48D572CD" w14:textId="77777777" w:rsidR="005D0C92" w:rsidRPr="00B271D7" w:rsidRDefault="005D0C92" w:rsidP="0009301A">
      <w:pPr>
        <w:pStyle w:val="BodyText"/>
        <w:spacing w:line="240" w:lineRule="auto"/>
        <w:jc w:val="left"/>
        <w:rPr>
          <w:rFonts w:ascii="Calibri" w:hAnsi="Calibri"/>
          <w:sz w:val="20"/>
          <w:szCs w:val="18"/>
          <w:lang w:val="en-AU"/>
        </w:rPr>
      </w:pPr>
      <w:r w:rsidRPr="00B271D7">
        <w:rPr>
          <w:rFonts w:ascii="Calibri" w:hAnsi="Calibri"/>
          <w:b/>
          <w:bCs/>
          <w:sz w:val="20"/>
          <w:szCs w:val="18"/>
          <w:lang w:val="en-AU"/>
        </w:rPr>
        <w:t xml:space="preserve">Table </w:t>
      </w:r>
      <w:r>
        <w:rPr>
          <w:rFonts w:ascii="Calibri" w:hAnsi="Calibri"/>
          <w:b/>
          <w:bCs/>
          <w:sz w:val="20"/>
          <w:szCs w:val="18"/>
          <w:lang w:val="en-AU"/>
        </w:rPr>
        <w:t>6</w:t>
      </w:r>
      <w:r w:rsidRPr="00B271D7">
        <w:rPr>
          <w:rFonts w:ascii="Calibri" w:hAnsi="Calibri"/>
          <w:b/>
          <w:bCs/>
          <w:sz w:val="20"/>
          <w:szCs w:val="18"/>
          <w:lang w:val="en-AU"/>
        </w:rPr>
        <w:t>.</w:t>
      </w:r>
      <w:r>
        <w:rPr>
          <w:rFonts w:ascii="Calibri" w:hAnsi="Calibri"/>
          <w:b/>
          <w:bCs/>
          <w:sz w:val="20"/>
          <w:szCs w:val="18"/>
          <w:lang w:val="en-AU"/>
        </w:rPr>
        <w:t>4</w:t>
      </w:r>
      <w:r w:rsidRPr="00B271D7">
        <w:rPr>
          <w:rFonts w:ascii="Calibri" w:hAnsi="Calibri"/>
          <w:sz w:val="20"/>
          <w:szCs w:val="18"/>
          <w:lang w:val="en-AU"/>
        </w:rPr>
        <w:t xml:space="preserve"> Summary of gross primary production (GPP) and ecosystem respiration (ER) rates and GPP/ER ratios for the eight sites in five hydrological zones, May 2019 – June 2020. Each metabolic parameter is expressed as a median and mean with minimum and maximum values also included. ‘n’ is the number of days for which successful estimates of metabolic parameters were obtained.</w:t>
      </w: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15"/>
        <w:gridCol w:w="901"/>
        <w:gridCol w:w="838"/>
        <w:gridCol w:w="832"/>
        <w:gridCol w:w="833"/>
        <w:gridCol w:w="901"/>
        <w:gridCol w:w="832"/>
        <w:gridCol w:w="827"/>
        <w:gridCol w:w="831"/>
      </w:tblGrid>
      <w:tr w:rsidR="005D0C92" w:rsidRPr="00B353C6" w14:paraId="0C2AAC69" w14:textId="77777777" w:rsidTr="005D0C92">
        <w:trPr>
          <w:trHeight w:val="255"/>
        </w:trPr>
        <w:tc>
          <w:tcPr>
            <w:tcW w:w="2215" w:type="dxa"/>
            <w:vMerge w:val="restart"/>
            <w:tcBorders>
              <w:top w:val="nil"/>
              <w:left w:val="nil"/>
            </w:tcBorders>
            <w:shd w:val="clear" w:color="auto" w:fill="auto"/>
          </w:tcPr>
          <w:p w14:paraId="3FA1FD83"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3404" w:type="dxa"/>
            <w:gridSpan w:val="4"/>
            <w:shd w:val="clear" w:color="auto" w:fill="92CDDC"/>
          </w:tcPr>
          <w:p w14:paraId="448758AA" w14:textId="77777777" w:rsidR="005D0C92" w:rsidRPr="00B353C6"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1 upstream (n = 14)</w:t>
            </w:r>
          </w:p>
        </w:tc>
        <w:tc>
          <w:tcPr>
            <w:tcW w:w="3391" w:type="dxa"/>
            <w:gridSpan w:val="4"/>
            <w:shd w:val="clear" w:color="auto" w:fill="92CDDC"/>
          </w:tcPr>
          <w:p w14:paraId="176155F1"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1 downstream (n = 251)</w:t>
            </w:r>
          </w:p>
        </w:tc>
      </w:tr>
      <w:tr w:rsidR="005D0C92" w:rsidRPr="00B353C6" w14:paraId="1A3FE140" w14:textId="77777777" w:rsidTr="005D0C92">
        <w:trPr>
          <w:trHeight w:val="285"/>
        </w:trPr>
        <w:tc>
          <w:tcPr>
            <w:tcW w:w="2215" w:type="dxa"/>
            <w:vMerge/>
            <w:tcBorders>
              <w:left w:val="nil"/>
            </w:tcBorders>
            <w:shd w:val="clear" w:color="auto" w:fill="auto"/>
          </w:tcPr>
          <w:p w14:paraId="5C24F1EA"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901" w:type="dxa"/>
            <w:shd w:val="clear" w:color="auto" w:fill="92CDDC"/>
          </w:tcPr>
          <w:p w14:paraId="10617993"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8" w:type="dxa"/>
            <w:shd w:val="clear" w:color="auto" w:fill="92CDDC"/>
          </w:tcPr>
          <w:p w14:paraId="0681AE89"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32" w:type="dxa"/>
            <w:shd w:val="clear" w:color="auto" w:fill="92CDDC"/>
          </w:tcPr>
          <w:p w14:paraId="38115EBD"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3" w:type="dxa"/>
            <w:shd w:val="clear" w:color="auto" w:fill="92CDDC"/>
          </w:tcPr>
          <w:p w14:paraId="0D6C4F81"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c>
          <w:tcPr>
            <w:tcW w:w="901" w:type="dxa"/>
            <w:shd w:val="clear" w:color="auto" w:fill="92CDDC"/>
          </w:tcPr>
          <w:p w14:paraId="0F32CF59"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2" w:type="dxa"/>
            <w:shd w:val="clear" w:color="auto" w:fill="92CDDC"/>
          </w:tcPr>
          <w:p w14:paraId="2B4947C0"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27" w:type="dxa"/>
            <w:shd w:val="clear" w:color="auto" w:fill="92CDDC"/>
          </w:tcPr>
          <w:p w14:paraId="35524FFE"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1" w:type="dxa"/>
            <w:shd w:val="clear" w:color="auto" w:fill="92CDDC"/>
          </w:tcPr>
          <w:p w14:paraId="31D38270"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r>
      <w:tr w:rsidR="005D0C92" w:rsidRPr="00B353C6" w14:paraId="55F3CA98" w14:textId="77777777" w:rsidTr="005D0C92">
        <w:trPr>
          <w:trHeight w:val="255"/>
        </w:trPr>
        <w:tc>
          <w:tcPr>
            <w:tcW w:w="2215" w:type="dxa"/>
          </w:tcPr>
          <w:p w14:paraId="1FB11092"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66D56CFB" w14:textId="77777777" w:rsidR="005D0C92" w:rsidRPr="00B353C6" w:rsidRDefault="005D0C92" w:rsidP="005D0C92">
            <w:pPr>
              <w:pStyle w:val="BodyText"/>
              <w:spacing w:after="120" w:line="240" w:lineRule="auto"/>
              <w:jc w:val="center"/>
              <w:rPr>
                <w:rFonts w:asciiTheme="minorHAnsi" w:hAnsiTheme="minorHAnsi"/>
                <w:bCs/>
                <w:iCs/>
                <w:sz w:val="22"/>
                <w:szCs w:val="22"/>
              </w:rPr>
            </w:pPr>
            <w:r w:rsidRPr="000667CA">
              <w:rPr>
                <w:rFonts w:asciiTheme="minorHAnsi" w:hAnsiTheme="minorHAnsi"/>
                <w:bCs/>
                <w:iCs/>
                <w:sz w:val="22"/>
                <w:szCs w:val="22"/>
              </w:rPr>
              <w:t>1.53</w:t>
            </w:r>
          </w:p>
        </w:tc>
        <w:tc>
          <w:tcPr>
            <w:tcW w:w="838" w:type="dxa"/>
          </w:tcPr>
          <w:p w14:paraId="24C2BF0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0.94</w:t>
            </w:r>
          </w:p>
        </w:tc>
        <w:tc>
          <w:tcPr>
            <w:tcW w:w="832" w:type="dxa"/>
          </w:tcPr>
          <w:p w14:paraId="5E26AA2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0.40</w:t>
            </w:r>
          </w:p>
        </w:tc>
        <w:tc>
          <w:tcPr>
            <w:tcW w:w="833" w:type="dxa"/>
          </w:tcPr>
          <w:p w14:paraId="0C5AB91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6.28</w:t>
            </w:r>
          </w:p>
        </w:tc>
        <w:tc>
          <w:tcPr>
            <w:tcW w:w="901" w:type="dxa"/>
          </w:tcPr>
          <w:p w14:paraId="0F7B8B2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2.85</w:t>
            </w:r>
          </w:p>
        </w:tc>
        <w:tc>
          <w:tcPr>
            <w:tcW w:w="832" w:type="dxa"/>
          </w:tcPr>
          <w:p w14:paraId="11967BA4"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1.53</w:t>
            </w:r>
          </w:p>
        </w:tc>
        <w:tc>
          <w:tcPr>
            <w:tcW w:w="827" w:type="dxa"/>
          </w:tcPr>
          <w:p w14:paraId="5511EA9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0.33</w:t>
            </w:r>
          </w:p>
        </w:tc>
        <w:tc>
          <w:tcPr>
            <w:tcW w:w="831" w:type="dxa"/>
          </w:tcPr>
          <w:p w14:paraId="2B617C8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30.47</w:t>
            </w:r>
          </w:p>
        </w:tc>
      </w:tr>
      <w:tr w:rsidR="005D0C92" w:rsidRPr="00B353C6" w14:paraId="4361B388" w14:textId="77777777" w:rsidTr="005D0C92">
        <w:trPr>
          <w:trHeight w:val="285"/>
        </w:trPr>
        <w:tc>
          <w:tcPr>
            <w:tcW w:w="2215" w:type="dxa"/>
          </w:tcPr>
          <w:p w14:paraId="04B00ADB" w14:textId="77777777" w:rsidR="005D0C92"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ER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709D1AAB"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2.41</w:t>
            </w:r>
          </w:p>
        </w:tc>
        <w:tc>
          <w:tcPr>
            <w:tcW w:w="838" w:type="dxa"/>
          </w:tcPr>
          <w:p w14:paraId="56150B4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1.53</w:t>
            </w:r>
          </w:p>
        </w:tc>
        <w:tc>
          <w:tcPr>
            <w:tcW w:w="832" w:type="dxa"/>
          </w:tcPr>
          <w:p w14:paraId="005E980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0.68</w:t>
            </w:r>
          </w:p>
        </w:tc>
        <w:tc>
          <w:tcPr>
            <w:tcW w:w="833" w:type="dxa"/>
          </w:tcPr>
          <w:p w14:paraId="47FC353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9.67</w:t>
            </w:r>
          </w:p>
        </w:tc>
        <w:tc>
          <w:tcPr>
            <w:tcW w:w="901" w:type="dxa"/>
          </w:tcPr>
          <w:p w14:paraId="3191660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3.44</w:t>
            </w:r>
          </w:p>
        </w:tc>
        <w:tc>
          <w:tcPr>
            <w:tcW w:w="832" w:type="dxa"/>
          </w:tcPr>
          <w:p w14:paraId="3204F35D"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2.82</w:t>
            </w:r>
          </w:p>
        </w:tc>
        <w:tc>
          <w:tcPr>
            <w:tcW w:w="827" w:type="dxa"/>
          </w:tcPr>
          <w:p w14:paraId="02F90D2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.017</w:t>
            </w:r>
          </w:p>
        </w:tc>
        <w:tc>
          <w:tcPr>
            <w:tcW w:w="831" w:type="dxa"/>
          </w:tcPr>
          <w:p w14:paraId="277B61B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19.88</w:t>
            </w:r>
          </w:p>
        </w:tc>
      </w:tr>
      <w:tr w:rsidR="005D0C92" w:rsidRPr="00B353C6" w14:paraId="60956861" w14:textId="77777777" w:rsidTr="005D0C92">
        <w:tc>
          <w:tcPr>
            <w:tcW w:w="2215" w:type="dxa"/>
          </w:tcPr>
          <w:p w14:paraId="16313C67"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 ER</w:t>
            </w:r>
          </w:p>
        </w:tc>
        <w:tc>
          <w:tcPr>
            <w:tcW w:w="901" w:type="dxa"/>
          </w:tcPr>
          <w:p w14:paraId="79E706A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0.67</w:t>
            </w:r>
          </w:p>
        </w:tc>
        <w:tc>
          <w:tcPr>
            <w:tcW w:w="838" w:type="dxa"/>
          </w:tcPr>
          <w:p w14:paraId="2EF6CFD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0.63</w:t>
            </w:r>
          </w:p>
        </w:tc>
        <w:tc>
          <w:tcPr>
            <w:tcW w:w="832" w:type="dxa"/>
          </w:tcPr>
          <w:p w14:paraId="4D914F1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0.54</w:t>
            </w:r>
          </w:p>
        </w:tc>
        <w:tc>
          <w:tcPr>
            <w:tcW w:w="833" w:type="dxa"/>
          </w:tcPr>
          <w:p w14:paraId="5A93FE3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1.11</w:t>
            </w:r>
          </w:p>
        </w:tc>
        <w:tc>
          <w:tcPr>
            <w:tcW w:w="901" w:type="dxa"/>
          </w:tcPr>
          <w:p w14:paraId="7A8C9484"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0.75</w:t>
            </w:r>
          </w:p>
        </w:tc>
        <w:tc>
          <w:tcPr>
            <w:tcW w:w="832" w:type="dxa"/>
          </w:tcPr>
          <w:p w14:paraId="7E2A748D"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0.68</w:t>
            </w:r>
          </w:p>
        </w:tc>
        <w:tc>
          <w:tcPr>
            <w:tcW w:w="827" w:type="dxa"/>
          </w:tcPr>
          <w:p w14:paraId="3DC634F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0.11</w:t>
            </w:r>
          </w:p>
        </w:tc>
        <w:tc>
          <w:tcPr>
            <w:tcW w:w="831" w:type="dxa"/>
          </w:tcPr>
          <w:p w14:paraId="77E9D4CB"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5.93</w:t>
            </w:r>
          </w:p>
        </w:tc>
      </w:tr>
    </w:tbl>
    <w:p w14:paraId="5ED23C29" w14:textId="77777777" w:rsidR="005D0C92" w:rsidRPr="004E0589" w:rsidRDefault="005D0C92" w:rsidP="005D0C92">
      <w:pPr>
        <w:pStyle w:val="BodyText"/>
        <w:spacing w:line="240" w:lineRule="auto"/>
        <w:rPr>
          <w:rFonts w:asciiTheme="minorHAnsi" w:hAnsiTheme="minorHAnsi"/>
          <w:iCs/>
          <w:color w:val="000000" w:themeColor="text1"/>
          <w:sz w:val="20"/>
          <w:szCs w:val="20"/>
        </w:rPr>
      </w:pP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16"/>
        <w:gridCol w:w="901"/>
        <w:gridCol w:w="839"/>
        <w:gridCol w:w="832"/>
        <w:gridCol w:w="834"/>
      </w:tblGrid>
      <w:tr w:rsidR="005D0C92" w:rsidRPr="00B353C6" w14:paraId="43632139" w14:textId="77777777" w:rsidTr="005D0C92">
        <w:trPr>
          <w:trHeight w:val="255"/>
        </w:trPr>
        <w:tc>
          <w:tcPr>
            <w:tcW w:w="2216" w:type="dxa"/>
            <w:vMerge w:val="restart"/>
            <w:tcBorders>
              <w:top w:val="nil"/>
              <w:left w:val="nil"/>
            </w:tcBorders>
            <w:shd w:val="clear" w:color="auto" w:fill="auto"/>
          </w:tcPr>
          <w:p w14:paraId="425AD274"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3406" w:type="dxa"/>
            <w:gridSpan w:val="4"/>
            <w:shd w:val="clear" w:color="auto" w:fill="92CDDC"/>
          </w:tcPr>
          <w:p w14:paraId="314872A6" w14:textId="77777777" w:rsidR="005D0C92" w:rsidRPr="00B353C6"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2 downstream (n = 229)</w:t>
            </w:r>
          </w:p>
        </w:tc>
      </w:tr>
      <w:tr w:rsidR="005D0C92" w:rsidRPr="00B353C6" w14:paraId="50EF59D6" w14:textId="77777777" w:rsidTr="005D0C92">
        <w:trPr>
          <w:trHeight w:val="285"/>
        </w:trPr>
        <w:tc>
          <w:tcPr>
            <w:tcW w:w="2216" w:type="dxa"/>
            <w:vMerge/>
            <w:tcBorders>
              <w:left w:val="nil"/>
            </w:tcBorders>
            <w:shd w:val="clear" w:color="auto" w:fill="auto"/>
          </w:tcPr>
          <w:p w14:paraId="4CFE5628"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901" w:type="dxa"/>
            <w:shd w:val="clear" w:color="auto" w:fill="92CDDC"/>
          </w:tcPr>
          <w:p w14:paraId="543C1D30"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9" w:type="dxa"/>
            <w:shd w:val="clear" w:color="auto" w:fill="92CDDC"/>
          </w:tcPr>
          <w:p w14:paraId="2138A06B"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32" w:type="dxa"/>
            <w:shd w:val="clear" w:color="auto" w:fill="92CDDC"/>
          </w:tcPr>
          <w:p w14:paraId="146EE484"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4" w:type="dxa"/>
            <w:shd w:val="clear" w:color="auto" w:fill="92CDDC"/>
          </w:tcPr>
          <w:p w14:paraId="7D4165E7"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r>
      <w:tr w:rsidR="005D0C92" w:rsidRPr="00B353C6" w14:paraId="23F9CE2D" w14:textId="77777777" w:rsidTr="005D0C92">
        <w:trPr>
          <w:trHeight w:val="255"/>
        </w:trPr>
        <w:tc>
          <w:tcPr>
            <w:tcW w:w="2216" w:type="dxa"/>
          </w:tcPr>
          <w:p w14:paraId="09563798"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4B9F7552"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2.19</w:t>
            </w:r>
          </w:p>
        </w:tc>
        <w:tc>
          <w:tcPr>
            <w:tcW w:w="839" w:type="dxa"/>
          </w:tcPr>
          <w:p w14:paraId="3F649FF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1.96</w:t>
            </w:r>
          </w:p>
        </w:tc>
        <w:tc>
          <w:tcPr>
            <w:tcW w:w="832" w:type="dxa"/>
          </w:tcPr>
          <w:p w14:paraId="125A4E2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0.15</w:t>
            </w:r>
          </w:p>
        </w:tc>
        <w:tc>
          <w:tcPr>
            <w:tcW w:w="834" w:type="dxa"/>
          </w:tcPr>
          <w:p w14:paraId="2D760710"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9.84</w:t>
            </w:r>
          </w:p>
        </w:tc>
      </w:tr>
      <w:tr w:rsidR="005D0C92" w:rsidRPr="00B353C6" w14:paraId="1971C9D1" w14:textId="77777777" w:rsidTr="005D0C92">
        <w:trPr>
          <w:trHeight w:val="285"/>
        </w:trPr>
        <w:tc>
          <w:tcPr>
            <w:tcW w:w="2216" w:type="dxa"/>
          </w:tcPr>
          <w:p w14:paraId="41675443" w14:textId="77777777" w:rsidR="005D0C92"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ER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341865DB"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5.08</w:t>
            </w:r>
          </w:p>
        </w:tc>
        <w:tc>
          <w:tcPr>
            <w:tcW w:w="839" w:type="dxa"/>
          </w:tcPr>
          <w:p w14:paraId="2708626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4.32</w:t>
            </w:r>
          </w:p>
        </w:tc>
        <w:tc>
          <w:tcPr>
            <w:tcW w:w="832" w:type="dxa"/>
          </w:tcPr>
          <w:p w14:paraId="07B37C62"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0.77</w:t>
            </w:r>
          </w:p>
        </w:tc>
        <w:tc>
          <w:tcPr>
            <w:tcW w:w="834" w:type="dxa"/>
          </w:tcPr>
          <w:p w14:paraId="0BB77E3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22.17</w:t>
            </w:r>
          </w:p>
        </w:tc>
      </w:tr>
      <w:tr w:rsidR="005D0C92" w:rsidRPr="00B353C6" w14:paraId="51E85267" w14:textId="77777777" w:rsidTr="005D0C92">
        <w:tc>
          <w:tcPr>
            <w:tcW w:w="2216" w:type="dxa"/>
          </w:tcPr>
          <w:p w14:paraId="3D58157E"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 ER</w:t>
            </w:r>
          </w:p>
        </w:tc>
        <w:tc>
          <w:tcPr>
            <w:tcW w:w="901" w:type="dxa"/>
          </w:tcPr>
          <w:p w14:paraId="773D4FF2"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0.48</w:t>
            </w:r>
          </w:p>
        </w:tc>
        <w:tc>
          <w:tcPr>
            <w:tcW w:w="839" w:type="dxa"/>
          </w:tcPr>
          <w:p w14:paraId="0630FA9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0.44</w:t>
            </w:r>
          </w:p>
        </w:tc>
        <w:tc>
          <w:tcPr>
            <w:tcW w:w="832" w:type="dxa"/>
          </w:tcPr>
          <w:p w14:paraId="200945B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0.07</w:t>
            </w:r>
          </w:p>
        </w:tc>
        <w:tc>
          <w:tcPr>
            <w:tcW w:w="834" w:type="dxa"/>
          </w:tcPr>
          <w:p w14:paraId="1EC3A046"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1.13</w:t>
            </w:r>
          </w:p>
        </w:tc>
      </w:tr>
    </w:tbl>
    <w:p w14:paraId="58AE235E" w14:textId="77777777" w:rsidR="005D0C92" w:rsidRPr="004E0589" w:rsidRDefault="005D0C92" w:rsidP="005D0C92">
      <w:pPr>
        <w:pStyle w:val="BodyText"/>
        <w:spacing w:line="240" w:lineRule="auto"/>
        <w:rPr>
          <w:rFonts w:asciiTheme="minorHAnsi" w:hAnsiTheme="minorHAnsi"/>
          <w:iCs/>
          <w:color w:val="000000" w:themeColor="text1"/>
          <w:sz w:val="20"/>
          <w:szCs w:val="20"/>
        </w:rPr>
      </w:pP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36"/>
        <w:gridCol w:w="901"/>
        <w:gridCol w:w="841"/>
        <w:gridCol w:w="837"/>
        <w:gridCol w:w="838"/>
        <w:gridCol w:w="901"/>
        <w:gridCol w:w="834"/>
        <w:gridCol w:w="833"/>
        <w:gridCol w:w="833"/>
      </w:tblGrid>
      <w:tr w:rsidR="005D0C92" w:rsidRPr="00B353C6" w14:paraId="5A8675EA" w14:textId="77777777" w:rsidTr="005D0C92">
        <w:trPr>
          <w:trHeight w:val="255"/>
        </w:trPr>
        <w:tc>
          <w:tcPr>
            <w:tcW w:w="2247" w:type="dxa"/>
            <w:vMerge w:val="restart"/>
            <w:tcBorders>
              <w:top w:val="nil"/>
              <w:left w:val="nil"/>
            </w:tcBorders>
            <w:shd w:val="clear" w:color="auto" w:fill="auto"/>
          </w:tcPr>
          <w:p w14:paraId="2B8FA0D8"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3424" w:type="dxa"/>
            <w:gridSpan w:val="4"/>
            <w:shd w:val="clear" w:color="auto" w:fill="92CDDC"/>
          </w:tcPr>
          <w:p w14:paraId="401A5430" w14:textId="77777777" w:rsidR="005D0C92" w:rsidRPr="00B353C6"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3 upstream (n = 3)</w:t>
            </w:r>
          </w:p>
        </w:tc>
        <w:tc>
          <w:tcPr>
            <w:tcW w:w="3339" w:type="dxa"/>
            <w:gridSpan w:val="4"/>
            <w:shd w:val="clear" w:color="auto" w:fill="94CBD8"/>
          </w:tcPr>
          <w:p w14:paraId="4D1C877C"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3 downstream (n = 44)</w:t>
            </w:r>
          </w:p>
        </w:tc>
      </w:tr>
      <w:tr w:rsidR="005D0C92" w:rsidRPr="00B353C6" w14:paraId="2B5D90C4" w14:textId="77777777" w:rsidTr="005D0C92">
        <w:trPr>
          <w:trHeight w:val="285"/>
        </w:trPr>
        <w:tc>
          <w:tcPr>
            <w:tcW w:w="2247" w:type="dxa"/>
            <w:vMerge/>
            <w:tcBorders>
              <w:left w:val="nil"/>
            </w:tcBorders>
            <w:shd w:val="clear" w:color="auto" w:fill="auto"/>
          </w:tcPr>
          <w:p w14:paraId="736671FD"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901" w:type="dxa"/>
            <w:shd w:val="clear" w:color="auto" w:fill="92CDDC"/>
          </w:tcPr>
          <w:p w14:paraId="3C2FEAE6"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42" w:type="dxa"/>
            <w:shd w:val="clear" w:color="auto" w:fill="92CDDC"/>
          </w:tcPr>
          <w:p w14:paraId="15535A4A"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40" w:type="dxa"/>
            <w:shd w:val="clear" w:color="auto" w:fill="92CDDC"/>
          </w:tcPr>
          <w:p w14:paraId="39BB8F77"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41" w:type="dxa"/>
            <w:shd w:val="clear" w:color="auto" w:fill="92CDDC"/>
          </w:tcPr>
          <w:p w14:paraId="6B7BA61D"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c>
          <w:tcPr>
            <w:tcW w:w="834" w:type="dxa"/>
            <w:shd w:val="clear" w:color="auto" w:fill="94CBD8"/>
          </w:tcPr>
          <w:p w14:paraId="01A0973B"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5" w:type="dxa"/>
            <w:shd w:val="clear" w:color="auto" w:fill="94CBD8"/>
          </w:tcPr>
          <w:p w14:paraId="08D66D1B"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35" w:type="dxa"/>
            <w:shd w:val="clear" w:color="auto" w:fill="94CBD8"/>
          </w:tcPr>
          <w:p w14:paraId="252460E7"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5" w:type="dxa"/>
            <w:shd w:val="clear" w:color="auto" w:fill="94CBD8"/>
          </w:tcPr>
          <w:p w14:paraId="7FA656D1"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r>
      <w:tr w:rsidR="005D0C92" w:rsidRPr="00B353C6" w14:paraId="3F8D163D" w14:textId="77777777" w:rsidTr="005D0C92">
        <w:trPr>
          <w:trHeight w:val="255"/>
        </w:trPr>
        <w:tc>
          <w:tcPr>
            <w:tcW w:w="2247" w:type="dxa"/>
          </w:tcPr>
          <w:p w14:paraId="3F878299"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4CAA07C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0.92</w:t>
            </w:r>
          </w:p>
        </w:tc>
        <w:tc>
          <w:tcPr>
            <w:tcW w:w="842" w:type="dxa"/>
          </w:tcPr>
          <w:p w14:paraId="31F9B2E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0.98</w:t>
            </w:r>
          </w:p>
        </w:tc>
        <w:tc>
          <w:tcPr>
            <w:tcW w:w="840" w:type="dxa"/>
          </w:tcPr>
          <w:p w14:paraId="53518F60"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0.80</w:t>
            </w:r>
          </w:p>
        </w:tc>
        <w:tc>
          <w:tcPr>
            <w:tcW w:w="841" w:type="dxa"/>
          </w:tcPr>
          <w:p w14:paraId="7AF643F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0.99</w:t>
            </w:r>
          </w:p>
        </w:tc>
        <w:tc>
          <w:tcPr>
            <w:tcW w:w="834" w:type="dxa"/>
          </w:tcPr>
          <w:p w14:paraId="54996E3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1.18</w:t>
            </w:r>
          </w:p>
        </w:tc>
        <w:tc>
          <w:tcPr>
            <w:tcW w:w="835" w:type="dxa"/>
          </w:tcPr>
          <w:p w14:paraId="1D26CD0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0.94</w:t>
            </w:r>
          </w:p>
        </w:tc>
        <w:tc>
          <w:tcPr>
            <w:tcW w:w="835" w:type="dxa"/>
          </w:tcPr>
          <w:p w14:paraId="7494B8EB"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0.50</w:t>
            </w:r>
          </w:p>
        </w:tc>
        <w:tc>
          <w:tcPr>
            <w:tcW w:w="835" w:type="dxa"/>
          </w:tcPr>
          <w:p w14:paraId="088709B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3.32</w:t>
            </w:r>
          </w:p>
        </w:tc>
      </w:tr>
      <w:tr w:rsidR="005D0C92" w:rsidRPr="00B353C6" w14:paraId="5A7C21C3" w14:textId="77777777" w:rsidTr="005D0C92">
        <w:trPr>
          <w:trHeight w:val="285"/>
        </w:trPr>
        <w:tc>
          <w:tcPr>
            <w:tcW w:w="2247" w:type="dxa"/>
          </w:tcPr>
          <w:p w14:paraId="229AEAB1" w14:textId="77777777" w:rsidR="005D0C92"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ER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2C2A5B8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4.72</w:t>
            </w:r>
          </w:p>
        </w:tc>
        <w:tc>
          <w:tcPr>
            <w:tcW w:w="842" w:type="dxa"/>
          </w:tcPr>
          <w:p w14:paraId="7006DC2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2.77</w:t>
            </w:r>
          </w:p>
        </w:tc>
        <w:tc>
          <w:tcPr>
            <w:tcW w:w="840" w:type="dxa"/>
          </w:tcPr>
          <w:p w14:paraId="5237C8C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1.70</w:t>
            </w:r>
          </w:p>
        </w:tc>
        <w:tc>
          <w:tcPr>
            <w:tcW w:w="841" w:type="dxa"/>
          </w:tcPr>
          <w:p w14:paraId="411DB489"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9.69</w:t>
            </w:r>
          </w:p>
        </w:tc>
        <w:tc>
          <w:tcPr>
            <w:tcW w:w="834" w:type="dxa"/>
          </w:tcPr>
          <w:p w14:paraId="2BA3C17D"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2.04</w:t>
            </w:r>
          </w:p>
        </w:tc>
        <w:tc>
          <w:tcPr>
            <w:tcW w:w="835" w:type="dxa"/>
          </w:tcPr>
          <w:p w14:paraId="4442AA7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1.90</w:t>
            </w:r>
          </w:p>
        </w:tc>
        <w:tc>
          <w:tcPr>
            <w:tcW w:w="835" w:type="dxa"/>
          </w:tcPr>
          <w:p w14:paraId="4C92205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0.79</w:t>
            </w:r>
          </w:p>
        </w:tc>
        <w:tc>
          <w:tcPr>
            <w:tcW w:w="835" w:type="dxa"/>
          </w:tcPr>
          <w:p w14:paraId="1CF0BC7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5.06</w:t>
            </w:r>
          </w:p>
        </w:tc>
      </w:tr>
      <w:tr w:rsidR="005D0C92" w:rsidRPr="00B353C6" w14:paraId="6C8D68C7" w14:textId="77777777" w:rsidTr="005D0C92">
        <w:tc>
          <w:tcPr>
            <w:tcW w:w="2247" w:type="dxa"/>
          </w:tcPr>
          <w:p w14:paraId="67281692"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 ER</w:t>
            </w:r>
          </w:p>
        </w:tc>
        <w:tc>
          <w:tcPr>
            <w:tcW w:w="901" w:type="dxa"/>
          </w:tcPr>
          <w:p w14:paraId="07F6CBFD"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0.31</w:t>
            </w:r>
          </w:p>
        </w:tc>
        <w:tc>
          <w:tcPr>
            <w:tcW w:w="842" w:type="dxa"/>
          </w:tcPr>
          <w:p w14:paraId="21FC606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0.35</w:t>
            </w:r>
          </w:p>
        </w:tc>
        <w:tc>
          <w:tcPr>
            <w:tcW w:w="840" w:type="dxa"/>
          </w:tcPr>
          <w:p w14:paraId="6A0C4CA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0.10</w:t>
            </w:r>
          </w:p>
        </w:tc>
        <w:tc>
          <w:tcPr>
            <w:tcW w:w="841" w:type="dxa"/>
          </w:tcPr>
          <w:p w14:paraId="74E583B2"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0.47</w:t>
            </w:r>
          </w:p>
        </w:tc>
        <w:tc>
          <w:tcPr>
            <w:tcW w:w="834" w:type="dxa"/>
          </w:tcPr>
          <w:p w14:paraId="23FA4C7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0.63</w:t>
            </w:r>
          </w:p>
        </w:tc>
        <w:tc>
          <w:tcPr>
            <w:tcW w:w="835" w:type="dxa"/>
          </w:tcPr>
          <w:p w14:paraId="5454FE99"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0.58</w:t>
            </w:r>
          </w:p>
        </w:tc>
        <w:tc>
          <w:tcPr>
            <w:tcW w:w="835" w:type="dxa"/>
          </w:tcPr>
          <w:p w14:paraId="5BB80D5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0.19</w:t>
            </w:r>
          </w:p>
        </w:tc>
        <w:tc>
          <w:tcPr>
            <w:tcW w:w="835" w:type="dxa"/>
          </w:tcPr>
          <w:p w14:paraId="3EE4DA09"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1.16</w:t>
            </w:r>
          </w:p>
        </w:tc>
      </w:tr>
    </w:tbl>
    <w:p w14:paraId="07F98E83" w14:textId="77777777" w:rsidR="005D0C92" w:rsidRPr="004E0589" w:rsidRDefault="005D0C92" w:rsidP="005D0C92">
      <w:pPr>
        <w:pStyle w:val="BodyText"/>
        <w:spacing w:line="240" w:lineRule="auto"/>
        <w:rPr>
          <w:rFonts w:asciiTheme="minorHAnsi" w:hAnsiTheme="minorHAnsi"/>
          <w:iCs/>
          <w:color w:val="000000" w:themeColor="text1"/>
          <w:sz w:val="20"/>
          <w:szCs w:val="20"/>
        </w:rPr>
      </w:pP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36"/>
        <w:gridCol w:w="901"/>
        <w:gridCol w:w="841"/>
        <w:gridCol w:w="837"/>
        <w:gridCol w:w="838"/>
        <w:gridCol w:w="901"/>
        <w:gridCol w:w="834"/>
        <w:gridCol w:w="832"/>
        <w:gridCol w:w="834"/>
      </w:tblGrid>
      <w:tr w:rsidR="005D0C92" w:rsidRPr="00B353C6" w14:paraId="666A3E8B" w14:textId="77777777" w:rsidTr="005D0C92">
        <w:trPr>
          <w:trHeight w:val="255"/>
        </w:trPr>
        <w:tc>
          <w:tcPr>
            <w:tcW w:w="2247" w:type="dxa"/>
            <w:vMerge w:val="restart"/>
            <w:tcBorders>
              <w:top w:val="nil"/>
              <w:left w:val="nil"/>
            </w:tcBorders>
            <w:shd w:val="clear" w:color="auto" w:fill="auto"/>
          </w:tcPr>
          <w:p w14:paraId="0BDCE094"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3424" w:type="dxa"/>
            <w:gridSpan w:val="4"/>
            <w:shd w:val="clear" w:color="auto" w:fill="94CBD8"/>
          </w:tcPr>
          <w:p w14:paraId="33A04EF4" w14:textId="77777777" w:rsidR="005D0C92" w:rsidRPr="00B353C6"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4 upstream (n = 13)</w:t>
            </w:r>
          </w:p>
        </w:tc>
        <w:tc>
          <w:tcPr>
            <w:tcW w:w="3339" w:type="dxa"/>
            <w:gridSpan w:val="4"/>
            <w:shd w:val="clear" w:color="auto" w:fill="94CBD8"/>
          </w:tcPr>
          <w:p w14:paraId="2801C188"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Zone 4 downstream (n = 194)</w:t>
            </w:r>
          </w:p>
        </w:tc>
      </w:tr>
      <w:tr w:rsidR="005D0C92" w:rsidRPr="00B353C6" w14:paraId="38A10892" w14:textId="77777777" w:rsidTr="005D0C92">
        <w:trPr>
          <w:trHeight w:val="285"/>
        </w:trPr>
        <w:tc>
          <w:tcPr>
            <w:tcW w:w="2247" w:type="dxa"/>
            <w:vMerge/>
            <w:tcBorders>
              <w:left w:val="nil"/>
            </w:tcBorders>
            <w:shd w:val="clear" w:color="auto" w:fill="auto"/>
          </w:tcPr>
          <w:p w14:paraId="14EE46EC"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901" w:type="dxa"/>
            <w:shd w:val="clear" w:color="auto" w:fill="94CBD8"/>
          </w:tcPr>
          <w:p w14:paraId="142378D8"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42" w:type="dxa"/>
            <w:shd w:val="clear" w:color="auto" w:fill="94CBD8"/>
          </w:tcPr>
          <w:p w14:paraId="2FDFB748"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40" w:type="dxa"/>
            <w:shd w:val="clear" w:color="auto" w:fill="94CBD8"/>
          </w:tcPr>
          <w:p w14:paraId="34872391"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41" w:type="dxa"/>
            <w:shd w:val="clear" w:color="auto" w:fill="94CBD8"/>
          </w:tcPr>
          <w:p w14:paraId="3F6C466C"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c>
          <w:tcPr>
            <w:tcW w:w="834" w:type="dxa"/>
            <w:shd w:val="clear" w:color="auto" w:fill="94CBD8"/>
          </w:tcPr>
          <w:p w14:paraId="37D6616C"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5" w:type="dxa"/>
            <w:shd w:val="clear" w:color="auto" w:fill="94CBD8"/>
          </w:tcPr>
          <w:p w14:paraId="36642AF3"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35" w:type="dxa"/>
            <w:shd w:val="clear" w:color="auto" w:fill="94CBD8"/>
          </w:tcPr>
          <w:p w14:paraId="3BD08764"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5" w:type="dxa"/>
            <w:shd w:val="clear" w:color="auto" w:fill="94CBD8"/>
          </w:tcPr>
          <w:p w14:paraId="49E6DC5F"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r>
      <w:tr w:rsidR="005D0C92" w:rsidRPr="00B353C6" w14:paraId="27122EBB" w14:textId="77777777" w:rsidTr="005D0C92">
        <w:trPr>
          <w:trHeight w:val="255"/>
        </w:trPr>
        <w:tc>
          <w:tcPr>
            <w:tcW w:w="2247" w:type="dxa"/>
          </w:tcPr>
          <w:p w14:paraId="14D29DA3"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6EF62C76"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1.31</w:t>
            </w:r>
          </w:p>
        </w:tc>
        <w:tc>
          <w:tcPr>
            <w:tcW w:w="842" w:type="dxa"/>
          </w:tcPr>
          <w:p w14:paraId="7514982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1.45</w:t>
            </w:r>
          </w:p>
        </w:tc>
        <w:tc>
          <w:tcPr>
            <w:tcW w:w="840" w:type="dxa"/>
          </w:tcPr>
          <w:p w14:paraId="321F43E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0.64</w:t>
            </w:r>
          </w:p>
        </w:tc>
        <w:tc>
          <w:tcPr>
            <w:tcW w:w="841" w:type="dxa"/>
          </w:tcPr>
          <w:p w14:paraId="747BCB8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2.12</w:t>
            </w:r>
          </w:p>
        </w:tc>
        <w:tc>
          <w:tcPr>
            <w:tcW w:w="834" w:type="dxa"/>
          </w:tcPr>
          <w:p w14:paraId="4C3AF99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2.45</w:t>
            </w:r>
          </w:p>
        </w:tc>
        <w:tc>
          <w:tcPr>
            <w:tcW w:w="835" w:type="dxa"/>
          </w:tcPr>
          <w:p w14:paraId="0D86EFA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1.65</w:t>
            </w:r>
          </w:p>
        </w:tc>
        <w:tc>
          <w:tcPr>
            <w:tcW w:w="835" w:type="dxa"/>
          </w:tcPr>
          <w:p w14:paraId="0CA49790"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0.34</w:t>
            </w:r>
          </w:p>
        </w:tc>
        <w:tc>
          <w:tcPr>
            <w:tcW w:w="835" w:type="dxa"/>
          </w:tcPr>
          <w:p w14:paraId="21572424"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18.38</w:t>
            </w:r>
          </w:p>
        </w:tc>
      </w:tr>
      <w:tr w:rsidR="005D0C92" w:rsidRPr="00B353C6" w14:paraId="1BB78A43" w14:textId="77777777" w:rsidTr="005D0C92">
        <w:trPr>
          <w:trHeight w:val="285"/>
        </w:trPr>
        <w:tc>
          <w:tcPr>
            <w:tcW w:w="2247" w:type="dxa"/>
          </w:tcPr>
          <w:p w14:paraId="7F977181" w14:textId="77777777" w:rsidR="005D0C92"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ER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6FEA5D3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2.62</w:t>
            </w:r>
          </w:p>
        </w:tc>
        <w:tc>
          <w:tcPr>
            <w:tcW w:w="842" w:type="dxa"/>
          </w:tcPr>
          <w:p w14:paraId="0D06206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2.31</w:t>
            </w:r>
          </w:p>
        </w:tc>
        <w:tc>
          <w:tcPr>
            <w:tcW w:w="840" w:type="dxa"/>
          </w:tcPr>
          <w:p w14:paraId="3F15F62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0.98</w:t>
            </w:r>
          </w:p>
        </w:tc>
        <w:tc>
          <w:tcPr>
            <w:tcW w:w="841" w:type="dxa"/>
          </w:tcPr>
          <w:p w14:paraId="4890C46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5.82</w:t>
            </w:r>
          </w:p>
        </w:tc>
        <w:tc>
          <w:tcPr>
            <w:tcW w:w="834" w:type="dxa"/>
          </w:tcPr>
          <w:p w14:paraId="74CB90E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3.56</w:t>
            </w:r>
          </w:p>
        </w:tc>
        <w:tc>
          <w:tcPr>
            <w:tcW w:w="835" w:type="dxa"/>
          </w:tcPr>
          <w:p w14:paraId="40823CC4"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2.86</w:t>
            </w:r>
          </w:p>
        </w:tc>
        <w:tc>
          <w:tcPr>
            <w:tcW w:w="835" w:type="dxa"/>
          </w:tcPr>
          <w:p w14:paraId="5F61FF0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0.23</w:t>
            </w:r>
          </w:p>
        </w:tc>
        <w:tc>
          <w:tcPr>
            <w:tcW w:w="835" w:type="dxa"/>
          </w:tcPr>
          <w:p w14:paraId="4D82530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21.48</w:t>
            </w:r>
          </w:p>
        </w:tc>
      </w:tr>
      <w:tr w:rsidR="005D0C92" w:rsidRPr="00B353C6" w14:paraId="42120A35" w14:textId="77777777" w:rsidTr="005D0C92">
        <w:tc>
          <w:tcPr>
            <w:tcW w:w="2247" w:type="dxa"/>
          </w:tcPr>
          <w:p w14:paraId="6B3FDC97"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 ER</w:t>
            </w:r>
          </w:p>
        </w:tc>
        <w:tc>
          <w:tcPr>
            <w:tcW w:w="901" w:type="dxa"/>
          </w:tcPr>
          <w:p w14:paraId="0BFE8C2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0.59</w:t>
            </w:r>
          </w:p>
        </w:tc>
        <w:tc>
          <w:tcPr>
            <w:tcW w:w="842" w:type="dxa"/>
          </w:tcPr>
          <w:p w14:paraId="3F53CBC0"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0.59</w:t>
            </w:r>
          </w:p>
        </w:tc>
        <w:tc>
          <w:tcPr>
            <w:tcW w:w="840" w:type="dxa"/>
          </w:tcPr>
          <w:p w14:paraId="0CBC49D6"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0.26</w:t>
            </w:r>
          </w:p>
        </w:tc>
        <w:tc>
          <w:tcPr>
            <w:tcW w:w="841" w:type="dxa"/>
          </w:tcPr>
          <w:p w14:paraId="2E695C5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1.09</w:t>
            </w:r>
          </w:p>
        </w:tc>
        <w:tc>
          <w:tcPr>
            <w:tcW w:w="834" w:type="dxa"/>
          </w:tcPr>
          <w:p w14:paraId="1B08B8B9"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0.67</w:t>
            </w:r>
          </w:p>
        </w:tc>
        <w:tc>
          <w:tcPr>
            <w:tcW w:w="835" w:type="dxa"/>
          </w:tcPr>
          <w:p w14:paraId="38A34462"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0.68</w:t>
            </w:r>
          </w:p>
        </w:tc>
        <w:tc>
          <w:tcPr>
            <w:tcW w:w="835" w:type="dxa"/>
          </w:tcPr>
          <w:p w14:paraId="6A833FC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0.13</w:t>
            </w:r>
          </w:p>
        </w:tc>
        <w:tc>
          <w:tcPr>
            <w:tcW w:w="835" w:type="dxa"/>
          </w:tcPr>
          <w:p w14:paraId="483205B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3.50</w:t>
            </w:r>
          </w:p>
        </w:tc>
      </w:tr>
    </w:tbl>
    <w:p w14:paraId="491E6D18" w14:textId="77777777" w:rsidR="005D0C92" w:rsidRPr="004E0589" w:rsidRDefault="005D0C92" w:rsidP="005D0C92">
      <w:pPr>
        <w:pStyle w:val="BodyText"/>
        <w:spacing w:line="240" w:lineRule="auto"/>
        <w:rPr>
          <w:rFonts w:asciiTheme="minorHAnsi" w:hAnsiTheme="minorHAnsi"/>
          <w:iCs/>
          <w:color w:val="000000" w:themeColor="text1"/>
          <w:sz w:val="20"/>
          <w:szCs w:val="20"/>
        </w:rPr>
      </w:pP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15"/>
        <w:gridCol w:w="901"/>
        <w:gridCol w:w="838"/>
        <w:gridCol w:w="832"/>
        <w:gridCol w:w="833"/>
      </w:tblGrid>
      <w:tr w:rsidR="005D0C92" w:rsidRPr="00B353C6" w14:paraId="13C81D12" w14:textId="77777777" w:rsidTr="005D0C92">
        <w:trPr>
          <w:trHeight w:val="255"/>
        </w:trPr>
        <w:tc>
          <w:tcPr>
            <w:tcW w:w="2215" w:type="dxa"/>
            <w:vMerge w:val="restart"/>
            <w:tcBorders>
              <w:top w:val="nil"/>
              <w:left w:val="nil"/>
            </w:tcBorders>
            <w:shd w:val="clear" w:color="auto" w:fill="auto"/>
          </w:tcPr>
          <w:p w14:paraId="2F4C0364"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3404" w:type="dxa"/>
            <w:gridSpan w:val="4"/>
            <w:shd w:val="clear" w:color="auto" w:fill="94CBD8"/>
          </w:tcPr>
          <w:p w14:paraId="122AECB8" w14:textId="77777777" w:rsidR="005D0C92" w:rsidRPr="00B353C6"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Old Morago (n = 70)</w:t>
            </w:r>
          </w:p>
        </w:tc>
      </w:tr>
      <w:tr w:rsidR="005D0C92" w:rsidRPr="00B353C6" w14:paraId="536079CD" w14:textId="77777777" w:rsidTr="005D0C92">
        <w:trPr>
          <w:trHeight w:val="285"/>
        </w:trPr>
        <w:tc>
          <w:tcPr>
            <w:tcW w:w="2215" w:type="dxa"/>
            <w:vMerge/>
            <w:tcBorders>
              <w:left w:val="nil"/>
            </w:tcBorders>
            <w:shd w:val="clear" w:color="auto" w:fill="auto"/>
          </w:tcPr>
          <w:p w14:paraId="7F10074A" w14:textId="77777777" w:rsidR="005D0C92" w:rsidRPr="00B353C6" w:rsidRDefault="005D0C92" w:rsidP="005D0C92">
            <w:pPr>
              <w:pStyle w:val="BodyText"/>
              <w:spacing w:after="120" w:line="240" w:lineRule="auto"/>
              <w:jc w:val="center"/>
              <w:rPr>
                <w:rFonts w:asciiTheme="minorHAnsi" w:hAnsiTheme="minorHAnsi"/>
                <w:bCs/>
                <w:iCs/>
                <w:sz w:val="22"/>
                <w:szCs w:val="22"/>
              </w:rPr>
            </w:pPr>
          </w:p>
        </w:tc>
        <w:tc>
          <w:tcPr>
            <w:tcW w:w="901" w:type="dxa"/>
            <w:shd w:val="clear" w:color="auto" w:fill="94CBD8"/>
          </w:tcPr>
          <w:p w14:paraId="24F4943A"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Median</w:t>
            </w:r>
          </w:p>
        </w:tc>
        <w:tc>
          <w:tcPr>
            <w:tcW w:w="838" w:type="dxa"/>
            <w:shd w:val="clear" w:color="auto" w:fill="94CBD8"/>
          </w:tcPr>
          <w:p w14:paraId="55E72FBD"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Mean</w:t>
            </w:r>
          </w:p>
        </w:tc>
        <w:tc>
          <w:tcPr>
            <w:tcW w:w="832" w:type="dxa"/>
            <w:shd w:val="clear" w:color="auto" w:fill="94CBD8"/>
          </w:tcPr>
          <w:p w14:paraId="211F481E"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Min</w:t>
            </w:r>
          </w:p>
        </w:tc>
        <w:tc>
          <w:tcPr>
            <w:tcW w:w="833" w:type="dxa"/>
            <w:shd w:val="clear" w:color="auto" w:fill="94CBD8"/>
          </w:tcPr>
          <w:p w14:paraId="481E744D" w14:textId="77777777" w:rsidR="005D0C92" w:rsidRDefault="005D0C92" w:rsidP="005D0C92">
            <w:pPr>
              <w:pStyle w:val="BodyText"/>
              <w:spacing w:after="60" w:line="240" w:lineRule="auto"/>
              <w:jc w:val="center"/>
              <w:rPr>
                <w:rFonts w:asciiTheme="minorHAnsi" w:hAnsiTheme="minorHAnsi"/>
                <w:bCs/>
                <w:iCs/>
                <w:sz w:val="22"/>
                <w:szCs w:val="22"/>
              </w:rPr>
            </w:pPr>
            <w:r>
              <w:rPr>
                <w:rFonts w:asciiTheme="minorHAnsi" w:hAnsiTheme="minorHAnsi"/>
                <w:bCs/>
                <w:iCs/>
                <w:sz w:val="22"/>
                <w:szCs w:val="22"/>
              </w:rPr>
              <w:t>Max</w:t>
            </w:r>
          </w:p>
        </w:tc>
      </w:tr>
      <w:tr w:rsidR="005D0C92" w:rsidRPr="00B353C6" w14:paraId="2580EEAD" w14:textId="77777777" w:rsidTr="005D0C92">
        <w:trPr>
          <w:trHeight w:val="255"/>
        </w:trPr>
        <w:tc>
          <w:tcPr>
            <w:tcW w:w="2215" w:type="dxa"/>
          </w:tcPr>
          <w:p w14:paraId="372D806B"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67A465A1"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2.43</w:t>
            </w:r>
          </w:p>
        </w:tc>
        <w:tc>
          <w:tcPr>
            <w:tcW w:w="838" w:type="dxa"/>
          </w:tcPr>
          <w:p w14:paraId="28DBCCBF"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2.47</w:t>
            </w:r>
          </w:p>
        </w:tc>
        <w:tc>
          <w:tcPr>
            <w:tcW w:w="832" w:type="dxa"/>
          </w:tcPr>
          <w:p w14:paraId="134A8D8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7.46</w:t>
            </w:r>
          </w:p>
        </w:tc>
        <w:tc>
          <w:tcPr>
            <w:tcW w:w="833" w:type="dxa"/>
          </w:tcPr>
          <w:p w14:paraId="2E239110"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4.76</w:t>
            </w:r>
          </w:p>
        </w:tc>
      </w:tr>
      <w:tr w:rsidR="005D0C92" w:rsidRPr="00B353C6" w14:paraId="05EB829E" w14:textId="77777777" w:rsidTr="005D0C92">
        <w:trPr>
          <w:trHeight w:val="285"/>
        </w:trPr>
        <w:tc>
          <w:tcPr>
            <w:tcW w:w="2215" w:type="dxa"/>
          </w:tcPr>
          <w:p w14:paraId="5E5130D9" w14:textId="77777777" w:rsidR="005D0C92"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ER (g O</w:t>
            </w:r>
            <w:r w:rsidRPr="00366042">
              <w:rPr>
                <w:rFonts w:asciiTheme="minorHAnsi" w:hAnsiTheme="minorHAnsi"/>
                <w:bCs/>
                <w:iCs/>
                <w:sz w:val="22"/>
                <w:szCs w:val="22"/>
                <w:vertAlign w:val="subscript"/>
              </w:rPr>
              <w:t>2</w:t>
            </w:r>
            <w:r>
              <w:rPr>
                <w:rFonts w:asciiTheme="minorHAnsi" w:hAnsiTheme="minorHAnsi"/>
                <w:bCs/>
                <w:iCs/>
                <w:sz w:val="22"/>
                <w:szCs w:val="22"/>
              </w:rPr>
              <w:t>/m</w:t>
            </w:r>
            <w:r w:rsidRPr="00366042">
              <w:rPr>
                <w:rFonts w:asciiTheme="minorHAnsi" w:hAnsiTheme="minorHAnsi"/>
                <w:bCs/>
                <w:iCs/>
                <w:sz w:val="22"/>
                <w:szCs w:val="22"/>
                <w:vertAlign w:val="superscript"/>
              </w:rPr>
              <w:t>2</w:t>
            </w:r>
            <w:r>
              <w:rPr>
                <w:rFonts w:asciiTheme="minorHAnsi" w:hAnsiTheme="minorHAnsi"/>
                <w:bCs/>
                <w:iCs/>
                <w:sz w:val="22"/>
                <w:szCs w:val="22"/>
              </w:rPr>
              <w:t>/day)</w:t>
            </w:r>
          </w:p>
        </w:tc>
        <w:tc>
          <w:tcPr>
            <w:tcW w:w="901" w:type="dxa"/>
          </w:tcPr>
          <w:p w14:paraId="6BCBD20A"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4.76</w:t>
            </w:r>
          </w:p>
        </w:tc>
        <w:tc>
          <w:tcPr>
            <w:tcW w:w="838" w:type="dxa"/>
          </w:tcPr>
          <w:p w14:paraId="0545C857"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4.04</w:t>
            </w:r>
          </w:p>
        </w:tc>
        <w:tc>
          <w:tcPr>
            <w:tcW w:w="832" w:type="dxa"/>
          </w:tcPr>
          <w:p w14:paraId="61236B13"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1.43</w:t>
            </w:r>
          </w:p>
        </w:tc>
        <w:tc>
          <w:tcPr>
            <w:tcW w:w="833" w:type="dxa"/>
          </w:tcPr>
          <w:p w14:paraId="26CF9DF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15.28</w:t>
            </w:r>
          </w:p>
        </w:tc>
      </w:tr>
      <w:tr w:rsidR="005D0C92" w:rsidRPr="00B353C6" w14:paraId="2EEEBE54" w14:textId="77777777" w:rsidTr="005D0C92">
        <w:tc>
          <w:tcPr>
            <w:tcW w:w="2215" w:type="dxa"/>
          </w:tcPr>
          <w:p w14:paraId="36FEAD3C" w14:textId="77777777" w:rsidR="005D0C92" w:rsidRPr="00B353C6" w:rsidRDefault="005D0C92" w:rsidP="005D0C92">
            <w:pPr>
              <w:pStyle w:val="BodyText"/>
              <w:spacing w:after="120" w:line="240" w:lineRule="auto"/>
              <w:jc w:val="left"/>
              <w:rPr>
                <w:rFonts w:asciiTheme="minorHAnsi" w:hAnsiTheme="minorHAnsi"/>
                <w:bCs/>
                <w:iCs/>
                <w:sz w:val="22"/>
                <w:szCs w:val="22"/>
              </w:rPr>
            </w:pPr>
            <w:r>
              <w:rPr>
                <w:rFonts w:asciiTheme="minorHAnsi" w:hAnsiTheme="minorHAnsi"/>
                <w:bCs/>
                <w:iCs/>
                <w:sz w:val="22"/>
                <w:szCs w:val="22"/>
              </w:rPr>
              <w:t>GPP / ER</w:t>
            </w:r>
          </w:p>
        </w:tc>
        <w:tc>
          <w:tcPr>
            <w:tcW w:w="901" w:type="dxa"/>
          </w:tcPr>
          <w:p w14:paraId="6348955C"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0.55</w:t>
            </w:r>
          </w:p>
        </w:tc>
        <w:tc>
          <w:tcPr>
            <w:tcW w:w="838" w:type="dxa"/>
          </w:tcPr>
          <w:p w14:paraId="7296DDF5"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0.59</w:t>
            </w:r>
          </w:p>
        </w:tc>
        <w:tc>
          <w:tcPr>
            <w:tcW w:w="832" w:type="dxa"/>
          </w:tcPr>
          <w:p w14:paraId="20CE03A8"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0.06</w:t>
            </w:r>
          </w:p>
        </w:tc>
        <w:tc>
          <w:tcPr>
            <w:tcW w:w="833" w:type="dxa"/>
          </w:tcPr>
          <w:p w14:paraId="1A6EFD0E" w14:textId="77777777" w:rsidR="005D0C92" w:rsidRPr="00B353C6" w:rsidRDefault="005D0C92" w:rsidP="005D0C92">
            <w:pPr>
              <w:pStyle w:val="BodyText"/>
              <w:spacing w:after="120" w:line="240" w:lineRule="auto"/>
              <w:jc w:val="center"/>
              <w:rPr>
                <w:rFonts w:asciiTheme="minorHAnsi" w:hAnsiTheme="minorHAnsi"/>
                <w:bCs/>
                <w:iCs/>
                <w:sz w:val="22"/>
                <w:szCs w:val="22"/>
              </w:rPr>
            </w:pPr>
            <w:r>
              <w:rPr>
                <w:rFonts w:asciiTheme="minorHAnsi" w:hAnsiTheme="minorHAnsi"/>
                <w:bCs/>
                <w:iCs/>
                <w:sz w:val="22"/>
                <w:szCs w:val="22"/>
              </w:rPr>
              <w:t>1.10</w:t>
            </w:r>
          </w:p>
        </w:tc>
      </w:tr>
    </w:tbl>
    <w:p w14:paraId="17EAD026" w14:textId="77777777" w:rsidR="005D0C92" w:rsidRDefault="005D0C92" w:rsidP="005D0C92">
      <w:pPr>
        <w:pStyle w:val="BodyText"/>
        <w:spacing w:after="120" w:line="259" w:lineRule="auto"/>
        <w:jc w:val="left"/>
        <w:rPr>
          <w:rFonts w:asciiTheme="minorHAnsi" w:hAnsiTheme="minorHAnsi"/>
          <w:bCs/>
          <w:iCs/>
          <w:sz w:val="22"/>
          <w:szCs w:val="22"/>
        </w:rPr>
      </w:pPr>
      <w:r w:rsidRPr="00DD46A4">
        <w:rPr>
          <w:rFonts w:asciiTheme="minorHAnsi" w:hAnsiTheme="minorHAnsi"/>
          <w:bCs/>
          <w:iCs/>
          <w:sz w:val="22"/>
          <w:szCs w:val="22"/>
        </w:rPr>
        <w:t xml:space="preserve">There was a seasonal increase in GPP from spring into summer in zones </w:t>
      </w:r>
      <w:r>
        <w:rPr>
          <w:rFonts w:asciiTheme="minorHAnsi" w:hAnsiTheme="minorHAnsi"/>
          <w:bCs/>
          <w:iCs/>
          <w:sz w:val="22"/>
          <w:szCs w:val="22"/>
        </w:rPr>
        <w:t>1, 2, 3 and 4. The Colligen Creek (Old Morago Road) site had too little useable data during this period to quantify a trend. At all sites, GPP decreased from the end of summer into autumn. W</w:t>
      </w:r>
      <w:r w:rsidRPr="00DD46A4">
        <w:rPr>
          <w:rFonts w:asciiTheme="minorHAnsi" w:hAnsiTheme="minorHAnsi"/>
          <w:bCs/>
          <w:iCs/>
          <w:sz w:val="22"/>
          <w:szCs w:val="22"/>
        </w:rPr>
        <w:t>armer days</w:t>
      </w:r>
      <w:r>
        <w:rPr>
          <w:rFonts w:asciiTheme="minorHAnsi" w:hAnsiTheme="minorHAnsi"/>
          <w:bCs/>
          <w:iCs/>
          <w:sz w:val="22"/>
          <w:szCs w:val="22"/>
        </w:rPr>
        <w:t>,</w:t>
      </w:r>
      <w:r w:rsidRPr="00DD46A4">
        <w:rPr>
          <w:rFonts w:asciiTheme="minorHAnsi" w:hAnsiTheme="minorHAnsi"/>
          <w:bCs/>
          <w:iCs/>
          <w:sz w:val="22"/>
          <w:szCs w:val="22"/>
        </w:rPr>
        <w:t xml:space="preserve"> and more hours and higher intensity of sunshine during summer</w:t>
      </w:r>
      <w:r>
        <w:rPr>
          <w:rFonts w:asciiTheme="minorHAnsi" w:hAnsiTheme="minorHAnsi"/>
          <w:bCs/>
          <w:iCs/>
          <w:sz w:val="22"/>
          <w:szCs w:val="22"/>
        </w:rPr>
        <w:t>, likely drive this trend</w:t>
      </w:r>
      <w:r w:rsidRPr="00DD46A4">
        <w:rPr>
          <w:rFonts w:asciiTheme="minorHAnsi" w:hAnsiTheme="minorHAnsi"/>
          <w:bCs/>
          <w:iCs/>
          <w:sz w:val="22"/>
          <w:szCs w:val="22"/>
        </w:rPr>
        <w:t xml:space="preserve">. </w:t>
      </w:r>
      <w:r>
        <w:rPr>
          <w:rFonts w:asciiTheme="minorHAnsi" w:hAnsiTheme="minorHAnsi"/>
          <w:bCs/>
          <w:iCs/>
          <w:sz w:val="22"/>
          <w:szCs w:val="22"/>
        </w:rPr>
        <w:t>GPP r</w:t>
      </w:r>
      <w:r w:rsidRPr="00DD46A4">
        <w:rPr>
          <w:rFonts w:asciiTheme="minorHAnsi" w:hAnsiTheme="minorHAnsi"/>
          <w:bCs/>
          <w:iCs/>
          <w:sz w:val="22"/>
          <w:szCs w:val="22"/>
        </w:rPr>
        <w:t xml:space="preserve">ates </w:t>
      </w:r>
      <w:r>
        <w:rPr>
          <w:rFonts w:asciiTheme="minorHAnsi" w:hAnsiTheme="minorHAnsi"/>
          <w:bCs/>
          <w:iCs/>
          <w:sz w:val="22"/>
          <w:szCs w:val="22"/>
        </w:rPr>
        <w:t xml:space="preserve">can also </w:t>
      </w:r>
      <w:r w:rsidRPr="00DD46A4">
        <w:rPr>
          <w:rFonts w:asciiTheme="minorHAnsi" w:hAnsiTheme="minorHAnsi"/>
          <w:bCs/>
          <w:iCs/>
          <w:sz w:val="22"/>
          <w:szCs w:val="22"/>
        </w:rPr>
        <w:t xml:space="preserve">increase during summer </w:t>
      </w:r>
      <w:r>
        <w:rPr>
          <w:rFonts w:asciiTheme="minorHAnsi" w:hAnsiTheme="minorHAnsi"/>
          <w:bCs/>
          <w:iCs/>
          <w:sz w:val="22"/>
          <w:szCs w:val="22"/>
        </w:rPr>
        <w:t xml:space="preserve">after the solstice </w:t>
      </w:r>
      <w:r w:rsidRPr="00DD46A4">
        <w:rPr>
          <w:rFonts w:asciiTheme="minorHAnsi" w:hAnsiTheme="minorHAnsi"/>
          <w:bCs/>
          <w:iCs/>
          <w:sz w:val="22"/>
          <w:szCs w:val="22"/>
        </w:rPr>
        <w:t>due to increasing plant biomass. Despite the constrained range of median values, there were many days at each site with higher rates of GPP and ER (</w:t>
      </w:r>
      <w:r>
        <w:rPr>
          <w:rFonts w:asciiTheme="minorHAnsi" w:hAnsiTheme="minorHAnsi"/>
          <w:bCs/>
          <w:iCs/>
          <w:sz w:val="22"/>
          <w:szCs w:val="22"/>
        </w:rPr>
        <w:t xml:space="preserve">from </w:t>
      </w:r>
      <w:r w:rsidRPr="00DD46A4">
        <w:rPr>
          <w:rFonts w:asciiTheme="minorHAnsi" w:hAnsiTheme="minorHAnsi"/>
          <w:bCs/>
          <w:iCs/>
          <w:sz w:val="22"/>
          <w:szCs w:val="22"/>
        </w:rPr>
        <w:t>10</w:t>
      </w:r>
      <w:r>
        <w:rPr>
          <w:rFonts w:asciiTheme="minorHAnsi" w:hAnsiTheme="minorHAnsi"/>
          <w:bCs/>
          <w:iCs/>
          <w:sz w:val="22"/>
          <w:szCs w:val="22"/>
        </w:rPr>
        <w:t xml:space="preserve"> to 30 </w:t>
      </w:r>
      <w:r w:rsidRPr="00DD46A4">
        <w:rPr>
          <w:rFonts w:asciiTheme="minorHAnsi" w:hAnsiTheme="minorHAnsi"/>
          <w:bCs/>
          <w:iCs/>
          <w:sz w:val="22"/>
          <w:szCs w:val="22"/>
        </w:rPr>
        <w:t>g O</w:t>
      </w:r>
      <w:r w:rsidRPr="00A44D74">
        <w:rPr>
          <w:rFonts w:asciiTheme="minorHAnsi" w:hAnsiTheme="minorHAnsi"/>
          <w:bCs/>
          <w:iCs/>
          <w:sz w:val="22"/>
          <w:szCs w:val="22"/>
          <w:vertAlign w:val="subscript"/>
        </w:rPr>
        <w:t>2</w:t>
      </w:r>
      <w:r>
        <w:rPr>
          <w:rFonts w:asciiTheme="minorHAnsi" w:hAnsiTheme="minorHAnsi"/>
          <w:bCs/>
          <w:iCs/>
          <w:sz w:val="22"/>
          <w:szCs w:val="22"/>
        </w:rPr>
        <w:t>/m</w:t>
      </w:r>
      <w:r w:rsidRPr="00A44D74">
        <w:rPr>
          <w:rFonts w:asciiTheme="minorHAnsi" w:hAnsiTheme="minorHAnsi"/>
          <w:bCs/>
          <w:iCs/>
          <w:sz w:val="22"/>
          <w:szCs w:val="22"/>
          <w:vertAlign w:val="superscript"/>
        </w:rPr>
        <w:t>2</w:t>
      </w:r>
      <w:r w:rsidRPr="00DD46A4">
        <w:rPr>
          <w:rFonts w:asciiTheme="minorHAnsi" w:hAnsiTheme="minorHAnsi"/>
          <w:bCs/>
          <w:iCs/>
          <w:sz w:val="22"/>
          <w:szCs w:val="22"/>
        </w:rPr>
        <w:t xml:space="preserve">/day), indicating that elevated rates were possible when conditions were conducive. </w:t>
      </w:r>
      <w:r>
        <w:rPr>
          <w:rFonts w:asciiTheme="minorHAnsi" w:hAnsiTheme="minorHAnsi"/>
          <w:bCs/>
          <w:iCs/>
          <w:sz w:val="22"/>
          <w:szCs w:val="22"/>
        </w:rPr>
        <w:t xml:space="preserve">Peaks were particularly noticeable </w:t>
      </w:r>
      <w:r w:rsidRPr="00DD46A4">
        <w:rPr>
          <w:rFonts w:asciiTheme="minorHAnsi" w:hAnsiTheme="minorHAnsi"/>
          <w:bCs/>
          <w:iCs/>
          <w:sz w:val="22"/>
          <w:szCs w:val="22"/>
        </w:rPr>
        <w:t xml:space="preserve">in </w:t>
      </w:r>
      <w:r>
        <w:rPr>
          <w:rFonts w:asciiTheme="minorHAnsi" w:hAnsiTheme="minorHAnsi"/>
          <w:bCs/>
          <w:iCs/>
          <w:sz w:val="22"/>
          <w:szCs w:val="22"/>
        </w:rPr>
        <w:t xml:space="preserve">early </w:t>
      </w:r>
      <w:r w:rsidRPr="00DD46A4">
        <w:rPr>
          <w:rFonts w:asciiTheme="minorHAnsi" w:hAnsiTheme="minorHAnsi"/>
          <w:bCs/>
          <w:iCs/>
          <w:sz w:val="22"/>
          <w:szCs w:val="22"/>
        </w:rPr>
        <w:t xml:space="preserve">summer in zone </w:t>
      </w:r>
      <w:r>
        <w:rPr>
          <w:rFonts w:asciiTheme="minorHAnsi" w:hAnsiTheme="minorHAnsi"/>
          <w:bCs/>
          <w:iCs/>
          <w:sz w:val="22"/>
          <w:szCs w:val="22"/>
        </w:rPr>
        <w:t xml:space="preserve">1, 2 and </w:t>
      </w:r>
      <w:r w:rsidRPr="00DD46A4">
        <w:rPr>
          <w:rFonts w:asciiTheme="minorHAnsi" w:hAnsiTheme="minorHAnsi"/>
          <w:bCs/>
          <w:iCs/>
          <w:sz w:val="22"/>
          <w:szCs w:val="22"/>
        </w:rPr>
        <w:t>4 for both GPP and ER</w:t>
      </w:r>
      <w:r>
        <w:rPr>
          <w:rFonts w:asciiTheme="minorHAnsi" w:hAnsiTheme="minorHAnsi"/>
          <w:bCs/>
          <w:iCs/>
          <w:sz w:val="22"/>
          <w:szCs w:val="22"/>
        </w:rPr>
        <w:t>, coinciding with the drawdown period at the end of watering action 3. Zones 1 and 2, and Colligen Creek, showed additional pulses in ER in autumn coinciding with the unregulated flow pulse</w:t>
      </w:r>
      <w:r w:rsidRPr="00DD46A4">
        <w:rPr>
          <w:rFonts w:asciiTheme="minorHAnsi" w:hAnsiTheme="minorHAnsi"/>
          <w:bCs/>
          <w:iCs/>
          <w:sz w:val="22"/>
          <w:szCs w:val="22"/>
        </w:rPr>
        <w:t xml:space="preserve"> (Figure </w:t>
      </w:r>
      <w:r>
        <w:rPr>
          <w:rFonts w:asciiTheme="minorHAnsi" w:hAnsiTheme="minorHAnsi"/>
          <w:bCs/>
          <w:iCs/>
          <w:sz w:val="22"/>
          <w:szCs w:val="22"/>
        </w:rPr>
        <w:t>6.2</w:t>
      </w:r>
      <w:r w:rsidRPr="00DD46A4">
        <w:rPr>
          <w:rFonts w:asciiTheme="minorHAnsi" w:hAnsiTheme="minorHAnsi"/>
          <w:bCs/>
          <w:iCs/>
          <w:sz w:val="22"/>
          <w:szCs w:val="22"/>
        </w:rPr>
        <w:t>).</w:t>
      </w:r>
    </w:p>
    <w:p w14:paraId="263FEF23" w14:textId="77777777" w:rsidR="005D0C92" w:rsidRPr="00DD46A4" w:rsidRDefault="005D0C92" w:rsidP="005D0C92">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 xml:space="preserve">For most of the time each system was strongly heterotrophic (GPP &lt; ER), even during early-summer GPP peaks (Figure 6.2). Zones 1, 2 and 4 also showed seasonal trends with GPP/ER increasing from winter into summer and then decreasing in autumn. The notable exception is the early summer peak in GPP at zone 1. This indicates that at most times, much more carbon is being consumed by respiration within the river than is being produced by photosynthesis, and that respiration rates do not decrease to the same extent as GPP during colder seasons. Much of the organic carbon being respired must therefore have been transported into the systems from upstream or from the surrounding catchment. Flows were also likely too low during the 2019-20 period to connect </w:t>
      </w:r>
      <w:r w:rsidRPr="009B207D">
        <w:rPr>
          <w:rFonts w:asciiTheme="minorHAnsi" w:hAnsiTheme="minorHAnsi"/>
          <w:bCs/>
          <w:iCs/>
          <w:sz w:val="22"/>
          <w:szCs w:val="22"/>
        </w:rPr>
        <w:t xml:space="preserve">anabranches </w:t>
      </w:r>
      <w:r>
        <w:rPr>
          <w:rFonts w:asciiTheme="minorHAnsi" w:hAnsiTheme="minorHAnsi"/>
          <w:bCs/>
          <w:iCs/>
          <w:sz w:val="22"/>
          <w:szCs w:val="22"/>
        </w:rPr>
        <w:t>or</w:t>
      </w:r>
      <w:r w:rsidRPr="009B207D">
        <w:rPr>
          <w:rFonts w:asciiTheme="minorHAnsi" w:hAnsiTheme="minorHAnsi"/>
          <w:bCs/>
          <w:iCs/>
          <w:sz w:val="22"/>
          <w:szCs w:val="22"/>
        </w:rPr>
        <w:t xml:space="preserve"> low-lying floodplains</w:t>
      </w:r>
      <w:r>
        <w:rPr>
          <w:rFonts w:asciiTheme="minorHAnsi" w:hAnsiTheme="minorHAnsi"/>
          <w:bCs/>
          <w:iCs/>
          <w:sz w:val="22"/>
          <w:szCs w:val="22"/>
        </w:rPr>
        <w:t>, i.e., shallow wetted habitat where primary productivity can often reach very high areal rates</w:t>
      </w:r>
      <w:r w:rsidRPr="009B207D">
        <w:rPr>
          <w:rFonts w:asciiTheme="minorHAnsi" w:hAnsiTheme="minorHAnsi"/>
          <w:bCs/>
          <w:iCs/>
          <w:sz w:val="22"/>
          <w:szCs w:val="22"/>
        </w:rPr>
        <w:t>.</w:t>
      </w:r>
    </w:p>
    <w:p w14:paraId="7DC5E76E" w14:textId="77777777" w:rsidR="005D0C92" w:rsidRPr="009D0F6C" w:rsidRDefault="005D0C92" w:rsidP="005D0C92">
      <w:pPr>
        <w:pStyle w:val="BodyText"/>
        <w:spacing w:line="259" w:lineRule="auto"/>
        <w:rPr>
          <w:rFonts w:asciiTheme="minorHAnsi" w:hAnsiTheme="minorHAnsi"/>
          <w:b/>
          <w:iCs/>
          <w:color w:val="31849B" w:themeColor="accent5" w:themeShade="BF"/>
        </w:rPr>
      </w:pPr>
      <w:r>
        <w:rPr>
          <w:rFonts w:asciiTheme="minorHAnsi" w:hAnsiTheme="minorHAnsi"/>
          <w:b/>
          <w:iCs/>
          <w:noProof/>
          <w:color w:val="31849B" w:themeColor="accent5" w:themeShade="BF"/>
          <w:lang w:val="en-AU" w:eastAsia="en-AU"/>
        </w:rPr>
        <w:drawing>
          <wp:inline distT="0" distB="0" distL="0" distR="0" wp14:anchorId="3F1836EB" wp14:editId="56816692">
            <wp:extent cx="5721835" cy="414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21835" cy="4140000"/>
                    </a:xfrm>
                    <a:prstGeom prst="rect">
                      <a:avLst/>
                    </a:prstGeom>
                    <a:noFill/>
                  </pic:spPr>
                </pic:pic>
              </a:graphicData>
            </a:graphic>
          </wp:inline>
        </w:drawing>
      </w:r>
    </w:p>
    <w:p w14:paraId="2C4C5F5F" w14:textId="77777777" w:rsidR="005D0C92" w:rsidRDefault="005D0C92" w:rsidP="0009301A">
      <w:pPr>
        <w:spacing w:after="120" w:line="240" w:lineRule="auto"/>
        <w:jc w:val="left"/>
        <w:rPr>
          <w:rFonts w:asciiTheme="minorHAnsi" w:hAnsiTheme="minorHAnsi"/>
          <w:b/>
          <w:i/>
          <w:color w:val="31849B" w:themeColor="accent5" w:themeShade="BF"/>
          <w:sz w:val="24"/>
          <w:szCs w:val="24"/>
          <w:lang w:val="en-US"/>
        </w:rPr>
      </w:pPr>
      <w:r w:rsidRPr="00711721">
        <w:rPr>
          <w:b/>
          <w:bCs/>
          <w:sz w:val="20"/>
          <w:szCs w:val="18"/>
        </w:rPr>
        <w:t xml:space="preserve">Figure </w:t>
      </w:r>
      <w:r>
        <w:rPr>
          <w:b/>
          <w:bCs/>
          <w:sz w:val="20"/>
          <w:szCs w:val="18"/>
        </w:rPr>
        <w:t>6</w:t>
      </w:r>
      <w:r w:rsidRPr="00711721">
        <w:rPr>
          <w:b/>
          <w:bCs/>
          <w:sz w:val="20"/>
          <w:szCs w:val="18"/>
        </w:rPr>
        <w:t>.</w:t>
      </w:r>
      <w:r>
        <w:rPr>
          <w:b/>
          <w:bCs/>
          <w:sz w:val="20"/>
          <w:szCs w:val="18"/>
        </w:rPr>
        <w:t>2</w:t>
      </w:r>
      <w:r w:rsidRPr="00711721">
        <w:rPr>
          <w:sz w:val="20"/>
          <w:szCs w:val="18"/>
        </w:rPr>
        <w:t xml:space="preserve"> Plots of discharge, oxygen production (GPP), consumption (ER), net production (NPP) and production: consumption ratio (GPP / ER) over all sites in five hydrological zones in 2019-20. Watering action 1 (15/5/19 - 9/8/19) and 3 (28/8/19 - 22/12/19) are indicated by shaded bars. Shaded bars are adjusted for travel time for zones 3 (4 days) and 4 (9 days).</w:t>
      </w:r>
      <w:r>
        <w:rPr>
          <w:rFonts w:asciiTheme="minorHAnsi" w:hAnsiTheme="minorHAnsi"/>
          <w:b/>
          <w:i/>
          <w:color w:val="31849B" w:themeColor="accent5" w:themeShade="BF"/>
          <w:sz w:val="24"/>
          <w:szCs w:val="24"/>
          <w:lang w:val="en-US"/>
        </w:rPr>
        <w:br w:type="page"/>
      </w:r>
    </w:p>
    <w:p w14:paraId="08F39575" w14:textId="77777777" w:rsidR="005D0C92" w:rsidRPr="00217DC6" w:rsidRDefault="005D0C92" w:rsidP="005D0C92">
      <w:pPr>
        <w:spacing w:after="120" w:line="259" w:lineRule="auto"/>
        <w:rPr>
          <w:rFonts w:asciiTheme="minorHAnsi" w:hAnsiTheme="minorHAnsi"/>
          <w:b/>
          <w:i/>
          <w:color w:val="31849B"/>
          <w:szCs w:val="22"/>
          <w:lang w:val="en-US"/>
        </w:rPr>
      </w:pPr>
      <w:r w:rsidRPr="00217DC6">
        <w:rPr>
          <w:rFonts w:asciiTheme="minorHAnsi" w:hAnsiTheme="minorHAnsi"/>
          <w:b/>
          <w:i/>
          <w:color w:val="31849B"/>
          <w:szCs w:val="22"/>
          <w:lang w:val="en-US"/>
        </w:rPr>
        <w:t>Response of stream metabolism to Commonwealth environmental watering actions</w:t>
      </w:r>
    </w:p>
    <w:p w14:paraId="03B96A19" w14:textId="77777777" w:rsidR="005D0C92" w:rsidRPr="00C1716C" w:rsidRDefault="005D0C92" w:rsidP="005D0C92">
      <w:pPr>
        <w:spacing w:after="120" w:line="259" w:lineRule="auto"/>
        <w:jc w:val="left"/>
      </w:pPr>
      <w:r>
        <w:t>The Colligen Creek, Old Morago Road site had too little useable data available for watering action 1 and 3 to provide meaningful analyses (Fig. 6.2). Consequently, it is not shown in the following section.</w:t>
      </w:r>
    </w:p>
    <w:p w14:paraId="7B27E438" w14:textId="77777777" w:rsidR="005D0C92" w:rsidRDefault="005D0C92" w:rsidP="005D0C92">
      <w:pPr>
        <w:spacing w:after="120" w:line="259" w:lineRule="auto"/>
        <w:jc w:val="left"/>
      </w:pPr>
      <w:r w:rsidRPr="009F3527">
        <w:rPr>
          <w:b/>
          <w:bCs/>
        </w:rPr>
        <w:t>Environmental watering action 1 in winter 2019:</w:t>
      </w:r>
      <w:r>
        <w:t xml:space="preserve"> GPP rates mostly fell within a narrow range (0 to 3 </w:t>
      </w:r>
      <w:r w:rsidRPr="00457E4D">
        <w:rPr>
          <w:rFonts w:asciiTheme="minorHAnsi" w:hAnsiTheme="minorHAnsi"/>
          <w:bCs/>
          <w:iCs/>
          <w:szCs w:val="22"/>
        </w:rPr>
        <w:t>g O</w:t>
      </w:r>
      <w:r w:rsidRPr="00732FDA">
        <w:rPr>
          <w:rFonts w:asciiTheme="minorHAnsi" w:hAnsiTheme="minorHAnsi"/>
          <w:bCs/>
          <w:iCs/>
          <w:szCs w:val="22"/>
          <w:vertAlign w:val="subscript"/>
        </w:rPr>
        <w:t>2</w:t>
      </w:r>
      <w:r w:rsidRPr="00457E4D">
        <w:rPr>
          <w:rFonts w:asciiTheme="minorHAnsi" w:hAnsiTheme="minorHAnsi"/>
          <w:bCs/>
          <w:iCs/>
          <w:szCs w:val="22"/>
        </w:rPr>
        <w:t>/</w:t>
      </w:r>
      <w:r>
        <w:rPr>
          <w:rFonts w:asciiTheme="minorHAnsi" w:hAnsiTheme="minorHAnsi"/>
          <w:bCs/>
          <w:iCs/>
          <w:szCs w:val="22"/>
        </w:rPr>
        <w:t>m</w:t>
      </w:r>
      <w:r w:rsidRPr="00732FDA">
        <w:rPr>
          <w:rFonts w:asciiTheme="minorHAnsi" w:hAnsiTheme="minorHAnsi"/>
          <w:bCs/>
          <w:iCs/>
          <w:szCs w:val="22"/>
          <w:vertAlign w:val="superscript"/>
        </w:rPr>
        <w:t>2</w:t>
      </w:r>
      <w:r w:rsidRPr="00457E4D">
        <w:rPr>
          <w:rFonts w:asciiTheme="minorHAnsi" w:hAnsiTheme="minorHAnsi"/>
          <w:bCs/>
          <w:iCs/>
          <w:szCs w:val="22"/>
        </w:rPr>
        <w:t>/</w:t>
      </w:r>
      <w:r>
        <w:rPr>
          <w:rFonts w:asciiTheme="minorHAnsi" w:hAnsiTheme="minorHAnsi"/>
          <w:bCs/>
          <w:iCs/>
          <w:szCs w:val="22"/>
        </w:rPr>
        <w:t>d</w:t>
      </w:r>
      <w:r w:rsidRPr="00457E4D">
        <w:rPr>
          <w:rFonts w:asciiTheme="minorHAnsi" w:hAnsiTheme="minorHAnsi"/>
          <w:bCs/>
          <w:iCs/>
          <w:szCs w:val="22"/>
        </w:rPr>
        <w:t>ay</w:t>
      </w:r>
      <w:r>
        <w:rPr>
          <w:rFonts w:asciiTheme="minorHAnsi" w:hAnsiTheme="minorHAnsi"/>
          <w:bCs/>
          <w:iCs/>
          <w:szCs w:val="22"/>
        </w:rPr>
        <w:t xml:space="preserve">) across all zones during watering action 1. ER rates were more variable, with notably higher rates at zones 2 and 3 than those at zones 1 and 4. This contributed to zones 2 and 3 being more strongly heterotrophic during the watering action (Figure 6.3). Delivery of environmental water resulted in noticeably increased production and consumption of C at zones 1 and 4 (Figure 6.4). The effect of CEW was more difficult to predict at zone 3 due to deficient data, and at zone 2 due to a large number of zero-discharge days. </w:t>
      </w:r>
    </w:p>
    <w:p w14:paraId="446B3FD0" w14:textId="77777777" w:rsidR="005D0C92" w:rsidRDefault="005D0C92" w:rsidP="005D0C92">
      <w:pPr>
        <w:spacing w:after="120" w:line="259" w:lineRule="auto"/>
        <w:jc w:val="center"/>
      </w:pPr>
      <w:r>
        <w:rPr>
          <w:noProof/>
          <w:lang w:eastAsia="en-AU"/>
        </w:rPr>
        <w:drawing>
          <wp:inline distT="0" distB="0" distL="0" distR="0" wp14:anchorId="5170221C" wp14:editId="55D95F31">
            <wp:extent cx="4320000" cy="4011664"/>
            <wp:effectExtent l="0" t="0" r="4445" b="825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320000" cy="4011664"/>
                    </a:xfrm>
                    <a:prstGeom prst="rect">
                      <a:avLst/>
                    </a:prstGeom>
                    <a:noFill/>
                  </pic:spPr>
                </pic:pic>
              </a:graphicData>
            </a:graphic>
          </wp:inline>
        </w:drawing>
      </w:r>
    </w:p>
    <w:p w14:paraId="617BF7FC" w14:textId="77777777" w:rsidR="005D0C92" w:rsidRPr="00177AE1" w:rsidRDefault="005D0C92" w:rsidP="0009301A">
      <w:pPr>
        <w:spacing w:after="120" w:line="240" w:lineRule="auto"/>
        <w:rPr>
          <w:sz w:val="20"/>
          <w:szCs w:val="18"/>
        </w:rPr>
      </w:pPr>
      <w:r w:rsidRPr="00177AE1">
        <w:rPr>
          <w:b/>
          <w:bCs/>
          <w:sz w:val="20"/>
          <w:szCs w:val="18"/>
        </w:rPr>
        <w:t xml:space="preserve">Figure </w:t>
      </w:r>
      <w:r>
        <w:rPr>
          <w:b/>
          <w:bCs/>
          <w:sz w:val="20"/>
          <w:szCs w:val="18"/>
        </w:rPr>
        <w:t>6</w:t>
      </w:r>
      <w:r w:rsidRPr="00177AE1">
        <w:rPr>
          <w:b/>
          <w:bCs/>
          <w:sz w:val="20"/>
          <w:szCs w:val="18"/>
        </w:rPr>
        <w:t>.</w:t>
      </w:r>
      <w:r>
        <w:rPr>
          <w:b/>
          <w:bCs/>
          <w:sz w:val="20"/>
          <w:szCs w:val="18"/>
        </w:rPr>
        <w:t>3</w:t>
      </w:r>
      <w:r w:rsidRPr="00177AE1">
        <w:rPr>
          <w:sz w:val="20"/>
          <w:szCs w:val="18"/>
        </w:rPr>
        <w:t xml:space="preserve"> Watering action 1, winter 2019. Variation in daily rates for organic carbon production (GPP), consumption (ER), net production (NEP) and production: consumption Ratio (GGP:ER) are shown.</w:t>
      </w:r>
    </w:p>
    <w:p w14:paraId="6BE56E30" w14:textId="77777777" w:rsidR="005D0C92" w:rsidRDefault="005D0C92" w:rsidP="005D0C92">
      <w:pPr>
        <w:spacing w:after="0" w:line="240" w:lineRule="auto"/>
        <w:jc w:val="center"/>
      </w:pPr>
      <w:r>
        <w:rPr>
          <w:noProof/>
          <w:lang w:eastAsia="en-AU"/>
        </w:rPr>
        <w:drawing>
          <wp:inline distT="0" distB="0" distL="0" distR="0" wp14:anchorId="0F25BE89" wp14:editId="360B382E">
            <wp:extent cx="5760000" cy="3781869"/>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60000" cy="3781869"/>
                    </a:xfrm>
                    <a:prstGeom prst="rect">
                      <a:avLst/>
                    </a:prstGeom>
                    <a:noFill/>
                  </pic:spPr>
                </pic:pic>
              </a:graphicData>
            </a:graphic>
          </wp:inline>
        </w:drawing>
      </w:r>
    </w:p>
    <w:p w14:paraId="5BC11A00" w14:textId="77777777" w:rsidR="005D0C92" w:rsidRPr="00961C7F" w:rsidRDefault="005D0C92" w:rsidP="0009301A">
      <w:pPr>
        <w:spacing w:after="120" w:line="240" w:lineRule="auto"/>
        <w:jc w:val="left"/>
        <w:rPr>
          <w:sz w:val="20"/>
          <w:szCs w:val="18"/>
        </w:rPr>
      </w:pPr>
      <w:r w:rsidRPr="00961C7F">
        <w:rPr>
          <w:b/>
          <w:bCs/>
          <w:sz w:val="20"/>
          <w:szCs w:val="18"/>
        </w:rPr>
        <w:t>Figure 6.4</w:t>
      </w:r>
      <w:r w:rsidRPr="00961C7F">
        <w:rPr>
          <w:sz w:val="20"/>
          <w:szCs w:val="18"/>
        </w:rPr>
        <w:t xml:space="preserve"> Plots of discharge (ML/day) and carbon production (GPP, kg C/day) and consumption (ER, kg C/day) during watering action 1 in winter 2019, showing the component attributed to Commonwealth environmental water. Duration of watering action 1 is shown by grey shaded area. Shaded bars are adjusted for travel time for zones 3 (4 days) and 4 (9 days).</w:t>
      </w:r>
    </w:p>
    <w:p w14:paraId="1A0F67DD" w14:textId="77777777" w:rsidR="005D0C92" w:rsidRDefault="005D0C92" w:rsidP="005D0C92">
      <w:pPr>
        <w:spacing w:after="120" w:line="259" w:lineRule="auto"/>
      </w:pPr>
    </w:p>
    <w:p w14:paraId="5C105868" w14:textId="77777777" w:rsidR="005D0C92" w:rsidRDefault="005D0C92" w:rsidP="005D0C92">
      <w:pPr>
        <w:spacing w:after="120" w:line="259" w:lineRule="auto"/>
      </w:pPr>
    </w:p>
    <w:p w14:paraId="7A1C86CA" w14:textId="77777777" w:rsidR="005D0C92" w:rsidRDefault="005D0C92" w:rsidP="005D0C92">
      <w:pPr>
        <w:spacing w:after="120" w:line="259" w:lineRule="auto"/>
        <w:jc w:val="left"/>
      </w:pPr>
      <w:r w:rsidRPr="009F3527">
        <w:rPr>
          <w:b/>
          <w:bCs/>
        </w:rPr>
        <w:t xml:space="preserve">Environmental watering action </w:t>
      </w:r>
      <w:r>
        <w:rPr>
          <w:b/>
          <w:bCs/>
        </w:rPr>
        <w:t>3</w:t>
      </w:r>
      <w:r w:rsidRPr="009F3527">
        <w:rPr>
          <w:b/>
          <w:bCs/>
        </w:rPr>
        <w:t xml:space="preserve"> in 2019:</w:t>
      </w:r>
      <w:r>
        <w:t xml:space="preserve"> Median GPP rates were relatively consistent across sites during watering action 3, but a number of higher-productivity days (&gt; 5 g O</w:t>
      </w:r>
      <w:r w:rsidRPr="004F35E1">
        <w:rPr>
          <w:vertAlign w:val="subscript"/>
        </w:rPr>
        <w:t>2</w:t>
      </w:r>
      <w:r>
        <w:t>/m</w:t>
      </w:r>
      <w:r w:rsidRPr="004F35E1">
        <w:rPr>
          <w:vertAlign w:val="superscript"/>
        </w:rPr>
        <w:t>2</w:t>
      </w:r>
      <w:r>
        <w:t xml:space="preserve">/day) also occurred at zones 1, 2 and 4. Median ER rates were slightly higher at zone 2, but zones 1 and 4 also had a number of high-ER days. Sites were still largely heterotrophic, although some net autotrophic days occurred particularly in zone 1 (Figure 6.5). </w:t>
      </w:r>
      <w:r w:rsidRPr="000F46FB">
        <w:t>There was a</w:t>
      </w:r>
      <w:r>
        <w:t xml:space="preserve">n </w:t>
      </w:r>
      <w:r w:rsidRPr="000F46FB">
        <w:t xml:space="preserve">increase in overall carbon production </w:t>
      </w:r>
      <w:r>
        <w:t>and consumption</w:t>
      </w:r>
      <w:r w:rsidRPr="000F46FB">
        <w:t xml:space="preserve"> </w:t>
      </w:r>
      <w:r>
        <w:t>across all zones</w:t>
      </w:r>
      <w:r w:rsidRPr="000F46FB">
        <w:t xml:space="preserve"> in response to the </w:t>
      </w:r>
      <w:r>
        <w:t>CEW, and rates largely reflected the seasonal progression from spring into summer</w:t>
      </w:r>
      <w:r w:rsidRPr="000F46FB">
        <w:t xml:space="preserve"> (Figure </w:t>
      </w:r>
      <w:r>
        <w:t>6.6</w:t>
      </w:r>
      <w:r w:rsidRPr="000F46FB">
        <w:t>)</w:t>
      </w:r>
      <w:r>
        <w:t>.</w:t>
      </w:r>
    </w:p>
    <w:p w14:paraId="336BDAA3" w14:textId="77777777" w:rsidR="005D0C92" w:rsidRDefault="005D0C92" w:rsidP="005D0C92">
      <w:pPr>
        <w:spacing w:after="0" w:line="240" w:lineRule="auto"/>
        <w:jc w:val="center"/>
      </w:pPr>
      <w:r>
        <w:rPr>
          <w:noProof/>
          <w:lang w:eastAsia="en-AU"/>
        </w:rPr>
        <w:drawing>
          <wp:inline distT="0" distB="0" distL="0" distR="0" wp14:anchorId="67770F34" wp14:editId="141A7DBE">
            <wp:extent cx="4225598" cy="3924000"/>
            <wp:effectExtent l="0" t="0" r="3810" b="635"/>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225598" cy="3924000"/>
                    </a:xfrm>
                    <a:prstGeom prst="rect">
                      <a:avLst/>
                    </a:prstGeom>
                    <a:noFill/>
                  </pic:spPr>
                </pic:pic>
              </a:graphicData>
            </a:graphic>
          </wp:inline>
        </w:drawing>
      </w:r>
    </w:p>
    <w:p w14:paraId="4BAF5E61" w14:textId="77777777" w:rsidR="005D0C92" w:rsidRPr="0009301A" w:rsidRDefault="005D0C92" w:rsidP="0009301A">
      <w:pPr>
        <w:spacing w:after="120" w:line="240" w:lineRule="auto"/>
        <w:rPr>
          <w:sz w:val="20"/>
        </w:rPr>
      </w:pPr>
      <w:r w:rsidRPr="0009301A">
        <w:rPr>
          <w:b/>
          <w:bCs/>
          <w:sz w:val="20"/>
        </w:rPr>
        <w:t>Figure 6.5</w:t>
      </w:r>
      <w:r w:rsidRPr="0009301A">
        <w:rPr>
          <w:sz w:val="20"/>
        </w:rPr>
        <w:t xml:space="preserve"> Watering action 3, 2019. Daily rates for organic carbon production (GPP), consumption (ER), net production (NEP) and production: consumption Ratio (GGP:ER) are shown.</w:t>
      </w:r>
    </w:p>
    <w:p w14:paraId="21C48DCD" w14:textId="77777777" w:rsidR="005D0C92" w:rsidRDefault="005D0C92" w:rsidP="005D0C92">
      <w:pPr>
        <w:spacing w:after="0" w:line="240" w:lineRule="auto"/>
        <w:jc w:val="center"/>
      </w:pPr>
      <w:r>
        <w:rPr>
          <w:noProof/>
          <w:lang w:eastAsia="en-AU"/>
        </w:rPr>
        <w:drawing>
          <wp:inline distT="0" distB="0" distL="0" distR="0" wp14:anchorId="5B39D14B" wp14:editId="541F207B">
            <wp:extent cx="5688246" cy="37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688246" cy="3744000"/>
                    </a:xfrm>
                    <a:prstGeom prst="rect">
                      <a:avLst/>
                    </a:prstGeom>
                    <a:noFill/>
                  </pic:spPr>
                </pic:pic>
              </a:graphicData>
            </a:graphic>
          </wp:inline>
        </w:drawing>
      </w:r>
    </w:p>
    <w:p w14:paraId="0C80ADCB" w14:textId="77777777" w:rsidR="005D0C92" w:rsidRPr="00DA53B6" w:rsidRDefault="005D0C92" w:rsidP="0009301A">
      <w:pPr>
        <w:spacing w:after="120" w:line="240" w:lineRule="auto"/>
        <w:jc w:val="left"/>
        <w:rPr>
          <w:sz w:val="20"/>
          <w:szCs w:val="18"/>
        </w:rPr>
      </w:pPr>
      <w:r w:rsidRPr="00DA53B6">
        <w:rPr>
          <w:b/>
          <w:bCs/>
          <w:sz w:val="20"/>
          <w:szCs w:val="18"/>
        </w:rPr>
        <w:t>Figure 6.6</w:t>
      </w:r>
      <w:r w:rsidRPr="00DA53B6">
        <w:rPr>
          <w:sz w:val="20"/>
          <w:szCs w:val="18"/>
        </w:rPr>
        <w:t xml:space="preserve"> Plots of discharge (ML/day) and carbon production (GPP, kg C/day) and consumption (ER, kg C/day) during watering action 3 in 2019, showing the component attributed to Commonwealth environmental water. Duration of watering action 3 is shown by grey shaded area. Shaded bars are adjusted for travel time for zones 3 (4 days) and 4 (9 days).</w:t>
      </w:r>
    </w:p>
    <w:p w14:paraId="3F9800B0" w14:textId="77777777" w:rsidR="005D0C92" w:rsidRPr="006D49D7" w:rsidRDefault="005D0C92" w:rsidP="005D0C92">
      <w:pPr>
        <w:spacing w:after="120" w:line="259" w:lineRule="auto"/>
        <w:rPr>
          <w:rFonts w:asciiTheme="minorHAnsi" w:hAnsiTheme="minorHAnsi"/>
          <w:b/>
          <w:i/>
          <w:color w:val="31849B"/>
          <w:szCs w:val="22"/>
          <w:lang w:val="en-US"/>
        </w:rPr>
      </w:pPr>
      <w:r w:rsidRPr="006D49D7">
        <w:rPr>
          <w:rFonts w:asciiTheme="minorHAnsi" w:hAnsiTheme="minorHAnsi"/>
          <w:b/>
          <w:i/>
          <w:color w:val="31849B"/>
          <w:szCs w:val="22"/>
          <w:lang w:val="en-US"/>
        </w:rPr>
        <w:t>Estimated contribution of Commonwealth environmental water to carbon production across all watering actions</w:t>
      </w:r>
    </w:p>
    <w:p w14:paraId="455F45C4" w14:textId="77777777" w:rsidR="005D0C92" w:rsidRDefault="005D0C92" w:rsidP="005D0C92">
      <w:pPr>
        <w:spacing w:after="120" w:line="259" w:lineRule="auto"/>
        <w:jc w:val="left"/>
      </w:pPr>
      <w:r w:rsidRPr="00583E1F">
        <w:t>The daily estimates of CEW/non-CEW derived production were averaged across the number of days</w:t>
      </w:r>
      <w:r>
        <w:t xml:space="preserve"> </w:t>
      </w:r>
      <w:r w:rsidRPr="00583E1F">
        <w:t xml:space="preserve">for each watering action to determine the average daily additional production </w:t>
      </w:r>
      <w:r>
        <w:t xml:space="preserve">and consumption </w:t>
      </w:r>
      <w:r w:rsidRPr="00583E1F">
        <w:t>for each watering</w:t>
      </w:r>
      <w:r>
        <w:t xml:space="preserve"> </w:t>
      </w:r>
      <w:r w:rsidRPr="00583E1F">
        <w:t>action</w:t>
      </w:r>
      <w:r>
        <w:t>,</w:t>
      </w:r>
      <w:r w:rsidRPr="00583E1F">
        <w:t xml:space="preserve"> and the total additional carbon production </w:t>
      </w:r>
      <w:r>
        <w:t xml:space="preserve">and consumption </w:t>
      </w:r>
      <w:r w:rsidRPr="00583E1F">
        <w:t>over each watering action.</w:t>
      </w:r>
    </w:p>
    <w:p w14:paraId="73044445" w14:textId="77777777" w:rsidR="005D0C92" w:rsidRDefault="005D0C92" w:rsidP="005D0C92">
      <w:pPr>
        <w:spacing w:after="120" w:line="259" w:lineRule="auto"/>
        <w:jc w:val="left"/>
      </w:pPr>
      <w:r>
        <w:t>Both watering actions resulted in increased production (Figure 6.7) and consumption of carbon (Figure 6.8). Zone 2 was unable to be assessed in watering action 1 due to zero discharge. Overall C production and consumption during watering action 3 was higher than in watering action 1 due to (i) the longer period of the action (116 vs. 86 days) and (ii) higher overall rates of GPP (Figure 6.2) and ER. The exception may have been ER in zone 3, but as above these estimates are limited by low data availability at this site during watering action 1. The general trend largely reflects both the pulsed events that occurred in early summer and the generally increasing trend in GPP and ER rates from spring to summer. However, during watering action 1 the proportional contribution of CEW to total production was greater than in watering action 3. This parallels the greater proportional contribution of CEW to total discharge during winter low-flow periods.</w:t>
      </w:r>
    </w:p>
    <w:p w14:paraId="05BC03A1" w14:textId="77777777" w:rsidR="005D0C92" w:rsidRDefault="005D0C92" w:rsidP="005D0C92">
      <w:pPr>
        <w:spacing w:after="120" w:line="259" w:lineRule="auto"/>
        <w:jc w:val="center"/>
      </w:pPr>
      <w:r>
        <w:rPr>
          <w:noProof/>
          <w:lang w:eastAsia="en-AU"/>
        </w:rPr>
        <w:drawing>
          <wp:inline distT="0" distB="0" distL="0" distR="0" wp14:anchorId="492E00A6" wp14:editId="04DBC4B6">
            <wp:extent cx="5322570" cy="395033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322570" cy="3950335"/>
                    </a:xfrm>
                    <a:prstGeom prst="rect">
                      <a:avLst/>
                    </a:prstGeom>
                    <a:noFill/>
                  </pic:spPr>
                </pic:pic>
              </a:graphicData>
            </a:graphic>
          </wp:inline>
        </w:drawing>
      </w:r>
    </w:p>
    <w:p w14:paraId="18E3F502" w14:textId="77777777" w:rsidR="005D0C92" w:rsidRPr="00CC2C05" w:rsidRDefault="005D0C92" w:rsidP="0009301A">
      <w:pPr>
        <w:spacing w:after="120" w:line="240" w:lineRule="auto"/>
        <w:jc w:val="left"/>
        <w:rPr>
          <w:sz w:val="20"/>
          <w:szCs w:val="18"/>
        </w:rPr>
      </w:pPr>
      <w:r w:rsidRPr="00CC2C05">
        <w:rPr>
          <w:b/>
          <w:bCs/>
          <w:sz w:val="20"/>
          <w:szCs w:val="18"/>
        </w:rPr>
        <w:t xml:space="preserve">Figure </w:t>
      </w:r>
      <w:r>
        <w:rPr>
          <w:b/>
          <w:bCs/>
          <w:sz w:val="20"/>
          <w:szCs w:val="18"/>
        </w:rPr>
        <w:t>6</w:t>
      </w:r>
      <w:r w:rsidRPr="00CC2C05">
        <w:rPr>
          <w:b/>
          <w:bCs/>
          <w:sz w:val="20"/>
          <w:szCs w:val="18"/>
        </w:rPr>
        <w:t>.</w:t>
      </w:r>
      <w:r>
        <w:rPr>
          <w:b/>
          <w:bCs/>
          <w:sz w:val="20"/>
          <w:szCs w:val="18"/>
        </w:rPr>
        <w:t>7</w:t>
      </w:r>
      <w:r w:rsidRPr="00CC2C05">
        <w:rPr>
          <w:b/>
          <w:bCs/>
          <w:sz w:val="20"/>
          <w:szCs w:val="18"/>
        </w:rPr>
        <w:t xml:space="preserve"> </w:t>
      </w:r>
      <w:r w:rsidRPr="00CC2C05">
        <w:rPr>
          <w:sz w:val="20"/>
          <w:szCs w:val="18"/>
        </w:rPr>
        <w:t>Top: The average daily additional production of carbon (kg C/day) during the two environmental watering actions. Bottom: The total additional production of carbon (kg) during the two watering actions. Light green is the production attributed to operational water (non CEW), and dark green indicates the production attributed to Commonwealth environmental water.</w:t>
      </w:r>
    </w:p>
    <w:p w14:paraId="7C3B0612" w14:textId="77777777" w:rsidR="005D0C92" w:rsidRDefault="005D0C92" w:rsidP="005D0C92">
      <w:pPr>
        <w:spacing w:after="120" w:line="259" w:lineRule="auto"/>
        <w:jc w:val="center"/>
      </w:pPr>
      <w:r>
        <w:rPr>
          <w:noProof/>
          <w:lang w:eastAsia="en-AU"/>
        </w:rPr>
        <w:drawing>
          <wp:inline distT="0" distB="0" distL="0" distR="0" wp14:anchorId="7E163CE0" wp14:editId="362A5782">
            <wp:extent cx="5322570" cy="3956685"/>
            <wp:effectExtent l="0" t="0" r="0" b="571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322570" cy="3956685"/>
                    </a:xfrm>
                    <a:prstGeom prst="rect">
                      <a:avLst/>
                    </a:prstGeom>
                    <a:noFill/>
                  </pic:spPr>
                </pic:pic>
              </a:graphicData>
            </a:graphic>
          </wp:inline>
        </w:drawing>
      </w:r>
    </w:p>
    <w:p w14:paraId="7F64D127" w14:textId="77777777" w:rsidR="005D0C92" w:rsidRPr="00CC2C05" w:rsidRDefault="005D0C92" w:rsidP="0009301A">
      <w:pPr>
        <w:spacing w:after="120" w:line="240" w:lineRule="auto"/>
        <w:rPr>
          <w:sz w:val="20"/>
          <w:szCs w:val="18"/>
        </w:rPr>
      </w:pPr>
      <w:r w:rsidRPr="00CC2C05">
        <w:rPr>
          <w:b/>
          <w:bCs/>
          <w:sz w:val="20"/>
          <w:szCs w:val="18"/>
        </w:rPr>
        <w:t xml:space="preserve">Figure 6.8 </w:t>
      </w:r>
      <w:r w:rsidRPr="00CC2C05">
        <w:rPr>
          <w:sz w:val="20"/>
          <w:szCs w:val="18"/>
        </w:rPr>
        <w:t>Top: The average daily additional consumption of carbon (kg C/day) during the two environmental watering actions. Bottom: The total additional consumption of carbon (kg) during the two watering actions. Light orange is the production attributed to operational water (non CEW), and dark orange indicates the production attributed to Commonwealth environmental water.</w:t>
      </w:r>
    </w:p>
    <w:p w14:paraId="59B8C5AB" w14:textId="77777777" w:rsidR="005D0C92" w:rsidRDefault="005D0C92" w:rsidP="005D0C92">
      <w:pPr>
        <w:spacing w:after="120" w:line="259" w:lineRule="auto"/>
      </w:pPr>
    </w:p>
    <w:p w14:paraId="20841EBE" w14:textId="77777777" w:rsidR="005D0C92" w:rsidRPr="006D49D7" w:rsidRDefault="005D0C92" w:rsidP="005D0C92">
      <w:pPr>
        <w:spacing w:after="120" w:line="259" w:lineRule="auto"/>
        <w:jc w:val="left"/>
        <w:rPr>
          <w:b/>
          <w:color w:val="31849B"/>
          <w:sz w:val="28"/>
          <w:szCs w:val="28"/>
        </w:rPr>
      </w:pPr>
      <w:r>
        <w:rPr>
          <w:b/>
          <w:color w:val="31849B"/>
          <w:sz w:val="28"/>
          <w:szCs w:val="28"/>
        </w:rPr>
        <w:t>6</w:t>
      </w:r>
      <w:r w:rsidRPr="006D49D7">
        <w:rPr>
          <w:b/>
          <w:color w:val="31849B"/>
          <w:sz w:val="28"/>
          <w:szCs w:val="28"/>
        </w:rPr>
        <w:t>.6 Discussion</w:t>
      </w:r>
    </w:p>
    <w:p w14:paraId="079C2EE7" w14:textId="77777777" w:rsidR="005D0C92" w:rsidRPr="006D49D7" w:rsidRDefault="005D0C92" w:rsidP="005D0C92">
      <w:pPr>
        <w:spacing w:after="120" w:line="259" w:lineRule="auto"/>
        <w:rPr>
          <w:rFonts w:asciiTheme="minorHAnsi" w:hAnsiTheme="minorHAnsi"/>
          <w:b/>
          <w:i/>
          <w:color w:val="31849B"/>
          <w:szCs w:val="22"/>
          <w:lang w:val="en-US"/>
        </w:rPr>
      </w:pPr>
      <w:r w:rsidRPr="006D49D7">
        <w:rPr>
          <w:rFonts w:asciiTheme="minorHAnsi" w:hAnsiTheme="minorHAnsi"/>
          <w:b/>
          <w:i/>
          <w:color w:val="31849B"/>
          <w:szCs w:val="22"/>
          <w:lang w:val="en-US"/>
        </w:rPr>
        <w:t>What was the effect of Commonwealth environmental watering actions on rates of GPP, ER, and NPP?</w:t>
      </w:r>
    </w:p>
    <w:p w14:paraId="0DBFF929" w14:textId="349AA4A6" w:rsidR="005D0C92" w:rsidRDefault="005D0C92" w:rsidP="005D0C92">
      <w:pPr>
        <w:spacing w:after="120" w:line="259" w:lineRule="auto"/>
        <w:jc w:val="left"/>
        <w:rPr>
          <w:szCs w:val="22"/>
        </w:rPr>
      </w:pPr>
      <w:r>
        <w:rPr>
          <w:szCs w:val="22"/>
        </w:rPr>
        <w:t xml:space="preserve">In past reports </w:t>
      </w:r>
      <w:r>
        <w:rPr>
          <w:szCs w:val="22"/>
        </w:rPr>
        <w:fldChar w:fldCharType="begin">
          <w:fldData xml:space="preserve">PEVuZE5vdGU+PENpdGU+PEF1dGhvcj5XYXR0czwvQXV0aG9yPjxZZWFyPjIwMTc8L1llYXI+PFJl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</w:fldData>
        </w:fldChar>
      </w:r>
      <w:r>
        <w:rPr>
          <w:szCs w:val="22"/>
        </w:rPr>
        <w:instrText xml:space="preserve"> ADDIN EN.CITE </w:instrText>
      </w:r>
      <w:r>
        <w:rPr>
          <w:szCs w:val="22"/>
        </w:rPr>
        <w:fldChar w:fldCharType="begin">
          <w:fldData xml:space="preserve">PEVuZE5vdGU+PENpdGU+PEF1dGhvcj5XYXR0czwvQXV0aG9yPjxZZWFyPjIwMTc8L1llYXI+PFJl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</w:fldData>
        </w:fldChar>
      </w:r>
      <w:r>
        <w:rPr>
          <w:szCs w:val="22"/>
        </w:rPr>
        <w:instrText xml:space="preserve"> ADDIN EN.CITE.DATA </w:instrText>
      </w:r>
      <w:r>
        <w:rPr>
          <w:szCs w:val="22"/>
        </w:rPr>
      </w:r>
      <w:r>
        <w:rPr>
          <w:szCs w:val="22"/>
        </w:rPr>
        <w:fldChar w:fldCharType="end"/>
      </w:r>
      <w:r>
        <w:rPr>
          <w:szCs w:val="22"/>
        </w:rPr>
      </w:r>
      <w:r>
        <w:rPr>
          <w:szCs w:val="22"/>
        </w:rPr>
        <w:fldChar w:fldCharType="separate"/>
      </w:r>
      <w:r>
        <w:rPr>
          <w:noProof/>
          <w:szCs w:val="22"/>
        </w:rPr>
        <w:t>(Watts</w:t>
      </w:r>
      <w:r w:rsidRPr="005F4A64">
        <w:rPr>
          <w:i/>
          <w:noProof/>
          <w:szCs w:val="22"/>
        </w:rPr>
        <w:t xml:space="preserve"> et al.</w:t>
      </w:r>
      <w:r>
        <w:rPr>
          <w:noProof/>
          <w:szCs w:val="22"/>
        </w:rPr>
        <w:t>, 2017; Watts</w:t>
      </w:r>
      <w:r w:rsidRPr="005F4A64">
        <w:rPr>
          <w:i/>
          <w:noProof/>
          <w:szCs w:val="22"/>
        </w:rPr>
        <w:t xml:space="preserve"> et al.</w:t>
      </w:r>
      <w:r>
        <w:rPr>
          <w:noProof/>
          <w:szCs w:val="22"/>
        </w:rPr>
        <w:t>, 2018)</w:t>
      </w:r>
      <w:r>
        <w:rPr>
          <w:szCs w:val="22"/>
        </w:rPr>
        <w:fldChar w:fldCharType="end"/>
      </w:r>
      <w:r>
        <w:rPr>
          <w:szCs w:val="22"/>
        </w:rPr>
        <w:t xml:space="preserve"> it was noted that the immediate effect of a significant flow increase was a substantial decrease in the rates of both GPP and ER. This is simply due to a dilution effect by the large increase in volume of water. Except in conditions of major phytoplankton growth (e.g. an algal bloom), much of the metabolism in the Edward</w:t>
      </w:r>
      <w:r w:rsidR="0091645A">
        <w:rPr>
          <w:szCs w:val="22"/>
        </w:rPr>
        <w:t>/Kolety</w:t>
      </w:r>
      <w:r>
        <w:rPr>
          <w:szCs w:val="22"/>
        </w:rPr>
        <w:t xml:space="preserve">-Wakool system appears to be from biofilms and microbial communities growing on (and in the surface layers) of the sediment and also on hard substrates within the channel, such as logs and plant stems </w:t>
      </w:r>
      <w:r>
        <w:rPr>
          <w:szCs w:val="22"/>
        </w:rPr>
        <w:fldChar w:fldCharType="begin"/>
      </w:r>
      <w:r>
        <w:rPr>
          <w:szCs w:val="22"/>
        </w:rPr>
        <w:instrText xml:space="preserve"> ADDIN EN.CITE &lt;EndNote&gt;&lt;Cite&gt;&lt;Author&gt;Holland&lt;/Author&gt;&lt;Year&gt;2020&lt;/Year&gt;&lt;RecNum&gt;33007&lt;/RecNum&gt;&lt;DisplayText&gt;(Holland&lt;style face="italic"&gt; et al.&lt;/style&gt;, 2020)&lt;/DisplayText&gt;&lt;record&gt;&lt;rec-number&gt;33007&lt;/rec-number&gt;&lt;foreign-keys&gt;&lt;key app="EN" db-id="5rpwxxxrw9t2apesze8vvdsi50f950fr5vv5" timestamp="1591173958" guid="8e2c1785-cec9-42de-9150-bfdb398c014b"&gt;33007&lt;/key&gt;&lt;/foreign-keys&gt;&lt;ref-type name="Journal Article"&gt;17&lt;/ref-type&gt;&lt;contributors&gt;&lt;authors&gt;&lt;author&gt;Holland, A.&lt;/author&gt;&lt;author&gt;McInerney, P. J.&lt;/author&gt;&lt;author&gt;Shackleton, M. E.&lt;/author&gt;&lt;author&gt;Rees, G. N.&lt;/author&gt;&lt;author&gt;Bond, N. R.&lt;/author&gt;&lt;author&gt;Silvester, E.&lt;/author&gt;&lt;/authors&gt;&lt;/contributors&gt;&lt;titles&gt;&lt;title&gt;Dissolved organic matter and metabolic dynamics in dryland lowland rivers&lt;/title&gt;&lt;secondary-title&gt;Spectrochimica Acta - Part A: Molecular and Biomolecular Spectroscopy&lt;/secondary-title&gt;&lt;/titles&gt;&lt;periodical&gt;&lt;full-title&gt;Spectrochimica Acta - Part A: Molecular and Biomolecular Spectroscopy&lt;/full-title&gt;&lt;/periodical&gt;&lt;volume&gt;229&lt;/volume&gt;&lt;dates&gt;&lt;year&gt;2020&lt;/year&gt;&lt;/dates&gt;&lt;work-type&gt;Article&lt;/work-type&gt;&lt;urls&gt;&lt;related-urls&gt;&lt;url&gt;https://www.scopus.com/inward/record.uri?eid=2-s2.0-85076500830&amp;amp;doi=10.1016%2fj.saa.2019.117871&amp;amp;partnerID=40&amp;amp;md5=ee3197bc548c213faf540fde1ce969b8&lt;/url&gt;&lt;/related-urls&gt;&lt;/urls&gt;&lt;custom7&gt;117871&lt;/custom7&gt;&lt;electronic-resource-num&gt;10.1016/j.saa.2019.117871&lt;/electronic-resource-num&gt;&lt;remote-database-name&gt;Scopus&lt;/remote-database-name&gt;&lt;/record&gt;&lt;/Cite&gt;&lt;/EndNote&gt;</w:instrText>
      </w:r>
      <w:r>
        <w:rPr>
          <w:szCs w:val="22"/>
        </w:rPr>
        <w:fldChar w:fldCharType="separate"/>
      </w:r>
      <w:r>
        <w:rPr>
          <w:noProof/>
          <w:szCs w:val="22"/>
        </w:rPr>
        <w:t>(Holland</w:t>
      </w:r>
      <w:r w:rsidRPr="00FE54A6">
        <w:rPr>
          <w:i/>
          <w:noProof/>
          <w:szCs w:val="22"/>
        </w:rPr>
        <w:t xml:space="preserve"> et al.</w:t>
      </w:r>
      <w:r>
        <w:rPr>
          <w:noProof/>
          <w:szCs w:val="22"/>
        </w:rPr>
        <w:t>, 2020)</w:t>
      </w:r>
      <w:r>
        <w:rPr>
          <w:szCs w:val="22"/>
        </w:rPr>
        <w:fldChar w:fldCharType="end"/>
      </w:r>
      <w:r>
        <w:rPr>
          <w:szCs w:val="22"/>
        </w:rPr>
        <w:t xml:space="preserve">. As the water level rises, the rate at which each photosynthetic or respiring organism is working (amount of oxygen produced or consumed) may not change but the output (change in oxygen concentration) is spread over a larger amount of water. Hence, solely on a volumetric basis, it can appear that GPP and ER have been suppressed by increasing discharge (less oxygen change </w:t>
      </w:r>
      <w:r>
        <w:rPr>
          <w:i/>
          <w:iCs/>
          <w:szCs w:val="22"/>
        </w:rPr>
        <w:t>per litre of water</w:t>
      </w:r>
      <w:r>
        <w:rPr>
          <w:szCs w:val="22"/>
        </w:rPr>
        <w:t xml:space="preserve">). </w:t>
      </w:r>
    </w:p>
    <w:p w14:paraId="18C657F0" w14:textId="77777777" w:rsidR="005D0C92" w:rsidRDefault="005D0C92" w:rsidP="005D0C92">
      <w:pPr>
        <w:spacing w:after="120" w:line="259" w:lineRule="auto"/>
        <w:jc w:val="left"/>
        <w:rPr>
          <w:szCs w:val="22"/>
        </w:rPr>
      </w:pPr>
      <w:r>
        <w:rPr>
          <w:szCs w:val="22"/>
        </w:rPr>
        <w:t>In 2019-20, conversion of volumetric rates (mg O</w:t>
      </w:r>
      <w:r w:rsidRPr="00234C96">
        <w:rPr>
          <w:szCs w:val="22"/>
          <w:vertAlign w:val="subscript"/>
        </w:rPr>
        <w:t>2</w:t>
      </w:r>
      <w:r>
        <w:rPr>
          <w:szCs w:val="22"/>
        </w:rPr>
        <w:t>/L/day) to areal rates (g O</w:t>
      </w:r>
      <w:r w:rsidRPr="00234C96">
        <w:rPr>
          <w:szCs w:val="22"/>
          <w:vertAlign w:val="subscript"/>
        </w:rPr>
        <w:t>2</w:t>
      </w:r>
      <w:r>
        <w:rPr>
          <w:szCs w:val="22"/>
        </w:rPr>
        <w:t>/m</w:t>
      </w:r>
      <w:r w:rsidRPr="00234C96">
        <w:rPr>
          <w:szCs w:val="22"/>
          <w:vertAlign w:val="superscript"/>
        </w:rPr>
        <w:t>2</w:t>
      </w:r>
      <w:r>
        <w:rPr>
          <w:szCs w:val="22"/>
        </w:rPr>
        <w:t xml:space="preserve">/day) was introduced to account for this dilution effect. </w:t>
      </w:r>
      <w:r>
        <w:rPr>
          <w:rFonts w:asciiTheme="minorHAnsi" w:hAnsiTheme="minorHAnsi"/>
          <w:bCs/>
          <w:iCs/>
          <w:szCs w:val="22"/>
          <w:lang w:val="en-US"/>
        </w:rPr>
        <w:t>A</w:t>
      </w:r>
      <w:r w:rsidRPr="00E95610">
        <w:rPr>
          <w:rFonts w:asciiTheme="minorHAnsi" w:hAnsiTheme="minorHAnsi"/>
          <w:bCs/>
          <w:iCs/>
          <w:szCs w:val="22"/>
          <w:lang w:val="en-US"/>
        </w:rPr>
        <w:t>real rates</w:t>
      </w:r>
      <w:r>
        <w:rPr>
          <w:rFonts w:asciiTheme="minorHAnsi" w:hAnsiTheme="minorHAnsi"/>
          <w:bCs/>
          <w:iCs/>
          <w:szCs w:val="22"/>
          <w:lang w:val="en-US"/>
        </w:rPr>
        <w:t xml:space="preserve"> of GPP and ER, as well as the ratio between them, showed little change during Commonwealth environmental watering actions. Consequently, increases and decreases in flow likely had little effect on where production and consumption of carbon is occurring within the</w:t>
      </w:r>
      <w:r w:rsidRPr="00D920D5">
        <w:t xml:space="preserve"> </w:t>
      </w:r>
      <w:r>
        <w:t>Edward/Kolety-Wakool system</w:t>
      </w:r>
      <w:r>
        <w:rPr>
          <w:rFonts w:asciiTheme="minorHAnsi" w:hAnsiTheme="minorHAnsi"/>
          <w:bCs/>
          <w:iCs/>
          <w:szCs w:val="22"/>
          <w:lang w:val="en-US"/>
        </w:rPr>
        <w:t xml:space="preserve">. </w:t>
      </w:r>
      <w:r>
        <w:rPr>
          <w:szCs w:val="22"/>
        </w:rPr>
        <w:t xml:space="preserve">As with previous years, the strongest pattern in rates of GPP and ER was a seasonal trend. In particular, rates of GPP are higher and pulses appear more frequently during warmer summer months, indicating that temperature and light are major drivers of GPP rates within the </w:t>
      </w:r>
      <w:r>
        <w:t>Edward/Kolety-Wakool system</w:t>
      </w:r>
      <w:r>
        <w:rPr>
          <w:szCs w:val="22"/>
        </w:rPr>
        <w:t>.</w:t>
      </w:r>
    </w:p>
    <w:p w14:paraId="0C2854F4" w14:textId="77777777" w:rsidR="005D0C92" w:rsidRDefault="005D0C92" w:rsidP="005D0C92">
      <w:pPr>
        <w:spacing w:after="120" w:line="259" w:lineRule="auto"/>
        <w:jc w:val="left"/>
      </w:pPr>
      <w:r>
        <w:t>R</w:t>
      </w:r>
      <w:r w:rsidRPr="00A14E1A">
        <w:t>eturn flows from the Southern</w:t>
      </w:r>
      <w:r w:rsidRPr="00A14E1A">
        <w:rPr>
          <w:b/>
        </w:rPr>
        <w:t xml:space="preserve"> </w:t>
      </w:r>
      <w:r>
        <w:t>Connected F</w:t>
      </w:r>
      <w:r w:rsidRPr="00A14E1A">
        <w:t>low</w:t>
      </w:r>
      <w:r w:rsidRPr="00A14E1A">
        <w:rPr>
          <w:b/>
        </w:rPr>
        <w:t xml:space="preserve"> </w:t>
      </w:r>
      <w:r w:rsidRPr="004C0F90">
        <w:t>in the Murray River</w:t>
      </w:r>
      <w:r>
        <w:t xml:space="preserve"> influenced flows in the Edward/Kolety-Wakool system from 28 August to 9 September 2019, and 23 September to 1 October 2019. Return flows from Millewa Forest may have affected the water quality in the Edward/Kolety-Wakool system on these dates, and on later dates at sites further downstream. However, no substantial effect on stream metabolism was observed during these dates. Rates of GPP and ER in the </w:t>
      </w:r>
      <w:r w:rsidRPr="005431B0">
        <w:rPr>
          <w:rFonts w:asciiTheme="minorHAnsi" w:hAnsiTheme="minorHAnsi"/>
          <w:bCs/>
          <w:iCs/>
          <w:szCs w:val="22"/>
          <w:lang w:val="en-US"/>
        </w:rPr>
        <w:t>Edward/Kolety-Wakool</w:t>
      </w:r>
      <w:r>
        <w:rPr>
          <w:rFonts w:asciiTheme="minorHAnsi" w:hAnsiTheme="minorHAnsi"/>
          <w:bCs/>
          <w:iCs/>
          <w:szCs w:val="22"/>
          <w:lang w:val="en-US"/>
        </w:rPr>
        <w:t xml:space="preserve"> are likely to be relatively low by world standards, driven by low bioavailable phosphorus concentrations and low light penetration through the turbid water column </w:t>
      </w:r>
      <w:r>
        <w:rPr>
          <w:rFonts w:asciiTheme="minorHAnsi" w:hAnsiTheme="minorHAnsi"/>
          <w:bCs/>
          <w:iCs/>
          <w:szCs w:val="22"/>
          <w:lang w:val="en-US"/>
        </w:rPr>
        <w:fldChar w:fldCharType="begin"/>
      </w:r>
      <w:r>
        <w:rPr>
          <w:rFonts w:asciiTheme="minorHAnsi" w:hAnsiTheme="minorHAnsi"/>
          <w:bCs/>
          <w:iCs/>
          <w:szCs w:val="22"/>
          <w:lang w:val="en-US"/>
        </w:rPr>
        <w:instrText xml:space="preserve"> ADDIN EN.CITE &lt;EndNote&gt;&lt;Cite&gt;&lt;Author&gt;Watts&lt;/Author&gt;&lt;Year&gt;2019&lt;/Year&gt;&lt;RecNum&gt;33065&lt;/RecNum&gt;&lt;DisplayText&gt;(Watts&lt;style face="italic"&gt; et al.&lt;/style&gt;, 2019)&lt;/DisplayText&gt;&lt;record&gt;&lt;rec-number&gt;33065&lt;/rec-number&gt;&lt;foreign-keys&gt;&lt;key app="EN" db-id="5rpwxxxrw9t2apesze8vvdsi50f950fr5vv5" timestamp="1602389853"&gt;33065&lt;/key&gt;&lt;/foreign-keys&gt;&lt;ref-type name="Journal Article"&gt;17&lt;/ref-type&gt;&lt;contributors&gt;&lt;authors&gt;&lt;author&gt;Watts, Robyn J&lt;/author&gt;&lt;author&gt;McCasker, Nicole&lt;/author&gt;&lt;author&gt;Howitt, Julia A&lt;/author&gt;&lt;author&gt;Thiem, Jason&lt;/author&gt;&lt;author&gt;Grace, Mike&lt;/author&gt;&lt;author&gt;Kopf, Richard K&lt;/author&gt;&lt;author&gt;Healy, Sascha&lt;/author&gt;&lt;author&gt;Bond, Nick&lt;/author&gt;&lt;/authors&gt;&lt;/contributors&gt;&lt;titles&gt;&lt;title&gt;Commonwealth Environmental Water Office Long Term Intervention Monitoring Project: Edward–Wakool River system-selected area evaluation report, 2018–19&lt;/title&gt;&lt;secondary-title&gt;Report prepared for Commonwealth Environmental Water Office. Commonwealth of Australia, Albury, NSW Australia&lt;/secondary-title&gt;&lt;/titles&gt;&lt;periodical&gt;&lt;full-title&gt;Report prepared for Commonwealth Environmental Water Office. Commonwealth of Australia, Albury, NSW Australia&lt;/full-title&gt;&lt;/periodical&gt;&lt;dates&gt;&lt;year&gt;2019&lt;/year&gt;&lt;/dates&gt;&lt;urls&gt;&lt;/urls&gt;&lt;/record&gt;&lt;/Cite&gt;&lt;/EndNote&gt;</w:instrText>
      </w:r>
      <w:r>
        <w:rPr>
          <w:rFonts w:asciiTheme="minorHAnsi" w:hAnsiTheme="minorHAnsi"/>
          <w:bCs/>
          <w:iCs/>
          <w:szCs w:val="22"/>
          <w:lang w:val="en-US"/>
        </w:rPr>
        <w:fldChar w:fldCharType="separate"/>
      </w:r>
      <w:r>
        <w:rPr>
          <w:rFonts w:asciiTheme="minorHAnsi" w:hAnsiTheme="minorHAnsi"/>
          <w:bCs/>
          <w:iCs/>
          <w:noProof/>
          <w:szCs w:val="22"/>
          <w:lang w:val="en-US"/>
        </w:rPr>
        <w:t>(Watts</w:t>
      </w:r>
      <w:r w:rsidRPr="005F4A64">
        <w:rPr>
          <w:rFonts w:asciiTheme="minorHAnsi" w:hAnsiTheme="minorHAnsi"/>
          <w:bCs/>
          <w:i/>
          <w:iCs/>
          <w:noProof/>
          <w:szCs w:val="22"/>
          <w:lang w:val="en-US"/>
        </w:rPr>
        <w:t xml:space="preserve"> et al.</w:t>
      </w:r>
      <w:r>
        <w:rPr>
          <w:rFonts w:asciiTheme="minorHAnsi" w:hAnsiTheme="minorHAnsi"/>
          <w:bCs/>
          <w:iCs/>
          <w:noProof/>
          <w:szCs w:val="22"/>
          <w:lang w:val="en-US"/>
        </w:rPr>
        <w:t>, 2019)</w:t>
      </w:r>
      <w:r>
        <w:rPr>
          <w:rFonts w:asciiTheme="minorHAnsi" w:hAnsiTheme="minorHAnsi"/>
          <w:bCs/>
          <w:iCs/>
          <w:szCs w:val="22"/>
          <w:lang w:val="en-US"/>
        </w:rPr>
        <w:fldChar w:fldCharType="end"/>
      </w:r>
      <w:r>
        <w:rPr>
          <w:rFonts w:asciiTheme="minorHAnsi" w:hAnsiTheme="minorHAnsi"/>
          <w:bCs/>
          <w:iCs/>
          <w:szCs w:val="22"/>
          <w:lang w:val="en-US"/>
        </w:rPr>
        <w:t xml:space="preserve">. </w:t>
      </w:r>
      <w:r>
        <w:t>R</w:t>
      </w:r>
      <w:r w:rsidRPr="00A14E1A">
        <w:t>eturn flows from the Southern</w:t>
      </w:r>
      <w:r w:rsidRPr="00A14E1A">
        <w:rPr>
          <w:b/>
        </w:rPr>
        <w:t xml:space="preserve"> </w:t>
      </w:r>
      <w:r>
        <w:t>Connected F</w:t>
      </w:r>
      <w:r w:rsidRPr="00A14E1A">
        <w:t>low</w:t>
      </w:r>
      <w:r w:rsidRPr="00A14E1A">
        <w:rPr>
          <w:b/>
        </w:rPr>
        <w:t xml:space="preserve"> </w:t>
      </w:r>
      <w:r w:rsidRPr="004C0F90">
        <w:t xml:space="preserve">in </w:t>
      </w:r>
      <w:r>
        <w:t>2019 were not associated with substantially increased filterable reactive phosphorus (FRP) or decreased turbidity (Section 5). In addition, the return flows did not occur during the summer period when rates of GPP and ER were not restricted by temperature or light. These appear the likely reasons why rates of GPP and ER also appeared to be unaffected by the return flows.</w:t>
      </w:r>
    </w:p>
    <w:p w14:paraId="024FC20D" w14:textId="77777777" w:rsidR="005D0C92" w:rsidRPr="006D49D7" w:rsidRDefault="005D0C92" w:rsidP="005D0C92">
      <w:pPr>
        <w:spacing w:after="120" w:line="259" w:lineRule="auto"/>
        <w:rPr>
          <w:rFonts w:asciiTheme="minorHAnsi" w:hAnsiTheme="minorHAnsi"/>
          <w:b/>
          <w:i/>
          <w:color w:val="31849B"/>
          <w:szCs w:val="22"/>
          <w:lang w:val="en-US"/>
        </w:rPr>
      </w:pPr>
      <w:r w:rsidRPr="006D49D7">
        <w:rPr>
          <w:rFonts w:asciiTheme="minorHAnsi" w:hAnsiTheme="minorHAnsi"/>
          <w:b/>
          <w:i/>
          <w:color w:val="31849B"/>
          <w:szCs w:val="22"/>
          <w:lang w:val="en-US"/>
        </w:rPr>
        <w:t>What did Commonwealth environmental water contribute to total GPP, ER, and NPP?</w:t>
      </w:r>
    </w:p>
    <w:p w14:paraId="48D4230C" w14:textId="77777777" w:rsidR="005D0C92" w:rsidRDefault="005D0C92" w:rsidP="005D0C92">
      <w:pPr>
        <w:spacing w:after="120" w:line="259" w:lineRule="auto"/>
        <w:jc w:val="left"/>
        <w:rPr>
          <w:rFonts w:asciiTheme="minorHAnsi" w:hAnsiTheme="minorHAnsi"/>
          <w:bCs/>
          <w:iCs/>
          <w:szCs w:val="22"/>
          <w:lang w:val="en-US"/>
        </w:rPr>
      </w:pPr>
      <w:r>
        <w:rPr>
          <w:rFonts w:asciiTheme="minorHAnsi" w:hAnsiTheme="minorHAnsi"/>
          <w:bCs/>
          <w:iCs/>
          <w:szCs w:val="22"/>
          <w:lang w:val="en-US"/>
        </w:rPr>
        <w:t xml:space="preserve">Overall, Commonwealth environmental water contributed significantly to total carbon production and consumption where water was delivered. </w:t>
      </w:r>
      <w:r w:rsidRPr="00914E48">
        <w:rPr>
          <w:rFonts w:asciiTheme="minorHAnsi" w:hAnsiTheme="minorHAnsi"/>
          <w:bCs/>
          <w:iCs/>
          <w:szCs w:val="22"/>
          <w:lang w:val="en-US"/>
        </w:rPr>
        <w:t>Creating more ‘food’ at the base of the food web and more nutrients from ecosystem respiration (to generate this ‘food’) is a positive outcome of these watering actions, even though water remained within the defined stream channel.</w:t>
      </w:r>
    </w:p>
    <w:p w14:paraId="0D51514A" w14:textId="77777777" w:rsidR="005D0C92" w:rsidRDefault="005D0C92" w:rsidP="005D0C92">
      <w:pPr>
        <w:spacing w:after="120" w:line="259" w:lineRule="auto"/>
        <w:jc w:val="left"/>
        <w:rPr>
          <w:szCs w:val="22"/>
        </w:rPr>
      </w:pPr>
      <w:r>
        <w:rPr>
          <w:rFonts w:asciiTheme="minorHAnsi" w:hAnsiTheme="minorHAnsi"/>
          <w:bCs/>
          <w:iCs/>
          <w:szCs w:val="22"/>
          <w:lang w:val="en-US"/>
        </w:rPr>
        <w:t xml:space="preserve">The total additional production and consumption varied with (i) </w:t>
      </w:r>
      <w:r>
        <w:rPr>
          <w:szCs w:val="22"/>
        </w:rPr>
        <w:t xml:space="preserve">time of year (i.e. with season), (ii) the background flow (i.e. without CEW), and (iii) the volume of CEW being delivered. As above, season appears to be the strongest driver of overall rates, and is therefore also a strong influence on total carbon production and consumption. However, the proportional contribution of CEW to total production and consumption is higher during winter, when discharge is lower. This reflects the influence of channel hydraulics and channel shape. At smaller discharges, additional water volumes increase the surface area of the water and inundated channel bed, and therefore the </w:t>
      </w:r>
      <w:r w:rsidRPr="00061A59">
        <w:rPr>
          <w:szCs w:val="22"/>
        </w:rPr>
        <w:t xml:space="preserve">area of the photic zone within which algal </w:t>
      </w:r>
      <w:r>
        <w:rPr>
          <w:szCs w:val="22"/>
        </w:rPr>
        <w:t xml:space="preserve">and plant </w:t>
      </w:r>
      <w:r w:rsidRPr="00061A59">
        <w:rPr>
          <w:szCs w:val="22"/>
        </w:rPr>
        <w:t>growth occurs</w:t>
      </w:r>
      <w:r>
        <w:rPr>
          <w:szCs w:val="22"/>
        </w:rPr>
        <w:t>, proportionally more than at higher base discharge.</w:t>
      </w:r>
      <w:r w:rsidRPr="00A8425A">
        <w:rPr>
          <w:szCs w:val="22"/>
        </w:rPr>
        <w:t xml:space="preserve"> </w:t>
      </w:r>
      <w:r>
        <w:rPr>
          <w:szCs w:val="22"/>
        </w:rPr>
        <w:t xml:space="preserve">The exception would occur if CEW delivery resulted in overbank flows which connected shallow anabranches and low-lying floodplains, greatly increasing the total wetted surface area where high rates of GPP could occur. Increasing the frequency and duration of such events could greatly increase overall rates of production in the system. </w:t>
      </w:r>
    </w:p>
    <w:p w14:paraId="03A84AC5" w14:textId="77777777" w:rsidR="005D0C92" w:rsidRDefault="005D0C92" w:rsidP="005D0C92">
      <w:pPr>
        <w:spacing w:after="120" w:line="259" w:lineRule="auto"/>
        <w:jc w:val="left"/>
      </w:pPr>
      <w:r>
        <w:t>The method used to estimate total C production and consumption multiplies GPP and ER rates by discharge. Consequently, total C produced and consumed at zones 1, 2 and 3 during watering action 1 was estimated as being zero during zero-discharge periods, despite continued GPP and ER rates. Surface water would still been present at these times, but with zero flow occurring. This represents a limitation of the estimation method for zero-discharge days, where measuring the wetted area of the river (or remnant waterholes) might provide better estimates of total C production and consumption. Regardless, the strong contribution of CEW to GPP and ER at zone 4 (where no zero-discharge days occurred) indicates that the error induced by the estimation method is likely small.</w:t>
      </w:r>
    </w:p>
    <w:p w14:paraId="6371E90D" w14:textId="77777777" w:rsidR="0046477B" w:rsidRDefault="0046477B">
      <w:pPr>
        <w:spacing w:after="0" w:line="240" w:lineRule="auto"/>
        <w:jc w:val="left"/>
        <w:rPr>
          <w:rFonts w:asciiTheme="minorHAnsi" w:hAnsiTheme="minorHAnsi"/>
          <w:b/>
          <w:i/>
          <w:color w:val="31849B"/>
          <w:szCs w:val="22"/>
          <w:lang w:val="en-US"/>
        </w:rPr>
      </w:pPr>
      <w:r>
        <w:rPr>
          <w:rFonts w:asciiTheme="minorHAnsi" w:hAnsiTheme="minorHAnsi"/>
          <w:b/>
          <w:i/>
          <w:color w:val="31849B"/>
          <w:szCs w:val="22"/>
          <w:lang w:val="en-US"/>
        </w:rPr>
        <w:br w:type="page"/>
      </w:r>
    </w:p>
    <w:p w14:paraId="6A491499" w14:textId="57AB5893" w:rsidR="005D0C92" w:rsidRPr="006D49D7" w:rsidRDefault="005D0C92" w:rsidP="005D0C92">
      <w:pPr>
        <w:spacing w:after="120" w:line="259" w:lineRule="auto"/>
        <w:rPr>
          <w:rFonts w:asciiTheme="minorHAnsi" w:hAnsiTheme="minorHAnsi"/>
          <w:b/>
          <w:i/>
          <w:color w:val="31849B"/>
          <w:szCs w:val="22"/>
          <w:lang w:val="en-US"/>
        </w:rPr>
      </w:pPr>
      <w:r w:rsidRPr="006D49D7">
        <w:rPr>
          <w:rFonts w:asciiTheme="minorHAnsi" w:hAnsiTheme="minorHAnsi"/>
          <w:b/>
          <w:i/>
          <w:color w:val="31849B"/>
          <w:szCs w:val="22"/>
          <w:lang w:val="en-US"/>
        </w:rPr>
        <w:t>Which aspect of Commonwealth environmental water delivery contributed most to productivity outcomes?</w:t>
      </w:r>
    </w:p>
    <w:p w14:paraId="10A811CB" w14:textId="77777777" w:rsidR="005D0C92" w:rsidRDefault="005D0C92" w:rsidP="005D0C92">
      <w:pPr>
        <w:spacing w:after="120" w:line="259" w:lineRule="auto"/>
        <w:jc w:val="left"/>
        <w:rPr>
          <w:rFonts w:asciiTheme="minorHAnsi" w:hAnsiTheme="minorHAnsi"/>
          <w:bCs/>
          <w:iCs/>
          <w:szCs w:val="22"/>
          <w:lang w:val="en-US"/>
        </w:rPr>
      </w:pPr>
      <w:r>
        <w:rPr>
          <w:rFonts w:asciiTheme="minorHAnsi" w:hAnsiTheme="minorHAnsi"/>
          <w:bCs/>
          <w:iCs/>
          <w:szCs w:val="22"/>
          <w:lang w:val="en-US"/>
        </w:rPr>
        <w:t>The median total contribution of Commonwealth environmental water to carbon production was higher during watering action 3 (6856 kg) than watering action 1 (3052 kg). As above, these results reflect the higher overall rates of GPP during summer and the greater probability that pulsed events (i.e., days with very high rates) will occur. However, d</w:t>
      </w:r>
      <w:r w:rsidRPr="00162302">
        <w:rPr>
          <w:rFonts w:asciiTheme="minorHAnsi" w:hAnsiTheme="minorHAnsi"/>
          <w:bCs/>
          <w:iCs/>
          <w:szCs w:val="22"/>
          <w:lang w:val="en-US"/>
        </w:rPr>
        <w:t xml:space="preserve">elivery </w:t>
      </w:r>
      <w:r>
        <w:rPr>
          <w:rFonts w:asciiTheme="minorHAnsi" w:hAnsiTheme="minorHAnsi"/>
          <w:bCs/>
          <w:iCs/>
          <w:szCs w:val="22"/>
          <w:lang w:val="en-US"/>
        </w:rPr>
        <w:t xml:space="preserve">of Commonwealth environmental water had the greatest proportional effect </w:t>
      </w:r>
      <w:r w:rsidRPr="00162302">
        <w:rPr>
          <w:rFonts w:asciiTheme="minorHAnsi" w:hAnsiTheme="minorHAnsi"/>
          <w:bCs/>
          <w:iCs/>
          <w:szCs w:val="22"/>
          <w:lang w:val="en-US"/>
        </w:rPr>
        <w:t xml:space="preserve">during </w:t>
      </w:r>
      <w:r>
        <w:rPr>
          <w:rFonts w:asciiTheme="minorHAnsi" w:hAnsiTheme="minorHAnsi"/>
          <w:bCs/>
          <w:iCs/>
          <w:szCs w:val="22"/>
          <w:lang w:val="en-US"/>
        </w:rPr>
        <w:t xml:space="preserve">winter low-flow periods. Maintaining discharge and wetted area during these periods likely helps maintain </w:t>
      </w:r>
      <w:r w:rsidRPr="00A16ACA">
        <w:rPr>
          <w:rFonts w:asciiTheme="minorHAnsi" w:hAnsiTheme="minorHAnsi"/>
          <w:bCs/>
          <w:iCs/>
          <w:szCs w:val="22"/>
          <w:lang w:val="en-US"/>
        </w:rPr>
        <w:t>zooplankton and other invertebrates that feed on phytoplankton and periphyton</w:t>
      </w:r>
      <w:r>
        <w:rPr>
          <w:rFonts w:asciiTheme="minorHAnsi" w:hAnsiTheme="minorHAnsi"/>
          <w:bCs/>
          <w:iCs/>
          <w:szCs w:val="22"/>
          <w:lang w:val="en-US"/>
        </w:rPr>
        <w:t xml:space="preserve">, </w:t>
      </w:r>
      <w:r w:rsidRPr="00A16ACA">
        <w:rPr>
          <w:rFonts w:asciiTheme="minorHAnsi" w:hAnsiTheme="minorHAnsi"/>
          <w:bCs/>
          <w:iCs/>
          <w:szCs w:val="22"/>
          <w:lang w:val="en-US"/>
        </w:rPr>
        <w:t>and in turn this increases food availability for fish and other higher order consumers</w:t>
      </w:r>
      <w:r>
        <w:rPr>
          <w:rFonts w:asciiTheme="minorHAnsi" w:hAnsiTheme="minorHAnsi"/>
          <w:bCs/>
          <w:iCs/>
          <w:szCs w:val="22"/>
          <w:lang w:val="en-US"/>
        </w:rPr>
        <w:t xml:space="preserve"> during periods in which food availability might otherwise be low.</w:t>
      </w:r>
    </w:p>
    <w:p w14:paraId="1ABF54EB" w14:textId="2BAB3EA3" w:rsidR="005D0C92" w:rsidRDefault="005D0C92" w:rsidP="005D0C92">
      <w:pPr>
        <w:spacing w:after="120" w:line="259" w:lineRule="auto"/>
        <w:jc w:val="left"/>
        <w:rPr>
          <w:szCs w:val="22"/>
        </w:rPr>
      </w:pPr>
      <w:r>
        <w:rPr>
          <w:szCs w:val="22"/>
        </w:rPr>
        <w:t>It is still very important to note that although these small watering actions provided a beneficial outcome for the riverine ecosystem, it is highly probable that reconnecting backwaters and the floodplain to the river channel would result in much larger positive outcomes. At this stage there is too much uncertainty in the nominal flow category discharges to extend the analysis done here to the relatively small number of days with higher flows, but this may be achievable for future analyses. It is recommended that, when possible, consideration be given to providing a more variable flow regime in the Edward</w:t>
      </w:r>
      <w:r w:rsidR="0091645A">
        <w:rPr>
          <w:szCs w:val="22"/>
        </w:rPr>
        <w:t>/Kolety</w:t>
      </w:r>
      <w:r>
        <w:rPr>
          <w:szCs w:val="22"/>
        </w:rPr>
        <w:t>-Wakool system in future years.</w:t>
      </w:r>
    </w:p>
    <w:p w14:paraId="39296961" w14:textId="77777777" w:rsidR="005D0C92" w:rsidRDefault="005D0C92" w:rsidP="005D0C92">
      <w:pPr>
        <w:spacing w:after="120" w:line="259" w:lineRule="auto"/>
        <w:rPr>
          <w:szCs w:val="22"/>
        </w:rPr>
      </w:pPr>
    </w:p>
    <w:p w14:paraId="425BB4F0" w14:textId="77777777" w:rsidR="000742BD" w:rsidRDefault="000742BD">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5F021819" w14:textId="18CB17C6" w:rsidR="00752788" w:rsidRDefault="00752788" w:rsidP="00836CDD">
      <w:pPr>
        <w:pStyle w:val="Heading1"/>
      </w:pPr>
      <w:bookmarkStart w:id="25" w:name="_Toc69846019"/>
      <w:r>
        <w:t>7</w:t>
      </w:r>
      <w:r w:rsidR="00523069">
        <w:tab/>
      </w:r>
      <w:r>
        <w:t>Aquatic and riverbank vegetation</w:t>
      </w:r>
      <w:bookmarkEnd w:id="25"/>
    </w:p>
    <w:p w14:paraId="26E62B7C" w14:textId="3D48D9BD" w:rsidR="0046477B" w:rsidRPr="0046477B" w:rsidRDefault="00A30448" w:rsidP="00836CDD">
      <w:pPr>
        <w:spacing w:after="240"/>
        <w:rPr>
          <w:lang w:val="en-US" w:eastAsia="en-AU"/>
        </w:rPr>
      </w:pPr>
      <w:r>
        <w:rPr>
          <w:lang w:val="en-US" w:eastAsia="en-AU"/>
        </w:rPr>
        <w:t xml:space="preserve">Authors: </w:t>
      </w:r>
      <w:r w:rsidR="0046477B">
        <w:rPr>
          <w:lang w:val="en-US" w:eastAsia="en-AU"/>
        </w:rPr>
        <w:t>Robyn Watts, Sascha Healy, Nicole McCasker</w:t>
      </w:r>
    </w:p>
    <w:tbl>
      <w:tblPr>
        <w:tblStyle w:val="TableGrid"/>
        <w:tblW w:w="8733" w:type="dxa"/>
        <w:tblInd w:w="51" w:type="dxa"/>
        <w:tblLayout w:type="fixed"/>
        <w:tblLook w:val="04A0" w:firstRow="1" w:lastRow="0" w:firstColumn="1" w:lastColumn="0" w:noHBand="0" w:noVBand="1"/>
      </w:tblPr>
      <w:tblGrid>
        <w:gridCol w:w="1924"/>
        <w:gridCol w:w="6809"/>
      </w:tblGrid>
      <w:tr w:rsidR="00752788" w:rsidRPr="00783D1B" w14:paraId="7435531E" w14:textId="77777777" w:rsidTr="009160B6">
        <w:trPr>
          <w:cantSplit/>
          <w:trHeight w:val="594"/>
        </w:trPr>
        <w:tc>
          <w:tcPr>
            <w:tcW w:w="8733" w:type="dxa"/>
            <w:gridSpan w:val="2"/>
            <w:shd w:val="clear" w:color="auto" w:fill="31849B" w:themeFill="accent5" w:themeFillShade="BF"/>
          </w:tcPr>
          <w:p w14:paraId="6E635809" w14:textId="77777777" w:rsidR="00752788" w:rsidRPr="00783D1B" w:rsidRDefault="00752788" w:rsidP="009160B6">
            <w:pPr>
              <w:autoSpaceDE w:val="0"/>
              <w:autoSpaceDN w:val="0"/>
              <w:adjustRightInd w:val="0"/>
              <w:spacing w:before="120" w:after="120" w:line="240" w:lineRule="auto"/>
              <w:jc w:val="left"/>
              <w:rPr>
                <w:b/>
                <w:color w:val="FFFFFF" w:themeColor="background1"/>
                <w:sz w:val="44"/>
                <w:szCs w:val="44"/>
              </w:rPr>
            </w:pPr>
            <w:r w:rsidRPr="004852C4">
              <w:rPr>
                <w:b/>
                <w:color w:val="FFFFFF" w:themeColor="background1"/>
                <w:sz w:val="32"/>
                <w:szCs w:val="32"/>
              </w:rPr>
              <w:t>Key findings</w:t>
            </w:r>
          </w:p>
        </w:tc>
      </w:tr>
      <w:tr w:rsidR="00752788" w:rsidRPr="00976BBF" w14:paraId="3AA8BDB2" w14:textId="77777777" w:rsidTr="009160B6">
        <w:trPr>
          <w:cantSplit/>
          <w:trHeight w:val="594"/>
        </w:trPr>
        <w:tc>
          <w:tcPr>
            <w:tcW w:w="1924" w:type="dxa"/>
            <w:shd w:val="clear" w:color="auto" w:fill="B6DDE8" w:themeFill="accent5" w:themeFillTint="66"/>
          </w:tcPr>
          <w:p w14:paraId="3CC29DDC" w14:textId="77777777" w:rsidR="00752788" w:rsidRPr="004852C4" w:rsidRDefault="00752788" w:rsidP="009160B6">
            <w:pPr>
              <w:autoSpaceDE w:val="0"/>
              <w:autoSpaceDN w:val="0"/>
              <w:adjustRightInd w:val="0"/>
              <w:spacing w:after="0" w:line="240" w:lineRule="auto"/>
              <w:jc w:val="left"/>
              <w:rPr>
                <w:b/>
                <w:szCs w:val="22"/>
              </w:rPr>
            </w:pPr>
            <w:r w:rsidRPr="004852C4">
              <w:rPr>
                <w:b/>
                <w:szCs w:val="22"/>
              </w:rPr>
              <w:t>Total species richness</w:t>
            </w:r>
          </w:p>
        </w:tc>
        <w:tc>
          <w:tcPr>
            <w:tcW w:w="6809" w:type="dxa"/>
          </w:tcPr>
          <w:p w14:paraId="0FC7D3C2" w14:textId="04842889" w:rsidR="005B07B1" w:rsidRDefault="005B07B1" w:rsidP="00306A32">
            <w:pPr>
              <w:spacing w:after="0" w:line="240" w:lineRule="auto"/>
              <w:jc w:val="left"/>
              <w:rPr>
                <w:szCs w:val="22"/>
              </w:rPr>
            </w:pPr>
            <w:r w:rsidRPr="005B07B1">
              <w:rPr>
                <w:szCs w:val="22"/>
              </w:rPr>
              <w:t xml:space="preserve">There </w:t>
            </w:r>
            <w:r w:rsidR="00306A32">
              <w:rPr>
                <w:szCs w:val="22"/>
              </w:rPr>
              <w:t>was</w:t>
            </w:r>
            <w:r w:rsidRPr="005B07B1">
              <w:rPr>
                <w:szCs w:val="22"/>
              </w:rPr>
              <w:t xml:space="preserve"> an increase in the mean total species richness in each of the five monitored zones since the flood in 2016. The mean species richness has not yet recovered to the same levels as prior to the flood.</w:t>
            </w:r>
          </w:p>
          <w:p w14:paraId="4C71892F" w14:textId="298CC0C9" w:rsidR="00752788" w:rsidRPr="005B07B1" w:rsidRDefault="005B07B1" w:rsidP="00306A32">
            <w:pPr>
              <w:spacing w:after="0" w:line="240" w:lineRule="auto"/>
              <w:jc w:val="left"/>
              <w:rPr>
                <w:szCs w:val="22"/>
              </w:rPr>
            </w:pPr>
            <w:r w:rsidRPr="005B07B1">
              <w:rPr>
                <w:szCs w:val="22"/>
              </w:rPr>
              <w:t>The mean total number of taxa was consistently lower in zone 2, which has received minimal or no environmental water compared to the other zones. The exception was in 2018-19 when zone 2 received environmental water.</w:t>
            </w:r>
          </w:p>
        </w:tc>
      </w:tr>
      <w:tr w:rsidR="00752788" w:rsidRPr="00EB0E8C" w14:paraId="2AC812C7" w14:textId="77777777" w:rsidTr="009160B6">
        <w:tc>
          <w:tcPr>
            <w:tcW w:w="1924" w:type="dxa"/>
            <w:shd w:val="clear" w:color="auto" w:fill="B6DDE8" w:themeFill="accent5" w:themeFillTint="66"/>
          </w:tcPr>
          <w:p w14:paraId="76822589" w14:textId="77777777" w:rsidR="00752788" w:rsidRPr="004852C4" w:rsidRDefault="00752788" w:rsidP="009160B6">
            <w:pPr>
              <w:autoSpaceDE w:val="0"/>
              <w:autoSpaceDN w:val="0"/>
              <w:adjustRightInd w:val="0"/>
              <w:spacing w:after="0" w:line="240" w:lineRule="auto"/>
              <w:jc w:val="left"/>
              <w:rPr>
                <w:b/>
                <w:szCs w:val="22"/>
              </w:rPr>
            </w:pPr>
            <w:r w:rsidRPr="004852C4">
              <w:rPr>
                <w:b/>
                <w:szCs w:val="22"/>
              </w:rPr>
              <w:t>Richness of functional groups</w:t>
            </w:r>
          </w:p>
        </w:tc>
        <w:tc>
          <w:tcPr>
            <w:tcW w:w="6809" w:type="dxa"/>
          </w:tcPr>
          <w:p w14:paraId="20D48484" w14:textId="7F90B676" w:rsidR="005B07B1" w:rsidRDefault="005B07B1" w:rsidP="00836CDD">
            <w:pPr>
              <w:spacing w:after="0" w:line="240" w:lineRule="auto"/>
              <w:jc w:val="left"/>
            </w:pPr>
            <w:r>
              <w:t>S</w:t>
            </w:r>
            <w:r w:rsidRPr="00811338">
              <w:t xml:space="preserve">ince 2017-18 there has been a </w:t>
            </w:r>
            <w:r>
              <w:t xml:space="preserve">gradual </w:t>
            </w:r>
            <w:r w:rsidRPr="00811338">
              <w:t>recovery of subme</w:t>
            </w:r>
            <w:r>
              <w:t xml:space="preserve">rged taxa in all zones, but the total richness has not yet reached levels observed prior to the </w:t>
            </w:r>
            <w:r w:rsidR="00836CDD">
              <w:t xml:space="preserve">2016 </w:t>
            </w:r>
            <w:r>
              <w:t>flood</w:t>
            </w:r>
            <w:r w:rsidRPr="00811338">
              <w:t xml:space="preserve">. In 2019-20 the </w:t>
            </w:r>
            <w:r>
              <w:t xml:space="preserve">maximum mean </w:t>
            </w:r>
            <w:r w:rsidRPr="00811338">
              <w:t xml:space="preserve">precent cover of submerged taxa increased </w:t>
            </w:r>
            <w:r>
              <w:t>(zones 1 and 8) or was maintained (zones 3 and 4)</w:t>
            </w:r>
            <w:r w:rsidRPr="00811338">
              <w:t xml:space="preserve"> </w:t>
            </w:r>
            <w:r>
              <w:t xml:space="preserve">in zones </w:t>
            </w:r>
            <w:r w:rsidRPr="00811338">
              <w:t>that received environmental</w:t>
            </w:r>
            <w:r w:rsidR="00836CDD">
              <w:t xml:space="preserve"> water, but reduced in zone 2 (u</w:t>
            </w:r>
            <w:r w:rsidRPr="00811338">
              <w:t>pper Wakool River) that did not receive</w:t>
            </w:r>
            <w:r>
              <w:t xml:space="preserve"> environmental water in 2019-20</w:t>
            </w:r>
            <w:r w:rsidRPr="00811338">
              <w:t>.</w:t>
            </w:r>
          </w:p>
          <w:p w14:paraId="79E6EABB" w14:textId="5D65DC52" w:rsidR="00306A32" w:rsidRPr="00F37E2D" w:rsidRDefault="00306A32" w:rsidP="00161C5D">
            <w:pPr>
              <w:spacing w:after="80" w:line="259" w:lineRule="auto"/>
              <w:jc w:val="left"/>
              <w:rPr>
                <w:highlight w:val="yellow"/>
              </w:rPr>
            </w:pPr>
            <w:r>
              <w:t>S</w:t>
            </w:r>
            <w:r w:rsidRPr="00811338">
              <w:t xml:space="preserve">ince </w:t>
            </w:r>
            <w:r>
              <w:t>the flood the number of amphibious</w:t>
            </w:r>
            <w:r w:rsidRPr="00811338">
              <w:t xml:space="preserve"> taxa </w:t>
            </w:r>
            <w:r>
              <w:t>has increased in all zones. The mean total richness was higher in zones that received environmental water (zones 1, 3, 4 and 8) than in zone 2 that received no or minimal environmental water. However, zones 3 and 4 have not yet recovered to the same total richness observed prior to the flood.</w:t>
            </w:r>
            <w:r w:rsidR="00161C5D">
              <w:t xml:space="preserve"> There</w:t>
            </w:r>
            <w:r w:rsidR="00161C5D" w:rsidRPr="00245466">
              <w:t xml:space="preserve"> were generally fewer amphibious taxa in zone 2 that received </w:t>
            </w:r>
            <w:r w:rsidR="00161C5D">
              <w:t>low or no environmental water. I</w:t>
            </w:r>
            <w:r w:rsidR="00161C5D" w:rsidRPr="00245466">
              <w:t xml:space="preserve">n 2018-19 there was a watering action in zone 2 </w:t>
            </w:r>
            <w:r w:rsidR="00161C5D">
              <w:t xml:space="preserve">and </w:t>
            </w:r>
            <w:r w:rsidR="00161C5D" w:rsidRPr="00245466">
              <w:t xml:space="preserve">an increase in total and mean richness </w:t>
            </w:r>
            <w:r w:rsidR="00161C5D">
              <w:t>of amphibious</w:t>
            </w:r>
            <w:r w:rsidR="00161C5D" w:rsidRPr="00245466">
              <w:t xml:space="preserve"> taxa including spike</w:t>
            </w:r>
            <w:r w:rsidR="00161C5D">
              <w:t xml:space="preserve"> rush and mudwort was recorded. </w:t>
            </w:r>
            <w:r w:rsidR="00161C5D" w:rsidRPr="00245466">
              <w:t xml:space="preserve">However, in 2019-20 there was no watering action in zone 2 and the richness of </w:t>
            </w:r>
            <w:r w:rsidR="00161C5D">
              <w:t>amphibious taxa declined again.</w:t>
            </w:r>
          </w:p>
        </w:tc>
      </w:tr>
      <w:tr w:rsidR="00752788" w14:paraId="0DE4A2F8" w14:textId="77777777" w:rsidTr="009160B6">
        <w:trPr>
          <w:cantSplit/>
          <w:trHeight w:val="594"/>
        </w:trPr>
        <w:tc>
          <w:tcPr>
            <w:tcW w:w="1924" w:type="dxa"/>
            <w:shd w:val="clear" w:color="auto" w:fill="B6DDE8" w:themeFill="accent5" w:themeFillTint="66"/>
          </w:tcPr>
          <w:p w14:paraId="58852619" w14:textId="77777777" w:rsidR="00752788" w:rsidRPr="004852C4" w:rsidRDefault="00752788" w:rsidP="009160B6">
            <w:pPr>
              <w:autoSpaceDE w:val="0"/>
              <w:autoSpaceDN w:val="0"/>
              <w:adjustRightInd w:val="0"/>
              <w:spacing w:after="0" w:line="320" w:lineRule="exact"/>
              <w:jc w:val="left"/>
              <w:rPr>
                <w:b/>
                <w:szCs w:val="22"/>
              </w:rPr>
            </w:pPr>
            <w:r w:rsidRPr="004852C4">
              <w:rPr>
                <w:b/>
                <w:szCs w:val="22"/>
              </w:rPr>
              <w:t>Percent cover of functional groups</w:t>
            </w:r>
          </w:p>
        </w:tc>
        <w:tc>
          <w:tcPr>
            <w:tcW w:w="6809" w:type="dxa"/>
          </w:tcPr>
          <w:p w14:paraId="5C0944DA" w14:textId="09622173" w:rsidR="00306A32" w:rsidRDefault="005B07B1" w:rsidP="00306A32">
            <w:pPr>
              <w:autoSpaceDE w:val="0"/>
              <w:autoSpaceDN w:val="0"/>
              <w:adjustRightInd w:val="0"/>
              <w:spacing w:after="0" w:line="240" w:lineRule="auto"/>
              <w:jc w:val="left"/>
            </w:pPr>
            <w:r w:rsidRPr="007747FE">
              <w:t xml:space="preserve">In 2019-20 there was a significant increase </w:t>
            </w:r>
            <w:r w:rsidRPr="00306A32">
              <w:t xml:space="preserve">in the cover of </w:t>
            </w:r>
            <w:r w:rsidRPr="00306A32">
              <w:rPr>
                <w:i/>
              </w:rPr>
              <w:t>Chara</w:t>
            </w:r>
            <w:r w:rsidRPr="00306A32">
              <w:t xml:space="preserve"> in the </w:t>
            </w:r>
            <w:r w:rsidR="00306A32" w:rsidRPr="00306A32">
              <w:t>monitored</w:t>
            </w:r>
            <w:r w:rsidRPr="00306A32">
              <w:t xml:space="preserve"> hydrological zones that received environmental water </w:t>
            </w:r>
            <w:r w:rsidR="00306A32" w:rsidRPr="00306A32">
              <w:t>(</w:t>
            </w:r>
            <w:r w:rsidR="00306A32">
              <w:t xml:space="preserve">zones 1, 3, 4, 8), </w:t>
            </w:r>
            <w:r w:rsidR="00EA7A8A">
              <w:t>and</w:t>
            </w:r>
            <w:r w:rsidR="00306A32">
              <w:t xml:space="preserve"> the cover has returned to pre-flood levels in these zones.</w:t>
            </w:r>
          </w:p>
          <w:p w14:paraId="071363B4" w14:textId="389CC0FF" w:rsidR="00752788" w:rsidRPr="00161C5D" w:rsidRDefault="00306A32" w:rsidP="00836CDD">
            <w:pPr>
              <w:autoSpaceDE w:val="0"/>
              <w:autoSpaceDN w:val="0"/>
              <w:adjustRightInd w:val="0"/>
              <w:spacing w:before="120" w:after="120" w:line="240" w:lineRule="auto"/>
              <w:jc w:val="left"/>
            </w:pPr>
            <w:r>
              <w:t xml:space="preserve">The </w:t>
            </w:r>
            <w:r w:rsidR="00836CDD">
              <w:t>change</w:t>
            </w:r>
            <w:r>
              <w:t xml:space="preserve"> in cover of amphibious taxa </w:t>
            </w:r>
            <w:r w:rsidR="00836CDD">
              <w:t xml:space="preserve">since the 2016 flood </w:t>
            </w:r>
            <w:r>
              <w:t xml:space="preserve">has not been consistent among zones because there </w:t>
            </w:r>
            <w:r w:rsidR="00EA7A8A">
              <w:t>were</w:t>
            </w:r>
            <w:r>
              <w:t xml:space="preserve"> different dominant taxa in different zones. </w:t>
            </w:r>
            <w:r w:rsidRPr="00554E1D">
              <w:t>Spiny mud grass (</w:t>
            </w:r>
            <w:r w:rsidRPr="00554E1D">
              <w:rPr>
                <w:i/>
              </w:rPr>
              <w:t>Pseudoraphis spinescens)</w:t>
            </w:r>
            <w:r>
              <w:rPr>
                <w:i/>
              </w:rPr>
              <w:t xml:space="preserve"> </w:t>
            </w:r>
            <w:r w:rsidRPr="00BF5F2C">
              <w:t xml:space="preserve">was </w:t>
            </w:r>
            <w:r>
              <w:t xml:space="preserve">the </w:t>
            </w:r>
            <w:r w:rsidRPr="00306A32">
              <w:t>most abundant taxa in zone 4 and has increased in percent cover in zone 4 such that it currently has a higher percent cover than was recorded prior to the flood.</w:t>
            </w:r>
            <w:r>
              <w:t xml:space="preserve"> The common spikerush (</w:t>
            </w:r>
            <w:r w:rsidRPr="002D31AE">
              <w:rPr>
                <w:i/>
              </w:rPr>
              <w:t>Eleocharis sp.)</w:t>
            </w:r>
            <w:r>
              <w:t xml:space="preserve"> was the dominant taxa in zone 8 (Colligen Creek) prior to the flood, but tolerated the flooding and has maintained similar mean percent cover across all years. In contrast, f</w:t>
            </w:r>
            <w:r w:rsidRPr="00914F0A">
              <w:t>loating pondweed (</w:t>
            </w:r>
            <w:r w:rsidRPr="00914F0A">
              <w:rPr>
                <w:i/>
              </w:rPr>
              <w:t>Potamogeton tricarinatus)</w:t>
            </w:r>
            <w:r>
              <w:t xml:space="preserve"> was the dominant amphibious taxa in zone 3 </w:t>
            </w:r>
            <w:r w:rsidRPr="00914F0A">
              <w:t xml:space="preserve">prior to the flood </w:t>
            </w:r>
            <w:r>
              <w:t>but significantly</w:t>
            </w:r>
            <w:r w:rsidRPr="00914F0A">
              <w:t xml:space="preserve"> reduced in cover or </w:t>
            </w:r>
            <w:r>
              <w:t xml:space="preserve">was </w:t>
            </w:r>
            <w:r w:rsidRPr="00914F0A">
              <w:t xml:space="preserve">killed </w:t>
            </w:r>
            <w:r>
              <w:t xml:space="preserve">by the flood in 2016. It was recorded again for the first time in 2019-20 in zone 3 at low percent cover. Similarly, </w:t>
            </w:r>
            <w:r w:rsidRPr="00914F0A">
              <w:t>milfoil (</w:t>
            </w:r>
            <w:r w:rsidRPr="00914F0A">
              <w:rPr>
                <w:i/>
              </w:rPr>
              <w:t>Myriophyllum spp</w:t>
            </w:r>
            <w:r>
              <w:rPr>
                <w:i/>
              </w:rPr>
              <w:t xml:space="preserve">) </w:t>
            </w:r>
            <w:r>
              <w:t>was abundant in zones 1, 3 and 4 prior to the flood but was recorded at low percent cover in zones 1 and 3 in 2019-20</w:t>
            </w:r>
            <w:r w:rsidR="00EA7A8A">
              <w:t xml:space="preserve">. </w:t>
            </w:r>
          </w:p>
        </w:tc>
      </w:tr>
    </w:tbl>
    <w:p w14:paraId="78A9257D" w14:textId="41CC65E8" w:rsidR="00752788" w:rsidRPr="00704883" w:rsidRDefault="00752788" w:rsidP="000410FB">
      <w:pPr>
        <w:tabs>
          <w:tab w:val="left" w:pos="9071"/>
        </w:tabs>
        <w:spacing w:before="240" w:after="120" w:line="320" w:lineRule="exact"/>
        <w:jc w:val="left"/>
        <w:rPr>
          <w:b/>
          <w:color w:val="31849B" w:themeColor="accent5" w:themeShade="BF"/>
          <w:sz w:val="28"/>
          <w:szCs w:val="28"/>
        </w:rPr>
      </w:pPr>
      <w:r>
        <w:rPr>
          <w:b/>
          <w:color w:val="31849B" w:themeColor="accent5" w:themeShade="BF"/>
          <w:sz w:val="28"/>
          <w:szCs w:val="28"/>
        </w:rPr>
        <w:t>7.1</w:t>
      </w:r>
      <w:r w:rsidRPr="00704883">
        <w:rPr>
          <w:b/>
          <w:color w:val="31849B" w:themeColor="accent5" w:themeShade="BF"/>
          <w:sz w:val="28"/>
          <w:szCs w:val="28"/>
        </w:rPr>
        <w:t xml:space="preserve">   Background</w:t>
      </w:r>
    </w:p>
    <w:p w14:paraId="0C101C82" w14:textId="07806DA5" w:rsidR="00752788" w:rsidRPr="006F2F58" w:rsidRDefault="00752788" w:rsidP="008D1578">
      <w:pPr>
        <w:autoSpaceDE w:val="0"/>
        <w:autoSpaceDN w:val="0"/>
        <w:adjustRightInd w:val="0"/>
        <w:spacing w:after="120" w:line="259" w:lineRule="auto"/>
        <w:jc w:val="left"/>
        <w:rPr>
          <w:rFonts w:cs="Calibri"/>
        </w:rPr>
      </w:pPr>
      <w:r w:rsidRPr="006F2F58">
        <w:rPr>
          <w:rFonts w:cs="Calibri"/>
        </w:rPr>
        <w:t>Riverbank vegetation and aquatic vegetation play an important role in the functioning of aquatic ecosystems, supporting riverine productivity and food webs and providing habitat for fish, invertebrates, frogs and birds (Roberts and Marston 2011).</w:t>
      </w:r>
    </w:p>
    <w:p w14:paraId="61225083" w14:textId="77777777" w:rsidR="00752788" w:rsidRPr="006F2F58" w:rsidRDefault="00752788" w:rsidP="008D1578">
      <w:pPr>
        <w:autoSpaceDE w:val="0"/>
        <w:autoSpaceDN w:val="0"/>
        <w:adjustRightInd w:val="0"/>
        <w:spacing w:after="120" w:line="259" w:lineRule="auto"/>
        <w:jc w:val="left"/>
        <w:rPr>
          <w:rFonts w:cs="Calibri"/>
        </w:rPr>
      </w:pPr>
      <w:r w:rsidRPr="006F2F58">
        <w:rPr>
          <w:rFonts w:cs="Calibri"/>
        </w:rPr>
        <w:t>Flow management and the water regime in a river system can affect the survival, growth and maintenance of adult plants and strongly influence aspects of reproductive cycles, including flowering, dispersal, germination and recruitment. Riverbank plant survival and growth is affected by the frequency and duration of inundation (Toner and Keddy 1997; Johansson and Nilsson 2002; Lowe et al. 2010). Frequent inundation can delay reproduction (Blom and Voesenek 1996), whilst long duration of inundation</w:t>
      </w:r>
      <w:r>
        <w:rPr>
          <w:rFonts w:cs="Calibri"/>
        </w:rPr>
        <w:t>, such as can occur during floods or long periods of regulated flows,</w:t>
      </w:r>
      <w:r w:rsidRPr="006F2F58">
        <w:rPr>
          <w:rFonts w:cs="Calibri"/>
        </w:rPr>
        <w:t xml:space="preserve"> can reduce growth or survival</w:t>
      </w:r>
      <w:r>
        <w:rPr>
          <w:rFonts w:cs="Calibri"/>
        </w:rPr>
        <w:t xml:space="preserve"> of riverbank plants</w:t>
      </w:r>
      <w:r w:rsidRPr="006F2F58">
        <w:rPr>
          <w:rFonts w:cs="Calibri"/>
        </w:rPr>
        <w:t xml:space="preserve"> (Blom et al. 1994; Johansson and Nilsson 2002; Lowe et al. 2010). Favourable soil moisture and nutrient conditions created by a receding flood can encourage rapid recovery and root and shoot development</w:t>
      </w:r>
      <w:r>
        <w:rPr>
          <w:rFonts w:cs="Calibri"/>
        </w:rPr>
        <w:t>.</w:t>
      </w:r>
      <w:r w:rsidRPr="006F2F58">
        <w:rPr>
          <w:rFonts w:cs="Calibri"/>
        </w:rPr>
        <w:t xml:space="preserve"> </w:t>
      </w:r>
      <w:r>
        <w:rPr>
          <w:rFonts w:cs="Calibri"/>
        </w:rPr>
        <w:t>M</w:t>
      </w:r>
      <w:r w:rsidRPr="006F2F58">
        <w:rPr>
          <w:rFonts w:cs="Calibri"/>
        </w:rPr>
        <w:t>any plants, including emergent macrophytes and riparian understorey herbs, often germinate on flood recession</w:t>
      </w:r>
      <w:r>
        <w:rPr>
          <w:rFonts w:cs="Calibri"/>
        </w:rPr>
        <w:t>s</w:t>
      </w:r>
      <w:r w:rsidRPr="006F2F58">
        <w:rPr>
          <w:rFonts w:cs="Calibri"/>
        </w:rPr>
        <w:t xml:space="preserve"> (Nicol 2004; Roberts and Marston 2011). However, a high level of sediment deposition during periods of inundation can reduce the survival of some small herbaceous riverbank species (Lowe et al. 2010).</w:t>
      </w:r>
    </w:p>
    <w:p w14:paraId="7C778EA6" w14:textId="3E430156" w:rsidR="00752788" w:rsidRPr="006F2F58" w:rsidRDefault="00752788" w:rsidP="008D1578">
      <w:pPr>
        <w:autoSpaceDE w:val="0"/>
        <w:autoSpaceDN w:val="0"/>
        <w:adjustRightInd w:val="0"/>
        <w:spacing w:after="120" w:line="259" w:lineRule="auto"/>
        <w:jc w:val="left"/>
        <w:rPr>
          <w:rFonts w:cs="Calibri"/>
          <w:color w:val="000000" w:themeColor="text1"/>
        </w:rPr>
      </w:pPr>
      <w:r>
        <w:rPr>
          <w:rFonts w:cs="Calibri"/>
          <w:color w:val="000000" w:themeColor="text1"/>
        </w:rPr>
        <w:t>Riverbank and aquatic plants that occur within the channel and on the riverbank can be broadly classified into three functional groups that are defined by wetting and drying patterns. S</w:t>
      </w:r>
      <w:r w:rsidRPr="006F2F58">
        <w:rPr>
          <w:rFonts w:cs="Calibri"/>
          <w:color w:val="000000" w:themeColor="text1"/>
        </w:rPr>
        <w:t>ubmerged taxa</w:t>
      </w:r>
      <w:r>
        <w:rPr>
          <w:rFonts w:cs="Calibri"/>
          <w:color w:val="000000" w:themeColor="text1"/>
        </w:rPr>
        <w:t xml:space="preserve"> occupy the wetted river channel</w:t>
      </w:r>
      <w:r w:rsidRPr="006F2F58">
        <w:rPr>
          <w:rFonts w:cs="Calibri"/>
          <w:color w:val="000000" w:themeColor="text1"/>
        </w:rPr>
        <w:t xml:space="preserve">, terrestrial taxa typically </w:t>
      </w:r>
      <w:r>
        <w:rPr>
          <w:rFonts w:cs="Calibri"/>
          <w:color w:val="000000" w:themeColor="text1"/>
        </w:rPr>
        <w:t xml:space="preserve">occupy the upper section of the riverbank, and </w:t>
      </w:r>
      <w:r w:rsidRPr="006F2F58">
        <w:rPr>
          <w:rFonts w:cs="Calibri"/>
          <w:color w:val="000000" w:themeColor="text1"/>
        </w:rPr>
        <w:t xml:space="preserve">amphibious taxa </w:t>
      </w:r>
      <w:r>
        <w:rPr>
          <w:rFonts w:cs="Calibri"/>
          <w:color w:val="000000" w:themeColor="text1"/>
        </w:rPr>
        <w:t xml:space="preserve">occupy both wet and dry parts of the riverbank and </w:t>
      </w:r>
      <w:r w:rsidRPr="006F2F58">
        <w:rPr>
          <w:rFonts w:cs="Calibri"/>
          <w:color w:val="000000" w:themeColor="text1"/>
        </w:rPr>
        <w:t>respond to</w:t>
      </w:r>
      <w:r>
        <w:rPr>
          <w:rFonts w:cs="Calibri"/>
          <w:color w:val="000000" w:themeColor="text1"/>
        </w:rPr>
        <w:t>,</w:t>
      </w:r>
      <w:r w:rsidRPr="006F2F58">
        <w:rPr>
          <w:rFonts w:cs="Calibri"/>
          <w:color w:val="000000" w:themeColor="text1"/>
        </w:rPr>
        <w:t xml:space="preserve"> or tolerate</w:t>
      </w:r>
      <w:r>
        <w:rPr>
          <w:rFonts w:cs="Calibri"/>
          <w:color w:val="000000" w:themeColor="text1"/>
        </w:rPr>
        <w:t>,</w:t>
      </w:r>
      <w:r w:rsidRPr="006F2F58">
        <w:rPr>
          <w:rFonts w:cs="Calibri"/>
          <w:color w:val="000000" w:themeColor="text1"/>
        </w:rPr>
        <w:t xml:space="preserve"> </w:t>
      </w:r>
      <w:r>
        <w:rPr>
          <w:rFonts w:cs="Calibri"/>
          <w:color w:val="000000" w:themeColor="text1"/>
        </w:rPr>
        <w:t>fluctuations in wetting and drying</w:t>
      </w:r>
      <w:r w:rsidRPr="006F2F58">
        <w:rPr>
          <w:rFonts w:cs="Calibri"/>
          <w:color w:val="000000" w:themeColor="text1"/>
        </w:rPr>
        <w:t xml:space="preserve">. </w:t>
      </w:r>
      <w:r>
        <w:rPr>
          <w:rFonts w:cs="Calibri"/>
          <w:color w:val="000000" w:themeColor="text1"/>
        </w:rPr>
        <w:t>Different aquatic macrophyte species</w:t>
      </w:r>
      <w:r w:rsidRPr="006F2F58">
        <w:rPr>
          <w:rFonts w:cs="Calibri"/>
          <w:color w:val="000000" w:themeColor="text1"/>
        </w:rPr>
        <w:t xml:space="preserve"> </w:t>
      </w:r>
      <w:r>
        <w:rPr>
          <w:rFonts w:cs="Calibri"/>
          <w:color w:val="000000" w:themeColor="text1"/>
        </w:rPr>
        <w:t xml:space="preserve">have different </w:t>
      </w:r>
      <w:r w:rsidRPr="006F2F58">
        <w:rPr>
          <w:rFonts w:cs="Calibri"/>
          <w:color w:val="000000" w:themeColor="text1"/>
        </w:rPr>
        <w:t>watering requirements. For example, while it is critical that the submerged ribbon weed plant</w:t>
      </w:r>
      <w:r>
        <w:rPr>
          <w:rFonts w:cs="Calibri"/>
          <w:color w:val="000000" w:themeColor="text1"/>
        </w:rPr>
        <w:t>s</w:t>
      </w:r>
      <w:r w:rsidRPr="006F2F58">
        <w:rPr>
          <w:rFonts w:cs="Calibri"/>
          <w:color w:val="000000" w:themeColor="text1"/>
        </w:rPr>
        <w:t xml:space="preserve"> are re-flooded within three to four months to maintain existing plants (Roberts and Marston 2011), many amphibious taxa respond to and tolerate a broad range of wetting and drying regimes.</w:t>
      </w:r>
    </w:p>
    <w:p w14:paraId="11A86713" w14:textId="70FC7737" w:rsidR="00752788" w:rsidRPr="006F2F58" w:rsidRDefault="00752788" w:rsidP="008D1578">
      <w:pPr>
        <w:pStyle w:val="Para0"/>
        <w:spacing w:before="0" w:line="259" w:lineRule="auto"/>
        <w:rPr>
          <w:rFonts w:asciiTheme="minorHAnsi" w:hAnsiTheme="minorHAnsi"/>
          <w:sz w:val="22"/>
          <w:szCs w:val="22"/>
        </w:rPr>
      </w:pPr>
      <w:r w:rsidRPr="006F2F58">
        <w:rPr>
          <w:rFonts w:asciiTheme="minorHAnsi" w:hAnsiTheme="minorHAnsi"/>
          <w:sz w:val="22"/>
          <w:szCs w:val="22"/>
        </w:rPr>
        <w:t xml:space="preserve">A long history of operational water delivery in the </w:t>
      </w:r>
      <w:r w:rsidR="008E27F6">
        <w:rPr>
          <w:rFonts w:asciiTheme="minorHAnsi" w:hAnsiTheme="minorHAnsi"/>
          <w:sz w:val="22"/>
          <w:szCs w:val="22"/>
        </w:rPr>
        <w:t>Edward/Kolety-Wakool</w:t>
      </w:r>
      <w:r w:rsidRPr="006F2F58">
        <w:rPr>
          <w:rFonts w:asciiTheme="minorHAnsi" w:hAnsiTheme="minorHAnsi"/>
          <w:sz w:val="22"/>
          <w:szCs w:val="22"/>
        </w:rPr>
        <w:t xml:space="preserve"> system </w:t>
      </w:r>
      <w:r>
        <w:rPr>
          <w:rFonts w:asciiTheme="minorHAnsi" w:hAnsiTheme="minorHAnsi"/>
          <w:sz w:val="22"/>
          <w:szCs w:val="22"/>
        </w:rPr>
        <w:t xml:space="preserve">(section 4.1) </w:t>
      </w:r>
      <w:r w:rsidRPr="006F2F58">
        <w:rPr>
          <w:rFonts w:asciiTheme="minorHAnsi" w:hAnsiTheme="minorHAnsi"/>
          <w:sz w:val="22"/>
          <w:szCs w:val="22"/>
        </w:rPr>
        <w:t>combined with the prolonged millennium drought when flows in the Murray-Darling Basin were at record low levels (van Di</w:t>
      </w:r>
      <w:r>
        <w:rPr>
          <w:rFonts w:asciiTheme="minorHAnsi" w:hAnsiTheme="minorHAnsi"/>
          <w:sz w:val="22"/>
          <w:szCs w:val="22"/>
        </w:rPr>
        <w:t>jk 2013; Chiew et al. 2014), has had</w:t>
      </w:r>
      <w:r w:rsidRPr="006F2F58">
        <w:rPr>
          <w:rFonts w:asciiTheme="minorHAnsi" w:hAnsiTheme="minorHAnsi"/>
          <w:sz w:val="22"/>
          <w:szCs w:val="22"/>
        </w:rPr>
        <w:t xml:space="preserve"> negative impacts on the riverbank and aquatic vegetation in the </w:t>
      </w:r>
      <w:r w:rsidR="008E27F6">
        <w:rPr>
          <w:rFonts w:asciiTheme="minorHAnsi" w:hAnsiTheme="minorHAnsi"/>
          <w:sz w:val="22"/>
          <w:szCs w:val="22"/>
        </w:rPr>
        <w:t>Edward/Kolety-Wakool</w:t>
      </w:r>
      <w:r w:rsidRPr="006F2F58">
        <w:rPr>
          <w:rFonts w:asciiTheme="minorHAnsi" w:hAnsiTheme="minorHAnsi"/>
          <w:sz w:val="22"/>
          <w:szCs w:val="22"/>
        </w:rPr>
        <w:t xml:space="preserve"> system. Community members </w:t>
      </w:r>
      <w:r>
        <w:rPr>
          <w:rFonts w:asciiTheme="minorHAnsi" w:hAnsiTheme="minorHAnsi"/>
          <w:sz w:val="22"/>
          <w:szCs w:val="22"/>
        </w:rPr>
        <w:t xml:space="preserve">and landholders </w:t>
      </w:r>
      <w:r w:rsidRPr="006F2F58">
        <w:rPr>
          <w:rFonts w:asciiTheme="minorHAnsi" w:hAnsiTheme="minorHAnsi"/>
          <w:sz w:val="22"/>
          <w:szCs w:val="22"/>
        </w:rPr>
        <w:t>report there were beds of ribbon weed (</w:t>
      </w:r>
      <w:r w:rsidRPr="006F2F58">
        <w:rPr>
          <w:rFonts w:asciiTheme="minorHAnsi" w:hAnsiTheme="minorHAnsi"/>
          <w:i/>
          <w:sz w:val="22"/>
          <w:szCs w:val="22"/>
        </w:rPr>
        <w:t>Valisineria</w:t>
      </w:r>
      <w:r w:rsidRPr="006F2F58">
        <w:rPr>
          <w:rFonts w:asciiTheme="minorHAnsi" w:hAnsiTheme="minorHAnsi"/>
          <w:sz w:val="22"/>
          <w:szCs w:val="22"/>
        </w:rPr>
        <w:t xml:space="preserve"> </w:t>
      </w:r>
      <w:r w:rsidR="00A209DC" w:rsidRPr="00A209DC">
        <w:rPr>
          <w:rFonts w:asciiTheme="minorHAnsi" w:hAnsiTheme="minorHAnsi"/>
          <w:i/>
          <w:sz w:val="22"/>
          <w:szCs w:val="22"/>
        </w:rPr>
        <w:t>australis</w:t>
      </w:r>
      <w:r w:rsidRPr="006F2F58">
        <w:rPr>
          <w:rFonts w:asciiTheme="minorHAnsi" w:hAnsiTheme="minorHAnsi"/>
          <w:sz w:val="22"/>
          <w:szCs w:val="22"/>
        </w:rPr>
        <w:t xml:space="preserve">.) within the channels and other plants occurring on the banks of the </w:t>
      </w:r>
      <w:r w:rsidR="008E27F6">
        <w:rPr>
          <w:rFonts w:asciiTheme="minorHAnsi" w:hAnsiTheme="minorHAnsi"/>
          <w:sz w:val="22"/>
          <w:szCs w:val="22"/>
        </w:rPr>
        <w:t>Edward/Kolety-Wakool</w:t>
      </w:r>
      <w:r w:rsidRPr="006F2F58">
        <w:rPr>
          <w:rFonts w:asciiTheme="minorHAnsi" w:hAnsiTheme="minorHAnsi"/>
          <w:sz w:val="22"/>
          <w:szCs w:val="22"/>
        </w:rPr>
        <w:t xml:space="preserve"> system prior to the drought. In 2010</w:t>
      </w:r>
      <w:r>
        <w:rPr>
          <w:rFonts w:asciiTheme="minorHAnsi" w:hAnsiTheme="minorHAnsi"/>
          <w:sz w:val="22"/>
          <w:szCs w:val="22"/>
        </w:rPr>
        <w:t>,</w:t>
      </w:r>
      <w:r w:rsidRPr="006F2F58">
        <w:rPr>
          <w:rFonts w:asciiTheme="minorHAnsi" w:hAnsiTheme="minorHAnsi"/>
          <w:sz w:val="22"/>
          <w:szCs w:val="22"/>
        </w:rPr>
        <w:t xml:space="preserve"> after the break of the drought</w:t>
      </w:r>
      <w:r>
        <w:rPr>
          <w:rFonts w:asciiTheme="minorHAnsi" w:hAnsiTheme="minorHAnsi"/>
          <w:sz w:val="22"/>
          <w:szCs w:val="22"/>
        </w:rPr>
        <w:t>,</w:t>
      </w:r>
      <w:r w:rsidRPr="006F2F58">
        <w:rPr>
          <w:rFonts w:asciiTheme="minorHAnsi" w:hAnsiTheme="minorHAnsi"/>
          <w:sz w:val="22"/>
          <w:szCs w:val="22"/>
        </w:rPr>
        <w:t xml:space="preserve"> submerged and amphibious plant taxa were largely absent throughout the system with the exception of the longer lived rush </w:t>
      </w:r>
      <w:r w:rsidRPr="006F2F58">
        <w:rPr>
          <w:rFonts w:asciiTheme="minorHAnsi" w:hAnsiTheme="minorHAnsi"/>
          <w:i/>
          <w:sz w:val="22"/>
          <w:szCs w:val="22"/>
        </w:rPr>
        <w:t xml:space="preserve">Juncus </w:t>
      </w:r>
      <w:r w:rsidRPr="00704883">
        <w:rPr>
          <w:rFonts w:asciiTheme="minorHAnsi" w:hAnsiTheme="minorHAnsi"/>
          <w:sz w:val="22"/>
          <w:szCs w:val="22"/>
        </w:rPr>
        <w:t>sp</w:t>
      </w:r>
      <w:r w:rsidRPr="00DE64FF">
        <w:rPr>
          <w:rFonts w:asciiTheme="minorHAnsi" w:hAnsiTheme="minorHAnsi"/>
          <w:sz w:val="22"/>
          <w:szCs w:val="22"/>
        </w:rPr>
        <w:t>.</w:t>
      </w:r>
    </w:p>
    <w:p w14:paraId="0487059E" w14:textId="15C7A6D5" w:rsidR="00752788" w:rsidRDefault="00752788" w:rsidP="008D1578">
      <w:pPr>
        <w:autoSpaceDE w:val="0"/>
        <w:autoSpaceDN w:val="0"/>
        <w:adjustRightInd w:val="0"/>
        <w:spacing w:after="120" w:line="259" w:lineRule="auto"/>
        <w:ind w:right="-143"/>
        <w:jc w:val="left"/>
      </w:pPr>
      <w:r>
        <w:rPr>
          <w:rFonts w:asciiTheme="minorHAnsi" w:hAnsiTheme="minorHAnsi"/>
          <w:szCs w:val="22"/>
        </w:rPr>
        <w:t>Environmental water</w:t>
      </w:r>
      <w:r w:rsidRPr="006F2F58">
        <w:rPr>
          <w:rFonts w:asciiTheme="minorHAnsi" w:hAnsiTheme="minorHAnsi"/>
          <w:szCs w:val="22"/>
        </w:rPr>
        <w:t xml:space="preserve"> ha</w:t>
      </w:r>
      <w:r>
        <w:rPr>
          <w:rFonts w:asciiTheme="minorHAnsi" w:hAnsiTheme="minorHAnsi"/>
          <w:szCs w:val="22"/>
        </w:rPr>
        <w:t>s</w:t>
      </w:r>
      <w:r w:rsidRPr="006F2F58">
        <w:rPr>
          <w:rFonts w:asciiTheme="minorHAnsi" w:hAnsiTheme="minorHAnsi"/>
          <w:szCs w:val="22"/>
        </w:rPr>
        <w:t xml:space="preserve"> </w:t>
      </w:r>
      <w:r>
        <w:rPr>
          <w:rFonts w:asciiTheme="minorHAnsi" w:hAnsiTheme="minorHAnsi"/>
          <w:szCs w:val="22"/>
        </w:rPr>
        <w:t xml:space="preserve">been </w:t>
      </w:r>
      <w:r w:rsidRPr="006F2F58">
        <w:rPr>
          <w:rFonts w:asciiTheme="minorHAnsi" w:hAnsiTheme="minorHAnsi"/>
          <w:szCs w:val="22"/>
        </w:rPr>
        <w:t xml:space="preserve">delivered </w:t>
      </w:r>
      <w:r>
        <w:rPr>
          <w:rFonts w:asciiTheme="minorHAnsi" w:hAnsiTheme="minorHAnsi"/>
          <w:szCs w:val="22"/>
        </w:rPr>
        <w:t xml:space="preserve">as </w:t>
      </w:r>
      <w:r w:rsidR="000410FB">
        <w:rPr>
          <w:rFonts w:asciiTheme="minorHAnsi" w:hAnsiTheme="minorHAnsi"/>
          <w:szCs w:val="22"/>
        </w:rPr>
        <w:t xml:space="preserve">base flows, </w:t>
      </w:r>
      <w:r w:rsidRPr="006F2F58">
        <w:rPr>
          <w:rFonts w:asciiTheme="minorHAnsi" w:hAnsiTheme="minorHAnsi"/>
          <w:szCs w:val="22"/>
        </w:rPr>
        <w:t xml:space="preserve">freshes </w:t>
      </w:r>
      <w:r w:rsidR="000410FB">
        <w:rPr>
          <w:rFonts w:asciiTheme="minorHAnsi" w:hAnsiTheme="minorHAnsi"/>
          <w:szCs w:val="22"/>
        </w:rPr>
        <w:t xml:space="preserve">and recession flows </w:t>
      </w:r>
      <w:r w:rsidRPr="006F2F58">
        <w:rPr>
          <w:rFonts w:asciiTheme="minorHAnsi" w:hAnsiTheme="minorHAnsi"/>
          <w:szCs w:val="22"/>
        </w:rPr>
        <w:t xml:space="preserve">in the </w:t>
      </w:r>
      <w:r w:rsidR="008E27F6">
        <w:rPr>
          <w:rFonts w:asciiTheme="minorHAnsi" w:hAnsiTheme="minorHAnsi"/>
          <w:szCs w:val="22"/>
        </w:rPr>
        <w:t>Edward/Kolety-Wakool</w:t>
      </w:r>
      <w:r w:rsidRPr="006F2F58">
        <w:rPr>
          <w:rFonts w:asciiTheme="minorHAnsi" w:hAnsiTheme="minorHAnsi"/>
          <w:szCs w:val="22"/>
        </w:rPr>
        <w:t xml:space="preserve"> system since 2010</w:t>
      </w:r>
      <w:r w:rsidR="000410FB">
        <w:rPr>
          <w:rFonts w:asciiTheme="minorHAnsi" w:hAnsiTheme="minorHAnsi"/>
          <w:szCs w:val="22"/>
        </w:rPr>
        <w:t>,</w:t>
      </w:r>
      <w:r w:rsidRPr="006F2F58">
        <w:rPr>
          <w:rFonts w:asciiTheme="minorHAnsi" w:hAnsiTheme="minorHAnsi"/>
          <w:szCs w:val="22"/>
        </w:rPr>
        <w:t xml:space="preserve"> with one of the aims being to maintain the health of riparian and in-channel aquatic native vegetation communities and maintain ecosystem and population resilience through supporting ecological recovery and maintaining aquatic habitat (CEWO 2015). </w:t>
      </w:r>
      <w:r w:rsidRPr="006F2F58">
        <w:t xml:space="preserve">Environmental watering in this system is expected to increase </w:t>
      </w:r>
      <w:r>
        <w:t xml:space="preserve">lateral connectivity by increasing </w:t>
      </w:r>
      <w:r w:rsidRPr="006F2F58">
        <w:t>the area of river bank receiving periods of wetting and drying than under operational flows. This is expected to maintain the health of riparian and in-channel aquatic native vegetation and support ongoing recovery and re-establishment of native aquatic vegetation in this system.</w:t>
      </w:r>
    </w:p>
    <w:p w14:paraId="4AEF3D56" w14:textId="243E5B91" w:rsidR="00752788" w:rsidRDefault="00752788" w:rsidP="008D1578">
      <w:pPr>
        <w:pStyle w:val="Para0bullet"/>
        <w:numPr>
          <w:ilvl w:val="0"/>
          <w:numId w:val="0"/>
        </w:numPr>
        <w:spacing w:line="259" w:lineRule="auto"/>
        <w:rPr>
          <w:rFonts w:asciiTheme="minorHAnsi" w:hAnsiTheme="minorHAnsi"/>
          <w:sz w:val="22"/>
          <w:szCs w:val="22"/>
        </w:rPr>
      </w:pPr>
      <w:r>
        <w:rPr>
          <w:rFonts w:asciiTheme="minorHAnsi" w:hAnsiTheme="minorHAnsi"/>
          <w:sz w:val="22"/>
          <w:szCs w:val="22"/>
        </w:rPr>
        <w:t>The response of vegetation to enviro</w:t>
      </w:r>
      <w:r w:rsidR="008760E2">
        <w:rPr>
          <w:rFonts w:asciiTheme="minorHAnsi" w:hAnsiTheme="minorHAnsi"/>
          <w:sz w:val="22"/>
          <w:szCs w:val="22"/>
        </w:rPr>
        <w:t>nmental watering actions in 2019-20</w:t>
      </w:r>
      <w:r>
        <w:rPr>
          <w:rFonts w:asciiTheme="minorHAnsi" w:hAnsiTheme="minorHAnsi"/>
          <w:sz w:val="22"/>
          <w:szCs w:val="22"/>
        </w:rPr>
        <w:t xml:space="preserve"> </w:t>
      </w:r>
      <w:r w:rsidR="007A4B6F">
        <w:rPr>
          <w:rFonts w:asciiTheme="minorHAnsi" w:hAnsiTheme="minorHAnsi"/>
          <w:sz w:val="22"/>
          <w:szCs w:val="22"/>
        </w:rPr>
        <w:t>was</w:t>
      </w:r>
      <w:r>
        <w:rPr>
          <w:rFonts w:asciiTheme="minorHAnsi" w:hAnsiTheme="minorHAnsi"/>
          <w:sz w:val="22"/>
          <w:szCs w:val="22"/>
        </w:rPr>
        <w:t xml:space="preserve"> influenced and constrained by the condition and diversity of vegetation at the start of the watering year. </w:t>
      </w:r>
      <w:r w:rsidRPr="001128D6">
        <w:rPr>
          <w:rFonts w:asciiTheme="minorHAnsi" w:hAnsiTheme="minorHAnsi"/>
          <w:sz w:val="22"/>
          <w:szCs w:val="22"/>
        </w:rPr>
        <w:t xml:space="preserve">In 2015-16 </w:t>
      </w:r>
      <w:r w:rsidRPr="001128D6">
        <w:rPr>
          <w:rFonts w:asciiTheme="minorHAnsi" w:hAnsiTheme="minorHAnsi" w:cs="Calibri"/>
          <w:sz w:val="22"/>
          <w:szCs w:val="22"/>
        </w:rPr>
        <w:t xml:space="preserve">there </w:t>
      </w:r>
      <w:r w:rsidR="008D1578">
        <w:rPr>
          <w:rFonts w:asciiTheme="minorHAnsi" w:hAnsiTheme="minorHAnsi" w:cs="Calibri"/>
          <w:sz w:val="22"/>
          <w:szCs w:val="22"/>
        </w:rPr>
        <w:t>was higher mean species richness</w:t>
      </w:r>
      <w:r w:rsidRPr="001128D6">
        <w:rPr>
          <w:rFonts w:asciiTheme="minorHAnsi" w:hAnsiTheme="minorHAnsi" w:cs="Calibri"/>
          <w:sz w:val="22"/>
          <w:szCs w:val="22"/>
        </w:rPr>
        <w:t xml:space="preserve"> in Yallakool Creek zone 1</w:t>
      </w:r>
      <w:r>
        <w:rPr>
          <w:rFonts w:asciiTheme="minorHAnsi" w:hAnsiTheme="minorHAnsi" w:cs="Calibri"/>
          <w:sz w:val="22"/>
          <w:szCs w:val="22"/>
        </w:rPr>
        <w:t xml:space="preserve">, </w:t>
      </w:r>
      <w:r w:rsidRPr="001128D6">
        <w:rPr>
          <w:rFonts w:asciiTheme="minorHAnsi" w:hAnsiTheme="minorHAnsi" w:cs="Calibri"/>
          <w:sz w:val="22"/>
          <w:szCs w:val="22"/>
        </w:rPr>
        <w:t>Wakool River zone 3 and zone 4 that received the environmental base flow and fresh than in the upp</w:t>
      </w:r>
      <w:r w:rsidR="008D1578">
        <w:rPr>
          <w:rFonts w:asciiTheme="minorHAnsi" w:hAnsiTheme="minorHAnsi" w:cs="Calibri"/>
          <w:sz w:val="22"/>
          <w:szCs w:val="22"/>
        </w:rPr>
        <w:t xml:space="preserve">er Wakool River zone 2 </w:t>
      </w:r>
      <w:r w:rsidR="008D1578">
        <w:rPr>
          <w:rFonts w:asciiTheme="minorHAnsi" w:hAnsiTheme="minorHAnsi"/>
          <w:sz w:val="22"/>
          <w:szCs w:val="22"/>
        </w:rPr>
        <w:t xml:space="preserve">that </w:t>
      </w:r>
      <w:r w:rsidRPr="001128D6">
        <w:rPr>
          <w:rFonts w:asciiTheme="minorHAnsi" w:hAnsiTheme="minorHAnsi"/>
          <w:sz w:val="22"/>
          <w:szCs w:val="22"/>
        </w:rPr>
        <w:t>received none or very small volumes of environmental water</w:t>
      </w:r>
      <w:r>
        <w:rPr>
          <w:rFonts w:asciiTheme="minorHAnsi" w:hAnsiTheme="minorHAnsi"/>
          <w:sz w:val="22"/>
          <w:szCs w:val="22"/>
        </w:rPr>
        <w:t xml:space="preserve"> </w:t>
      </w:r>
      <w:r>
        <w:rPr>
          <w:rFonts w:asciiTheme="minorHAnsi" w:hAnsiTheme="minorHAnsi" w:cs="Calibri"/>
          <w:sz w:val="22"/>
          <w:szCs w:val="22"/>
        </w:rPr>
        <w:t>(Watts et al. 2016)</w:t>
      </w:r>
      <w:r w:rsidRPr="001128D6">
        <w:rPr>
          <w:rFonts w:asciiTheme="minorHAnsi" w:hAnsiTheme="minorHAnsi" w:cs="Calibri"/>
          <w:sz w:val="22"/>
          <w:szCs w:val="22"/>
        </w:rPr>
        <w:t xml:space="preserve">. </w:t>
      </w:r>
      <w:r w:rsidRPr="001128D6">
        <w:rPr>
          <w:rFonts w:asciiTheme="minorHAnsi" w:hAnsiTheme="minorHAnsi"/>
          <w:sz w:val="22"/>
          <w:szCs w:val="22"/>
        </w:rPr>
        <w:t xml:space="preserve">There was </w:t>
      </w:r>
      <w:r>
        <w:rPr>
          <w:rFonts w:asciiTheme="minorHAnsi" w:hAnsiTheme="minorHAnsi"/>
          <w:sz w:val="22"/>
          <w:szCs w:val="22"/>
        </w:rPr>
        <w:t xml:space="preserve">also </w:t>
      </w:r>
      <w:r w:rsidRPr="001128D6">
        <w:rPr>
          <w:rFonts w:asciiTheme="minorHAnsi" w:hAnsiTheme="minorHAnsi"/>
          <w:sz w:val="22"/>
          <w:szCs w:val="22"/>
        </w:rPr>
        <w:t xml:space="preserve">a higher percent cover of riverbank aquatic </w:t>
      </w:r>
      <w:r w:rsidR="008D1578">
        <w:rPr>
          <w:rFonts w:asciiTheme="minorHAnsi" w:hAnsiTheme="minorHAnsi"/>
          <w:sz w:val="22"/>
          <w:szCs w:val="22"/>
        </w:rPr>
        <w:t xml:space="preserve">taxa </w:t>
      </w:r>
      <w:r w:rsidRPr="001128D6">
        <w:rPr>
          <w:rFonts w:asciiTheme="minorHAnsi" w:hAnsiTheme="minorHAnsi"/>
          <w:sz w:val="22"/>
          <w:szCs w:val="22"/>
        </w:rPr>
        <w:t>in zones 3 and 4 that h</w:t>
      </w:r>
      <w:r>
        <w:rPr>
          <w:rFonts w:asciiTheme="minorHAnsi" w:hAnsiTheme="minorHAnsi"/>
          <w:sz w:val="22"/>
          <w:szCs w:val="22"/>
        </w:rPr>
        <w:t>ave</w:t>
      </w:r>
      <w:r w:rsidRPr="001128D6">
        <w:rPr>
          <w:rFonts w:asciiTheme="minorHAnsi" w:hAnsiTheme="minorHAnsi"/>
          <w:sz w:val="22"/>
          <w:szCs w:val="22"/>
        </w:rPr>
        <w:t xml:space="preserve"> a history of environmental watering</w:t>
      </w:r>
      <w:r>
        <w:rPr>
          <w:rFonts w:asciiTheme="minorHAnsi" w:hAnsiTheme="minorHAnsi"/>
          <w:sz w:val="22"/>
          <w:szCs w:val="22"/>
        </w:rPr>
        <w:t>,</w:t>
      </w:r>
      <w:r w:rsidRPr="001128D6">
        <w:rPr>
          <w:rFonts w:asciiTheme="minorHAnsi" w:hAnsiTheme="minorHAnsi"/>
          <w:sz w:val="22"/>
          <w:szCs w:val="22"/>
        </w:rPr>
        <w:t xml:space="preserve"> compared to that in the Wak</w:t>
      </w:r>
      <w:r>
        <w:rPr>
          <w:rFonts w:asciiTheme="minorHAnsi" w:hAnsiTheme="minorHAnsi"/>
          <w:sz w:val="22"/>
          <w:szCs w:val="22"/>
        </w:rPr>
        <w:t>ool River zone 2</w:t>
      </w:r>
      <w:r w:rsidRPr="001128D6">
        <w:rPr>
          <w:rFonts w:asciiTheme="minorHAnsi" w:hAnsiTheme="minorHAnsi"/>
          <w:sz w:val="22"/>
          <w:szCs w:val="22"/>
        </w:rPr>
        <w:t xml:space="preserve">. </w:t>
      </w:r>
      <w:r>
        <w:rPr>
          <w:rFonts w:asciiTheme="minorHAnsi" w:hAnsiTheme="minorHAnsi"/>
          <w:sz w:val="22"/>
          <w:szCs w:val="22"/>
        </w:rPr>
        <w:t>However, in late 2016 there was a large unregulated flood event that had negative effects on the r</w:t>
      </w:r>
      <w:r w:rsidR="00A209DC">
        <w:rPr>
          <w:rFonts w:asciiTheme="minorHAnsi" w:hAnsiTheme="minorHAnsi"/>
          <w:sz w:val="22"/>
          <w:szCs w:val="22"/>
        </w:rPr>
        <w:t>iverbank and aquatic vegetation</w:t>
      </w:r>
      <w:r>
        <w:rPr>
          <w:rFonts w:asciiTheme="minorHAnsi" w:hAnsiTheme="minorHAnsi"/>
          <w:sz w:val="22"/>
          <w:szCs w:val="22"/>
        </w:rPr>
        <w:t xml:space="preserve"> </w:t>
      </w:r>
      <w:r w:rsidR="000410FB">
        <w:rPr>
          <w:rFonts w:asciiTheme="minorHAnsi" w:hAnsiTheme="minorHAnsi"/>
          <w:sz w:val="22"/>
          <w:szCs w:val="22"/>
        </w:rPr>
        <w:t xml:space="preserve">in all zones </w:t>
      </w:r>
      <w:r w:rsidR="00A209DC">
        <w:rPr>
          <w:rFonts w:asciiTheme="minorHAnsi" w:hAnsiTheme="minorHAnsi"/>
          <w:sz w:val="22"/>
          <w:szCs w:val="22"/>
        </w:rPr>
        <w:t xml:space="preserve">by </w:t>
      </w:r>
      <w:r>
        <w:rPr>
          <w:rFonts w:asciiTheme="minorHAnsi" w:hAnsiTheme="minorHAnsi"/>
          <w:sz w:val="22"/>
          <w:szCs w:val="22"/>
        </w:rPr>
        <w:t>reducing the cover and richness of vegetation significantly (Watts et al. 2017</w:t>
      </w:r>
      <w:r w:rsidR="000208E7">
        <w:rPr>
          <w:rFonts w:asciiTheme="minorHAnsi" w:hAnsiTheme="minorHAnsi"/>
          <w:sz w:val="22"/>
          <w:szCs w:val="22"/>
        </w:rPr>
        <w:t>b</w:t>
      </w:r>
      <w:r>
        <w:rPr>
          <w:rFonts w:asciiTheme="minorHAnsi" w:hAnsiTheme="minorHAnsi"/>
          <w:sz w:val="22"/>
          <w:szCs w:val="22"/>
        </w:rPr>
        <w:t xml:space="preserve">). </w:t>
      </w:r>
      <w:r w:rsidR="007A4B6F">
        <w:rPr>
          <w:rFonts w:asciiTheme="minorHAnsi" w:hAnsiTheme="minorHAnsi"/>
          <w:sz w:val="22"/>
          <w:szCs w:val="22"/>
        </w:rPr>
        <w:t>In 2018-19 t</w:t>
      </w:r>
      <w:r>
        <w:rPr>
          <w:rFonts w:asciiTheme="minorHAnsi" w:hAnsiTheme="minorHAnsi"/>
          <w:sz w:val="22"/>
          <w:szCs w:val="22"/>
        </w:rPr>
        <w:t xml:space="preserve">here </w:t>
      </w:r>
      <w:r w:rsidR="007A4B6F">
        <w:rPr>
          <w:rFonts w:asciiTheme="minorHAnsi" w:hAnsiTheme="minorHAnsi"/>
          <w:sz w:val="22"/>
          <w:szCs w:val="22"/>
        </w:rPr>
        <w:t>was some</w:t>
      </w:r>
      <w:r>
        <w:rPr>
          <w:rFonts w:asciiTheme="minorHAnsi" w:hAnsiTheme="minorHAnsi"/>
          <w:sz w:val="22"/>
          <w:szCs w:val="22"/>
        </w:rPr>
        <w:t xml:space="preserve"> evidence of </w:t>
      </w:r>
      <w:r w:rsidR="008760E2">
        <w:rPr>
          <w:rFonts w:asciiTheme="minorHAnsi" w:hAnsiTheme="minorHAnsi"/>
          <w:sz w:val="22"/>
          <w:szCs w:val="22"/>
        </w:rPr>
        <w:t>slow</w:t>
      </w:r>
      <w:r>
        <w:rPr>
          <w:rFonts w:asciiTheme="minorHAnsi" w:hAnsiTheme="minorHAnsi"/>
          <w:sz w:val="22"/>
          <w:szCs w:val="22"/>
        </w:rPr>
        <w:t xml:space="preserve"> </w:t>
      </w:r>
      <w:r w:rsidRPr="00F174E3">
        <w:rPr>
          <w:rFonts w:asciiTheme="minorHAnsi" w:hAnsiTheme="minorHAnsi"/>
          <w:sz w:val="22"/>
          <w:szCs w:val="22"/>
        </w:rPr>
        <w:t>recovery si</w:t>
      </w:r>
      <w:r w:rsidR="00FE1770">
        <w:rPr>
          <w:rFonts w:asciiTheme="minorHAnsi" w:hAnsiTheme="minorHAnsi"/>
          <w:sz w:val="22"/>
          <w:szCs w:val="22"/>
        </w:rPr>
        <w:t>nce the flood of 2016, however</w:t>
      </w:r>
      <w:r w:rsidR="000410FB">
        <w:rPr>
          <w:rFonts w:asciiTheme="minorHAnsi" w:hAnsiTheme="minorHAnsi"/>
          <w:sz w:val="22"/>
          <w:szCs w:val="22"/>
        </w:rPr>
        <w:t xml:space="preserve"> t</w:t>
      </w:r>
      <w:r w:rsidRPr="00F174E3">
        <w:rPr>
          <w:rFonts w:asciiTheme="minorHAnsi" w:hAnsiTheme="minorHAnsi"/>
          <w:sz w:val="22"/>
          <w:szCs w:val="22"/>
        </w:rPr>
        <w:t xml:space="preserve">he total species richness </w:t>
      </w:r>
      <w:r>
        <w:rPr>
          <w:rFonts w:asciiTheme="minorHAnsi" w:hAnsiTheme="minorHAnsi"/>
          <w:sz w:val="22"/>
          <w:szCs w:val="22"/>
        </w:rPr>
        <w:t xml:space="preserve">and the percent cover of taxa </w:t>
      </w:r>
      <w:r w:rsidR="000410FB">
        <w:rPr>
          <w:rFonts w:asciiTheme="minorHAnsi" w:hAnsiTheme="minorHAnsi"/>
          <w:sz w:val="22"/>
          <w:szCs w:val="22"/>
        </w:rPr>
        <w:t>was</w:t>
      </w:r>
      <w:r w:rsidR="008760E2">
        <w:rPr>
          <w:rFonts w:asciiTheme="minorHAnsi" w:hAnsiTheme="minorHAnsi"/>
          <w:sz w:val="22"/>
          <w:szCs w:val="22"/>
        </w:rPr>
        <w:t xml:space="preserve"> </w:t>
      </w:r>
      <w:r w:rsidRPr="00F174E3">
        <w:rPr>
          <w:rFonts w:asciiTheme="minorHAnsi" w:hAnsiTheme="minorHAnsi"/>
          <w:sz w:val="22"/>
          <w:szCs w:val="22"/>
        </w:rPr>
        <w:t>lower than prior to the 2016 flood</w:t>
      </w:r>
      <w:r w:rsidR="000410FB">
        <w:rPr>
          <w:rFonts w:asciiTheme="minorHAnsi" w:hAnsiTheme="minorHAnsi"/>
          <w:sz w:val="22"/>
          <w:szCs w:val="22"/>
        </w:rPr>
        <w:t xml:space="preserve"> (Watts et al. 201</w:t>
      </w:r>
      <w:r w:rsidR="00FE1770">
        <w:rPr>
          <w:rFonts w:asciiTheme="minorHAnsi" w:hAnsiTheme="minorHAnsi"/>
          <w:sz w:val="22"/>
          <w:szCs w:val="22"/>
        </w:rPr>
        <w:t>9) su</w:t>
      </w:r>
      <w:r w:rsidR="000410FB">
        <w:rPr>
          <w:rFonts w:asciiTheme="minorHAnsi" w:hAnsiTheme="minorHAnsi"/>
          <w:sz w:val="22"/>
          <w:szCs w:val="22"/>
        </w:rPr>
        <w:t>ggesting the aquatic riverbank vegetation is still recovering</w:t>
      </w:r>
      <w:r w:rsidRPr="00F174E3">
        <w:rPr>
          <w:rFonts w:asciiTheme="minorHAnsi" w:hAnsiTheme="minorHAnsi"/>
          <w:sz w:val="22"/>
          <w:szCs w:val="22"/>
        </w:rPr>
        <w:t>.</w:t>
      </w:r>
      <w:r w:rsidR="007A4B6F">
        <w:rPr>
          <w:rFonts w:asciiTheme="minorHAnsi" w:hAnsiTheme="minorHAnsi"/>
          <w:sz w:val="22"/>
          <w:szCs w:val="22"/>
        </w:rPr>
        <w:t xml:space="preserve"> </w:t>
      </w:r>
      <w:r w:rsidR="00FE1770">
        <w:rPr>
          <w:rFonts w:asciiTheme="minorHAnsi" w:hAnsiTheme="minorHAnsi"/>
          <w:sz w:val="22"/>
          <w:szCs w:val="22"/>
        </w:rPr>
        <w:t>Watts et al. (2019) also noted there was</w:t>
      </w:r>
      <w:r w:rsidR="007A4B6F">
        <w:rPr>
          <w:rFonts w:asciiTheme="minorHAnsi" w:hAnsiTheme="minorHAnsi"/>
          <w:sz w:val="22"/>
          <w:szCs w:val="22"/>
        </w:rPr>
        <w:t xml:space="preserve"> variation in responses of different taxa, with </w:t>
      </w:r>
      <w:r w:rsidR="00FE1770">
        <w:rPr>
          <w:rFonts w:asciiTheme="minorHAnsi" w:hAnsiTheme="minorHAnsi"/>
          <w:sz w:val="22"/>
          <w:szCs w:val="22"/>
        </w:rPr>
        <w:t>some tolerant taxa responding quickly after the flood while other less tolera</w:t>
      </w:r>
      <w:r w:rsidR="008D1578">
        <w:rPr>
          <w:rFonts w:asciiTheme="minorHAnsi" w:hAnsiTheme="minorHAnsi"/>
          <w:sz w:val="22"/>
          <w:szCs w:val="22"/>
        </w:rPr>
        <w:t>nt taxa</w:t>
      </w:r>
      <w:r w:rsidR="00FE1770">
        <w:rPr>
          <w:rFonts w:asciiTheme="minorHAnsi" w:hAnsiTheme="minorHAnsi"/>
          <w:sz w:val="22"/>
          <w:szCs w:val="22"/>
        </w:rPr>
        <w:t xml:space="preserve"> were taking a longer-time to recover from the flood.</w:t>
      </w:r>
    </w:p>
    <w:p w14:paraId="43BFB4ED" w14:textId="60E8DE75" w:rsidR="007A4B6F" w:rsidRDefault="00752788" w:rsidP="008D1578">
      <w:pPr>
        <w:pStyle w:val="Para0bullet"/>
        <w:numPr>
          <w:ilvl w:val="0"/>
          <w:numId w:val="0"/>
        </w:numPr>
        <w:spacing w:line="259" w:lineRule="auto"/>
        <w:rPr>
          <w:rFonts w:asciiTheme="minorHAnsi" w:hAnsiTheme="minorHAnsi"/>
          <w:b/>
          <w:color w:val="31849B" w:themeColor="accent5" w:themeShade="BF"/>
          <w:sz w:val="28"/>
          <w:szCs w:val="28"/>
          <w:lang w:val="en-US"/>
        </w:rPr>
      </w:pPr>
      <w:r w:rsidRPr="004024C0">
        <w:rPr>
          <w:rFonts w:asciiTheme="minorHAnsi" w:hAnsiTheme="minorHAnsi"/>
          <w:sz w:val="22"/>
          <w:szCs w:val="22"/>
        </w:rPr>
        <w:t xml:space="preserve">This </w:t>
      </w:r>
      <w:r>
        <w:rPr>
          <w:rFonts w:asciiTheme="minorHAnsi" w:hAnsiTheme="minorHAnsi"/>
          <w:sz w:val="22"/>
          <w:szCs w:val="22"/>
        </w:rPr>
        <w:t>section</w:t>
      </w:r>
      <w:r w:rsidRPr="004024C0">
        <w:rPr>
          <w:rFonts w:asciiTheme="minorHAnsi" w:hAnsiTheme="minorHAnsi"/>
          <w:sz w:val="22"/>
          <w:szCs w:val="22"/>
        </w:rPr>
        <w:t xml:space="preserve"> reports on the recovery of riverbank and aquatic vegetation in the </w:t>
      </w:r>
      <w:r w:rsidR="008E27F6">
        <w:rPr>
          <w:rFonts w:asciiTheme="minorHAnsi" w:hAnsiTheme="minorHAnsi"/>
          <w:sz w:val="22"/>
          <w:szCs w:val="22"/>
        </w:rPr>
        <w:t>Edward/Kolety-Wakool</w:t>
      </w:r>
      <w:r w:rsidR="008760E2">
        <w:rPr>
          <w:rFonts w:asciiTheme="minorHAnsi" w:hAnsiTheme="minorHAnsi"/>
          <w:sz w:val="22"/>
          <w:szCs w:val="22"/>
        </w:rPr>
        <w:t xml:space="preserve"> system in 2019-20</w:t>
      </w:r>
      <w:r w:rsidRPr="00601CF5">
        <w:rPr>
          <w:rFonts w:asciiTheme="minorHAnsi" w:hAnsiTheme="minorHAnsi"/>
          <w:sz w:val="22"/>
          <w:szCs w:val="22"/>
        </w:rPr>
        <w:t xml:space="preserve"> since the flood of late 2016.</w:t>
      </w:r>
      <w:r w:rsidR="005A6F0D">
        <w:rPr>
          <w:rFonts w:asciiTheme="minorHAnsi" w:hAnsiTheme="minorHAnsi"/>
          <w:sz w:val="22"/>
          <w:szCs w:val="22"/>
        </w:rPr>
        <w:t xml:space="preserve"> </w:t>
      </w:r>
    </w:p>
    <w:p w14:paraId="41AA5F05" w14:textId="592D8172" w:rsidR="00752788" w:rsidRPr="005F5394" w:rsidRDefault="00752788" w:rsidP="00752788">
      <w:pPr>
        <w:pStyle w:val="BodyText"/>
        <w:spacing w:after="120" w:line="320" w:lineRule="exac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t>7</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008D1578">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for </w:t>
      </w:r>
      <w:r>
        <w:rPr>
          <w:rFonts w:asciiTheme="minorHAnsi" w:hAnsiTheme="minorHAnsi"/>
          <w:b/>
          <w:color w:val="31849B" w:themeColor="accent5" w:themeShade="BF"/>
          <w:sz w:val="28"/>
          <w:szCs w:val="28"/>
        </w:rPr>
        <w:t>vegetation</w:t>
      </w:r>
      <w:r w:rsidRPr="005F5394">
        <w:rPr>
          <w:rFonts w:asciiTheme="minorHAnsi" w:hAnsiTheme="minorHAnsi"/>
          <w:b/>
          <w:color w:val="31849B" w:themeColor="accent5" w:themeShade="BF"/>
          <w:sz w:val="28"/>
          <w:szCs w:val="28"/>
        </w:rPr>
        <w:t xml:space="preserve"> outcomes</w:t>
      </w:r>
    </w:p>
    <w:p w14:paraId="400C2400" w14:textId="314738A3" w:rsidR="00752788" w:rsidRDefault="00752788" w:rsidP="008D1578">
      <w:pPr>
        <w:spacing w:after="120" w:line="320" w:lineRule="exact"/>
        <w:jc w:val="left"/>
        <w:rPr>
          <w:color w:val="000000" w:themeColor="text1"/>
        </w:rPr>
      </w:pPr>
      <w:r w:rsidRPr="008D1578">
        <w:rPr>
          <w:color w:val="000000" w:themeColor="text1"/>
        </w:rPr>
        <w:t xml:space="preserve">Two Commonwealth environmental watering actions </w:t>
      </w:r>
      <w:r w:rsidR="008D1578" w:rsidRPr="008D1578">
        <w:rPr>
          <w:color w:val="000000" w:themeColor="text1"/>
        </w:rPr>
        <w:t xml:space="preserve">(and their sub-components) </w:t>
      </w:r>
      <w:r w:rsidRPr="008D1578">
        <w:rPr>
          <w:color w:val="000000" w:themeColor="text1"/>
        </w:rPr>
        <w:t xml:space="preserve">were delivered in the </w:t>
      </w:r>
      <w:r w:rsidR="008E27F6" w:rsidRPr="008D1578">
        <w:rPr>
          <w:color w:val="000000" w:themeColor="text1"/>
        </w:rPr>
        <w:t>Edward/Kolety-Wakool</w:t>
      </w:r>
      <w:r w:rsidRPr="008D1578">
        <w:rPr>
          <w:color w:val="000000" w:themeColor="text1"/>
        </w:rPr>
        <w:t xml:space="preserve"> system in 201</w:t>
      </w:r>
      <w:r w:rsidR="008D1578" w:rsidRPr="008D1578">
        <w:rPr>
          <w:color w:val="000000" w:themeColor="text1"/>
        </w:rPr>
        <w:t>9-20</w:t>
      </w:r>
      <w:r w:rsidRPr="008D1578">
        <w:rPr>
          <w:color w:val="000000" w:themeColor="text1"/>
        </w:rPr>
        <w:t xml:space="preserve"> (Table 7.1). The responses to </w:t>
      </w:r>
      <w:r w:rsidR="008D1578" w:rsidRPr="008D1578">
        <w:rPr>
          <w:color w:val="000000" w:themeColor="text1"/>
        </w:rPr>
        <w:t xml:space="preserve">these actions and antecedent actions over previous watering years </w:t>
      </w:r>
      <w:r w:rsidRPr="008D1578">
        <w:rPr>
          <w:color w:val="000000" w:themeColor="text1"/>
        </w:rPr>
        <w:t>is evaluated in this section</w:t>
      </w:r>
      <w:r w:rsidR="008D1578">
        <w:rPr>
          <w:color w:val="000000" w:themeColor="text1"/>
        </w:rPr>
        <w:t>.</w:t>
      </w:r>
    </w:p>
    <w:p w14:paraId="32B81A9D" w14:textId="7C9341E8" w:rsidR="001B64F2" w:rsidRPr="001B64F2" w:rsidRDefault="00752788" w:rsidP="008D1578">
      <w:pPr>
        <w:pStyle w:val="BodyText"/>
        <w:spacing w:line="240" w:lineRule="auto"/>
        <w:jc w:val="left"/>
        <w:rPr>
          <w:rFonts w:cs="Calibri"/>
          <w:color w:val="000000"/>
        </w:rPr>
      </w:pPr>
      <w:r w:rsidRPr="001B64F2">
        <w:rPr>
          <w:rFonts w:asciiTheme="minorHAnsi" w:hAnsiTheme="minorHAnsi" w:cstheme="minorHAnsi"/>
          <w:b/>
          <w:sz w:val="20"/>
        </w:rPr>
        <w:t xml:space="preserve">Table 7.1 </w:t>
      </w:r>
      <w:r w:rsidRPr="001B64F2">
        <w:rPr>
          <w:rFonts w:asciiTheme="minorHAnsi" w:hAnsiTheme="minorHAnsi" w:cstheme="minorHAnsi"/>
          <w:sz w:val="20"/>
        </w:rPr>
        <w:t>Commonwealth enviro</w:t>
      </w:r>
      <w:r w:rsidR="008760E2" w:rsidRPr="001B64F2">
        <w:rPr>
          <w:rFonts w:asciiTheme="minorHAnsi" w:hAnsiTheme="minorHAnsi" w:cstheme="minorHAnsi"/>
          <w:sz w:val="20"/>
        </w:rPr>
        <w:t>nmental watering actions in 2019-20</w:t>
      </w:r>
      <w:r w:rsidRPr="001B64F2">
        <w:rPr>
          <w:rFonts w:asciiTheme="minorHAnsi" w:hAnsiTheme="minorHAnsi" w:cstheme="minorHAnsi"/>
          <w:sz w:val="20"/>
        </w:rPr>
        <w:t xml:space="preserve"> in the Edward</w:t>
      </w:r>
      <w:r w:rsidR="001B64F2" w:rsidRPr="001B64F2">
        <w:rPr>
          <w:rFonts w:asciiTheme="minorHAnsi" w:hAnsiTheme="minorHAnsi" w:cstheme="minorHAnsi"/>
          <w:sz w:val="20"/>
        </w:rPr>
        <w:t>/Kolety-</w:t>
      </w:r>
      <w:r w:rsidRPr="001B64F2">
        <w:rPr>
          <w:rFonts w:asciiTheme="minorHAnsi" w:hAnsiTheme="minorHAnsi" w:cstheme="minorHAnsi"/>
          <w:sz w:val="20"/>
        </w:rPr>
        <w:t>Wakool River system</w:t>
      </w:r>
      <w:r w:rsidR="001B64F2" w:rsidRPr="001B64F2">
        <w:rPr>
          <w:rFonts w:asciiTheme="minorHAnsi" w:hAnsiTheme="minorHAnsi" w:cstheme="minorHAnsi"/>
          <w:sz w:val="20"/>
        </w:rPr>
        <w:t xml:space="preserve"> and list of objectives targeting vegetation outcomes</w:t>
      </w:r>
      <w:r w:rsidRPr="001B64F2">
        <w:rPr>
          <w:rFonts w:asciiTheme="minorHAnsi" w:hAnsiTheme="minorHAnsi" w:cstheme="minorHAnsi"/>
          <w:sz w:val="20"/>
        </w:rPr>
        <w:t>.</w:t>
      </w:r>
      <w:r w:rsidR="008D1578">
        <w:rPr>
          <w:rFonts w:asciiTheme="minorHAnsi" w:hAnsiTheme="minorHAnsi" w:cstheme="minorHAnsi"/>
          <w:sz w:val="20"/>
        </w:rPr>
        <w:t xml:space="preserve">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1985"/>
        <w:gridCol w:w="1417"/>
        <w:gridCol w:w="1134"/>
        <w:gridCol w:w="3969"/>
      </w:tblGrid>
      <w:tr w:rsidR="001B64F2" w14:paraId="04BF5AE1" w14:textId="77777777" w:rsidTr="008D1578">
        <w:tc>
          <w:tcPr>
            <w:tcW w:w="567" w:type="dxa"/>
            <w:tcBorders>
              <w:top w:val="single" w:sz="4" w:space="0" w:color="auto"/>
              <w:bottom w:val="single" w:sz="4" w:space="0" w:color="auto"/>
            </w:tcBorders>
            <w:shd w:val="clear" w:color="auto" w:fill="92CDDC"/>
          </w:tcPr>
          <w:p w14:paraId="5BE1D785" w14:textId="77777777" w:rsidR="001B64F2" w:rsidRDefault="001B64F2" w:rsidP="008D1578">
            <w:pPr>
              <w:spacing w:after="0" w:line="240" w:lineRule="auto"/>
              <w:jc w:val="left"/>
              <w:rPr>
                <w:b/>
              </w:rPr>
            </w:pPr>
          </w:p>
        </w:tc>
        <w:tc>
          <w:tcPr>
            <w:tcW w:w="1985" w:type="dxa"/>
            <w:tcBorders>
              <w:top w:val="single" w:sz="4" w:space="0" w:color="auto"/>
              <w:bottom w:val="single" w:sz="4" w:space="0" w:color="auto"/>
            </w:tcBorders>
            <w:shd w:val="clear" w:color="auto" w:fill="92CDDC"/>
          </w:tcPr>
          <w:p w14:paraId="0215E508" w14:textId="77777777" w:rsidR="001B64F2" w:rsidRDefault="001B64F2" w:rsidP="008D1578">
            <w:pPr>
              <w:spacing w:after="0" w:line="240" w:lineRule="auto"/>
              <w:jc w:val="left"/>
              <w:rPr>
                <w:b/>
              </w:rPr>
            </w:pPr>
            <w:r>
              <w:rPr>
                <w:b/>
              </w:rPr>
              <w:t>Watering action</w:t>
            </w:r>
          </w:p>
        </w:tc>
        <w:tc>
          <w:tcPr>
            <w:tcW w:w="1417" w:type="dxa"/>
            <w:tcBorders>
              <w:top w:val="single" w:sz="4" w:space="0" w:color="auto"/>
              <w:bottom w:val="single" w:sz="4" w:space="0" w:color="auto"/>
            </w:tcBorders>
            <w:shd w:val="clear" w:color="auto" w:fill="92CDDC"/>
          </w:tcPr>
          <w:p w14:paraId="1D0023F9" w14:textId="77777777" w:rsidR="001B64F2" w:rsidRDefault="001B64F2" w:rsidP="008D1578">
            <w:pPr>
              <w:spacing w:after="0" w:line="240" w:lineRule="auto"/>
              <w:jc w:val="left"/>
              <w:rPr>
                <w:b/>
              </w:rPr>
            </w:pPr>
            <w:r>
              <w:rPr>
                <w:b/>
              </w:rPr>
              <w:t>Dates</w:t>
            </w:r>
          </w:p>
        </w:tc>
        <w:tc>
          <w:tcPr>
            <w:tcW w:w="1134" w:type="dxa"/>
            <w:tcBorders>
              <w:top w:val="single" w:sz="4" w:space="0" w:color="auto"/>
              <w:bottom w:val="single" w:sz="4" w:space="0" w:color="auto"/>
            </w:tcBorders>
            <w:shd w:val="clear" w:color="auto" w:fill="92CDDC"/>
          </w:tcPr>
          <w:p w14:paraId="2970C68D" w14:textId="077C2040" w:rsidR="001B64F2" w:rsidRDefault="008D1578" w:rsidP="008D1578">
            <w:pPr>
              <w:spacing w:after="0" w:line="240" w:lineRule="auto"/>
              <w:jc w:val="left"/>
              <w:rPr>
                <w:b/>
              </w:rPr>
            </w:pPr>
            <w:r>
              <w:rPr>
                <w:b/>
              </w:rPr>
              <w:t>Zones</w:t>
            </w:r>
          </w:p>
        </w:tc>
        <w:tc>
          <w:tcPr>
            <w:tcW w:w="3969" w:type="dxa"/>
            <w:tcBorders>
              <w:top w:val="single" w:sz="4" w:space="0" w:color="auto"/>
              <w:bottom w:val="single" w:sz="4" w:space="0" w:color="auto"/>
            </w:tcBorders>
            <w:shd w:val="clear" w:color="auto" w:fill="92CDDC"/>
          </w:tcPr>
          <w:p w14:paraId="667DD774" w14:textId="77777777" w:rsidR="001B64F2" w:rsidRDefault="001B64F2" w:rsidP="008D1578">
            <w:pPr>
              <w:spacing w:after="0" w:line="240" w:lineRule="auto"/>
              <w:jc w:val="left"/>
              <w:rPr>
                <w:b/>
              </w:rPr>
            </w:pPr>
            <w:r>
              <w:rPr>
                <w:b/>
              </w:rPr>
              <w:t>Objectives (from CEWO)</w:t>
            </w:r>
          </w:p>
        </w:tc>
      </w:tr>
      <w:tr w:rsidR="001B64F2" w14:paraId="70E5EDC4" w14:textId="77777777" w:rsidTr="008D1578">
        <w:trPr>
          <w:trHeight w:val="407"/>
        </w:trPr>
        <w:tc>
          <w:tcPr>
            <w:tcW w:w="567" w:type="dxa"/>
            <w:tcBorders>
              <w:top w:val="single" w:sz="4" w:space="0" w:color="auto"/>
            </w:tcBorders>
            <w:shd w:val="clear" w:color="auto" w:fill="F2F2F2" w:themeFill="background1" w:themeFillShade="F2"/>
          </w:tcPr>
          <w:p w14:paraId="3C0E2622" w14:textId="77777777" w:rsidR="001B64F2" w:rsidRPr="002C710E" w:rsidRDefault="001B64F2" w:rsidP="008D1578">
            <w:pPr>
              <w:spacing w:after="0" w:line="240" w:lineRule="auto"/>
              <w:jc w:val="left"/>
            </w:pPr>
            <w:r w:rsidRPr="002C710E">
              <w:t>1</w:t>
            </w:r>
          </w:p>
        </w:tc>
        <w:tc>
          <w:tcPr>
            <w:tcW w:w="1985" w:type="dxa"/>
            <w:tcBorders>
              <w:top w:val="single" w:sz="4" w:space="0" w:color="auto"/>
            </w:tcBorders>
            <w:shd w:val="clear" w:color="auto" w:fill="F2F2F2" w:themeFill="background1" w:themeFillShade="F2"/>
          </w:tcPr>
          <w:p w14:paraId="05D9A944" w14:textId="77777777" w:rsidR="001B64F2" w:rsidRPr="002C710E" w:rsidRDefault="001B64F2" w:rsidP="008D1578">
            <w:pPr>
              <w:spacing w:after="0" w:line="240" w:lineRule="auto"/>
              <w:jc w:val="left"/>
            </w:pPr>
            <w:r w:rsidRPr="002C710E">
              <w:t>Winter base flow</w:t>
            </w:r>
          </w:p>
        </w:tc>
        <w:tc>
          <w:tcPr>
            <w:tcW w:w="1417" w:type="dxa"/>
            <w:tcBorders>
              <w:top w:val="single" w:sz="4" w:space="0" w:color="auto"/>
            </w:tcBorders>
            <w:shd w:val="clear" w:color="auto" w:fill="F2F2F2" w:themeFill="background1" w:themeFillShade="F2"/>
          </w:tcPr>
          <w:p w14:paraId="0A3F510D" w14:textId="77777777" w:rsidR="001B64F2" w:rsidRPr="002C710E" w:rsidRDefault="001B64F2" w:rsidP="008D1578">
            <w:pPr>
              <w:spacing w:after="0" w:line="240" w:lineRule="auto"/>
              <w:jc w:val="left"/>
            </w:pPr>
            <w:r>
              <w:t>15 May  - 9 Aug 20</w:t>
            </w:r>
            <w:r w:rsidRPr="002C710E">
              <w:t>19</w:t>
            </w:r>
          </w:p>
        </w:tc>
        <w:tc>
          <w:tcPr>
            <w:tcW w:w="1134" w:type="dxa"/>
            <w:tcBorders>
              <w:top w:val="single" w:sz="4" w:space="0" w:color="auto"/>
            </w:tcBorders>
            <w:shd w:val="clear" w:color="auto" w:fill="F2F2F2" w:themeFill="background1" w:themeFillShade="F2"/>
          </w:tcPr>
          <w:p w14:paraId="3A150DCE" w14:textId="52F50921" w:rsidR="001B64F2" w:rsidRPr="002C710E" w:rsidRDefault="008D1578" w:rsidP="008D1578">
            <w:pPr>
              <w:spacing w:after="0" w:line="240" w:lineRule="auto"/>
              <w:jc w:val="left"/>
            </w:pPr>
            <w:r>
              <w:t>1,3,4,8</w:t>
            </w:r>
          </w:p>
        </w:tc>
        <w:tc>
          <w:tcPr>
            <w:tcW w:w="3969" w:type="dxa"/>
            <w:tcBorders>
              <w:top w:val="single" w:sz="4" w:space="0" w:color="auto"/>
            </w:tcBorders>
            <w:shd w:val="clear" w:color="auto" w:fill="F2F2F2" w:themeFill="background1" w:themeFillShade="F2"/>
          </w:tcPr>
          <w:p w14:paraId="3928E4FF" w14:textId="1E7F1B05" w:rsidR="001B64F2" w:rsidRPr="001B64F2" w:rsidRDefault="001B64F2" w:rsidP="008D1578">
            <w:pPr>
              <w:spacing w:after="0" w:line="240" w:lineRule="auto"/>
              <w:jc w:val="left"/>
              <w:rPr>
                <w:highlight w:val="yellow"/>
              </w:rPr>
            </w:pPr>
            <w:r w:rsidRPr="008D1578">
              <w:t xml:space="preserve">For in-channel vegetation </w:t>
            </w:r>
          </w:p>
        </w:tc>
      </w:tr>
      <w:tr w:rsidR="001B64F2" w14:paraId="6F270DD4" w14:textId="77777777" w:rsidTr="008D1578">
        <w:trPr>
          <w:trHeight w:val="407"/>
        </w:trPr>
        <w:tc>
          <w:tcPr>
            <w:tcW w:w="567" w:type="dxa"/>
            <w:tcBorders>
              <w:top w:val="dashed" w:sz="4" w:space="0" w:color="auto"/>
            </w:tcBorders>
            <w:shd w:val="clear" w:color="auto" w:fill="auto"/>
          </w:tcPr>
          <w:p w14:paraId="3FDF5DF5" w14:textId="77777777" w:rsidR="001B64F2" w:rsidRPr="002C710E" w:rsidRDefault="001B64F2" w:rsidP="008D1578">
            <w:pPr>
              <w:spacing w:after="0" w:line="240" w:lineRule="auto"/>
              <w:ind w:left="29"/>
              <w:jc w:val="left"/>
            </w:pPr>
            <w:r w:rsidRPr="002C710E">
              <w:t>3a</w:t>
            </w:r>
          </w:p>
        </w:tc>
        <w:tc>
          <w:tcPr>
            <w:tcW w:w="1985" w:type="dxa"/>
            <w:tcBorders>
              <w:top w:val="dashed" w:sz="4" w:space="0" w:color="auto"/>
            </w:tcBorders>
            <w:shd w:val="clear" w:color="auto" w:fill="auto"/>
          </w:tcPr>
          <w:p w14:paraId="77244D40" w14:textId="77777777" w:rsidR="001B64F2" w:rsidRPr="002C710E" w:rsidRDefault="001B64F2" w:rsidP="008D1578">
            <w:pPr>
              <w:spacing w:after="0" w:line="240" w:lineRule="auto"/>
              <w:jc w:val="left"/>
            </w:pPr>
            <w:r w:rsidRPr="002C710E">
              <w:t>Winter/spring early fresh</w:t>
            </w:r>
          </w:p>
        </w:tc>
        <w:tc>
          <w:tcPr>
            <w:tcW w:w="1417" w:type="dxa"/>
            <w:tcBorders>
              <w:top w:val="dashed" w:sz="4" w:space="0" w:color="auto"/>
            </w:tcBorders>
          </w:tcPr>
          <w:p w14:paraId="46B49ADE" w14:textId="77777777" w:rsidR="001B64F2" w:rsidRPr="002C710E" w:rsidRDefault="001B64F2" w:rsidP="008D1578">
            <w:pPr>
              <w:spacing w:after="0" w:line="240" w:lineRule="auto"/>
              <w:jc w:val="left"/>
              <w:rPr>
                <w:rFonts w:cs="Arial"/>
                <w:color w:val="000000" w:themeColor="text1"/>
              </w:rPr>
            </w:pPr>
            <w:r>
              <w:t>28 Aug  - 4 Sep 20</w:t>
            </w:r>
            <w:r w:rsidRPr="002C710E">
              <w:t>19</w:t>
            </w:r>
          </w:p>
        </w:tc>
        <w:tc>
          <w:tcPr>
            <w:tcW w:w="1134" w:type="dxa"/>
            <w:tcBorders>
              <w:top w:val="dashed" w:sz="4" w:space="0" w:color="auto"/>
            </w:tcBorders>
          </w:tcPr>
          <w:p w14:paraId="19A611FD" w14:textId="2917B7DA" w:rsidR="001B64F2" w:rsidRPr="002C710E" w:rsidRDefault="008D1578" w:rsidP="008D1578">
            <w:pPr>
              <w:spacing w:after="0" w:line="240" w:lineRule="auto"/>
              <w:jc w:val="left"/>
              <w:rPr>
                <w:rFonts w:cs="Arial"/>
                <w:color w:val="000000" w:themeColor="text1"/>
              </w:rPr>
            </w:pPr>
            <w:r>
              <w:t>1,3,4,8</w:t>
            </w:r>
          </w:p>
        </w:tc>
        <w:tc>
          <w:tcPr>
            <w:tcW w:w="3969" w:type="dxa"/>
            <w:tcBorders>
              <w:top w:val="dashed" w:sz="4" w:space="0" w:color="auto"/>
            </w:tcBorders>
            <w:shd w:val="clear" w:color="auto" w:fill="auto"/>
          </w:tcPr>
          <w:p w14:paraId="130CDA80" w14:textId="7C6634BE" w:rsidR="001B64F2" w:rsidRPr="001B64F2" w:rsidRDefault="001B64F2" w:rsidP="008D1578">
            <w:pPr>
              <w:spacing w:after="0" w:line="240" w:lineRule="auto"/>
              <w:jc w:val="left"/>
              <w:rPr>
                <w:rFonts w:cs="Arial"/>
                <w:color w:val="000000" w:themeColor="text1"/>
                <w:highlight w:val="yellow"/>
              </w:rPr>
            </w:pPr>
            <w:r w:rsidRPr="001B64F2">
              <w:rPr>
                <w:rFonts w:cs="Arial"/>
                <w:color w:val="000000" w:themeColor="text1"/>
              </w:rPr>
              <w:t>To provide early season rise in river level to stimulate early growth of in-stream aquatic vegetation</w:t>
            </w:r>
          </w:p>
        </w:tc>
      </w:tr>
      <w:tr w:rsidR="001B64F2" w14:paraId="21C94C98" w14:textId="77777777" w:rsidTr="008D1578">
        <w:trPr>
          <w:trHeight w:val="697"/>
        </w:trPr>
        <w:tc>
          <w:tcPr>
            <w:tcW w:w="567" w:type="dxa"/>
            <w:tcBorders>
              <w:top w:val="dashed" w:sz="4" w:space="0" w:color="auto"/>
              <w:bottom w:val="dashed" w:sz="4" w:space="0" w:color="auto"/>
            </w:tcBorders>
            <w:shd w:val="clear" w:color="auto" w:fill="F2F2F2" w:themeFill="background1" w:themeFillShade="F2"/>
          </w:tcPr>
          <w:p w14:paraId="09E233A1" w14:textId="77777777" w:rsidR="001B64F2" w:rsidRPr="002C710E" w:rsidRDefault="001B64F2" w:rsidP="008D1578">
            <w:pPr>
              <w:spacing w:after="0" w:line="240" w:lineRule="auto"/>
              <w:ind w:left="29"/>
              <w:jc w:val="left"/>
            </w:pPr>
            <w:r w:rsidRPr="002C710E">
              <w:t>3b</w:t>
            </w:r>
          </w:p>
        </w:tc>
        <w:tc>
          <w:tcPr>
            <w:tcW w:w="1985" w:type="dxa"/>
            <w:tcBorders>
              <w:top w:val="dashed" w:sz="4" w:space="0" w:color="auto"/>
              <w:bottom w:val="dashed" w:sz="4" w:space="0" w:color="auto"/>
            </w:tcBorders>
            <w:shd w:val="clear" w:color="auto" w:fill="F2F2F2" w:themeFill="background1" w:themeFillShade="F2"/>
          </w:tcPr>
          <w:p w14:paraId="45E357F8" w14:textId="77777777" w:rsidR="001B64F2" w:rsidRPr="002C710E" w:rsidRDefault="001B64F2" w:rsidP="008D1578">
            <w:pPr>
              <w:spacing w:after="0" w:line="240" w:lineRule="auto"/>
              <w:jc w:val="left"/>
            </w:pPr>
            <w:r w:rsidRPr="002C710E">
              <w:t>Early spring elevated base flow</w:t>
            </w:r>
          </w:p>
        </w:tc>
        <w:tc>
          <w:tcPr>
            <w:tcW w:w="1417" w:type="dxa"/>
            <w:tcBorders>
              <w:top w:val="dashed" w:sz="4" w:space="0" w:color="auto"/>
              <w:bottom w:val="dashed" w:sz="4" w:space="0" w:color="auto"/>
            </w:tcBorders>
            <w:shd w:val="clear" w:color="auto" w:fill="F2F2F2" w:themeFill="background1" w:themeFillShade="F2"/>
          </w:tcPr>
          <w:p w14:paraId="3DB28C93" w14:textId="77777777" w:rsidR="001B64F2" w:rsidRPr="002C710E" w:rsidRDefault="001B64F2" w:rsidP="008D1578">
            <w:pPr>
              <w:spacing w:after="0" w:line="240" w:lineRule="auto"/>
              <w:jc w:val="left"/>
              <w:rPr>
                <w:rFonts w:cs="Arial"/>
                <w:color w:val="000000" w:themeColor="text1"/>
                <w14:props3d w14:extrusionH="0" w14:contourW="0" w14:prstMaterial="matte"/>
              </w:rPr>
            </w:pPr>
            <w:r>
              <w:t>5 - 22 Sep 20</w:t>
            </w:r>
            <w:r w:rsidRPr="002C710E">
              <w:t>19</w:t>
            </w:r>
          </w:p>
        </w:tc>
        <w:tc>
          <w:tcPr>
            <w:tcW w:w="1134" w:type="dxa"/>
            <w:tcBorders>
              <w:top w:val="dashed" w:sz="4" w:space="0" w:color="auto"/>
              <w:bottom w:val="dashed" w:sz="4" w:space="0" w:color="auto"/>
            </w:tcBorders>
            <w:shd w:val="clear" w:color="auto" w:fill="F2F2F2" w:themeFill="background1" w:themeFillShade="F2"/>
          </w:tcPr>
          <w:p w14:paraId="05C7C82F" w14:textId="0AD5AD88" w:rsidR="001B64F2" w:rsidRPr="002C710E" w:rsidRDefault="008D1578" w:rsidP="008D1578">
            <w:pPr>
              <w:spacing w:after="0" w:line="240" w:lineRule="auto"/>
              <w:jc w:val="left"/>
              <w:rPr>
                <w:rFonts w:cs="Arial"/>
                <w:color w:val="000000" w:themeColor="text1"/>
                <w14:props3d w14:extrusionH="0" w14:contourW="0" w14:prstMaterial="matte"/>
              </w:rPr>
            </w:pPr>
            <w:r>
              <w:t>1,3,4,8</w:t>
            </w:r>
          </w:p>
        </w:tc>
        <w:tc>
          <w:tcPr>
            <w:tcW w:w="3969" w:type="dxa"/>
            <w:tcBorders>
              <w:top w:val="dashed" w:sz="4" w:space="0" w:color="auto"/>
              <w:bottom w:val="dashed" w:sz="4" w:space="0" w:color="auto"/>
            </w:tcBorders>
            <w:shd w:val="clear" w:color="auto" w:fill="F2F2F2" w:themeFill="background1" w:themeFillShade="F2"/>
          </w:tcPr>
          <w:p w14:paraId="5C577250" w14:textId="70A25EC9" w:rsidR="001B64F2" w:rsidRPr="001B64F2" w:rsidRDefault="001B64F2" w:rsidP="008D1578">
            <w:pPr>
              <w:spacing w:after="0" w:line="240" w:lineRule="auto"/>
              <w:jc w:val="left"/>
              <w:rPr>
                <w:highlight w:val="yellow"/>
              </w:rPr>
            </w:pPr>
            <w:r w:rsidRPr="001B64F2">
              <w:rPr>
                <w:rFonts w:cs="Arial"/>
                <w:color w:val="000000" w:themeColor="text1"/>
                <w14:props3d w14:extrusionH="0" w14:contourW="0" w14:prstMaterial="matte"/>
              </w:rPr>
              <w:t>To provide inundation for aquatic vegetation growth</w:t>
            </w:r>
          </w:p>
        </w:tc>
      </w:tr>
      <w:tr w:rsidR="001B64F2" w14:paraId="3AD759F2" w14:textId="77777777" w:rsidTr="008D1578">
        <w:trPr>
          <w:trHeight w:val="443"/>
        </w:trPr>
        <w:tc>
          <w:tcPr>
            <w:tcW w:w="567" w:type="dxa"/>
            <w:tcBorders>
              <w:top w:val="dashed" w:sz="4" w:space="0" w:color="auto"/>
              <w:bottom w:val="dashed" w:sz="4" w:space="0" w:color="auto"/>
            </w:tcBorders>
            <w:shd w:val="clear" w:color="auto" w:fill="F2F2F2" w:themeFill="background1" w:themeFillShade="F2"/>
          </w:tcPr>
          <w:p w14:paraId="428C1B6A" w14:textId="77777777" w:rsidR="001B64F2" w:rsidRPr="002C710E" w:rsidRDefault="001B64F2" w:rsidP="008D1578">
            <w:pPr>
              <w:spacing w:after="0" w:line="240" w:lineRule="auto"/>
              <w:ind w:left="29"/>
              <w:jc w:val="left"/>
            </w:pPr>
            <w:r w:rsidRPr="002C710E">
              <w:t>3c</w:t>
            </w:r>
          </w:p>
        </w:tc>
        <w:tc>
          <w:tcPr>
            <w:tcW w:w="1985" w:type="dxa"/>
            <w:tcBorders>
              <w:top w:val="dashed" w:sz="4" w:space="0" w:color="auto"/>
              <w:bottom w:val="dashed" w:sz="4" w:space="0" w:color="auto"/>
            </w:tcBorders>
            <w:shd w:val="clear" w:color="auto" w:fill="F2F2F2" w:themeFill="background1" w:themeFillShade="F2"/>
          </w:tcPr>
          <w:p w14:paraId="14049431" w14:textId="77777777" w:rsidR="001B64F2" w:rsidRPr="002C710E" w:rsidRDefault="001B64F2" w:rsidP="008D1578">
            <w:pPr>
              <w:spacing w:after="0" w:line="240" w:lineRule="auto"/>
              <w:jc w:val="left"/>
            </w:pPr>
            <w:r w:rsidRPr="002C710E">
              <w:t>Late spring fresh</w:t>
            </w:r>
          </w:p>
        </w:tc>
        <w:tc>
          <w:tcPr>
            <w:tcW w:w="1417" w:type="dxa"/>
            <w:tcBorders>
              <w:top w:val="dashed" w:sz="4" w:space="0" w:color="auto"/>
              <w:bottom w:val="dashed" w:sz="4" w:space="0" w:color="auto"/>
            </w:tcBorders>
            <w:shd w:val="clear" w:color="auto" w:fill="F2F2F2" w:themeFill="background1" w:themeFillShade="F2"/>
          </w:tcPr>
          <w:p w14:paraId="0EB5D7BF" w14:textId="77777777" w:rsidR="001B64F2" w:rsidRPr="002C710E" w:rsidRDefault="001B64F2" w:rsidP="008D1578">
            <w:pPr>
              <w:spacing w:after="0" w:line="240" w:lineRule="auto"/>
              <w:jc w:val="left"/>
              <w:rPr>
                <w:color w:val="000000" w:themeColor="text1"/>
                <w14:props3d w14:extrusionH="0" w14:contourW="0" w14:prstMaterial="matte"/>
              </w:rPr>
            </w:pPr>
            <w:r>
              <w:t>23 Sep</w:t>
            </w:r>
            <w:r w:rsidRPr="002C710E">
              <w:t xml:space="preserve"> </w:t>
            </w:r>
            <w:r>
              <w:t>- 11 Oct 2019</w:t>
            </w:r>
          </w:p>
        </w:tc>
        <w:tc>
          <w:tcPr>
            <w:tcW w:w="1134" w:type="dxa"/>
            <w:tcBorders>
              <w:top w:val="dashed" w:sz="4" w:space="0" w:color="auto"/>
              <w:bottom w:val="dashed" w:sz="4" w:space="0" w:color="auto"/>
            </w:tcBorders>
            <w:shd w:val="clear" w:color="auto" w:fill="F2F2F2" w:themeFill="background1" w:themeFillShade="F2"/>
          </w:tcPr>
          <w:p w14:paraId="712279D9" w14:textId="3571FFB9" w:rsidR="001B64F2" w:rsidRPr="002C710E" w:rsidRDefault="008D1578" w:rsidP="008D1578">
            <w:pPr>
              <w:spacing w:after="0" w:line="240" w:lineRule="auto"/>
              <w:jc w:val="left"/>
              <w:rPr>
                <w:color w:val="000000" w:themeColor="text1"/>
                <w14:props3d w14:extrusionH="0" w14:contourW="0" w14:prstMaterial="matte"/>
              </w:rPr>
            </w:pPr>
            <w:r>
              <w:t>1,3,4,8</w:t>
            </w:r>
          </w:p>
        </w:tc>
        <w:tc>
          <w:tcPr>
            <w:tcW w:w="3969" w:type="dxa"/>
            <w:tcBorders>
              <w:top w:val="dashed" w:sz="4" w:space="0" w:color="auto"/>
              <w:bottom w:val="dashed" w:sz="4" w:space="0" w:color="auto"/>
            </w:tcBorders>
            <w:shd w:val="clear" w:color="auto" w:fill="F2F2F2" w:themeFill="background1" w:themeFillShade="F2"/>
          </w:tcPr>
          <w:p w14:paraId="6A8CE919" w14:textId="615B5A0D" w:rsidR="001B64F2" w:rsidRPr="001B64F2" w:rsidRDefault="001B64F2" w:rsidP="008D1578">
            <w:pPr>
              <w:spacing w:after="0" w:line="240" w:lineRule="auto"/>
              <w:jc w:val="left"/>
              <w:rPr>
                <w:color w:val="000000" w:themeColor="text1"/>
                <w:highlight w:val="yellow"/>
                <w14:props3d w14:extrusionH="0" w14:contourW="0" w14:prstMaterial="matte"/>
              </w:rPr>
            </w:pPr>
            <w:r w:rsidRPr="001B64F2">
              <w:rPr>
                <w:color w:val="000000" w:themeColor="text1"/>
                <w14:props3d w14:extrusionH="0" w14:contourW="0" w14:prstMaterial="matte"/>
              </w:rPr>
              <w:t>No specific vegetation objectives</w:t>
            </w:r>
          </w:p>
        </w:tc>
      </w:tr>
      <w:tr w:rsidR="001B64F2" w14:paraId="0B3B8E61" w14:textId="77777777" w:rsidTr="008D1578">
        <w:trPr>
          <w:trHeight w:val="573"/>
        </w:trPr>
        <w:tc>
          <w:tcPr>
            <w:tcW w:w="567" w:type="dxa"/>
            <w:tcBorders>
              <w:top w:val="dashed" w:sz="4" w:space="0" w:color="auto"/>
              <w:bottom w:val="dashed" w:sz="4" w:space="0" w:color="auto"/>
            </w:tcBorders>
            <w:shd w:val="clear" w:color="auto" w:fill="auto"/>
          </w:tcPr>
          <w:p w14:paraId="72A26809" w14:textId="77777777" w:rsidR="001B64F2" w:rsidRPr="002C710E" w:rsidRDefault="001B64F2" w:rsidP="008D1578">
            <w:pPr>
              <w:spacing w:after="0" w:line="240" w:lineRule="auto"/>
              <w:ind w:left="29"/>
              <w:jc w:val="left"/>
            </w:pPr>
            <w:r w:rsidRPr="002C710E">
              <w:t>3d</w:t>
            </w:r>
          </w:p>
        </w:tc>
        <w:tc>
          <w:tcPr>
            <w:tcW w:w="1985" w:type="dxa"/>
            <w:tcBorders>
              <w:top w:val="dashed" w:sz="4" w:space="0" w:color="auto"/>
              <w:bottom w:val="dashed" w:sz="4" w:space="0" w:color="auto"/>
            </w:tcBorders>
            <w:shd w:val="clear" w:color="auto" w:fill="auto"/>
          </w:tcPr>
          <w:p w14:paraId="5B7E1A47" w14:textId="77777777" w:rsidR="001B64F2" w:rsidRPr="002C710E" w:rsidRDefault="001B64F2" w:rsidP="008D1578">
            <w:pPr>
              <w:spacing w:after="0" w:line="240" w:lineRule="auto"/>
              <w:jc w:val="left"/>
            </w:pPr>
            <w:r w:rsidRPr="002C710E">
              <w:t>Late spring elevated base flow</w:t>
            </w:r>
          </w:p>
        </w:tc>
        <w:tc>
          <w:tcPr>
            <w:tcW w:w="1417" w:type="dxa"/>
            <w:tcBorders>
              <w:top w:val="dashed" w:sz="4" w:space="0" w:color="auto"/>
              <w:bottom w:val="dashed" w:sz="4" w:space="0" w:color="auto"/>
            </w:tcBorders>
          </w:tcPr>
          <w:p w14:paraId="0FC2FD1F" w14:textId="77777777" w:rsidR="001B64F2" w:rsidRPr="002C710E" w:rsidRDefault="001B64F2" w:rsidP="008D1578">
            <w:pPr>
              <w:spacing w:after="0" w:line="240" w:lineRule="auto"/>
              <w:jc w:val="left"/>
              <w:rPr>
                <w:color w:val="000000" w:themeColor="text1"/>
                <w14:props3d w14:extrusionH="0" w14:contourW="0" w14:prstMaterial="matte"/>
              </w:rPr>
            </w:pPr>
            <w:r>
              <w:t>12 Oct - 30 Nov 2019</w:t>
            </w:r>
          </w:p>
        </w:tc>
        <w:tc>
          <w:tcPr>
            <w:tcW w:w="1134" w:type="dxa"/>
            <w:tcBorders>
              <w:top w:val="dashed" w:sz="4" w:space="0" w:color="auto"/>
              <w:bottom w:val="dashed" w:sz="4" w:space="0" w:color="auto"/>
            </w:tcBorders>
          </w:tcPr>
          <w:p w14:paraId="4675543F" w14:textId="5C545F35" w:rsidR="001B64F2" w:rsidRPr="002C710E" w:rsidRDefault="008D1578" w:rsidP="008D1578">
            <w:pPr>
              <w:spacing w:after="0" w:line="240" w:lineRule="auto"/>
              <w:jc w:val="left"/>
              <w:rPr>
                <w:color w:val="000000" w:themeColor="text1"/>
                <w14:props3d w14:extrusionH="0" w14:contourW="0" w14:prstMaterial="matte"/>
              </w:rPr>
            </w:pPr>
            <w:r>
              <w:t>1,3,4,8</w:t>
            </w:r>
          </w:p>
        </w:tc>
        <w:tc>
          <w:tcPr>
            <w:tcW w:w="3969" w:type="dxa"/>
            <w:tcBorders>
              <w:top w:val="dashed" w:sz="4" w:space="0" w:color="auto"/>
              <w:bottom w:val="dashed" w:sz="4" w:space="0" w:color="auto"/>
            </w:tcBorders>
            <w:shd w:val="clear" w:color="auto" w:fill="auto"/>
          </w:tcPr>
          <w:p w14:paraId="5C60DE43" w14:textId="6F42C1C1" w:rsidR="001B64F2" w:rsidRPr="001B64F2" w:rsidRDefault="001B64F2" w:rsidP="008D1578">
            <w:pPr>
              <w:spacing w:after="0" w:line="240" w:lineRule="auto"/>
              <w:jc w:val="left"/>
              <w:rPr>
                <w:color w:val="000000" w:themeColor="text1"/>
                <w:highlight w:val="yellow"/>
                <w14:props3d w14:extrusionH="0" w14:contourW="0" w14:prstMaterial="matte"/>
              </w:rPr>
            </w:pPr>
            <w:r w:rsidRPr="001B64F2">
              <w:rPr>
                <w:color w:val="000000" w:themeColor="text1"/>
                <w14:props3d w14:extrusionH="0" w14:contourW="0" w14:prstMaterial="matte"/>
              </w:rPr>
              <w:t>No specific vegetation objectives</w:t>
            </w:r>
          </w:p>
        </w:tc>
      </w:tr>
      <w:tr w:rsidR="001B64F2" w14:paraId="58BEAFA1" w14:textId="77777777" w:rsidTr="008D1578">
        <w:trPr>
          <w:trHeight w:val="553"/>
        </w:trPr>
        <w:tc>
          <w:tcPr>
            <w:tcW w:w="567" w:type="dxa"/>
            <w:tcBorders>
              <w:top w:val="dashed" w:sz="4" w:space="0" w:color="auto"/>
              <w:bottom w:val="single" w:sz="4" w:space="0" w:color="auto"/>
            </w:tcBorders>
            <w:shd w:val="clear" w:color="auto" w:fill="auto"/>
          </w:tcPr>
          <w:p w14:paraId="5123C5A2" w14:textId="2B483B9C" w:rsidR="001B64F2" w:rsidRPr="002C710E" w:rsidRDefault="001B64F2" w:rsidP="008D1578">
            <w:pPr>
              <w:spacing w:after="0" w:line="240" w:lineRule="auto"/>
              <w:ind w:left="29"/>
              <w:jc w:val="left"/>
            </w:pPr>
            <w:r>
              <w:t>3e</w:t>
            </w:r>
          </w:p>
        </w:tc>
        <w:tc>
          <w:tcPr>
            <w:tcW w:w="1985" w:type="dxa"/>
            <w:tcBorders>
              <w:top w:val="dashed" w:sz="4" w:space="0" w:color="auto"/>
              <w:bottom w:val="single" w:sz="4" w:space="0" w:color="auto"/>
            </w:tcBorders>
            <w:shd w:val="clear" w:color="auto" w:fill="auto"/>
          </w:tcPr>
          <w:p w14:paraId="6461B296" w14:textId="22E33B61" w:rsidR="001B64F2" w:rsidRPr="002C710E" w:rsidRDefault="001B64F2" w:rsidP="008D1578">
            <w:pPr>
              <w:spacing w:after="0" w:line="240" w:lineRule="auto"/>
              <w:jc w:val="left"/>
            </w:pPr>
            <w:r>
              <w:t>R</w:t>
            </w:r>
            <w:r w:rsidRPr="00B14819">
              <w:t>ecession</w:t>
            </w:r>
          </w:p>
        </w:tc>
        <w:tc>
          <w:tcPr>
            <w:tcW w:w="1417" w:type="dxa"/>
            <w:tcBorders>
              <w:top w:val="dashed" w:sz="4" w:space="0" w:color="auto"/>
              <w:bottom w:val="single" w:sz="4" w:space="0" w:color="auto"/>
            </w:tcBorders>
          </w:tcPr>
          <w:p w14:paraId="130D236C" w14:textId="22BDB495" w:rsidR="001B64F2" w:rsidRDefault="001B64F2" w:rsidP="008D1578">
            <w:pPr>
              <w:spacing w:after="0" w:line="240" w:lineRule="auto"/>
              <w:jc w:val="left"/>
            </w:pPr>
            <w:r>
              <w:t>1 Dec – 22 Dec 2019</w:t>
            </w:r>
          </w:p>
        </w:tc>
        <w:tc>
          <w:tcPr>
            <w:tcW w:w="1134" w:type="dxa"/>
            <w:tcBorders>
              <w:top w:val="dashed" w:sz="4" w:space="0" w:color="auto"/>
              <w:bottom w:val="single" w:sz="4" w:space="0" w:color="auto"/>
            </w:tcBorders>
          </w:tcPr>
          <w:p w14:paraId="7A14B488" w14:textId="3258326D" w:rsidR="001B64F2" w:rsidRDefault="008D1578" w:rsidP="008D1578">
            <w:pPr>
              <w:spacing w:after="0" w:line="240" w:lineRule="auto"/>
              <w:jc w:val="left"/>
            </w:pPr>
            <w:r>
              <w:t>1,3,4,8</w:t>
            </w:r>
          </w:p>
        </w:tc>
        <w:tc>
          <w:tcPr>
            <w:tcW w:w="3969" w:type="dxa"/>
            <w:tcBorders>
              <w:top w:val="dashed" w:sz="4" w:space="0" w:color="auto"/>
              <w:bottom w:val="single" w:sz="4" w:space="0" w:color="auto"/>
            </w:tcBorders>
            <w:shd w:val="clear" w:color="auto" w:fill="auto"/>
          </w:tcPr>
          <w:p w14:paraId="075EBE7F" w14:textId="62C579FD" w:rsidR="001B64F2" w:rsidRPr="001B64F2" w:rsidRDefault="001B64F2" w:rsidP="008D1578">
            <w:pPr>
              <w:spacing w:after="0" w:line="240" w:lineRule="auto"/>
              <w:jc w:val="left"/>
              <w:rPr>
                <w:color w:val="000000" w:themeColor="text1"/>
                <w14:props3d w14:extrusionH="0" w14:contourW="0" w14:prstMaterial="matte"/>
              </w:rPr>
            </w:pPr>
            <w:r w:rsidRPr="00B14819">
              <w:rPr>
                <w:color w:val="000000" w:themeColor="text1"/>
                <w14:props3d w14:extrusionH="0" w14:contourW="0" w14:prstMaterial="matte"/>
              </w:rPr>
              <w:t>Slow reces</w:t>
            </w:r>
            <w:r>
              <w:rPr>
                <w:color w:val="000000" w:themeColor="text1"/>
                <w14:props3d w14:extrusionH="0" w14:contourW="0" w14:prstMaterial="matte"/>
              </w:rPr>
              <w:t>sions for instream water plants</w:t>
            </w:r>
          </w:p>
        </w:tc>
      </w:tr>
    </w:tbl>
    <w:p w14:paraId="3D62457D" w14:textId="55CA3341" w:rsidR="00752788" w:rsidRPr="004C71B4" w:rsidRDefault="00752788" w:rsidP="008D1578">
      <w:pPr>
        <w:tabs>
          <w:tab w:val="left" w:pos="9071"/>
        </w:tabs>
        <w:spacing w:before="240" w:after="120" w:line="320" w:lineRule="exact"/>
        <w:jc w:val="left"/>
        <w:rPr>
          <w:b/>
          <w:color w:val="31849B" w:themeColor="accent5" w:themeShade="BF"/>
          <w:sz w:val="28"/>
          <w:szCs w:val="28"/>
        </w:rPr>
      </w:pPr>
      <w:r>
        <w:rPr>
          <w:b/>
          <w:color w:val="31849B" w:themeColor="accent5" w:themeShade="BF"/>
          <w:sz w:val="28"/>
          <w:szCs w:val="28"/>
        </w:rPr>
        <w:t>7.3</w:t>
      </w:r>
      <w:r w:rsidR="00C128C7">
        <w:rPr>
          <w:b/>
          <w:color w:val="31849B" w:themeColor="accent5" w:themeShade="BF"/>
          <w:sz w:val="28"/>
          <w:szCs w:val="28"/>
        </w:rPr>
        <w:t xml:space="preserve">  </w:t>
      </w:r>
      <w:r>
        <w:rPr>
          <w:b/>
          <w:color w:val="31849B" w:themeColor="accent5" w:themeShade="BF"/>
          <w:sz w:val="28"/>
          <w:szCs w:val="28"/>
        </w:rPr>
        <w:t>Selected Area evaluation q</w:t>
      </w:r>
      <w:r w:rsidRPr="004C71B4">
        <w:rPr>
          <w:b/>
          <w:color w:val="31849B" w:themeColor="accent5" w:themeShade="BF"/>
          <w:sz w:val="28"/>
          <w:szCs w:val="28"/>
        </w:rPr>
        <w:t>uestions</w:t>
      </w:r>
    </w:p>
    <w:p w14:paraId="7E10A8B8" w14:textId="77777777" w:rsidR="00752788" w:rsidRPr="002F7355" w:rsidRDefault="00752788" w:rsidP="008D1578">
      <w:pPr>
        <w:pStyle w:val="Para0"/>
        <w:spacing w:before="0" w:after="0"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Long-term evaluation questions</w:t>
      </w:r>
    </w:p>
    <w:p w14:paraId="602592A7" w14:textId="5C7BB598" w:rsidR="00752788" w:rsidRPr="006F2F58" w:rsidRDefault="00752788" w:rsidP="008D1578">
      <w:pPr>
        <w:pStyle w:val="Para0bullet"/>
        <w:spacing w:after="0" w:line="280" w:lineRule="exact"/>
        <w:rPr>
          <w:rFonts w:asciiTheme="minorHAnsi" w:hAnsiTheme="minorHAnsi"/>
          <w:i/>
          <w:sz w:val="22"/>
          <w:szCs w:val="22"/>
        </w:rPr>
      </w:pPr>
      <w:r w:rsidRPr="006F2F58">
        <w:rPr>
          <w:rFonts w:asciiTheme="minorHAnsi" w:hAnsiTheme="minorHAnsi"/>
          <w:i/>
          <w:sz w:val="22"/>
          <w:szCs w:val="22"/>
        </w:rPr>
        <w:t xml:space="preserve">What has </w:t>
      </w:r>
      <w:r w:rsidRPr="006F2F58">
        <w:rPr>
          <w:rFonts w:asciiTheme="minorHAnsi" w:hAnsiTheme="minorHAnsi" w:cs="Calibri"/>
          <w:i/>
          <w:sz w:val="22"/>
          <w:szCs w:val="22"/>
        </w:rPr>
        <w:t xml:space="preserve">Commonwealth environmental water </w:t>
      </w:r>
      <w:r w:rsidRPr="006F2F58">
        <w:rPr>
          <w:rFonts w:asciiTheme="minorHAnsi" w:hAnsiTheme="minorHAnsi"/>
          <w:i/>
          <w:sz w:val="22"/>
          <w:szCs w:val="22"/>
        </w:rPr>
        <w:t>contributed to the recovery (measured through species richness, plant cover and recruitment) of riverbank and aquatic vegetation in Yallakool Creek and the mid</w:t>
      </w:r>
      <w:r w:rsidR="006F24AB">
        <w:rPr>
          <w:rFonts w:asciiTheme="minorHAnsi" w:hAnsiTheme="minorHAnsi"/>
          <w:i/>
          <w:sz w:val="22"/>
          <w:szCs w:val="22"/>
        </w:rPr>
        <w:t>d</w:t>
      </w:r>
      <w:r w:rsidR="00601CF5">
        <w:rPr>
          <w:rFonts w:asciiTheme="minorHAnsi" w:hAnsiTheme="minorHAnsi"/>
          <w:i/>
          <w:sz w:val="22"/>
          <w:szCs w:val="22"/>
        </w:rPr>
        <w:t>le</w:t>
      </w:r>
      <w:r w:rsidRPr="006F2F58">
        <w:rPr>
          <w:rFonts w:asciiTheme="minorHAnsi" w:hAnsiTheme="minorHAnsi"/>
          <w:i/>
          <w:sz w:val="22"/>
          <w:szCs w:val="22"/>
        </w:rPr>
        <w:t xml:space="preserve"> and upper Wakool River that have been impacted by operational flows and drought and how do those responses vary over time?</w:t>
      </w:r>
    </w:p>
    <w:p w14:paraId="1C77FB98" w14:textId="2F88A555" w:rsidR="00752788" w:rsidRPr="008A2671" w:rsidRDefault="00752788" w:rsidP="008D1578">
      <w:pPr>
        <w:pStyle w:val="Para0bullet"/>
        <w:spacing w:line="280" w:lineRule="exact"/>
        <w:rPr>
          <w:rFonts w:asciiTheme="minorHAnsi" w:hAnsiTheme="minorHAnsi"/>
          <w:i/>
          <w:szCs w:val="22"/>
        </w:rPr>
      </w:pPr>
      <w:r w:rsidRPr="006F1258">
        <w:rPr>
          <w:rFonts w:asciiTheme="minorHAnsi" w:hAnsiTheme="minorHAnsi"/>
          <w:i/>
          <w:sz w:val="22"/>
          <w:szCs w:val="22"/>
        </w:rPr>
        <w:t xml:space="preserve">How do vegetation responses to Commonwealth environmental water delivery vary </w:t>
      </w:r>
      <w:r w:rsidRPr="00601CF5">
        <w:rPr>
          <w:rFonts w:asciiTheme="minorHAnsi" w:hAnsiTheme="minorHAnsi"/>
          <w:i/>
          <w:sz w:val="22"/>
          <w:szCs w:val="22"/>
        </w:rPr>
        <w:t>among hydrological zones?</w:t>
      </w:r>
    </w:p>
    <w:p w14:paraId="6FD1F603" w14:textId="207B947C" w:rsidR="00752788" w:rsidRPr="002F7355" w:rsidRDefault="00752788" w:rsidP="008D1578">
      <w:pPr>
        <w:pStyle w:val="Para0"/>
        <w:spacing w:before="0" w:after="0"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Short-term evaluation questions</w:t>
      </w:r>
    </w:p>
    <w:p w14:paraId="64D7CE5E" w14:textId="4C723DCB" w:rsidR="00752788" w:rsidRPr="006F2F58" w:rsidRDefault="00752788" w:rsidP="008D1578">
      <w:pPr>
        <w:pStyle w:val="Para0bullet"/>
        <w:spacing w:after="0" w:line="280" w:lineRule="exact"/>
        <w:rPr>
          <w:rFonts w:asciiTheme="minorHAnsi" w:hAnsiTheme="minorHAnsi" w:cs="Calibri"/>
          <w:i/>
          <w:sz w:val="22"/>
          <w:szCs w:val="22"/>
        </w:rPr>
      </w:pPr>
      <w:r w:rsidRPr="006F2F58">
        <w:rPr>
          <w:rFonts w:asciiTheme="minorHAnsi" w:hAnsiTheme="minorHAnsi" w:cs="Calibri"/>
          <w:i/>
          <w:sz w:val="22"/>
          <w:szCs w:val="22"/>
        </w:rPr>
        <w:t>What did Co</w:t>
      </w:r>
      <w:r w:rsidR="00F0082C">
        <w:rPr>
          <w:rFonts w:asciiTheme="minorHAnsi" w:hAnsiTheme="minorHAnsi" w:cs="Calibri"/>
          <w:i/>
          <w:sz w:val="22"/>
          <w:szCs w:val="22"/>
        </w:rPr>
        <w:t>mmonwealth environmental water</w:t>
      </w:r>
      <w:r w:rsidRPr="006F2F58">
        <w:rPr>
          <w:rFonts w:asciiTheme="minorHAnsi" w:hAnsiTheme="minorHAnsi" w:cs="Calibri"/>
          <w:i/>
          <w:sz w:val="22"/>
          <w:szCs w:val="22"/>
        </w:rPr>
        <w:t xml:space="preserve"> contribute to the percent cover of riverbank and aquatic vegetation?</w:t>
      </w:r>
    </w:p>
    <w:p w14:paraId="4614E0F6" w14:textId="44A66FBE" w:rsidR="00752788" w:rsidRPr="0070547B" w:rsidRDefault="00752788" w:rsidP="005A592B">
      <w:pPr>
        <w:pStyle w:val="Para0bullet"/>
        <w:spacing w:line="280" w:lineRule="exact"/>
        <w:rPr>
          <w:rFonts w:asciiTheme="minorHAnsi" w:hAnsiTheme="minorHAnsi" w:cstheme="minorHAnsi"/>
          <w:b/>
          <w:color w:val="000000" w:themeColor="text1"/>
          <w:sz w:val="22"/>
          <w:szCs w:val="22"/>
        </w:rPr>
      </w:pPr>
      <w:r w:rsidRPr="004852C4">
        <w:rPr>
          <w:rFonts w:asciiTheme="minorHAnsi" w:hAnsiTheme="minorHAnsi" w:cs="Calibri"/>
          <w:i/>
          <w:sz w:val="22"/>
          <w:szCs w:val="22"/>
        </w:rPr>
        <w:t>What did Commonwealth environmental water contribute to the diversity of riverbank and aquatic vegetation taxa?</w:t>
      </w:r>
    </w:p>
    <w:p w14:paraId="2A071E07" w14:textId="3EFB683A" w:rsidR="00752788" w:rsidRPr="004C71B4" w:rsidRDefault="00752788" w:rsidP="00752788">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7.4</w:t>
      </w:r>
      <w:r w:rsidR="007A4B6F">
        <w:rPr>
          <w:b/>
          <w:color w:val="31849B" w:themeColor="accent5" w:themeShade="BF"/>
          <w:sz w:val="28"/>
          <w:szCs w:val="28"/>
        </w:rPr>
        <w:t xml:space="preserve">  </w:t>
      </w:r>
      <w:r w:rsidRPr="004C71B4">
        <w:rPr>
          <w:b/>
          <w:color w:val="31849B" w:themeColor="accent5" w:themeShade="BF"/>
          <w:sz w:val="28"/>
          <w:szCs w:val="28"/>
        </w:rPr>
        <w:t>Methods</w:t>
      </w:r>
    </w:p>
    <w:p w14:paraId="6E17B228" w14:textId="77777777" w:rsidR="00752788" w:rsidRPr="00B0392E" w:rsidRDefault="00752788" w:rsidP="00972703">
      <w:pPr>
        <w:autoSpaceDE w:val="0"/>
        <w:autoSpaceDN w:val="0"/>
        <w:adjustRightInd w:val="0"/>
        <w:spacing w:after="0" w:line="320" w:lineRule="exact"/>
        <w:rPr>
          <w:rFonts w:cs="Calibri"/>
          <w:b/>
          <w:i/>
          <w:color w:val="31849B" w:themeColor="accent5" w:themeShade="BF"/>
          <w:sz w:val="24"/>
          <w:szCs w:val="24"/>
        </w:rPr>
      </w:pPr>
      <w:r w:rsidRPr="00B0392E">
        <w:rPr>
          <w:rFonts w:cs="Calibri"/>
          <w:b/>
          <w:i/>
          <w:color w:val="31849B" w:themeColor="accent5" w:themeShade="BF"/>
          <w:sz w:val="24"/>
          <w:szCs w:val="24"/>
        </w:rPr>
        <w:t>Monitoring design and field sampling</w:t>
      </w:r>
    </w:p>
    <w:p w14:paraId="1E1A8A8A" w14:textId="0B0AAFDB" w:rsidR="00752788" w:rsidRDefault="00752788" w:rsidP="0013185E">
      <w:pPr>
        <w:autoSpaceDE w:val="0"/>
        <w:autoSpaceDN w:val="0"/>
        <w:adjustRightInd w:val="0"/>
        <w:spacing w:after="120" w:line="320" w:lineRule="exact"/>
        <w:ind w:right="-285"/>
        <w:jc w:val="left"/>
        <w:rPr>
          <w:rFonts w:cs="Calibri"/>
        </w:rPr>
      </w:pPr>
      <w:r>
        <w:rPr>
          <w:rFonts w:cs="Calibri"/>
        </w:rPr>
        <w:t>Four</w:t>
      </w:r>
      <w:r w:rsidRPr="00B201E4">
        <w:rPr>
          <w:rFonts w:cs="Calibri"/>
        </w:rPr>
        <w:t xml:space="preserve"> sites </w:t>
      </w:r>
      <w:r>
        <w:rPr>
          <w:rFonts w:cs="Calibri"/>
        </w:rPr>
        <w:t>in</w:t>
      </w:r>
      <w:r w:rsidRPr="00B201E4">
        <w:rPr>
          <w:rFonts w:cs="Calibri"/>
        </w:rPr>
        <w:t xml:space="preserve"> each </w:t>
      </w:r>
      <w:r>
        <w:rPr>
          <w:rFonts w:cs="Calibri"/>
        </w:rPr>
        <w:t xml:space="preserve">of </w:t>
      </w:r>
      <w:r w:rsidR="008760E2">
        <w:rPr>
          <w:rFonts w:cs="Calibri"/>
        </w:rPr>
        <w:t>five</w:t>
      </w:r>
      <w:r>
        <w:rPr>
          <w:rFonts w:cs="Calibri"/>
        </w:rPr>
        <w:t xml:space="preserve"> hydrological zones (Yallakool Creek, Wakool Ri</w:t>
      </w:r>
      <w:r w:rsidR="008760E2">
        <w:rPr>
          <w:rFonts w:cs="Calibri"/>
        </w:rPr>
        <w:t xml:space="preserve">ver zone 2, Wakool River zone 3, </w:t>
      </w:r>
      <w:r>
        <w:rPr>
          <w:rFonts w:cs="Calibri"/>
        </w:rPr>
        <w:t>Wakool River zone 4</w:t>
      </w:r>
      <w:r w:rsidR="008760E2">
        <w:rPr>
          <w:rFonts w:cs="Calibri"/>
        </w:rPr>
        <w:t xml:space="preserve"> and Colligen Creek zone 8</w:t>
      </w:r>
      <w:r>
        <w:rPr>
          <w:rFonts w:cs="Calibri"/>
        </w:rPr>
        <w:t xml:space="preserve">) were surveyed. </w:t>
      </w:r>
      <w:r w:rsidR="00A209DC">
        <w:rPr>
          <w:rFonts w:cs="Calibri"/>
        </w:rPr>
        <w:t>Sites were</w:t>
      </w:r>
      <w:r w:rsidR="008760E2">
        <w:rPr>
          <w:rFonts w:cs="Calibri"/>
        </w:rPr>
        <w:t xml:space="preserve"> initially</w:t>
      </w:r>
      <w:r w:rsidR="00A209DC">
        <w:rPr>
          <w:rFonts w:cs="Calibri"/>
        </w:rPr>
        <w:t xml:space="preserve"> established in </w:t>
      </w:r>
      <w:r w:rsidR="008760E2">
        <w:rPr>
          <w:rFonts w:cs="Calibri"/>
        </w:rPr>
        <w:t xml:space="preserve">late 2014 in </w:t>
      </w:r>
      <w:r w:rsidR="00A209DC">
        <w:rPr>
          <w:rFonts w:cs="Calibri"/>
        </w:rPr>
        <w:t xml:space="preserve">areas where grazing impacts were minimal or absent, and were located a minimum of two kilometres apart. </w:t>
      </w:r>
      <w:r w:rsidRPr="00E800DA">
        <w:rPr>
          <w:rFonts w:cs="Calibri"/>
        </w:rPr>
        <w:t xml:space="preserve">Monitoring was undertaken </w:t>
      </w:r>
      <w:r>
        <w:rPr>
          <w:rFonts w:cs="Calibri"/>
        </w:rPr>
        <w:t xml:space="preserve">once per month </w:t>
      </w:r>
      <w:r w:rsidRPr="00E800DA">
        <w:rPr>
          <w:rFonts w:cs="Calibri"/>
        </w:rPr>
        <w:t xml:space="preserve">from </w:t>
      </w:r>
      <w:r w:rsidRPr="00240582">
        <w:rPr>
          <w:rFonts w:cs="Calibri"/>
        </w:rPr>
        <w:t>August 201</w:t>
      </w:r>
      <w:r w:rsidR="008760E2" w:rsidRPr="00240582">
        <w:rPr>
          <w:rFonts w:cs="Calibri"/>
        </w:rPr>
        <w:t>9 to May 2020</w:t>
      </w:r>
      <w:r w:rsidRPr="00240582">
        <w:rPr>
          <w:rFonts w:cs="Calibri"/>
        </w:rPr>
        <w:t>.</w:t>
      </w:r>
      <w:r w:rsidRPr="00E800DA">
        <w:rPr>
          <w:rFonts w:cs="Calibri"/>
        </w:rPr>
        <w:t xml:space="preserve"> </w:t>
      </w:r>
      <w:r>
        <w:rPr>
          <w:rFonts w:cs="Calibri"/>
        </w:rPr>
        <w:t>At each site six</w:t>
      </w:r>
      <w:r w:rsidRPr="00DE3CC0">
        <w:rPr>
          <w:rFonts w:cs="Calibri"/>
        </w:rPr>
        <w:t xml:space="preserve"> permanent </w:t>
      </w:r>
      <w:r>
        <w:rPr>
          <w:rFonts w:cs="Calibri"/>
        </w:rPr>
        <w:t>20 m long transects were established in 2014 parallel with the river channel</w:t>
      </w:r>
      <w:r w:rsidRPr="00DE3CC0">
        <w:rPr>
          <w:rFonts w:cs="Calibri"/>
        </w:rPr>
        <w:t xml:space="preserve">. </w:t>
      </w:r>
      <w:r>
        <w:rPr>
          <w:rFonts w:cs="Calibri"/>
        </w:rPr>
        <w:t xml:space="preserve">Star pickets were installed at each end of the permanent transect. The lowest transect on the riverbank was labelled as transect 0 and the other five transects labelled consecutively up to transect 5 highest on the river bank. The transects were surveyed so they were 25 cm apart in vertical height, with the five transects thus covering 1.25 m of vertical height of the bank. Transects zero and one were generally </w:t>
      </w:r>
      <w:r w:rsidRPr="007E5E0D">
        <w:rPr>
          <w:rFonts w:cs="Calibri"/>
        </w:rPr>
        <w:t xml:space="preserve">in the water at base </w:t>
      </w:r>
      <w:r>
        <w:rPr>
          <w:rFonts w:cs="Calibri"/>
        </w:rPr>
        <w:t xml:space="preserve">operational </w:t>
      </w:r>
      <w:r w:rsidRPr="007E5E0D">
        <w:rPr>
          <w:rFonts w:cs="Calibri"/>
        </w:rPr>
        <w:t xml:space="preserve">flows, </w:t>
      </w:r>
      <w:r>
        <w:rPr>
          <w:rFonts w:cs="Calibri"/>
        </w:rPr>
        <w:t>and the other four transects further up the riverbank have the potential to</w:t>
      </w:r>
      <w:r w:rsidRPr="007E5E0D">
        <w:rPr>
          <w:rFonts w:cs="Calibri"/>
        </w:rPr>
        <w:t xml:space="preserve"> be inundated during environmental watering</w:t>
      </w:r>
      <w:r>
        <w:rPr>
          <w:rFonts w:cs="Calibri"/>
        </w:rPr>
        <w:t xml:space="preserve"> or during unregulated flows.</w:t>
      </w:r>
    </w:p>
    <w:p w14:paraId="7B419A15" w14:textId="35795E17" w:rsidR="00752788" w:rsidRDefault="00752788" w:rsidP="0013185E">
      <w:pPr>
        <w:autoSpaceDE w:val="0"/>
        <w:autoSpaceDN w:val="0"/>
        <w:adjustRightInd w:val="0"/>
        <w:spacing w:after="120" w:line="320" w:lineRule="exact"/>
        <w:ind w:right="-284"/>
        <w:jc w:val="left"/>
        <w:rPr>
          <w:rFonts w:cs="Calibri"/>
        </w:rPr>
      </w:pPr>
      <w:r>
        <w:rPr>
          <w:rFonts w:cs="Calibri"/>
        </w:rPr>
        <w:t xml:space="preserve">Vegetation was assessed using the line point intercept method along transects. </w:t>
      </w:r>
      <w:r w:rsidRPr="007E5E0D">
        <w:rPr>
          <w:rFonts w:cs="Calibri"/>
        </w:rPr>
        <w:t xml:space="preserve">At each of </w:t>
      </w:r>
      <w:r>
        <w:rPr>
          <w:rFonts w:cs="Calibri"/>
        </w:rPr>
        <w:t>the</w:t>
      </w:r>
      <w:r w:rsidRPr="007E5E0D">
        <w:rPr>
          <w:rFonts w:cs="Calibri"/>
        </w:rPr>
        <w:t xml:space="preserve"> </w:t>
      </w:r>
      <w:r>
        <w:rPr>
          <w:rFonts w:cs="Calibri"/>
        </w:rPr>
        <w:t>transects</w:t>
      </w:r>
      <w:r w:rsidRPr="00DE3CC0">
        <w:rPr>
          <w:rFonts w:cs="Calibri"/>
        </w:rPr>
        <w:t xml:space="preserve"> </w:t>
      </w:r>
      <w:r w:rsidRPr="007E5E0D">
        <w:rPr>
          <w:rFonts w:cs="Calibri"/>
        </w:rPr>
        <w:t xml:space="preserve">on each sampling date </w:t>
      </w:r>
      <w:r>
        <w:rPr>
          <w:rFonts w:cs="Calibri"/>
        </w:rPr>
        <w:t>a 20 m tape measure was laid out running horizontally along the riverbank between two star pickets that had been installed at a known height of riverbank. T</w:t>
      </w:r>
      <w:r w:rsidRPr="007E5E0D">
        <w:rPr>
          <w:rFonts w:cs="Calibri"/>
        </w:rPr>
        <w:t xml:space="preserve">he </w:t>
      </w:r>
      <w:r>
        <w:rPr>
          <w:rFonts w:cs="Calibri"/>
        </w:rPr>
        <w:t xml:space="preserve">taxa </w:t>
      </w:r>
      <w:r w:rsidRPr="007E5E0D">
        <w:rPr>
          <w:rFonts w:cs="Calibri"/>
        </w:rPr>
        <w:t xml:space="preserve">at each </w:t>
      </w:r>
      <w:r>
        <w:rPr>
          <w:rFonts w:cs="Calibri"/>
        </w:rPr>
        <w:t>50 cm</w:t>
      </w:r>
      <w:r w:rsidRPr="007E5E0D">
        <w:rPr>
          <w:rFonts w:cs="Calibri"/>
        </w:rPr>
        <w:t xml:space="preserve"> </w:t>
      </w:r>
      <w:r>
        <w:rPr>
          <w:rFonts w:cs="Calibri"/>
        </w:rPr>
        <w:t>point quadrat along the</w:t>
      </w:r>
      <w:r w:rsidRPr="00DE3CC0">
        <w:rPr>
          <w:rFonts w:cs="Calibri"/>
        </w:rPr>
        <w:t xml:space="preserve"> </w:t>
      </w:r>
      <w:r>
        <w:rPr>
          <w:rFonts w:cs="Calibri"/>
        </w:rPr>
        <w:t>20</w:t>
      </w:r>
      <w:r w:rsidRPr="007E5E0D">
        <w:rPr>
          <w:rFonts w:cs="Calibri"/>
        </w:rPr>
        <w:t xml:space="preserve"> m </w:t>
      </w:r>
      <w:r w:rsidRPr="002B30AE">
        <w:rPr>
          <w:rFonts w:cs="Calibri"/>
        </w:rPr>
        <w:t xml:space="preserve">transect </w:t>
      </w:r>
      <w:r>
        <w:rPr>
          <w:rFonts w:cs="Calibri"/>
        </w:rPr>
        <w:t>(40 points on each transect) were recorded. P</w:t>
      </w:r>
      <w:r w:rsidRPr="002B30AE">
        <w:rPr>
          <w:rFonts w:cs="Calibri"/>
        </w:rPr>
        <w:t xml:space="preserve">lants </w:t>
      </w:r>
      <w:r w:rsidR="00A209DC">
        <w:rPr>
          <w:rFonts w:cs="Calibri"/>
        </w:rPr>
        <w:t xml:space="preserve">and macroscopic algae (e.g. Charophytes) </w:t>
      </w:r>
      <w:r w:rsidRPr="002B30AE">
        <w:rPr>
          <w:rFonts w:cs="Calibri"/>
        </w:rPr>
        <w:t xml:space="preserve">were </w:t>
      </w:r>
      <w:r>
        <w:rPr>
          <w:rFonts w:cs="Calibri"/>
        </w:rPr>
        <w:t xml:space="preserve">identified to species where possible, but if the plants were very small and without seeds or flowers to enable correct identification they were identified </w:t>
      </w:r>
      <w:r w:rsidR="004F4DD7">
        <w:rPr>
          <w:rFonts w:cs="Calibri"/>
        </w:rPr>
        <w:t>as far as possible</w:t>
      </w:r>
      <w:r>
        <w:rPr>
          <w:rFonts w:cs="Calibri"/>
        </w:rPr>
        <w:t xml:space="preserve">. </w:t>
      </w:r>
      <w:r w:rsidR="004F4DD7">
        <w:rPr>
          <w:rFonts w:cs="Calibri"/>
        </w:rPr>
        <w:t>Plants</w:t>
      </w:r>
      <w:r w:rsidR="004F4DD7" w:rsidRPr="001B6A3B">
        <w:rPr>
          <w:szCs w:val="22"/>
        </w:rPr>
        <w:t xml:space="preserve"> were identified using the Flora of</w:t>
      </w:r>
      <w:r w:rsidR="004F4DD7">
        <w:rPr>
          <w:szCs w:val="22"/>
        </w:rPr>
        <w:t xml:space="preserve"> New South Wales Volumes 1–4 </w:t>
      </w:r>
      <w:r w:rsidR="004F4DD7">
        <w:rPr>
          <w:szCs w:val="22"/>
        </w:rPr>
        <w:fldChar w:fldCharType="begin">
          <w:fldData xml:space="preserve">PEVuZE5vdGU+PENpdGU+PEF1dGhvcj5IYXJkZW48L0F1dGhvcj48WWVhcj4xOTkyPC9ZZWFyPjxS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</w:fldData>
        </w:fldChar>
      </w:r>
      <w:r w:rsidR="004F4DD7">
        <w:rPr>
          <w:szCs w:val="22"/>
        </w:rPr>
        <w:instrText xml:space="preserve"> ADDIN EN.CITE </w:instrText>
      </w:r>
      <w:r w:rsidR="004F4DD7">
        <w:rPr>
          <w:szCs w:val="22"/>
        </w:rPr>
        <w:fldChar w:fldCharType="begin">
          <w:fldData xml:space="preserve">PEVuZE5vdGU+PENpdGU+PEF1dGhvcj5IYXJkZW48L0F1dGhvcj48WWVhcj4xOTkyPC9ZZWFyPjxS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</w:fldData>
        </w:fldChar>
      </w:r>
      <w:r w:rsidR="004F4DD7">
        <w:rPr>
          <w:szCs w:val="22"/>
        </w:rPr>
        <w:instrText xml:space="preserve"> ADDIN EN.CITE.DATA </w:instrText>
      </w:r>
      <w:r w:rsidR="004F4DD7">
        <w:rPr>
          <w:szCs w:val="22"/>
        </w:rPr>
      </w:r>
      <w:r w:rsidR="004F4DD7">
        <w:rPr>
          <w:szCs w:val="22"/>
        </w:rPr>
        <w:fldChar w:fldCharType="end"/>
      </w:r>
      <w:r w:rsidR="004F4DD7">
        <w:rPr>
          <w:szCs w:val="22"/>
        </w:rPr>
      </w:r>
      <w:r w:rsidR="004F4DD7">
        <w:rPr>
          <w:szCs w:val="22"/>
        </w:rPr>
        <w:fldChar w:fldCharType="separate"/>
      </w:r>
      <w:r w:rsidR="004F4DD7">
        <w:rPr>
          <w:noProof/>
          <w:szCs w:val="22"/>
        </w:rPr>
        <w:t>(</w:t>
      </w:r>
      <w:hyperlink w:anchor="_ENREF_13" w:tooltip="Harden, 1992 #144" w:history="1">
        <w:r w:rsidR="004F4DD7">
          <w:rPr>
            <w:noProof/>
            <w:szCs w:val="22"/>
          </w:rPr>
          <w:t>Harden 1992</w:t>
        </w:r>
      </w:hyperlink>
      <w:r w:rsidR="004F4DD7">
        <w:rPr>
          <w:noProof/>
          <w:szCs w:val="22"/>
        </w:rPr>
        <w:t xml:space="preserve">, </w:t>
      </w:r>
      <w:hyperlink w:anchor="_ENREF_14" w:tooltip="Harden, 1993 #145" w:history="1">
        <w:r w:rsidR="004F4DD7">
          <w:rPr>
            <w:noProof/>
            <w:szCs w:val="22"/>
          </w:rPr>
          <w:t>1993</w:t>
        </w:r>
      </w:hyperlink>
      <w:r w:rsidR="004F4DD7">
        <w:rPr>
          <w:noProof/>
          <w:szCs w:val="22"/>
        </w:rPr>
        <w:t xml:space="preserve">, </w:t>
      </w:r>
      <w:hyperlink w:anchor="_ENREF_15" w:tooltip="Harden, 2000 #146" w:history="1">
        <w:r w:rsidR="004F4DD7">
          <w:rPr>
            <w:noProof/>
            <w:szCs w:val="22"/>
          </w:rPr>
          <w:t>2000</w:t>
        </w:r>
      </w:hyperlink>
      <w:r w:rsidR="004F4DD7">
        <w:rPr>
          <w:noProof/>
          <w:szCs w:val="22"/>
        </w:rPr>
        <w:t xml:space="preserve">, </w:t>
      </w:r>
      <w:hyperlink w:anchor="_ENREF_16" w:tooltip="Harden, 2002 #147" w:history="1">
        <w:r w:rsidR="004F4DD7">
          <w:rPr>
            <w:noProof/>
            <w:szCs w:val="22"/>
          </w:rPr>
          <w:t>2002</w:t>
        </w:r>
      </w:hyperlink>
      <w:r w:rsidR="004F4DD7">
        <w:rPr>
          <w:noProof/>
          <w:szCs w:val="22"/>
        </w:rPr>
        <w:t>)</w:t>
      </w:r>
      <w:r w:rsidR="004F4DD7">
        <w:rPr>
          <w:szCs w:val="22"/>
        </w:rPr>
        <w:fldChar w:fldCharType="end"/>
      </w:r>
      <w:r w:rsidR="004F4DD7">
        <w:rPr>
          <w:szCs w:val="22"/>
        </w:rPr>
        <w:t xml:space="preserve"> and</w:t>
      </w:r>
      <w:r w:rsidR="004F4DD7" w:rsidRPr="001B6A3B">
        <w:rPr>
          <w:szCs w:val="22"/>
        </w:rPr>
        <w:t xml:space="preserve"> keys and descriptions from </w:t>
      </w:r>
      <w:r w:rsidR="004F4DD7">
        <w:rPr>
          <w:szCs w:val="22"/>
        </w:rPr>
        <w:t xml:space="preserve">PlantNet </w:t>
      </w:r>
      <w:r w:rsidR="004F4DD7">
        <w:rPr>
          <w:szCs w:val="22"/>
        </w:rPr>
        <w:fldChar w:fldCharType="begin"/>
      </w:r>
      <w:r w:rsidR="004F4DD7">
        <w:rPr>
          <w:szCs w:val="22"/>
        </w:rPr>
        <w:instrText xml:space="preserve"> ADDIN EN.CITE &lt;EndNote&gt;&lt;Cite&gt;&lt;Author&gt;RBGDT&lt;/Author&gt;&lt;Year&gt;2011&lt;/Year&gt;&lt;RecNum&gt;398&lt;/RecNum&gt;&lt;DisplayText&gt;(RBGDT, 2011)&lt;/DisplayText&gt;&lt;record&gt;&lt;rec-number&gt;398&lt;/rec-number&gt;&lt;foreign-keys&gt;&lt;key app="EN" db-id="dxvavf2ffv20a5erx9m5tssva20serfssvpx"&gt;398&lt;/key&gt;&lt;/foreign-keys&gt;&lt;ref-type name="Web Page"&gt;12&lt;/ref-type&gt;&lt;contributors&gt;&lt;authors&gt;&lt;author&gt;RBGDT&lt;/author&gt;&lt;/authors&gt;&lt;/contributors&gt;&lt;titles&gt;&lt;title&gt;PlantNET&lt;/title&gt;&lt;/titles&gt;&lt;volume&gt;2011&lt;/volume&gt;&lt;number&gt;June&lt;/number&gt;&lt;dates&gt;&lt;year&gt;2011&lt;/year&gt;&lt;/dates&gt;&lt;pub-location&gt;Sydney, Australia&lt;/pub-location&gt;&lt;publisher&gt;The Plant Information Network System of The Royal Botanic Gardens and Domain Trust&lt;/publisher&gt;&lt;urls&gt;&lt;related-urls&gt;&lt;url&gt;http://plantnet.rbgsyd.nsw.gov.au&lt;/url&gt;&lt;/related-urls&gt;&lt;/urls&gt;&lt;/record&gt;&lt;/Cite&gt;&lt;/EndNote&gt;</w:instrText>
      </w:r>
      <w:r w:rsidR="004F4DD7">
        <w:rPr>
          <w:szCs w:val="22"/>
        </w:rPr>
        <w:fldChar w:fldCharType="separate"/>
      </w:r>
      <w:r w:rsidR="004F4DD7">
        <w:rPr>
          <w:noProof/>
          <w:szCs w:val="22"/>
        </w:rPr>
        <w:t>(</w:t>
      </w:r>
      <w:hyperlink w:anchor="_ENREF_21" w:tooltip="RBGDT, 2011 #398" w:history="1">
        <w:r w:rsidR="004F4DD7">
          <w:rPr>
            <w:noProof/>
            <w:szCs w:val="22"/>
          </w:rPr>
          <w:t>RBGDT, 2019</w:t>
        </w:r>
      </w:hyperlink>
      <w:r w:rsidR="004F4DD7">
        <w:rPr>
          <w:noProof/>
          <w:szCs w:val="22"/>
        </w:rPr>
        <w:t>)</w:t>
      </w:r>
      <w:r w:rsidR="004F4DD7">
        <w:rPr>
          <w:szCs w:val="22"/>
        </w:rPr>
        <w:fldChar w:fldCharType="end"/>
      </w:r>
      <w:r w:rsidR="004F4DD7" w:rsidRPr="001B6A3B">
        <w:rPr>
          <w:szCs w:val="22"/>
        </w:rPr>
        <w:t xml:space="preserve"> and information from field guides </w:t>
      </w:r>
      <w:r w:rsidR="004F4DD7">
        <w:rPr>
          <w:szCs w:val="22"/>
        </w:rPr>
        <w:fldChar w:fldCharType="begin"/>
      </w:r>
      <w:r w:rsidR="004F4DD7">
        <w:rPr>
          <w:szCs w:val="22"/>
        </w:rPr>
        <w:instrText xml:space="preserve"> ADDIN EN.CITE &lt;EndNote&gt;&lt;Cite&gt;&lt;Author&gt;Sainty&lt;/Author&gt;&lt;Year&gt;2003&lt;/Year&gt;&lt;RecNum&gt;375&lt;/RecNum&gt;&lt;DisplayText&gt;(Sainty and Jacobs, 2003, Cunningham et al., 1992)&lt;/DisplayText&gt;&lt;record&gt;&lt;rec-number&gt;375&lt;/rec-number&gt;&lt;foreign-keys&gt;&lt;key app="EN" db-id="dxvavf2ffv20a5erx9m5tssva20serfssvpx"&gt;375&lt;/key&gt;&lt;/foreign-keys&gt;&lt;ref-type name="Book"&gt;6&lt;/ref-type&gt;&lt;contributors&gt;&lt;authors&gt;&lt;author&gt;Sainty, G R&lt;/author&gt;&lt;author&gt;Jacobs, S W L&lt;/author&gt;&lt;/authors&gt;&lt;/contributors&gt;&lt;titles&gt;&lt;title&gt;Waterplants in Australia&lt;/title&gt;&lt;/titles&gt;&lt;edition&gt;4th edition&lt;/edition&gt;&lt;dates&gt;&lt;year&gt;2003&lt;/year&gt;&lt;/dates&gt;&lt;pub-location&gt;Potts Point, NSW&lt;/pub-location&gt;&lt;publisher&gt;Sainty and Associates Pty Ltd&lt;/publisher&gt;&lt;urls&gt;&lt;/urls&gt;&lt;/record&gt;&lt;/Cite&gt;&lt;Cite&gt;&lt;Author&gt;Cunningham&lt;/Author&gt;&lt;Year&gt;1992&lt;/Year&gt;&lt;RecNum&gt;107&lt;/RecNum&gt;&lt;record&gt;&lt;rec-number&gt;107&lt;/rec-number&gt;&lt;foreign-keys&gt;&lt;key app="EN" db-id="dxvavf2ffv20a5erx9m5tssva20serfssvpx"&gt;107&lt;/key&gt;&lt;/foreign-keys&gt;&lt;ref-type name="Book"&gt;6&lt;/ref-type&gt;&lt;contributors&gt;&lt;authors&gt;&lt;author&gt;Cunningham, G.M.&lt;/author&gt;&lt;author&gt;Mulham, W.E.&lt;/author&gt;&lt;author&gt;Milthorpe, P.L.&lt;/author&gt;&lt;author&gt;Leigh, J.H.&lt;/author&gt;&lt;/authors&gt;&lt;/contributors&gt;&lt;titles&gt;&lt;title&gt;Plants of western New South Wales&lt;/title&gt;&lt;/titles&gt;&lt;dates&gt;&lt;year&gt;1992&lt;/year&gt;&lt;/dates&gt;&lt;pub-location&gt;Marrickville, NSW&lt;/pub-location&gt;&lt;publisher&gt;Inkata Press&lt;/publisher&gt;&lt;urls&gt;&lt;/urls&gt;&lt;/record&gt;&lt;/Cite&gt;&lt;/EndNote&gt;</w:instrText>
      </w:r>
      <w:r w:rsidR="004F4DD7">
        <w:rPr>
          <w:szCs w:val="22"/>
        </w:rPr>
        <w:fldChar w:fldCharType="separate"/>
      </w:r>
      <w:r w:rsidR="004F4DD7">
        <w:rPr>
          <w:noProof/>
          <w:szCs w:val="22"/>
        </w:rPr>
        <w:t>(</w:t>
      </w:r>
      <w:hyperlink w:anchor="_ENREF_25" w:tooltip="Sainty, 2003 #375" w:history="1">
        <w:r w:rsidR="004F4DD7">
          <w:rPr>
            <w:noProof/>
            <w:szCs w:val="22"/>
          </w:rPr>
          <w:t>Sainty and Jacobs 2003</w:t>
        </w:r>
      </w:hyperlink>
      <w:r w:rsidR="004F4DD7">
        <w:rPr>
          <w:noProof/>
          <w:szCs w:val="22"/>
        </w:rPr>
        <w:t xml:space="preserve">, </w:t>
      </w:r>
      <w:hyperlink w:anchor="_ENREF_8" w:tooltip="Cunningham, 1992 #107" w:history="1">
        <w:r w:rsidR="004F4DD7">
          <w:rPr>
            <w:noProof/>
            <w:szCs w:val="22"/>
          </w:rPr>
          <w:t>Cunningham et al. 1992</w:t>
        </w:r>
      </w:hyperlink>
      <w:r w:rsidR="004F4DD7">
        <w:rPr>
          <w:noProof/>
          <w:szCs w:val="22"/>
        </w:rPr>
        <w:t>)</w:t>
      </w:r>
      <w:r w:rsidR="004F4DD7">
        <w:rPr>
          <w:szCs w:val="22"/>
        </w:rPr>
        <w:fldChar w:fldCharType="end"/>
      </w:r>
      <w:r w:rsidR="004F4DD7" w:rsidRPr="001B6A3B">
        <w:rPr>
          <w:szCs w:val="22"/>
        </w:rPr>
        <w:t xml:space="preserve">. </w:t>
      </w:r>
      <w:r w:rsidRPr="002B30AE">
        <w:rPr>
          <w:rFonts w:cs="Calibri"/>
        </w:rPr>
        <w:t xml:space="preserve">If no vegetation </w:t>
      </w:r>
      <w:r>
        <w:rPr>
          <w:rFonts w:cs="Calibri"/>
        </w:rPr>
        <w:t>was present at a point, then that</w:t>
      </w:r>
      <w:r w:rsidRPr="002B30AE">
        <w:rPr>
          <w:rFonts w:cs="Calibri"/>
        </w:rPr>
        <w:t xml:space="preserve"> point was recorded as bare ground, leaf litter or log</w:t>
      </w:r>
      <w:r>
        <w:rPr>
          <w:rFonts w:cs="Calibri"/>
        </w:rPr>
        <w:t xml:space="preserve">/tree trunk. When the transects were in the water the tape measure was laid at the water’s edge and a flexible fibreglass pole held from the tape out to the water surface to locate the point on the transect for recording data. </w:t>
      </w:r>
      <w:r w:rsidRPr="00AF04E3">
        <w:rPr>
          <w:rFonts w:cs="Calibri"/>
        </w:rPr>
        <w:t>Photo</w:t>
      </w:r>
      <w:r w:rsidR="004A6F5C">
        <w:rPr>
          <w:rFonts w:cs="Calibri"/>
        </w:rPr>
        <w:t>-</w:t>
      </w:r>
      <w:r w:rsidRPr="00AF04E3">
        <w:rPr>
          <w:rFonts w:cs="Calibri"/>
        </w:rPr>
        <w:t xml:space="preserve">points were established </w:t>
      </w:r>
      <w:r w:rsidR="004F4DD7">
        <w:rPr>
          <w:rFonts w:cs="Calibri"/>
        </w:rPr>
        <w:t xml:space="preserve">in 2014 </w:t>
      </w:r>
      <w:r w:rsidRPr="00AF04E3">
        <w:rPr>
          <w:rFonts w:cs="Calibri"/>
        </w:rPr>
        <w:t xml:space="preserve">at each site and photos </w:t>
      </w:r>
      <w:r w:rsidR="004F4DD7">
        <w:rPr>
          <w:rFonts w:cs="Calibri"/>
        </w:rPr>
        <w:t xml:space="preserve">were </w:t>
      </w:r>
      <w:r w:rsidRPr="00AF04E3">
        <w:rPr>
          <w:rFonts w:cs="Calibri"/>
        </w:rPr>
        <w:t xml:space="preserve">taken </w:t>
      </w:r>
      <w:r w:rsidR="004F4DD7">
        <w:rPr>
          <w:rFonts w:cs="Calibri"/>
        </w:rPr>
        <w:t>on</w:t>
      </w:r>
      <w:r w:rsidR="004A6F5C" w:rsidRPr="00AF04E3">
        <w:rPr>
          <w:rFonts w:cs="Calibri"/>
        </w:rPr>
        <w:t xml:space="preserve"> </w:t>
      </w:r>
      <w:r w:rsidRPr="00AF04E3">
        <w:rPr>
          <w:rFonts w:cs="Calibri"/>
        </w:rPr>
        <w:t xml:space="preserve">every </w:t>
      </w:r>
      <w:r w:rsidR="004A6F5C" w:rsidRPr="00AF04E3">
        <w:rPr>
          <w:rFonts w:cs="Calibri"/>
        </w:rPr>
        <w:t>sampl</w:t>
      </w:r>
      <w:r w:rsidR="004A6F5C">
        <w:rPr>
          <w:rFonts w:cs="Calibri"/>
        </w:rPr>
        <w:t>ing</w:t>
      </w:r>
      <w:r w:rsidR="004A6F5C" w:rsidRPr="00AF04E3">
        <w:rPr>
          <w:rFonts w:cs="Calibri"/>
        </w:rPr>
        <w:t xml:space="preserve"> </w:t>
      </w:r>
      <w:r w:rsidRPr="00AF04E3">
        <w:rPr>
          <w:rFonts w:cs="Calibri"/>
        </w:rPr>
        <w:t>event.</w:t>
      </w:r>
    </w:p>
    <w:p w14:paraId="1EC1228C" w14:textId="77777777" w:rsidR="00752788" w:rsidRPr="00B0392E" w:rsidRDefault="00752788" w:rsidP="00972703">
      <w:pPr>
        <w:shd w:val="clear" w:color="auto" w:fill="FFFFFF"/>
        <w:autoSpaceDE w:val="0"/>
        <w:autoSpaceDN w:val="0"/>
        <w:adjustRightInd w:val="0"/>
        <w:spacing w:after="0" w:line="320" w:lineRule="exact"/>
        <w:rPr>
          <w:rFonts w:cs="Calibri"/>
          <w:b/>
          <w:i/>
          <w:color w:val="31849B" w:themeColor="accent5" w:themeShade="BF"/>
          <w:sz w:val="24"/>
          <w:szCs w:val="24"/>
        </w:rPr>
      </w:pPr>
      <w:r w:rsidRPr="00B0392E">
        <w:rPr>
          <w:rFonts w:cs="Calibri"/>
          <w:b/>
          <w:i/>
          <w:color w:val="31849B" w:themeColor="accent5" w:themeShade="BF"/>
          <w:sz w:val="24"/>
          <w:szCs w:val="24"/>
        </w:rPr>
        <w:t>Data analysis</w:t>
      </w:r>
    </w:p>
    <w:p w14:paraId="144E6A39" w14:textId="2810D991" w:rsidR="00752788" w:rsidRDefault="00752788" w:rsidP="0046477B">
      <w:pPr>
        <w:spacing w:after="120" w:line="320" w:lineRule="exact"/>
        <w:jc w:val="left"/>
        <w:rPr>
          <w:rFonts w:cs="Calibri"/>
        </w:rPr>
      </w:pPr>
      <w:r>
        <w:rPr>
          <w:rFonts w:cs="Calibri"/>
        </w:rPr>
        <w:t xml:space="preserve">Each taxa was classified into </w:t>
      </w:r>
      <w:r w:rsidR="0046477B">
        <w:rPr>
          <w:rFonts w:cs="Calibri"/>
        </w:rPr>
        <w:t xml:space="preserve">one of </w:t>
      </w:r>
      <w:r>
        <w:rPr>
          <w:rFonts w:cs="Calibri"/>
        </w:rPr>
        <w:t xml:space="preserve">three broad functional categories using a range of sources including </w:t>
      </w:r>
      <w:r w:rsidRPr="00C2243B">
        <w:rPr>
          <w:rFonts w:cs="Calibri"/>
        </w:rPr>
        <w:t>Brock and Casanova</w:t>
      </w:r>
      <w:r>
        <w:rPr>
          <w:rFonts w:cs="Calibri"/>
        </w:rPr>
        <w:t xml:space="preserve"> (1997), Casanova (2011) and Roberts and Marston (2011). </w:t>
      </w:r>
      <w:r w:rsidRPr="00FA5A0A">
        <w:rPr>
          <w:rFonts w:cs="Calibri"/>
        </w:rPr>
        <w:t xml:space="preserve">Although there are some limitations of using water plant functional groups to classify taxa, the approach of </w:t>
      </w:r>
      <w:r>
        <w:rPr>
          <w:rFonts w:cs="Calibri"/>
        </w:rPr>
        <w:t>using</w:t>
      </w:r>
      <w:r w:rsidRPr="00FA5A0A">
        <w:rPr>
          <w:rFonts w:cs="Calibri"/>
        </w:rPr>
        <w:t xml:space="preserve"> three </w:t>
      </w:r>
      <w:r>
        <w:rPr>
          <w:rFonts w:cs="Calibri"/>
        </w:rPr>
        <w:t>functional categories</w:t>
      </w:r>
      <w:r w:rsidRPr="00FA5A0A">
        <w:rPr>
          <w:rFonts w:cs="Calibri"/>
        </w:rPr>
        <w:t xml:space="preserve"> is so</w:t>
      </w:r>
      <w:r w:rsidR="0046477B">
        <w:rPr>
          <w:rFonts w:cs="Calibri"/>
        </w:rPr>
        <w:t xml:space="preserve">und for common taxa that can </w:t>
      </w:r>
      <w:r>
        <w:rPr>
          <w:rFonts w:cs="Calibri"/>
        </w:rPr>
        <w:t>be related to hydrological information on wetting and drying regimes.</w:t>
      </w:r>
      <w:r w:rsidR="0046477B">
        <w:rPr>
          <w:rFonts w:cs="Calibri"/>
        </w:rPr>
        <w:t xml:space="preserve"> </w:t>
      </w:r>
      <w:r>
        <w:rPr>
          <w:rFonts w:cs="Calibri"/>
        </w:rPr>
        <w:t>The three functional categories were:</w:t>
      </w:r>
    </w:p>
    <w:p w14:paraId="1F4DBBB0" w14:textId="0164E4D2" w:rsidR="00752788" w:rsidRPr="002714D6" w:rsidRDefault="00752788" w:rsidP="00972703">
      <w:pPr>
        <w:spacing w:after="120" w:line="320" w:lineRule="exact"/>
        <w:ind w:left="284"/>
        <w:contextualSpacing/>
        <w:jc w:val="left"/>
        <w:rPr>
          <w:rFonts w:cs="Calibri"/>
        </w:rPr>
      </w:pPr>
      <w:r w:rsidRPr="002714D6">
        <w:rPr>
          <w:rFonts w:cs="Calibri"/>
          <w:b/>
        </w:rPr>
        <w:t xml:space="preserve">Submerged </w:t>
      </w:r>
      <w:r w:rsidR="00972703">
        <w:rPr>
          <w:rFonts w:cs="Calibri"/>
        </w:rPr>
        <w:t>- taxa</w:t>
      </w:r>
      <w:r w:rsidRPr="002714D6">
        <w:rPr>
          <w:rFonts w:cs="Calibri"/>
        </w:rPr>
        <w:t xml:space="preserve"> that have adaptations for living submerged in water. These plants grow to, but do not emerge </w:t>
      </w:r>
      <w:r w:rsidR="00972703">
        <w:rPr>
          <w:rFonts w:cs="Calibri"/>
        </w:rPr>
        <w:t>from, the surface of the water.</w:t>
      </w:r>
    </w:p>
    <w:p w14:paraId="04262482" w14:textId="31ECF402" w:rsidR="00752788" w:rsidRPr="002714D6" w:rsidRDefault="00752788" w:rsidP="00972703">
      <w:pPr>
        <w:spacing w:after="120" w:line="320" w:lineRule="exact"/>
        <w:ind w:left="284" w:right="-286"/>
        <w:contextualSpacing/>
        <w:jc w:val="left"/>
        <w:rPr>
          <w:rFonts w:cs="Calibri"/>
        </w:rPr>
      </w:pPr>
      <w:r w:rsidRPr="002714D6">
        <w:rPr>
          <w:rFonts w:cs="Calibri"/>
          <w:b/>
        </w:rPr>
        <w:t xml:space="preserve">Amphibious </w:t>
      </w:r>
      <w:r w:rsidR="00972703">
        <w:rPr>
          <w:rFonts w:cs="Calibri"/>
        </w:rPr>
        <w:t>- taxa</w:t>
      </w:r>
      <w:r w:rsidRPr="002714D6">
        <w:rPr>
          <w:rFonts w:cs="Calibri"/>
        </w:rPr>
        <w:t xml:space="preserve"> th</w:t>
      </w:r>
      <w:r w:rsidR="00972703">
        <w:rPr>
          <w:rFonts w:cs="Calibri"/>
        </w:rPr>
        <w:t xml:space="preserve">at tolerate wetting and drying </w:t>
      </w:r>
      <w:r w:rsidRPr="002714D6">
        <w:rPr>
          <w:rFonts w:cs="Calibri"/>
        </w:rPr>
        <w:t xml:space="preserve">and </w:t>
      </w:r>
      <w:r w:rsidR="00972703">
        <w:rPr>
          <w:rFonts w:cs="Calibri"/>
        </w:rPr>
        <w:t>taxa</w:t>
      </w:r>
      <w:r w:rsidRPr="002714D6">
        <w:rPr>
          <w:rFonts w:cs="Calibri"/>
        </w:rPr>
        <w:t xml:space="preserve"> that respond </w:t>
      </w:r>
      <w:r w:rsidR="00972703">
        <w:rPr>
          <w:rFonts w:cs="Calibri"/>
        </w:rPr>
        <w:t>to water level fluctuations</w:t>
      </w:r>
    </w:p>
    <w:p w14:paraId="46535356" w14:textId="6A59D1AE" w:rsidR="00752788" w:rsidRPr="002714D6" w:rsidRDefault="00752788" w:rsidP="00972703">
      <w:pPr>
        <w:spacing w:after="120" w:line="320" w:lineRule="exact"/>
        <w:ind w:left="284"/>
        <w:jc w:val="left"/>
        <w:rPr>
          <w:rFonts w:cs="Calibri"/>
        </w:rPr>
      </w:pPr>
      <w:r w:rsidRPr="002714D6">
        <w:rPr>
          <w:rFonts w:cs="Calibri"/>
          <w:b/>
        </w:rPr>
        <w:t xml:space="preserve">Terrestrial </w:t>
      </w:r>
      <w:r w:rsidR="00972703">
        <w:rPr>
          <w:rFonts w:cs="Calibri"/>
        </w:rPr>
        <w:t>- taxa</w:t>
      </w:r>
      <w:r w:rsidRPr="002714D6">
        <w:rPr>
          <w:rFonts w:cs="Calibri"/>
        </w:rPr>
        <w:t xml:space="preserve"> that typically occur in damp or dry habitats.</w:t>
      </w:r>
    </w:p>
    <w:p w14:paraId="2A7D462D" w14:textId="62A52934" w:rsidR="005A592B" w:rsidRDefault="00752788" w:rsidP="0046477B">
      <w:pPr>
        <w:spacing w:line="320" w:lineRule="exact"/>
        <w:jc w:val="left"/>
        <w:rPr>
          <w:b/>
          <w:color w:val="31849B" w:themeColor="accent5" w:themeShade="BF"/>
          <w:sz w:val="28"/>
          <w:szCs w:val="28"/>
        </w:rPr>
      </w:pPr>
      <w:r>
        <w:rPr>
          <w:rFonts w:cs="Calibri"/>
        </w:rPr>
        <w:t xml:space="preserve">Total species richness was calculated for each site in each zone for each month. The </w:t>
      </w:r>
      <w:r w:rsidRPr="00DE3CC0">
        <w:rPr>
          <w:rFonts w:cs="Calibri"/>
        </w:rPr>
        <w:t>percent</w:t>
      </w:r>
      <w:r w:rsidRPr="007E5E0D">
        <w:rPr>
          <w:rFonts w:cs="Calibri"/>
        </w:rPr>
        <w:t xml:space="preserve"> cover </w:t>
      </w:r>
      <w:r>
        <w:rPr>
          <w:rFonts w:cs="Calibri"/>
        </w:rPr>
        <w:t xml:space="preserve">was calculated for each transect for each </w:t>
      </w:r>
      <w:r w:rsidR="00972703">
        <w:rPr>
          <w:rFonts w:cs="Calibri"/>
        </w:rPr>
        <w:t>month</w:t>
      </w:r>
      <w:r>
        <w:rPr>
          <w:rFonts w:cs="Calibri"/>
        </w:rPr>
        <w:t xml:space="preserve">. To compare cover of vegetation across the </w:t>
      </w:r>
      <w:r w:rsidR="00972703">
        <w:rPr>
          <w:rFonts w:cs="Calibri"/>
        </w:rPr>
        <w:t>six</w:t>
      </w:r>
      <w:r>
        <w:rPr>
          <w:rFonts w:cs="Calibri"/>
        </w:rPr>
        <w:t xml:space="preserve"> years of the LTIM</w:t>
      </w:r>
      <w:r w:rsidR="00972703">
        <w:rPr>
          <w:rFonts w:cs="Calibri"/>
        </w:rPr>
        <w:t xml:space="preserve">/MER program (2014-2020), </w:t>
      </w:r>
      <w:r w:rsidRPr="002A2796">
        <w:rPr>
          <w:rFonts w:cs="Calibri"/>
        </w:rPr>
        <w:t xml:space="preserve">the </w:t>
      </w:r>
      <w:r w:rsidRPr="00D94FF5">
        <w:rPr>
          <w:rFonts w:cs="Calibri"/>
        </w:rPr>
        <w:t xml:space="preserve">month </w:t>
      </w:r>
      <w:r>
        <w:rPr>
          <w:rFonts w:cs="Calibri"/>
        </w:rPr>
        <w:t>when the</w:t>
      </w:r>
      <w:r w:rsidRPr="00D94FF5">
        <w:rPr>
          <w:rFonts w:cs="Calibri"/>
        </w:rPr>
        <w:t xml:space="preserve"> maximum cover </w:t>
      </w:r>
      <w:r>
        <w:rPr>
          <w:rFonts w:cs="Calibri"/>
        </w:rPr>
        <w:t xml:space="preserve">occurred </w:t>
      </w:r>
      <w:r w:rsidRPr="00D94FF5">
        <w:rPr>
          <w:rFonts w:cs="Calibri"/>
        </w:rPr>
        <w:t xml:space="preserve">across the months of October to May </w:t>
      </w:r>
      <w:r>
        <w:rPr>
          <w:rFonts w:cs="Calibri"/>
        </w:rPr>
        <w:t>was</w:t>
      </w:r>
      <w:r w:rsidRPr="002A2796">
        <w:rPr>
          <w:rFonts w:cs="Calibri"/>
        </w:rPr>
        <w:t xml:space="preserve"> identified for each taxa</w:t>
      </w:r>
      <w:r>
        <w:rPr>
          <w:rFonts w:cs="Calibri"/>
        </w:rPr>
        <w:t>. The period from October to May was selected because it is the main growing season for these plants.</w:t>
      </w:r>
      <w:r w:rsidR="0046477B">
        <w:rPr>
          <w:rFonts w:cs="Calibri"/>
        </w:rPr>
        <w:t xml:space="preserve"> </w:t>
      </w:r>
      <w:r w:rsidR="005A592B">
        <w:rPr>
          <w:b/>
          <w:color w:val="31849B" w:themeColor="accent5" w:themeShade="BF"/>
          <w:sz w:val="28"/>
          <w:szCs w:val="28"/>
        </w:rPr>
        <w:br w:type="page"/>
      </w:r>
    </w:p>
    <w:p w14:paraId="6ECEA3ED" w14:textId="05BFCF38" w:rsidR="00752788" w:rsidRPr="004C71B4" w:rsidRDefault="00752788" w:rsidP="005A592B">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7.5</w:t>
      </w:r>
      <w:r w:rsidR="00067254">
        <w:rPr>
          <w:b/>
          <w:color w:val="31849B" w:themeColor="accent5" w:themeShade="BF"/>
          <w:sz w:val="28"/>
          <w:szCs w:val="28"/>
        </w:rPr>
        <w:t xml:space="preserve"> </w:t>
      </w:r>
      <w:r w:rsidRPr="004C71B4">
        <w:rPr>
          <w:b/>
          <w:color w:val="31849B" w:themeColor="accent5" w:themeShade="BF"/>
          <w:sz w:val="28"/>
          <w:szCs w:val="28"/>
        </w:rPr>
        <w:t>Results</w:t>
      </w:r>
    </w:p>
    <w:p w14:paraId="0873B622" w14:textId="77777777" w:rsidR="00752788" w:rsidRPr="00FF5504" w:rsidRDefault="00752788" w:rsidP="005A592B">
      <w:pPr>
        <w:spacing w:after="120" w:line="320" w:lineRule="exact"/>
        <w:jc w:val="left"/>
        <w:rPr>
          <w:rFonts w:cs="Calibri"/>
          <w:b/>
          <w:i/>
          <w:color w:val="31849B" w:themeColor="accent5" w:themeShade="BF"/>
          <w:sz w:val="24"/>
          <w:szCs w:val="24"/>
        </w:rPr>
      </w:pPr>
      <w:r w:rsidRPr="00FF5504">
        <w:rPr>
          <w:rFonts w:cs="Calibri"/>
          <w:b/>
          <w:i/>
          <w:color w:val="31849B" w:themeColor="accent5" w:themeShade="BF"/>
          <w:sz w:val="24"/>
          <w:szCs w:val="24"/>
        </w:rPr>
        <w:t>Total species richness and cover</w:t>
      </w:r>
    </w:p>
    <w:p w14:paraId="7078AA9D" w14:textId="2819A876" w:rsidR="00752788" w:rsidRPr="008F33BB" w:rsidRDefault="00FB05C6" w:rsidP="00FB05C6">
      <w:pPr>
        <w:spacing w:after="120" w:line="320" w:lineRule="exact"/>
        <w:jc w:val="left"/>
      </w:pPr>
      <w:r w:rsidRPr="008F33BB">
        <w:t>T</w:t>
      </w:r>
      <w:r w:rsidR="00752788" w:rsidRPr="008F33BB">
        <w:t xml:space="preserve">here </w:t>
      </w:r>
      <w:r w:rsidRPr="008F33BB">
        <w:t>has been</w:t>
      </w:r>
      <w:r w:rsidR="00752788" w:rsidRPr="008F33BB">
        <w:t xml:space="preserve"> an increase in the </w:t>
      </w:r>
      <w:r w:rsidR="008F33BB" w:rsidRPr="008F33BB">
        <w:t xml:space="preserve">mean total species richness in each of the </w:t>
      </w:r>
      <w:r w:rsidR="00624EFA">
        <w:t>five</w:t>
      </w:r>
      <w:r w:rsidR="008F33BB" w:rsidRPr="008F33BB">
        <w:t xml:space="preserve"> monitored zones </w:t>
      </w:r>
      <w:r w:rsidRPr="008F33BB">
        <w:t xml:space="preserve">since the unregulated flood in 2016 </w:t>
      </w:r>
      <w:r w:rsidR="00752788" w:rsidRPr="008F33BB">
        <w:t xml:space="preserve">(Figure 7.1). The mean species richness </w:t>
      </w:r>
      <w:r w:rsidRPr="008F33BB">
        <w:t xml:space="preserve">in zones 1, 2, 3, and </w:t>
      </w:r>
      <w:r w:rsidR="00752788" w:rsidRPr="008F33BB">
        <w:t>4 has not yet recovered to the same levels</w:t>
      </w:r>
      <w:r w:rsidR="008F33BB" w:rsidRPr="008F33BB">
        <w:t xml:space="preserve"> as prior to the flood</w:t>
      </w:r>
      <w:r w:rsidR="00752788" w:rsidRPr="008F33BB">
        <w:t>.</w:t>
      </w:r>
      <w:r w:rsidR="00067254" w:rsidRPr="008F33BB">
        <w:t xml:space="preserve"> The </w:t>
      </w:r>
      <w:r w:rsidR="008F33BB" w:rsidRPr="008F33BB">
        <w:t xml:space="preserve">mean total </w:t>
      </w:r>
      <w:r w:rsidR="00067254" w:rsidRPr="008F33BB">
        <w:t>number of</w:t>
      </w:r>
      <w:r w:rsidR="008F33BB" w:rsidRPr="008F33BB">
        <w:t xml:space="preserve"> taxa was</w:t>
      </w:r>
      <w:r w:rsidR="00067254" w:rsidRPr="008F33BB">
        <w:t xml:space="preserve"> </w:t>
      </w:r>
      <w:r w:rsidR="008F33BB">
        <w:t xml:space="preserve">consistently </w:t>
      </w:r>
      <w:r w:rsidR="00067254" w:rsidRPr="008F33BB">
        <w:t>lower in zone 2, which has received minimal or no environmental water compared to the other zones.</w:t>
      </w:r>
      <w:r w:rsidR="008F33BB">
        <w:t xml:space="preserve"> The exception was in 2018-19 when zone 2 received environmental water.</w:t>
      </w:r>
    </w:p>
    <w:p w14:paraId="6DCCFF9A" w14:textId="756056E7" w:rsidR="00240582" w:rsidRPr="00067254" w:rsidRDefault="00240582" w:rsidP="00FB05C6">
      <w:pPr>
        <w:spacing w:after="0" w:line="240" w:lineRule="auto"/>
        <w:jc w:val="left"/>
        <w:rPr>
          <w:sz w:val="12"/>
          <w:szCs w:val="12"/>
        </w:rPr>
      </w:pPr>
    </w:p>
    <w:p w14:paraId="7B119FCE" w14:textId="6AADBC90" w:rsidR="00752788" w:rsidRDefault="00A04024" w:rsidP="00752788">
      <w:pPr>
        <w:spacing w:after="0" w:line="240" w:lineRule="auto"/>
        <w:jc w:val="center"/>
        <w:rPr>
          <w:b/>
          <w:sz w:val="20"/>
        </w:rPr>
      </w:pPr>
      <w:r>
        <w:rPr>
          <w:b/>
          <w:noProof/>
          <w:sz w:val="20"/>
          <w:lang w:eastAsia="en-AU"/>
        </w:rPr>
        <w:drawing>
          <wp:inline distT="0" distB="0" distL="0" distR="0" wp14:anchorId="00D6CEF6" wp14:editId="40F9DE39">
            <wp:extent cx="4809842" cy="6156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809842" cy="6156000"/>
                    </a:xfrm>
                    <a:prstGeom prst="rect">
                      <a:avLst/>
                    </a:prstGeom>
                    <a:noFill/>
                  </pic:spPr>
                </pic:pic>
              </a:graphicData>
            </a:graphic>
          </wp:inline>
        </w:drawing>
      </w:r>
    </w:p>
    <w:p w14:paraId="6A11B089" w14:textId="7EFC29D4" w:rsidR="005A592B" w:rsidRDefault="00752788" w:rsidP="005A592B">
      <w:pPr>
        <w:spacing w:after="0" w:line="240" w:lineRule="auto"/>
        <w:ind w:right="-284"/>
        <w:jc w:val="left"/>
      </w:pPr>
      <w:r w:rsidRPr="00F51392">
        <w:rPr>
          <w:b/>
          <w:sz w:val="20"/>
        </w:rPr>
        <w:t>Figure 7.1</w:t>
      </w:r>
      <w:r>
        <w:rPr>
          <w:sz w:val="20"/>
        </w:rPr>
        <w:t xml:space="preserve"> </w:t>
      </w:r>
      <w:r w:rsidRPr="00240582">
        <w:rPr>
          <w:sz w:val="20"/>
        </w:rPr>
        <w:t xml:space="preserve">Mean total richness of vegetation taxa monitored monthly in </w:t>
      </w:r>
      <w:r w:rsidR="00240582">
        <w:rPr>
          <w:sz w:val="20"/>
        </w:rPr>
        <w:t>five</w:t>
      </w:r>
      <w:r w:rsidRPr="00240582">
        <w:rPr>
          <w:sz w:val="20"/>
        </w:rPr>
        <w:t xml:space="preserve"> zones in the </w:t>
      </w:r>
      <w:r w:rsidR="008E27F6" w:rsidRPr="00240582">
        <w:rPr>
          <w:sz w:val="20"/>
        </w:rPr>
        <w:t>Edward/Kolety-Wakool</w:t>
      </w:r>
      <w:r w:rsidRPr="00240582">
        <w:rPr>
          <w:sz w:val="20"/>
        </w:rPr>
        <w:t xml:space="preserve"> system between 2014 and </w:t>
      </w:r>
      <w:r w:rsidR="00240582" w:rsidRPr="00240582">
        <w:rPr>
          <w:sz w:val="20"/>
        </w:rPr>
        <w:t>2020</w:t>
      </w:r>
      <w:r w:rsidRPr="00240582">
        <w:rPr>
          <w:sz w:val="20"/>
        </w:rPr>
        <w:t xml:space="preserve">. </w:t>
      </w:r>
      <w:r w:rsidR="00240582" w:rsidRPr="00240582">
        <w:rPr>
          <w:sz w:val="20"/>
        </w:rPr>
        <w:t xml:space="preserve">Blue shading indicates </w:t>
      </w:r>
      <w:r w:rsidR="000C702B">
        <w:rPr>
          <w:sz w:val="20"/>
        </w:rPr>
        <w:t>the</w:t>
      </w:r>
      <w:r w:rsidR="00240582">
        <w:rPr>
          <w:sz w:val="20"/>
        </w:rPr>
        <w:t xml:space="preserve"> </w:t>
      </w:r>
      <w:r w:rsidR="00240582" w:rsidRPr="00240582">
        <w:rPr>
          <w:sz w:val="20"/>
        </w:rPr>
        <w:t xml:space="preserve">unregulated flood in 2016-17 water year. Green shading indicates that zones 1, 3, 4 and 8 received environmental water each year. Zone 2 received </w:t>
      </w:r>
      <w:r w:rsidR="00240582">
        <w:rPr>
          <w:sz w:val="20"/>
        </w:rPr>
        <w:t xml:space="preserve">minimal </w:t>
      </w:r>
      <w:r w:rsidR="00240582" w:rsidRPr="00240582">
        <w:rPr>
          <w:sz w:val="20"/>
        </w:rPr>
        <w:t>no environmental water, with the exception being in 2018-19</w:t>
      </w:r>
      <w:r w:rsidR="000C702B">
        <w:rPr>
          <w:sz w:val="20"/>
        </w:rPr>
        <w:t>, as indicated</w:t>
      </w:r>
      <w:r w:rsidR="00240582">
        <w:rPr>
          <w:sz w:val="20"/>
        </w:rPr>
        <w:t>.</w:t>
      </w:r>
      <w:r w:rsidR="005A592B">
        <w:br w:type="page"/>
      </w:r>
    </w:p>
    <w:p w14:paraId="7E5AD0C2" w14:textId="3E4777BF" w:rsidR="00FB05C6" w:rsidRPr="00AE2B3D" w:rsidRDefault="00FB05C6" w:rsidP="00067254">
      <w:pPr>
        <w:spacing w:after="120" w:line="320" w:lineRule="exact"/>
        <w:jc w:val="left"/>
        <w:rPr>
          <w:sz w:val="20"/>
        </w:rPr>
      </w:pPr>
      <w:r w:rsidRPr="00067254">
        <w:t>A large percentage of taxa across the five hydrological zones were native</w:t>
      </w:r>
      <w:r w:rsidR="00067254">
        <w:t xml:space="preserve"> taxa</w:t>
      </w:r>
      <w:r w:rsidRPr="00067254">
        <w:t xml:space="preserve"> (Figure 7.2). A greater proportion of native taxa were negatively impacted by the 2016 flood</w:t>
      </w:r>
      <w:r w:rsidR="00067254">
        <w:t xml:space="preserve">. </w:t>
      </w:r>
      <w:r w:rsidRPr="00067254">
        <w:t xml:space="preserve">There was a significant reduction in percent cover of native taxa </w:t>
      </w:r>
      <w:r w:rsidR="00067254" w:rsidRPr="00067254">
        <w:t>following</w:t>
      </w:r>
      <w:r w:rsidRPr="00067254">
        <w:t xml:space="preserve"> the 2016 flood (Figure 7.3), </w:t>
      </w:r>
      <w:r w:rsidR="00067254" w:rsidRPr="00067254">
        <w:t xml:space="preserve">particularly in zones 3 and 4. </w:t>
      </w:r>
      <w:r w:rsidR="00067254">
        <w:t>T</w:t>
      </w:r>
      <w:r w:rsidR="00067254" w:rsidRPr="00067254">
        <w:t>here has been a gradual increase in species richness following the</w:t>
      </w:r>
      <w:r w:rsidR="008F33BB">
        <w:t xml:space="preserve"> flood in all zones (</w:t>
      </w:r>
      <w:r w:rsidR="00067254" w:rsidRPr="00067254">
        <w:t>Figure 7.2). T</w:t>
      </w:r>
      <w:r w:rsidRPr="00067254">
        <w:t xml:space="preserve">here has </w:t>
      </w:r>
      <w:r w:rsidR="00067254">
        <w:t xml:space="preserve">also </w:t>
      </w:r>
      <w:r w:rsidRPr="00067254">
        <w:t>been a slight increase in percent cover of native taxa ove</w:t>
      </w:r>
      <w:r w:rsidR="00067254" w:rsidRPr="00067254">
        <w:t>r the subsequent years, h</w:t>
      </w:r>
      <w:r w:rsidRPr="00067254">
        <w:t>owever the maximum mean percent cover is still considerably lower than that observed in 2015-16 prior to the flood (Figure 7.3).</w:t>
      </w:r>
    </w:p>
    <w:p w14:paraId="6A340A54" w14:textId="08D0F096" w:rsidR="00752788" w:rsidRDefault="00A04024" w:rsidP="00FB05C6">
      <w:pPr>
        <w:spacing w:after="0" w:line="240" w:lineRule="auto"/>
        <w:jc w:val="center"/>
        <w:rPr>
          <w:sz w:val="20"/>
        </w:rPr>
      </w:pPr>
      <w:r>
        <w:rPr>
          <w:noProof/>
          <w:sz w:val="20"/>
          <w:lang w:eastAsia="en-AU"/>
        </w:rPr>
        <w:drawing>
          <wp:inline distT="0" distB="0" distL="0" distR="0" wp14:anchorId="16C06D72" wp14:editId="1C818469">
            <wp:extent cx="3680396" cy="34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680396" cy="3420000"/>
                    </a:xfrm>
                    <a:prstGeom prst="rect">
                      <a:avLst/>
                    </a:prstGeom>
                    <a:noFill/>
                  </pic:spPr>
                </pic:pic>
              </a:graphicData>
            </a:graphic>
          </wp:inline>
        </w:drawing>
      </w:r>
    </w:p>
    <w:p w14:paraId="035D6360" w14:textId="60236108" w:rsidR="00752788" w:rsidRDefault="00752788" w:rsidP="00752788">
      <w:pPr>
        <w:spacing w:after="0" w:line="240" w:lineRule="auto"/>
        <w:jc w:val="left"/>
        <w:rPr>
          <w:sz w:val="20"/>
        </w:rPr>
      </w:pPr>
      <w:r w:rsidRPr="00AE2B3D">
        <w:rPr>
          <w:b/>
          <w:sz w:val="20"/>
        </w:rPr>
        <w:t>Figure 7.</w:t>
      </w:r>
      <w:r>
        <w:rPr>
          <w:b/>
          <w:sz w:val="20"/>
        </w:rPr>
        <w:t>2</w:t>
      </w:r>
      <w:r w:rsidRPr="00AE2B3D">
        <w:rPr>
          <w:sz w:val="20"/>
        </w:rPr>
        <w:t xml:space="preserve"> </w:t>
      </w:r>
      <w:r w:rsidRPr="0016384D">
        <w:rPr>
          <w:sz w:val="20"/>
        </w:rPr>
        <w:t xml:space="preserve">Mean richness of native and exotic vegetation taxa monitored monthly </w:t>
      </w:r>
      <w:r w:rsidR="0016384D" w:rsidRPr="0016384D">
        <w:rPr>
          <w:sz w:val="20"/>
        </w:rPr>
        <w:t>in</w:t>
      </w:r>
      <w:r w:rsidRPr="0016384D">
        <w:rPr>
          <w:sz w:val="20"/>
        </w:rPr>
        <w:t xml:space="preserve"> </w:t>
      </w:r>
      <w:r w:rsidR="00240582" w:rsidRPr="0016384D">
        <w:rPr>
          <w:sz w:val="20"/>
        </w:rPr>
        <w:t>five</w:t>
      </w:r>
      <w:r w:rsidRPr="0016384D">
        <w:rPr>
          <w:sz w:val="20"/>
        </w:rPr>
        <w:t xml:space="preserve"> hydrological zones in the </w:t>
      </w:r>
      <w:r w:rsidR="008E27F6" w:rsidRPr="0016384D">
        <w:rPr>
          <w:sz w:val="20"/>
        </w:rPr>
        <w:t>Edward/Kolety-Wakool</w:t>
      </w:r>
      <w:r w:rsidRPr="0016384D">
        <w:rPr>
          <w:sz w:val="20"/>
        </w:rPr>
        <w:t xml:space="preserve"> system between 2014 and 20</w:t>
      </w:r>
      <w:r w:rsidR="000C702B">
        <w:rPr>
          <w:sz w:val="20"/>
        </w:rPr>
        <w:t>20</w:t>
      </w:r>
      <w:r w:rsidRPr="0016384D">
        <w:rPr>
          <w:sz w:val="20"/>
        </w:rPr>
        <w:t>.</w:t>
      </w:r>
      <w:r w:rsidRPr="00AE2B3D">
        <w:rPr>
          <w:sz w:val="20"/>
        </w:rPr>
        <w:t xml:space="preserve"> </w:t>
      </w:r>
      <w:r w:rsidR="000C702B" w:rsidRPr="00240582">
        <w:rPr>
          <w:sz w:val="20"/>
        </w:rPr>
        <w:t xml:space="preserve">Blue shading indicates </w:t>
      </w:r>
      <w:r w:rsidR="000C702B">
        <w:rPr>
          <w:sz w:val="20"/>
        </w:rPr>
        <w:t xml:space="preserve">the </w:t>
      </w:r>
      <w:r w:rsidR="000C702B" w:rsidRPr="00240582">
        <w:rPr>
          <w:sz w:val="20"/>
        </w:rPr>
        <w:t xml:space="preserve">unregulated flood in 2016-17 water year. Green shading indicates that zones 1, 3, 4 and 8 received environmental water each year. Zone 2 received </w:t>
      </w:r>
      <w:r w:rsidR="000C702B">
        <w:rPr>
          <w:sz w:val="20"/>
        </w:rPr>
        <w:t xml:space="preserve">minimal </w:t>
      </w:r>
      <w:r w:rsidR="000C702B" w:rsidRPr="00240582">
        <w:rPr>
          <w:sz w:val="20"/>
        </w:rPr>
        <w:t>no environmental water, with the exception being in 2018-19</w:t>
      </w:r>
      <w:r w:rsidR="000C702B">
        <w:rPr>
          <w:sz w:val="20"/>
        </w:rPr>
        <w:t>, as indicated.</w:t>
      </w:r>
    </w:p>
    <w:p w14:paraId="30BA0124" w14:textId="486DE8A4" w:rsidR="00752788" w:rsidRDefault="00DF313B" w:rsidP="00752788">
      <w:pPr>
        <w:spacing w:after="0" w:line="240" w:lineRule="auto"/>
        <w:jc w:val="center"/>
        <w:rPr>
          <w:sz w:val="20"/>
        </w:rPr>
      </w:pPr>
      <w:r>
        <w:rPr>
          <w:noProof/>
          <w:sz w:val="20"/>
          <w:lang w:eastAsia="en-AU"/>
        </w:rPr>
        <w:drawing>
          <wp:inline distT="0" distB="0" distL="0" distR="0" wp14:anchorId="7296623E" wp14:editId="2B27551C">
            <wp:extent cx="3575811" cy="255600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575811" cy="2556000"/>
                    </a:xfrm>
                    <a:prstGeom prst="rect">
                      <a:avLst/>
                    </a:prstGeom>
                    <a:noFill/>
                  </pic:spPr>
                </pic:pic>
              </a:graphicData>
            </a:graphic>
          </wp:inline>
        </w:drawing>
      </w:r>
    </w:p>
    <w:p w14:paraId="6ACA7C72" w14:textId="484E5F2D" w:rsidR="00752788" w:rsidRDefault="00752788" w:rsidP="003C3A02">
      <w:pPr>
        <w:spacing w:after="0" w:line="240" w:lineRule="auto"/>
        <w:ind w:right="-427"/>
        <w:jc w:val="left"/>
        <w:rPr>
          <w:sz w:val="20"/>
        </w:rPr>
      </w:pPr>
      <w:r w:rsidRPr="00AE2B3D">
        <w:rPr>
          <w:b/>
          <w:sz w:val="20"/>
        </w:rPr>
        <w:t>Figure 7.</w:t>
      </w:r>
      <w:r>
        <w:rPr>
          <w:b/>
          <w:sz w:val="20"/>
        </w:rPr>
        <w:t>3</w:t>
      </w:r>
      <w:r w:rsidRPr="00AE2B3D">
        <w:rPr>
          <w:sz w:val="20"/>
        </w:rPr>
        <w:t xml:space="preserve"> </w:t>
      </w:r>
      <w:r w:rsidRPr="00FB05C6">
        <w:rPr>
          <w:sz w:val="20"/>
        </w:rPr>
        <w:t xml:space="preserve">Mean percent cover of native and exotic vegetation taxa monitored monthly across </w:t>
      </w:r>
      <w:r w:rsidR="000C702B" w:rsidRPr="00FB05C6">
        <w:rPr>
          <w:sz w:val="20"/>
        </w:rPr>
        <w:t>five</w:t>
      </w:r>
      <w:r w:rsidRPr="00FB05C6">
        <w:rPr>
          <w:sz w:val="20"/>
        </w:rPr>
        <w:t xml:space="preserve"> hydrological zones in the </w:t>
      </w:r>
      <w:r w:rsidR="008E27F6" w:rsidRPr="00FB05C6">
        <w:rPr>
          <w:sz w:val="20"/>
        </w:rPr>
        <w:t>Edward/Kolety-Wakool</w:t>
      </w:r>
      <w:r w:rsidRPr="00FB05C6">
        <w:rPr>
          <w:sz w:val="20"/>
        </w:rPr>
        <w:t xml:space="preserve"> system between 2014 and 20</w:t>
      </w:r>
      <w:r w:rsidR="000C702B" w:rsidRPr="00FB05C6">
        <w:rPr>
          <w:sz w:val="20"/>
        </w:rPr>
        <w:t>20</w:t>
      </w:r>
      <w:r w:rsidRPr="00FB05C6">
        <w:rPr>
          <w:sz w:val="20"/>
        </w:rPr>
        <w:t>.</w:t>
      </w:r>
      <w:r w:rsidRPr="00AE2B3D">
        <w:rPr>
          <w:sz w:val="20"/>
        </w:rPr>
        <w:t xml:space="preserve"> </w:t>
      </w:r>
      <w:r w:rsidR="00FB05C6" w:rsidRPr="00240582">
        <w:rPr>
          <w:sz w:val="20"/>
        </w:rPr>
        <w:t xml:space="preserve">Blue shading indicates </w:t>
      </w:r>
      <w:r w:rsidR="00FB05C6">
        <w:rPr>
          <w:sz w:val="20"/>
        </w:rPr>
        <w:t xml:space="preserve">the </w:t>
      </w:r>
      <w:r w:rsidR="00FB05C6" w:rsidRPr="00240582">
        <w:rPr>
          <w:sz w:val="20"/>
        </w:rPr>
        <w:t xml:space="preserve">unregulated flood in 2016-17. Green shading indicates that zones 1, 3, 4 and 8 received environmental water each year. Zone 2 received </w:t>
      </w:r>
      <w:r w:rsidR="00FB05C6">
        <w:rPr>
          <w:sz w:val="20"/>
        </w:rPr>
        <w:t xml:space="preserve">minimal </w:t>
      </w:r>
      <w:r w:rsidR="00FB05C6" w:rsidRPr="00240582">
        <w:rPr>
          <w:sz w:val="20"/>
        </w:rPr>
        <w:t>no environmental water, with the exception being in 2018-19</w:t>
      </w:r>
      <w:r w:rsidR="00FB05C6">
        <w:rPr>
          <w:sz w:val="20"/>
        </w:rPr>
        <w:t>, as indicated.</w:t>
      </w:r>
    </w:p>
    <w:p w14:paraId="75150E5B" w14:textId="77777777" w:rsidR="00752788" w:rsidRPr="00FF5504" w:rsidRDefault="00752788" w:rsidP="00E85150">
      <w:pPr>
        <w:spacing w:after="120" w:line="259" w:lineRule="auto"/>
        <w:jc w:val="left"/>
        <w:rPr>
          <w:rFonts w:cs="Calibri"/>
          <w:b/>
          <w:i/>
          <w:color w:val="31849B" w:themeColor="accent5" w:themeShade="BF"/>
          <w:sz w:val="24"/>
          <w:szCs w:val="24"/>
        </w:rPr>
      </w:pPr>
      <w:r>
        <w:rPr>
          <w:rFonts w:cs="Calibri"/>
          <w:b/>
          <w:i/>
          <w:color w:val="31849B" w:themeColor="accent5" w:themeShade="BF"/>
          <w:sz w:val="24"/>
          <w:szCs w:val="24"/>
        </w:rPr>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submerged taxa</w:t>
      </w:r>
    </w:p>
    <w:p w14:paraId="43D4BD75" w14:textId="4A319839" w:rsidR="00752788" w:rsidRDefault="00752788" w:rsidP="00E85150">
      <w:pPr>
        <w:spacing w:after="120" w:line="259" w:lineRule="auto"/>
        <w:jc w:val="left"/>
      </w:pPr>
      <w:r w:rsidRPr="00811338">
        <w:t>Following the flood in 2016 there was a reduction in mean total richness of submer</w:t>
      </w:r>
      <w:r w:rsidR="00E85150">
        <w:t>ged taxa in all zones. S</w:t>
      </w:r>
      <w:r w:rsidRPr="00811338">
        <w:t>ince 2017-18 there has been a recovery of submerged taxa in all zones (Figure 7</w:t>
      </w:r>
      <w:r w:rsidR="00811338" w:rsidRPr="00811338">
        <w:t>.4)</w:t>
      </w:r>
      <w:r w:rsidR="0060133C">
        <w:t xml:space="preserve">, </w:t>
      </w:r>
      <w:r w:rsidR="00E85150">
        <w:t xml:space="preserve">but </w:t>
      </w:r>
      <w:r w:rsidR="00161C5D">
        <w:t>the total richness has not yet reached levels observed prior to the flood</w:t>
      </w:r>
      <w:r w:rsidR="00811338" w:rsidRPr="00811338">
        <w:t xml:space="preserve">. In 2019-20 the </w:t>
      </w:r>
      <w:r w:rsidR="00811338">
        <w:t xml:space="preserve">maximum mean </w:t>
      </w:r>
      <w:r w:rsidR="00811338" w:rsidRPr="00811338">
        <w:t xml:space="preserve">precent cover of submerged taxa increased </w:t>
      </w:r>
      <w:r w:rsidR="0060133C">
        <w:t>(zones 1 and 8) or was maintained (zone</w:t>
      </w:r>
      <w:r w:rsidR="00E85150">
        <w:t>s</w:t>
      </w:r>
      <w:r w:rsidR="0060133C">
        <w:t xml:space="preserve"> 3 and 4)</w:t>
      </w:r>
      <w:r w:rsidR="00811338" w:rsidRPr="00811338">
        <w:t xml:space="preserve"> </w:t>
      </w:r>
      <w:r w:rsidR="00E85150">
        <w:t xml:space="preserve">in zones </w:t>
      </w:r>
      <w:r w:rsidR="00811338" w:rsidRPr="00811338">
        <w:t xml:space="preserve">that received environmental water, but reduced in zone 2 (Upper Wakool River) that did not receive environmental water in 2019-20 </w:t>
      </w:r>
      <w:r w:rsidRPr="00811338">
        <w:t>(Figure 7.5).</w:t>
      </w:r>
    </w:p>
    <w:p w14:paraId="40F36CA2" w14:textId="6BA991C1" w:rsidR="00E85150" w:rsidRDefault="007747FE" w:rsidP="007747FE">
      <w:pPr>
        <w:spacing w:after="120" w:line="320" w:lineRule="exact"/>
        <w:ind w:right="-144"/>
        <w:jc w:val="left"/>
      </w:pPr>
      <w:r>
        <w:t xml:space="preserve">There is a seasonal pattern in the presence of Chara, with highest cover observed between September and December. </w:t>
      </w:r>
      <w:r w:rsidRPr="007747FE">
        <w:t xml:space="preserve">In 2018-19 Chara was present in all </w:t>
      </w:r>
      <w:r>
        <w:t xml:space="preserve">five study </w:t>
      </w:r>
      <w:r w:rsidRPr="007747FE">
        <w:t>zones following environmental watering actions, but the percent cover of this taxa was low. In 2019-20</w:t>
      </w:r>
      <w:r w:rsidR="00E85150" w:rsidRPr="007747FE">
        <w:t xml:space="preserve"> there was a significant increase in </w:t>
      </w:r>
      <w:r w:rsidR="00161C5D">
        <w:t xml:space="preserve">the cover of </w:t>
      </w:r>
      <w:r w:rsidR="00E85150" w:rsidRPr="007747FE">
        <w:rPr>
          <w:i/>
        </w:rPr>
        <w:t>Chara</w:t>
      </w:r>
      <w:r w:rsidR="00E85150" w:rsidRPr="007747FE">
        <w:t xml:space="preserve"> in all hydrological zones that received environmental water (Figure</w:t>
      </w:r>
      <w:r w:rsidRPr="007747FE">
        <w:t>s</w:t>
      </w:r>
      <w:r w:rsidR="00E85150" w:rsidRPr="007747FE">
        <w:t xml:space="preserve"> 7.6</w:t>
      </w:r>
      <w:r w:rsidRPr="007747FE">
        <w:t>, 7.7</w:t>
      </w:r>
      <w:r w:rsidR="00E85150" w:rsidRPr="007747FE">
        <w:t xml:space="preserve">). This increase was substantial, </w:t>
      </w:r>
      <w:r w:rsidRPr="007747FE">
        <w:t>such that</w:t>
      </w:r>
      <w:r w:rsidR="00E85150" w:rsidRPr="007747FE">
        <w:t xml:space="preserve"> the percent cover of Chara in zones 1, 3, 4 and 8 </w:t>
      </w:r>
      <w:r w:rsidRPr="007747FE">
        <w:t>had</w:t>
      </w:r>
      <w:r w:rsidR="00E85150" w:rsidRPr="007747FE">
        <w:t xml:space="preserve"> returned to levels observed prior to the flood. There </w:t>
      </w:r>
      <w:r w:rsidRPr="007747FE">
        <w:t xml:space="preserve">was a small amount of Chara present in zone 2 in 2018-19 following </w:t>
      </w:r>
      <w:r>
        <w:t xml:space="preserve">an </w:t>
      </w:r>
      <w:r w:rsidRPr="007747FE">
        <w:t xml:space="preserve">environmental watering action, however in 2019-20 there was no environmental water delivered to zone 2 and Chara was absent </w:t>
      </w:r>
      <w:r w:rsidR="00E85150" w:rsidRPr="007747FE">
        <w:t>(Figure</w:t>
      </w:r>
      <w:r w:rsidRPr="007747FE">
        <w:t>s</w:t>
      </w:r>
      <w:r w:rsidR="00E85150" w:rsidRPr="007747FE">
        <w:t xml:space="preserve"> </w:t>
      </w:r>
      <w:r w:rsidRPr="007747FE">
        <w:t xml:space="preserve">7.6, </w:t>
      </w:r>
      <w:r w:rsidR="00E85150" w:rsidRPr="007747FE">
        <w:t>7.7</w:t>
      </w:r>
      <w:r>
        <w:t>).</w:t>
      </w:r>
    </w:p>
    <w:p w14:paraId="537509D8" w14:textId="3809D539" w:rsidR="00752788" w:rsidRDefault="00987D45" w:rsidP="00E85150">
      <w:pPr>
        <w:spacing w:after="0" w:line="240" w:lineRule="auto"/>
        <w:jc w:val="left"/>
      </w:pPr>
      <w:r>
        <w:rPr>
          <w:noProof/>
          <w:lang w:eastAsia="en-AU"/>
        </w:rPr>
        <w:drawing>
          <wp:inline distT="0" distB="0" distL="0" distR="0" wp14:anchorId="133FFE9B" wp14:editId="6012D135">
            <wp:extent cx="4880093" cy="4572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880093" cy="4572000"/>
                    </a:xfrm>
                    <a:prstGeom prst="rect">
                      <a:avLst/>
                    </a:prstGeom>
                    <a:noFill/>
                  </pic:spPr>
                </pic:pic>
              </a:graphicData>
            </a:graphic>
          </wp:inline>
        </w:drawing>
      </w:r>
    </w:p>
    <w:p w14:paraId="4C07833A" w14:textId="44E26158" w:rsidR="00752788" w:rsidRDefault="00752788" w:rsidP="00811338">
      <w:pPr>
        <w:spacing w:after="120" w:line="240" w:lineRule="auto"/>
        <w:ind w:right="567"/>
        <w:jc w:val="left"/>
        <w:rPr>
          <w:sz w:val="20"/>
        </w:rPr>
      </w:pPr>
      <w:r w:rsidRPr="00AE2B3D">
        <w:rPr>
          <w:b/>
          <w:sz w:val="20"/>
        </w:rPr>
        <w:t>Figure 7.</w:t>
      </w:r>
      <w:r>
        <w:rPr>
          <w:b/>
          <w:sz w:val="20"/>
        </w:rPr>
        <w:t>4</w:t>
      </w:r>
      <w:r w:rsidRPr="00AE2B3D">
        <w:rPr>
          <w:sz w:val="20"/>
        </w:rPr>
        <w:t xml:space="preserve"> </w:t>
      </w:r>
      <w:r w:rsidRPr="00811338">
        <w:rPr>
          <w:sz w:val="20"/>
        </w:rPr>
        <w:t xml:space="preserve">Mean total richness of vegetation taxa monitored monthly across </w:t>
      </w:r>
      <w:r w:rsidR="00FB05C6" w:rsidRPr="00811338">
        <w:rPr>
          <w:sz w:val="20"/>
        </w:rPr>
        <w:t>five</w:t>
      </w:r>
      <w:r w:rsidRPr="00811338">
        <w:rPr>
          <w:sz w:val="20"/>
        </w:rPr>
        <w:t xml:space="preserve"> hydrological zones in the </w:t>
      </w:r>
      <w:r w:rsidR="008E27F6" w:rsidRPr="00811338">
        <w:rPr>
          <w:sz w:val="20"/>
        </w:rPr>
        <w:t>Edward/Kolety-Wakool</w:t>
      </w:r>
      <w:r w:rsidRPr="00811338">
        <w:rPr>
          <w:sz w:val="20"/>
        </w:rPr>
        <w:t xml:space="preserve"> system between 2014 and </w:t>
      </w:r>
      <w:r w:rsidR="00FB05C6" w:rsidRPr="00811338">
        <w:rPr>
          <w:sz w:val="20"/>
        </w:rPr>
        <w:t>2020</w:t>
      </w:r>
      <w:r w:rsidRPr="00811338">
        <w:rPr>
          <w:sz w:val="20"/>
        </w:rPr>
        <w:t>. Taxa were classified as submerged, amphibious or terrestrial.</w:t>
      </w:r>
      <w:r w:rsidR="00FB05C6">
        <w:rPr>
          <w:sz w:val="20"/>
        </w:rPr>
        <w:t xml:space="preserve"> </w:t>
      </w:r>
      <w:r w:rsidR="00BE267B" w:rsidRPr="00240582">
        <w:rPr>
          <w:sz w:val="20"/>
        </w:rPr>
        <w:t xml:space="preserve">Blue shading indicates </w:t>
      </w:r>
      <w:r w:rsidR="00BE267B">
        <w:rPr>
          <w:sz w:val="20"/>
        </w:rPr>
        <w:t xml:space="preserve">the </w:t>
      </w:r>
      <w:r w:rsidR="00BE267B" w:rsidRPr="00240582">
        <w:rPr>
          <w:sz w:val="20"/>
        </w:rPr>
        <w:t xml:space="preserve">unregulated flood in 2016-17. Green shading indicates that zones 1, 3, 4 and 8 received environmental water each year. Zone 2 received </w:t>
      </w:r>
      <w:r w:rsidR="00BE267B">
        <w:rPr>
          <w:sz w:val="20"/>
        </w:rPr>
        <w:t xml:space="preserve">minimal </w:t>
      </w:r>
      <w:r w:rsidR="00BE267B" w:rsidRPr="00240582">
        <w:rPr>
          <w:sz w:val="20"/>
        </w:rPr>
        <w:t>no environmental water, with the exception being in 2018-19</w:t>
      </w:r>
      <w:r w:rsidR="00BE267B">
        <w:rPr>
          <w:sz w:val="20"/>
        </w:rPr>
        <w:t>, as indicated.</w:t>
      </w:r>
    </w:p>
    <w:p w14:paraId="57422727" w14:textId="255F7D1A" w:rsidR="00752788" w:rsidRDefault="003F4DF4" w:rsidP="00E85150">
      <w:pPr>
        <w:spacing w:after="0" w:line="240" w:lineRule="auto"/>
        <w:contextualSpacing/>
        <w:jc w:val="left"/>
      </w:pPr>
      <w:r>
        <w:rPr>
          <w:noProof/>
          <w:lang w:eastAsia="en-AU"/>
        </w:rPr>
        <w:drawing>
          <wp:inline distT="0" distB="0" distL="0" distR="0" wp14:anchorId="18144296" wp14:editId="286440A2">
            <wp:extent cx="5634558" cy="3924000"/>
            <wp:effectExtent l="0" t="0" r="444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634558" cy="3924000"/>
                    </a:xfrm>
                    <a:prstGeom prst="rect">
                      <a:avLst/>
                    </a:prstGeom>
                    <a:noFill/>
                  </pic:spPr>
                </pic:pic>
              </a:graphicData>
            </a:graphic>
          </wp:inline>
        </w:drawing>
      </w:r>
    </w:p>
    <w:p w14:paraId="1FE4F044" w14:textId="298251CB" w:rsidR="00752788" w:rsidRDefault="00752788" w:rsidP="00811338">
      <w:pPr>
        <w:spacing w:after="240" w:line="240" w:lineRule="auto"/>
        <w:ind w:right="567"/>
        <w:jc w:val="left"/>
        <w:rPr>
          <w:sz w:val="20"/>
        </w:rPr>
      </w:pPr>
      <w:r w:rsidRPr="00D6675A">
        <w:rPr>
          <w:b/>
          <w:sz w:val="20"/>
        </w:rPr>
        <w:t>Figure 7.</w:t>
      </w:r>
      <w:r>
        <w:rPr>
          <w:b/>
          <w:sz w:val="20"/>
        </w:rPr>
        <w:t>5</w:t>
      </w:r>
      <w:r w:rsidRPr="00D6675A">
        <w:rPr>
          <w:sz w:val="20"/>
        </w:rPr>
        <w:t xml:space="preserve"> </w:t>
      </w:r>
      <w:r w:rsidRPr="00811338">
        <w:rPr>
          <w:sz w:val="20"/>
        </w:rPr>
        <w:t xml:space="preserve">Maximum mean percent cover of vegetation taxa monitored monthly across </w:t>
      </w:r>
      <w:r w:rsidR="00811338" w:rsidRPr="00811338">
        <w:rPr>
          <w:sz w:val="20"/>
        </w:rPr>
        <w:t>five</w:t>
      </w:r>
      <w:r w:rsidRPr="00811338">
        <w:rPr>
          <w:sz w:val="20"/>
        </w:rPr>
        <w:t xml:space="preserve"> hydrological zones in the </w:t>
      </w:r>
      <w:r w:rsidR="008E27F6" w:rsidRPr="00811338">
        <w:rPr>
          <w:sz w:val="20"/>
        </w:rPr>
        <w:t>Edward/Kolety-Wakool</w:t>
      </w:r>
      <w:r w:rsidRPr="00811338">
        <w:rPr>
          <w:sz w:val="20"/>
        </w:rPr>
        <w:t xml:space="preserve"> system between 2014 and </w:t>
      </w:r>
      <w:r w:rsidR="00811338" w:rsidRPr="00811338">
        <w:rPr>
          <w:sz w:val="20"/>
        </w:rPr>
        <w:t>2020</w:t>
      </w:r>
      <w:r w:rsidRPr="00811338">
        <w:rPr>
          <w:sz w:val="20"/>
        </w:rPr>
        <w:t>. Taxa were classified as submerged, amphibious or terrestrial.</w:t>
      </w:r>
      <w:r w:rsidR="00BE267B">
        <w:rPr>
          <w:sz w:val="20"/>
        </w:rPr>
        <w:t xml:space="preserve"> </w:t>
      </w:r>
      <w:r w:rsidR="00BE267B" w:rsidRPr="00240582">
        <w:rPr>
          <w:sz w:val="20"/>
        </w:rPr>
        <w:t xml:space="preserve">Blue shading indicates </w:t>
      </w:r>
      <w:r w:rsidR="00BE267B">
        <w:rPr>
          <w:sz w:val="20"/>
        </w:rPr>
        <w:t xml:space="preserve">the </w:t>
      </w:r>
      <w:r w:rsidR="00BE267B" w:rsidRPr="00240582">
        <w:rPr>
          <w:sz w:val="20"/>
        </w:rPr>
        <w:t xml:space="preserve">unregulated flood in 2016-17. Green shading indicates that zones 1, 3, 4 and 8 received environmental water each year. Zone 2 received </w:t>
      </w:r>
      <w:r w:rsidR="00BE267B">
        <w:rPr>
          <w:sz w:val="20"/>
        </w:rPr>
        <w:t xml:space="preserve">minimal </w:t>
      </w:r>
      <w:r w:rsidR="00BE267B" w:rsidRPr="00240582">
        <w:rPr>
          <w:sz w:val="20"/>
        </w:rPr>
        <w:t>no environmental water, with the exception being in 2018-19</w:t>
      </w:r>
      <w:r w:rsidR="00BE267B">
        <w:rPr>
          <w:sz w:val="20"/>
        </w:rPr>
        <w:t>, as indicated.</w:t>
      </w:r>
    </w:p>
    <w:p w14:paraId="37D0C13D" w14:textId="4C889EE1" w:rsidR="00752788" w:rsidRDefault="003F4DF4" w:rsidP="00752788">
      <w:pPr>
        <w:spacing w:after="0" w:line="240" w:lineRule="auto"/>
        <w:jc w:val="left"/>
        <w:rPr>
          <w:b/>
          <w:sz w:val="20"/>
        </w:rPr>
      </w:pPr>
      <w:r>
        <w:rPr>
          <w:b/>
          <w:noProof/>
          <w:sz w:val="20"/>
          <w:lang w:eastAsia="en-AU"/>
        </w:rPr>
        <w:drawing>
          <wp:inline distT="0" distB="0" distL="0" distR="0" wp14:anchorId="1187D4D9" wp14:editId="70D77EA2">
            <wp:extent cx="5787243" cy="324000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787243" cy="3240000"/>
                    </a:xfrm>
                    <a:prstGeom prst="rect">
                      <a:avLst/>
                    </a:prstGeom>
                    <a:noFill/>
                  </pic:spPr>
                </pic:pic>
              </a:graphicData>
            </a:graphic>
          </wp:inline>
        </w:drawing>
      </w:r>
    </w:p>
    <w:p w14:paraId="240723A6" w14:textId="3C9355C6" w:rsidR="003C3A02" w:rsidRDefault="00752788" w:rsidP="00752788">
      <w:pPr>
        <w:spacing w:after="120" w:line="240" w:lineRule="auto"/>
        <w:jc w:val="left"/>
        <w:rPr>
          <w:sz w:val="20"/>
        </w:rPr>
        <w:sectPr w:rsidR="003C3A02" w:rsidSect="00443BD6">
          <w:footerReference w:type="default" r:id="rId86"/>
          <w:pgSz w:w="11906" w:h="16838"/>
          <w:pgMar w:top="1276" w:right="1418" w:bottom="1440" w:left="1418" w:header="709" w:footer="709" w:gutter="0"/>
          <w:cols w:space="708"/>
          <w:docGrid w:linePitch="360"/>
        </w:sectPr>
      </w:pPr>
      <w:r w:rsidRPr="00AE2B3D">
        <w:rPr>
          <w:b/>
          <w:sz w:val="20"/>
        </w:rPr>
        <w:t>Figure 7.</w:t>
      </w:r>
      <w:r>
        <w:rPr>
          <w:b/>
          <w:sz w:val="20"/>
        </w:rPr>
        <w:t>6</w:t>
      </w:r>
      <w:r w:rsidRPr="00AE2B3D">
        <w:rPr>
          <w:sz w:val="20"/>
        </w:rPr>
        <w:t xml:space="preserve"> </w:t>
      </w:r>
      <w:r w:rsidRPr="00E85150">
        <w:rPr>
          <w:sz w:val="20"/>
        </w:rPr>
        <w:t xml:space="preserve">Mean percent cover of four submerged vegetation taxa monitored monthly across </w:t>
      </w:r>
      <w:r w:rsidR="00E85150" w:rsidRPr="00E85150">
        <w:rPr>
          <w:sz w:val="20"/>
        </w:rPr>
        <w:t>five</w:t>
      </w:r>
      <w:r w:rsidRPr="00E85150">
        <w:rPr>
          <w:sz w:val="20"/>
        </w:rPr>
        <w:t xml:space="preserve"> hydrological zones in the </w:t>
      </w:r>
      <w:r w:rsidR="008E27F6" w:rsidRPr="00E85150">
        <w:rPr>
          <w:sz w:val="20"/>
        </w:rPr>
        <w:t>Edward/Kolety-Wakool</w:t>
      </w:r>
      <w:r w:rsidRPr="00E85150">
        <w:rPr>
          <w:sz w:val="20"/>
        </w:rPr>
        <w:t xml:space="preserve"> system between 2014 and 20</w:t>
      </w:r>
      <w:r w:rsidR="00E85150" w:rsidRPr="00E85150">
        <w:rPr>
          <w:sz w:val="20"/>
        </w:rPr>
        <w:t>20</w:t>
      </w:r>
      <w:r w:rsidRPr="00E85150">
        <w:rPr>
          <w:sz w:val="20"/>
        </w:rPr>
        <w:t>.</w:t>
      </w:r>
      <w:r w:rsidR="00E85150">
        <w:rPr>
          <w:sz w:val="20"/>
        </w:rPr>
        <w:t xml:space="preserve"> </w:t>
      </w:r>
      <w:r w:rsidR="00E85150" w:rsidRPr="00240582">
        <w:rPr>
          <w:sz w:val="20"/>
        </w:rPr>
        <w:t xml:space="preserve">Green shading indicates that zones 1, 3, 4 and 8 received environmental water each year. Zone 2 received </w:t>
      </w:r>
      <w:r w:rsidR="00E85150">
        <w:rPr>
          <w:sz w:val="20"/>
        </w:rPr>
        <w:t xml:space="preserve">minimal </w:t>
      </w:r>
      <w:r w:rsidR="00E85150" w:rsidRPr="00240582">
        <w:rPr>
          <w:sz w:val="20"/>
        </w:rPr>
        <w:t>no environmental water, with the exception being in 2018-19</w:t>
      </w:r>
      <w:r w:rsidR="00E85150">
        <w:rPr>
          <w:sz w:val="20"/>
        </w:rPr>
        <w:t>, as indicated.</w:t>
      </w:r>
      <w:r w:rsidRPr="00AE2B3D">
        <w:rPr>
          <w:sz w:val="20"/>
        </w:rPr>
        <w:t xml:space="preserve"> </w:t>
      </w:r>
    </w:p>
    <w:p w14:paraId="48F2D603" w14:textId="5098AEB0" w:rsidR="00752788" w:rsidRDefault="00DE50A4" w:rsidP="00752788">
      <w:pPr>
        <w:spacing w:after="0" w:line="240" w:lineRule="auto"/>
        <w:jc w:val="center"/>
        <w:rPr>
          <w:rFonts w:cs="Calibri"/>
          <w:color w:val="31849B" w:themeColor="accent5" w:themeShade="BF"/>
          <w:sz w:val="24"/>
          <w:szCs w:val="24"/>
        </w:rPr>
      </w:pPr>
      <w:r>
        <w:rPr>
          <w:rFonts w:cs="Calibri"/>
          <w:noProof/>
          <w:color w:val="31849B" w:themeColor="accent5" w:themeShade="BF"/>
          <w:sz w:val="24"/>
          <w:szCs w:val="24"/>
          <w:lang w:eastAsia="en-AU"/>
        </w:rPr>
        <w:drawing>
          <wp:inline distT="0" distB="0" distL="0" distR="0" wp14:anchorId="39F8B1EC" wp14:editId="638D0211">
            <wp:extent cx="8577776" cy="493200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8577776" cy="4932000"/>
                    </a:xfrm>
                    <a:prstGeom prst="rect">
                      <a:avLst/>
                    </a:prstGeom>
                    <a:noFill/>
                  </pic:spPr>
                </pic:pic>
              </a:graphicData>
            </a:graphic>
          </wp:inline>
        </w:drawing>
      </w:r>
    </w:p>
    <w:p w14:paraId="2708FC18" w14:textId="466BFEE1" w:rsidR="00752788" w:rsidRDefault="00752788" w:rsidP="00752788">
      <w:pPr>
        <w:spacing w:after="0" w:line="240" w:lineRule="auto"/>
        <w:jc w:val="left"/>
        <w:rPr>
          <w:sz w:val="20"/>
        </w:rPr>
      </w:pPr>
      <w:r w:rsidRPr="007747FE">
        <w:rPr>
          <w:b/>
          <w:sz w:val="20"/>
        </w:rPr>
        <w:t>Figure 7.7</w:t>
      </w:r>
      <w:r w:rsidRPr="007747FE">
        <w:rPr>
          <w:sz w:val="20"/>
        </w:rPr>
        <w:t xml:space="preserve"> Mean percent cover of </w:t>
      </w:r>
      <w:r w:rsidRPr="007747FE">
        <w:rPr>
          <w:i/>
          <w:sz w:val="20"/>
        </w:rPr>
        <w:t>Chara</w:t>
      </w:r>
      <w:r w:rsidRPr="007747FE">
        <w:rPr>
          <w:sz w:val="20"/>
        </w:rPr>
        <w:t xml:space="preserve"> monitored monthly across </w:t>
      </w:r>
      <w:r w:rsidR="007747FE" w:rsidRPr="007747FE">
        <w:rPr>
          <w:sz w:val="20"/>
        </w:rPr>
        <w:t>five</w:t>
      </w:r>
      <w:r w:rsidRPr="007747FE">
        <w:rPr>
          <w:sz w:val="20"/>
        </w:rPr>
        <w:t xml:space="preserve"> hydrological zones in the </w:t>
      </w:r>
      <w:r w:rsidR="008E27F6" w:rsidRPr="007747FE">
        <w:rPr>
          <w:sz w:val="20"/>
        </w:rPr>
        <w:t>Edward/Kolety-Wakool</w:t>
      </w:r>
      <w:r w:rsidRPr="007747FE">
        <w:rPr>
          <w:sz w:val="20"/>
        </w:rPr>
        <w:t xml:space="preserve"> system between 2014 and </w:t>
      </w:r>
      <w:r w:rsidR="007747FE" w:rsidRPr="007747FE">
        <w:rPr>
          <w:sz w:val="20"/>
        </w:rPr>
        <w:t>2020</w:t>
      </w:r>
      <w:r w:rsidRPr="007747FE">
        <w:rPr>
          <w:sz w:val="20"/>
        </w:rPr>
        <w:t>. Transect zero is lowest on the riverbank and transects are labelled consecutively up to transect 5 highest on the river bank.</w:t>
      </w:r>
      <w:r w:rsidR="007747FE" w:rsidRPr="007747FE">
        <w:rPr>
          <w:sz w:val="20"/>
        </w:rPr>
        <w:t xml:space="preserve"> Green shading indicates that zones 1, 3, 4 and 8 received environmental water each year. Zone 2 received minimal no environmental water, with the exception being in 2018-19, as indicated</w:t>
      </w:r>
      <w:r w:rsidR="007747FE">
        <w:rPr>
          <w:sz w:val="20"/>
        </w:rPr>
        <w:t>.</w:t>
      </w:r>
    </w:p>
    <w:p w14:paraId="13123B69" w14:textId="77777777" w:rsidR="003C3A02" w:rsidRDefault="003C3A02">
      <w:pPr>
        <w:spacing w:after="0" w:line="240" w:lineRule="auto"/>
        <w:jc w:val="left"/>
        <w:rPr>
          <w:rFonts w:cs="Calibri"/>
          <w:b/>
          <w:i/>
          <w:color w:val="31849B" w:themeColor="accent5" w:themeShade="BF"/>
          <w:sz w:val="24"/>
          <w:szCs w:val="24"/>
        </w:rPr>
        <w:sectPr w:rsidR="003C3A02" w:rsidSect="003C3A02">
          <w:pgSz w:w="16838" w:h="11906" w:orient="landscape"/>
          <w:pgMar w:top="1701" w:right="1276" w:bottom="1701" w:left="1440" w:header="709" w:footer="709" w:gutter="0"/>
          <w:cols w:space="708"/>
          <w:docGrid w:linePitch="360"/>
        </w:sectPr>
      </w:pPr>
    </w:p>
    <w:p w14:paraId="1EBBF7BE" w14:textId="35DBC1C5" w:rsidR="00752788" w:rsidRPr="00FF5504" w:rsidRDefault="00752788" w:rsidP="00B66811">
      <w:pPr>
        <w:spacing w:after="80" w:line="320" w:lineRule="exact"/>
        <w:jc w:val="left"/>
        <w:rPr>
          <w:rFonts w:cs="Calibri"/>
          <w:b/>
          <w:i/>
          <w:color w:val="31849B" w:themeColor="accent5" w:themeShade="BF"/>
          <w:sz w:val="24"/>
          <w:szCs w:val="24"/>
        </w:rPr>
      </w:pPr>
      <w:r>
        <w:rPr>
          <w:rFonts w:cs="Calibri"/>
          <w:b/>
          <w:i/>
          <w:color w:val="31849B" w:themeColor="accent5" w:themeShade="BF"/>
          <w:sz w:val="24"/>
          <w:szCs w:val="24"/>
        </w:rPr>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amphibious taxa</w:t>
      </w:r>
    </w:p>
    <w:p w14:paraId="55551064" w14:textId="2E3D5D56" w:rsidR="000C753F" w:rsidRDefault="008F4240" w:rsidP="00B66811">
      <w:pPr>
        <w:spacing w:after="120" w:line="259" w:lineRule="auto"/>
        <w:jc w:val="left"/>
      </w:pPr>
      <w:r w:rsidRPr="00811338">
        <w:t xml:space="preserve">Following the flood in 2016 there was a reduction in mean total richness </w:t>
      </w:r>
      <w:r>
        <w:t xml:space="preserve">and percent cover </w:t>
      </w:r>
      <w:r w:rsidRPr="00811338">
        <w:t xml:space="preserve">of </w:t>
      </w:r>
      <w:r>
        <w:t>amphibious taxa in all zones (Figures 7.4, 7.5). The reduction in percent cover was considerable</w:t>
      </w:r>
      <w:r w:rsidR="00B66C4A">
        <w:t xml:space="preserve"> in zones 3 and 4.</w:t>
      </w:r>
      <w:r w:rsidR="00245466">
        <w:t xml:space="preserve"> </w:t>
      </w:r>
      <w:r>
        <w:t>S</w:t>
      </w:r>
      <w:r w:rsidRPr="00811338">
        <w:t xml:space="preserve">ince </w:t>
      </w:r>
      <w:r w:rsidR="000C753F">
        <w:t>the flood</w:t>
      </w:r>
      <w:r w:rsidR="00B66C4A">
        <w:t xml:space="preserve"> the number of </w:t>
      </w:r>
      <w:r>
        <w:t>amphibious</w:t>
      </w:r>
      <w:r w:rsidRPr="00811338">
        <w:t xml:space="preserve"> taxa </w:t>
      </w:r>
      <w:r w:rsidR="00B66C4A">
        <w:t xml:space="preserve">has increased </w:t>
      </w:r>
      <w:r w:rsidRPr="00811338">
        <w:t>in all zones (Figure 7.4)</w:t>
      </w:r>
      <w:r>
        <w:t xml:space="preserve">. </w:t>
      </w:r>
      <w:r w:rsidR="000C753F">
        <w:t>The mean total ric</w:t>
      </w:r>
      <w:r w:rsidR="00A85DA0">
        <w:t>hness was</w:t>
      </w:r>
      <w:r w:rsidR="000C753F">
        <w:t xml:space="preserve"> higher in zones that received environmental water (zone 1, 3, 4 and 8) than in zone 2 that received no or minimal environmental water. However, zones 3 and 4 have not yet recovered to the same total richness </w:t>
      </w:r>
      <w:r w:rsidR="00B66C4A">
        <w:t xml:space="preserve">observed </w:t>
      </w:r>
      <w:r w:rsidR="000C753F">
        <w:t>prior to the flood</w:t>
      </w:r>
      <w:r w:rsidR="00B66C4A">
        <w:t>.</w:t>
      </w:r>
    </w:p>
    <w:p w14:paraId="0872FCA9" w14:textId="2411F630" w:rsidR="00BF5F2C" w:rsidRDefault="000C753F" w:rsidP="00B66811">
      <w:pPr>
        <w:spacing w:after="120" w:line="259" w:lineRule="auto"/>
        <w:jc w:val="left"/>
      </w:pPr>
      <w:r>
        <w:t xml:space="preserve">While there has been an increase in the </w:t>
      </w:r>
      <w:r w:rsidR="008F4240">
        <w:t xml:space="preserve">maximum mean </w:t>
      </w:r>
      <w:r w:rsidR="00245466">
        <w:t>per</w:t>
      </w:r>
      <w:r w:rsidR="008F4240" w:rsidRPr="00811338">
        <w:t xml:space="preserve">cent cover of </w:t>
      </w:r>
      <w:r>
        <w:t>amphibious</w:t>
      </w:r>
      <w:r w:rsidR="008F4240" w:rsidRPr="00811338">
        <w:t xml:space="preserve"> taxa </w:t>
      </w:r>
      <w:r>
        <w:t>in</w:t>
      </w:r>
      <w:r w:rsidR="008F4240" w:rsidRPr="00811338">
        <w:t xml:space="preserve"> </w:t>
      </w:r>
      <w:r w:rsidR="008F4240">
        <w:t>zones 1</w:t>
      </w:r>
      <w:r w:rsidR="00245466">
        <w:t>, 2</w:t>
      </w:r>
      <w:r w:rsidR="008F4240">
        <w:t xml:space="preserve"> and </w:t>
      </w:r>
      <w:r>
        <w:t>4 since the flood (Figure 7.5), there has not been the same increase of percent cover of amphibious taxa observed in zones 3 and 8, despite the delivery of environmental water</w:t>
      </w:r>
      <w:r w:rsidR="00245466">
        <w:t xml:space="preserve"> to those zones</w:t>
      </w:r>
      <w:r>
        <w:t>.</w:t>
      </w:r>
      <w:r w:rsidR="00A85DA0">
        <w:t xml:space="preserve"> The reason for this is because</w:t>
      </w:r>
      <w:r w:rsidR="00BF5F2C">
        <w:t xml:space="preserve"> </w:t>
      </w:r>
      <w:r w:rsidR="00B66811">
        <w:t xml:space="preserve">the dominant </w:t>
      </w:r>
      <w:r w:rsidR="00BF5F2C" w:rsidRPr="00BF5F2C">
        <w:t xml:space="preserve">taxa </w:t>
      </w:r>
      <w:r w:rsidR="00B66811">
        <w:t xml:space="preserve">in different zones </w:t>
      </w:r>
      <w:r w:rsidR="00B66C4A">
        <w:t>respond differently</w:t>
      </w:r>
      <w:r w:rsidR="00BF5F2C">
        <w:t xml:space="preserve"> </w:t>
      </w:r>
      <w:r w:rsidR="002D31AE">
        <w:t xml:space="preserve">to </w:t>
      </w:r>
      <w:r w:rsidR="00245466">
        <w:t>inundation</w:t>
      </w:r>
      <w:r w:rsidR="00BF5F2C">
        <w:t>.</w:t>
      </w:r>
      <w:r w:rsidR="00914F0A">
        <w:t xml:space="preserve"> T</w:t>
      </w:r>
      <w:r w:rsidR="00A85DA0">
        <w:t>h</w:t>
      </w:r>
      <w:r w:rsidR="002D31AE">
        <w:t>us, th</w:t>
      </w:r>
      <w:r w:rsidR="00A85DA0">
        <w:t xml:space="preserve">e vegetation response to </w:t>
      </w:r>
      <w:r w:rsidR="00B66C4A">
        <w:t xml:space="preserve">the flood and </w:t>
      </w:r>
      <w:r w:rsidR="00A85DA0">
        <w:t xml:space="preserve">environmental watering </w:t>
      </w:r>
      <w:r w:rsidR="002D31AE">
        <w:t xml:space="preserve">actions has </w:t>
      </w:r>
      <w:r w:rsidR="00A85DA0">
        <w:t xml:space="preserve">not </w:t>
      </w:r>
      <w:r w:rsidR="002D31AE">
        <w:t xml:space="preserve">been </w:t>
      </w:r>
      <w:r w:rsidR="00A85DA0">
        <w:t>consistent among zones.</w:t>
      </w:r>
    </w:p>
    <w:p w14:paraId="2B1442CA" w14:textId="77936A4C" w:rsidR="00A85DA0" w:rsidRDefault="00914F0A" w:rsidP="00B66811">
      <w:pPr>
        <w:spacing w:after="120" w:line="259" w:lineRule="auto"/>
        <w:jc w:val="left"/>
      </w:pPr>
      <w:r w:rsidRPr="00554E1D">
        <w:t>Spiny mud grass (</w:t>
      </w:r>
      <w:r w:rsidRPr="00554E1D">
        <w:rPr>
          <w:i/>
        </w:rPr>
        <w:t>Pseudoraphis spinescens)</w:t>
      </w:r>
      <w:r>
        <w:rPr>
          <w:i/>
        </w:rPr>
        <w:t xml:space="preserve"> </w:t>
      </w:r>
      <w:r w:rsidRPr="00BF5F2C">
        <w:t xml:space="preserve">was </w:t>
      </w:r>
      <w:r>
        <w:t xml:space="preserve">the most </w:t>
      </w:r>
      <w:r w:rsidRPr="00BF5F2C">
        <w:t>abundant</w:t>
      </w:r>
      <w:r>
        <w:t xml:space="preserve"> tax</w:t>
      </w:r>
      <w:r w:rsidR="002D31AE">
        <w:t>a</w:t>
      </w:r>
      <w:r w:rsidRPr="00BF5F2C">
        <w:t xml:space="preserve"> in zone 4 (Figure 7.8)</w:t>
      </w:r>
      <w:r>
        <w:t xml:space="preserve"> prior to the flood. This species </w:t>
      </w:r>
      <w:r w:rsidR="00161C5D">
        <w:t>has recovered well since</w:t>
      </w:r>
      <w:r>
        <w:t xml:space="preserve"> the flood and increased in percent cover in zone 4 </w:t>
      </w:r>
      <w:r w:rsidR="00161C5D">
        <w:t>such that it</w:t>
      </w:r>
      <w:r w:rsidR="00B66C4A">
        <w:t xml:space="preserve"> currently has a higher percent</w:t>
      </w:r>
      <w:r>
        <w:t xml:space="preserve"> cover than was recorded </w:t>
      </w:r>
      <w:r w:rsidR="00245466">
        <w:t>prior to the flood</w:t>
      </w:r>
      <w:r>
        <w:t xml:space="preserve"> (Figures 7.8, 7.9).</w:t>
      </w:r>
      <w:r w:rsidR="002D31AE">
        <w:t xml:space="preserve"> </w:t>
      </w:r>
      <w:r w:rsidR="00A85DA0">
        <w:t>The rush (</w:t>
      </w:r>
      <w:r w:rsidR="00A85DA0" w:rsidRPr="002D31AE">
        <w:rPr>
          <w:i/>
        </w:rPr>
        <w:t>Juncus sp</w:t>
      </w:r>
      <w:r w:rsidR="00A85DA0">
        <w:t xml:space="preserve">.) was </w:t>
      </w:r>
      <w:r w:rsidR="00B66811">
        <w:t xml:space="preserve">also </w:t>
      </w:r>
      <w:r w:rsidR="00A85DA0">
        <w:t xml:space="preserve">a common taxa in all zones prior to the flood (Figure 7.8). This rush reduced in percent cover during the flood </w:t>
      </w:r>
      <w:r>
        <w:t xml:space="preserve">but tolerated the flood </w:t>
      </w:r>
      <w:r w:rsidR="00A85DA0">
        <w:t xml:space="preserve">and has recovered in all zones regardless </w:t>
      </w:r>
      <w:r w:rsidR="00B66C4A">
        <w:t xml:space="preserve">of </w:t>
      </w:r>
      <w:r w:rsidR="00A85DA0">
        <w:t xml:space="preserve">whether there </w:t>
      </w:r>
      <w:r w:rsidR="00245466">
        <w:t>have been</w:t>
      </w:r>
      <w:r w:rsidR="00A85DA0">
        <w:t xml:space="preserve"> environmental watering a</w:t>
      </w:r>
      <w:r w:rsidR="00B66C4A">
        <w:t>c</w:t>
      </w:r>
      <w:r w:rsidR="00A85DA0">
        <w:t>tions</w:t>
      </w:r>
      <w:r w:rsidR="00B66C4A">
        <w:t xml:space="preserve"> </w:t>
      </w:r>
      <w:r w:rsidR="00A85DA0">
        <w:t>(zones 1, 3,4 and 8) or no environmental water (zone 2).</w:t>
      </w:r>
      <w:r w:rsidR="002D31AE">
        <w:t xml:space="preserve"> Similarly, common spikerush (</w:t>
      </w:r>
      <w:r w:rsidR="002D31AE" w:rsidRPr="002D31AE">
        <w:rPr>
          <w:i/>
        </w:rPr>
        <w:t>Eleocharis sp.)</w:t>
      </w:r>
      <w:r w:rsidR="002D31AE">
        <w:t xml:space="preserve"> was the dominant taxa in zone 8 (</w:t>
      </w:r>
      <w:r w:rsidR="00B66C4A">
        <w:t>Colli</w:t>
      </w:r>
      <w:r w:rsidR="002D31AE">
        <w:t xml:space="preserve">gen Creek) prior to the flood, but tolerated the flooding and has </w:t>
      </w:r>
      <w:r w:rsidR="00245466">
        <w:t>maintained</w:t>
      </w:r>
      <w:r w:rsidR="002D31AE">
        <w:t xml:space="preserve"> similar mean percent cover across all year</w:t>
      </w:r>
      <w:r w:rsidR="00B66C4A">
        <w:t>s</w:t>
      </w:r>
      <w:r w:rsidR="002D31AE">
        <w:t xml:space="preserve"> (Figure 7.8).</w:t>
      </w:r>
    </w:p>
    <w:p w14:paraId="685BCE13" w14:textId="3811508C" w:rsidR="00B66C4A" w:rsidRPr="00245466" w:rsidRDefault="002D31AE" w:rsidP="00B66811">
      <w:pPr>
        <w:spacing w:after="120" w:line="259" w:lineRule="auto"/>
        <w:jc w:val="left"/>
      </w:pPr>
      <w:r>
        <w:t>In contrast, s</w:t>
      </w:r>
      <w:r w:rsidR="00914F0A" w:rsidRPr="00914F0A">
        <w:t>everal other amphibious taxa were negatively impacted by the flood</w:t>
      </w:r>
      <w:r>
        <w:t xml:space="preserve">. </w:t>
      </w:r>
      <w:r w:rsidR="00914F0A" w:rsidRPr="00914F0A">
        <w:t>Floating pondweed (</w:t>
      </w:r>
      <w:r w:rsidR="00914F0A" w:rsidRPr="00914F0A">
        <w:rPr>
          <w:i/>
        </w:rPr>
        <w:t>Potamogeton tricarinatus)</w:t>
      </w:r>
      <w:r>
        <w:t xml:space="preserve"> was previously the dominant amphibious taxa in zone 3 </w:t>
      </w:r>
      <w:r w:rsidR="00914F0A" w:rsidRPr="00914F0A">
        <w:t xml:space="preserve">prior to the flood </w:t>
      </w:r>
      <w:r>
        <w:t>(Figure 7.8</w:t>
      </w:r>
      <w:r w:rsidRPr="00914F0A">
        <w:t xml:space="preserve">) </w:t>
      </w:r>
      <w:r>
        <w:t>but significantly</w:t>
      </w:r>
      <w:r w:rsidR="00914F0A" w:rsidRPr="00914F0A">
        <w:t xml:space="preserve"> reduced in cover or </w:t>
      </w:r>
      <w:r w:rsidR="00B66811">
        <w:t xml:space="preserve">was </w:t>
      </w:r>
      <w:r w:rsidR="00914F0A" w:rsidRPr="00914F0A">
        <w:t xml:space="preserve">killed </w:t>
      </w:r>
      <w:r>
        <w:t>by the</w:t>
      </w:r>
      <w:r w:rsidR="00245466">
        <w:t xml:space="preserve"> flood in 2016</w:t>
      </w:r>
      <w:r w:rsidR="00914F0A" w:rsidRPr="00914F0A">
        <w:t xml:space="preserve"> </w:t>
      </w:r>
      <w:r w:rsidR="00BF5F2C">
        <w:t>(Figure 7.8)</w:t>
      </w:r>
      <w:r w:rsidR="00554E1D">
        <w:t xml:space="preserve">. It </w:t>
      </w:r>
      <w:r w:rsidR="00BF5F2C">
        <w:t xml:space="preserve">was </w:t>
      </w:r>
      <w:r w:rsidR="00554E1D">
        <w:t xml:space="preserve">absent from all zones after the flood and </w:t>
      </w:r>
      <w:r w:rsidR="00914F0A">
        <w:t xml:space="preserve">was </w:t>
      </w:r>
      <w:r w:rsidR="00BF5F2C">
        <w:t>not recorded in 2017-18 or 2018-19</w:t>
      </w:r>
      <w:r w:rsidR="00914F0A">
        <w:t>. It was recorded</w:t>
      </w:r>
      <w:r w:rsidR="00554E1D">
        <w:t xml:space="preserve"> </w:t>
      </w:r>
      <w:r w:rsidR="00BF5F2C">
        <w:t xml:space="preserve">again </w:t>
      </w:r>
      <w:r w:rsidR="00914F0A">
        <w:t xml:space="preserve">for the first time </w:t>
      </w:r>
      <w:r w:rsidR="00BF5F2C">
        <w:t>in 2019-20</w:t>
      </w:r>
      <w:r w:rsidR="00CD422C">
        <w:t xml:space="preserve"> </w:t>
      </w:r>
      <w:r w:rsidR="00554E1D">
        <w:t xml:space="preserve">in zone 3 </w:t>
      </w:r>
      <w:r w:rsidR="00BF5F2C">
        <w:t>at low percent cover (Figure 7.</w:t>
      </w:r>
      <w:r w:rsidR="00914F0A">
        <w:t>10</w:t>
      </w:r>
      <w:r w:rsidR="00BF5F2C">
        <w:t>).</w:t>
      </w:r>
      <w:r w:rsidR="00914F0A">
        <w:t xml:space="preserve"> Similarly, </w:t>
      </w:r>
      <w:r w:rsidRPr="00914F0A">
        <w:t>milfoil (</w:t>
      </w:r>
      <w:r w:rsidRPr="00914F0A">
        <w:rPr>
          <w:i/>
        </w:rPr>
        <w:t>Myriophyllum spp</w:t>
      </w:r>
      <w:r>
        <w:rPr>
          <w:i/>
        </w:rPr>
        <w:t xml:space="preserve">) </w:t>
      </w:r>
      <w:r>
        <w:t xml:space="preserve">was abundant in zones 1, 3 and 4 prior to the flood </w:t>
      </w:r>
      <w:r w:rsidR="00B66C4A">
        <w:t>and was absent in 2018-19 but was recorded at low percent cover in zones 1 and 3</w:t>
      </w:r>
      <w:r>
        <w:t xml:space="preserve"> </w:t>
      </w:r>
      <w:r w:rsidR="00B66C4A">
        <w:t xml:space="preserve">in 2019-20 </w:t>
      </w:r>
      <w:r w:rsidRPr="00914F0A">
        <w:t>(Figure 7.11)</w:t>
      </w:r>
      <w:r w:rsidR="00B66C4A">
        <w:t xml:space="preserve">. </w:t>
      </w:r>
      <w:r w:rsidR="00B66C4A" w:rsidRPr="00B66C4A">
        <w:t xml:space="preserve">Small plants of these </w:t>
      </w:r>
      <w:r w:rsidR="00B66C4A" w:rsidRPr="00245466">
        <w:t xml:space="preserve">species have been observed outside the </w:t>
      </w:r>
      <w:r w:rsidR="00B66811" w:rsidRPr="00245466">
        <w:t>monitored</w:t>
      </w:r>
      <w:r w:rsidR="00B66C4A" w:rsidRPr="00245466">
        <w:t xml:space="preserve"> transects, suggesting there is the possibility of the recovery of these species following future environmental watering actions.</w:t>
      </w:r>
    </w:p>
    <w:p w14:paraId="47085A1A" w14:textId="60E911A0" w:rsidR="00752788" w:rsidRDefault="00752788" w:rsidP="00B66811">
      <w:pPr>
        <w:spacing w:after="80" w:line="259" w:lineRule="auto"/>
        <w:jc w:val="left"/>
      </w:pPr>
      <w:r w:rsidRPr="00245466">
        <w:t xml:space="preserve">Between 2015 and 2018 there were generally fewer amphibious taxa in zone 2 that received very low or no environmental watering actions compared to </w:t>
      </w:r>
      <w:r w:rsidR="00245466" w:rsidRPr="00245466">
        <w:t xml:space="preserve">the other zones </w:t>
      </w:r>
      <w:r w:rsidRPr="00245466">
        <w:t xml:space="preserve">that regularly received environmental water. However, in 2018-19 there was </w:t>
      </w:r>
      <w:r w:rsidR="00245466" w:rsidRPr="00245466">
        <w:t xml:space="preserve">a watering action in zone 2 </w:t>
      </w:r>
      <w:r w:rsidR="00B66811">
        <w:t xml:space="preserve">with water delivered from </w:t>
      </w:r>
      <w:r w:rsidR="00245466" w:rsidRPr="00245466">
        <w:t>the MIL Wakool escape between October 2018 and February 2019. In response to th</w:t>
      </w:r>
      <w:r w:rsidR="00B66811">
        <w:t>i</w:t>
      </w:r>
      <w:r w:rsidR="00245466" w:rsidRPr="00245466">
        <w:t xml:space="preserve">s flow there was </w:t>
      </w:r>
      <w:r w:rsidRPr="00245466">
        <w:t xml:space="preserve">an increase in total and mean richness </w:t>
      </w:r>
      <w:r w:rsidR="00245466" w:rsidRPr="00245466">
        <w:t>with taxa including spike</w:t>
      </w:r>
      <w:r w:rsidR="00B66811">
        <w:t xml:space="preserve"> </w:t>
      </w:r>
      <w:r w:rsidR="00245466" w:rsidRPr="00245466">
        <w:t xml:space="preserve">rush and mudwort recorded (Figure 7.8). However, in 2019-20 there was no watering action in zone 2 and the richness of </w:t>
      </w:r>
      <w:r w:rsidR="00B66811">
        <w:t>amphibious taxa declined again.</w:t>
      </w:r>
    </w:p>
    <w:p w14:paraId="490462B8" w14:textId="77777777" w:rsidR="00B66811" w:rsidRPr="00FF5504" w:rsidRDefault="00B66811" w:rsidP="00B66811">
      <w:pPr>
        <w:spacing w:after="0" w:line="259" w:lineRule="auto"/>
        <w:jc w:val="left"/>
        <w:rPr>
          <w:rFonts w:cs="Calibri"/>
          <w:b/>
          <w:i/>
          <w:color w:val="31849B" w:themeColor="accent5" w:themeShade="BF"/>
          <w:sz w:val="24"/>
          <w:szCs w:val="24"/>
        </w:rPr>
      </w:pPr>
      <w:r>
        <w:rPr>
          <w:rFonts w:cs="Calibri"/>
          <w:b/>
          <w:i/>
          <w:color w:val="31849B" w:themeColor="accent5" w:themeShade="BF"/>
          <w:sz w:val="24"/>
          <w:szCs w:val="24"/>
        </w:rPr>
        <w:t>R</w:t>
      </w:r>
      <w:r w:rsidRPr="00FF5504">
        <w:rPr>
          <w:rFonts w:cs="Calibri"/>
          <w:b/>
          <w:i/>
          <w:color w:val="31849B" w:themeColor="accent5" w:themeShade="BF"/>
          <w:sz w:val="24"/>
          <w:szCs w:val="24"/>
        </w:rPr>
        <w:t>ichness and cover</w:t>
      </w:r>
      <w:r>
        <w:rPr>
          <w:rFonts w:cs="Calibri"/>
          <w:b/>
          <w:i/>
          <w:color w:val="31849B" w:themeColor="accent5" w:themeShade="BF"/>
          <w:sz w:val="24"/>
          <w:szCs w:val="24"/>
        </w:rPr>
        <w:t xml:space="preserve"> of terrestrial taxa</w:t>
      </w:r>
    </w:p>
    <w:p w14:paraId="2C4AB4BC" w14:textId="53CECA8E" w:rsidR="00B66811" w:rsidRPr="00245466" w:rsidRDefault="00B66811" w:rsidP="00245466">
      <w:pPr>
        <w:spacing w:after="120" w:line="259" w:lineRule="auto"/>
        <w:jc w:val="left"/>
      </w:pPr>
      <w:r w:rsidRPr="00811338">
        <w:t xml:space="preserve">Following the flood in 2016 there was a reduction in </w:t>
      </w:r>
      <w:r>
        <w:t xml:space="preserve">the </w:t>
      </w:r>
      <w:r w:rsidRPr="00811338">
        <w:t xml:space="preserve">mean total richness </w:t>
      </w:r>
      <w:r>
        <w:t>of</w:t>
      </w:r>
      <w:r w:rsidRPr="00811338">
        <w:t xml:space="preserve"> </w:t>
      </w:r>
      <w:r>
        <w:t xml:space="preserve">terrestrial taxa in all zones (Figures 7.4), but the change in cover was variable. Indeed in some zones there was an increase in percent cover of terrestrial taxa (Figure 7.5). For </w:t>
      </w:r>
      <w:r w:rsidRPr="006A73B6">
        <w:t>example, common sneeze weed (</w:t>
      </w:r>
      <w:r w:rsidRPr="006A73B6">
        <w:rPr>
          <w:i/>
        </w:rPr>
        <w:t>Centipeda cunninghamii)</w:t>
      </w:r>
      <w:r w:rsidRPr="006A73B6">
        <w:t xml:space="preserve"> (Figure 7.13) increased in cover in </w:t>
      </w:r>
      <w:r>
        <w:t>z</w:t>
      </w:r>
      <w:r w:rsidRPr="006A73B6">
        <w:t>ones 1, 2 and 3 after the flood, especially at transects higher up on the bank (Figure 7.13) that are not usually inundated during operational flows or environmental actions. Most other terrestrial taxa did not show much change.</w:t>
      </w:r>
      <w:r>
        <w:t xml:space="preserve"> </w:t>
      </w:r>
    </w:p>
    <w:p w14:paraId="561D6D13" w14:textId="77777777" w:rsidR="00D07CDD" w:rsidRDefault="00D07CDD" w:rsidP="00752788">
      <w:pPr>
        <w:spacing w:after="0" w:line="240" w:lineRule="auto"/>
        <w:jc w:val="left"/>
        <w:sectPr w:rsidR="00D07CDD" w:rsidSect="00FE2CE1">
          <w:pgSz w:w="11906" w:h="16838"/>
          <w:pgMar w:top="1276" w:right="1418" w:bottom="1440" w:left="1418" w:header="709" w:footer="709" w:gutter="0"/>
          <w:cols w:space="708"/>
          <w:docGrid w:linePitch="360"/>
        </w:sectPr>
      </w:pPr>
    </w:p>
    <w:p w14:paraId="3ECA9C14" w14:textId="77777777" w:rsidR="00E82DE1" w:rsidRDefault="00E82DE1" w:rsidP="00E82DE1">
      <w:pPr>
        <w:spacing w:after="120" w:line="240" w:lineRule="auto"/>
        <w:jc w:val="left"/>
      </w:pPr>
      <w:r>
        <w:rPr>
          <w:noProof/>
          <w:lang w:eastAsia="en-AU"/>
        </w:rPr>
        <w:drawing>
          <wp:inline distT="0" distB="0" distL="0" distR="0" wp14:anchorId="0F99D65F" wp14:editId="793A4BA6">
            <wp:extent cx="8442351" cy="4536000"/>
            <wp:effectExtent l="0" t="0" r="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442351" cy="4536000"/>
                    </a:xfrm>
                    <a:prstGeom prst="rect">
                      <a:avLst/>
                    </a:prstGeom>
                    <a:noFill/>
                  </pic:spPr>
                </pic:pic>
              </a:graphicData>
            </a:graphic>
          </wp:inline>
        </w:drawing>
      </w:r>
    </w:p>
    <w:p w14:paraId="7DD28088" w14:textId="77777777" w:rsidR="00E82DE1" w:rsidRDefault="00E82DE1" w:rsidP="00E82DE1">
      <w:pPr>
        <w:spacing w:after="0" w:line="240" w:lineRule="auto"/>
        <w:jc w:val="left"/>
        <w:rPr>
          <w:sz w:val="20"/>
        </w:rPr>
      </w:pPr>
      <w:r w:rsidRPr="00E82DE1">
        <w:rPr>
          <w:b/>
          <w:sz w:val="20"/>
        </w:rPr>
        <w:t>Figure 7.8</w:t>
      </w:r>
      <w:r w:rsidRPr="00E82DE1">
        <w:rPr>
          <w:sz w:val="20"/>
        </w:rPr>
        <w:t xml:space="preserve"> Mean percent cover of the eight most abundant amphibious vegetation taxa monitored monthly across five hydrological zones in the Edward/Kolety-Wakool system between 2014 and 2020. Green</w:t>
      </w:r>
      <w:r w:rsidRPr="007747FE">
        <w:rPr>
          <w:sz w:val="20"/>
        </w:rPr>
        <w:t xml:space="preserve"> shading indicates that zones 1, 3, 4 and 8 received environmental water each year. Zone 2 received minimal no environmental water, with the exception being in 2018-19, as indicated</w:t>
      </w:r>
      <w:r>
        <w:rPr>
          <w:sz w:val="20"/>
        </w:rPr>
        <w:t>.</w:t>
      </w:r>
    </w:p>
    <w:p w14:paraId="2EDF83D7" w14:textId="77777777" w:rsidR="00E82DE1" w:rsidRDefault="00E82DE1" w:rsidP="00E82DE1">
      <w:pPr>
        <w:spacing w:after="0" w:line="240" w:lineRule="auto"/>
        <w:jc w:val="left"/>
      </w:pPr>
      <w:r>
        <w:rPr>
          <w:noProof/>
          <w:lang w:eastAsia="en-AU"/>
        </w:rPr>
        <w:drawing>
          <wp:inline distT="0" distB="0" distL="0" distR="0" wp14:anchorId="3676BE2D" wp14:editId="046AA070">
            <wp:extent cx="8518178" cy="493200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518178" cy="4932000"/>
                    </a:xfrm>
                    <a:prstGeom prst="rect">
                      <a:avLst/>
                    </a:prstGeom>
                    <a:noFill/>
                  </pic:spPr>
                </pic:pic>
              </a:graphicData>
            </a:graphic>
          </wp:inline>
        </w:drawing>
      </w:r>
    </w:p>
    <w:p w14:paraId="4FD19610" w14:textId="77777777" w:rsidR="00E82DE1" w:rsidRDefault="00E82DE1" w:rsidP="00E82DE1">
      <w:pPr>
        <w:spacing w:after="120" w:line="240" w:lineRule="auto"/>
        <w:ind w:right="-427"/>
        <w:jc w:val="left"/>
        <w:rPr>
          <w:sz w:val="20"/>
        </w:rPr>
      </w:pPr>
      <w:r w:rsidRPr="00AE2B3D">
        <w:rPr>
          <w:b/>
          <w:sz w:val="20"/>
        </w:rPr>
        <w:t>Figure 7.</w:t>
      </w:r>
      <w:r>
        <w:rPr>
          <w:b/>
          <w:sz w:val="20"/>
        </w:rPr>
        <w:t>9</w:t>
      </w:r>
      <w:r w:rsidRPr="00AE2B3D">
        <w:rPr>
          <w:sz w:val="20"/>
        </w:rPr>
        <w:t xml:space="preserve"> </w:t>
      </w:r>
      <w:r w:rsidRPr="00914F0A">
        <w:rPr>
          <w:sz w:val="20"/>
        </w:rPr>
        <w:t>Mean percent cover of spiny mud grass (</w:t>
      </w:r>
      <w:r w:rsidRPr="00914F0A">
        <w:rPr>
          <w:i/>
          <w:sz w:val="20"/>
        </w:rPr>
        <w:t>Pseudoraphis spinescens</w:t>
      </w:r>
      <w:r w:rsidRPr="00914F0A">
        <w:rPr>
          <w:sz w:val="20"/>
        </w:rPr>
        <w:t>) monitored monthly across five hydrological zones in the Edward/Kolety-Wakool system between 2014 and 2020. Transect zero is lowest on the riverbank and transects are labelled consecutively up to transect 5 highest on the river bank. Green shading indicates that zones 1, 3, 4 and 8 received environmental water each year. Zone 2 received minimal no environmental water, with the exception being in 2018-19, as indicated</w:t>
      </w:r>
      <w:r>
        <w:rPr>
          <w:sz w:val="20"/>
        </w:rPr>
        <w:t>.</w:t>
      </w:r>
    </w:p>
    <w:p w14:paraId="6ABACD41" w14:textId="77777777" w:rsidR="00914F0A" w:rsidRPr="009E6B16" w:rsidRDefault="00914F0A" w:rsidP="00914F0A">
      <w:pPr>
        <w:spacing w:after="120" w:line="240" w:lineRule="auto"/>
        <w:jc w:val="left"/>
        <w:rPr>
          <w:rFonts w:cs="Calibri"/>
          <w:color w:val="31849B" w:themeColor="accent5" w:themeShade="BF"/>
          <w:sz w:val="24"/>
          <w:szCs w:val="24"/>
        </w:rPr>
      </w:pPr>
      <w:r>
        <w:rPr>
          <w:rFonts w:cs="Calibri"/>
          <w:noProof/>
          <w:color w:val="31849B" w:themeColor="accent5" w:themeShade="BF"/>
          <w:sz w:val="24"/>
          <w:szCs w:val="24"/>
          <w:lang w:eastAsia="en-AU"/>
        </w:rPr>
        <w:drawing>
          <wp:inline distT="0" distB="0" distL="0" distR="0" wp14:anchorId="7AA08BAF" wp14:editId="7C1BA07F">
            <wp:extent cx="8535832" cy="4824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535832" cy="4824000"/>
                    </a:xfrm>
                    <a:prstGeom prst="rect">
                      <a:avLst/>
                    </a:prstGeom>
                    <a:noFill/>
                  </pic:spPr>
                </pic:pic>
              </a:graphicData>
            </a:graphic>
          </wp:inline>
        </w:drawing>
      </w:r>
    </w:p>
    <w:p w14:paraId="1B6130F9" w14:textId="77777777" w:rsidR="00914F0A" w:rsidRDefault="00914F0A" w:rsidP="00914F0A">
      <w:pPr>
        <w:spacing w:after="120" w:line="240" w:lineRule="auto"/>
        <w:ind w:right="-427"/>
        <w:jc w:val="left"/>
        <w:rPr>
          <w:sz w:val="20"/>
        </w:rPr>
      </w:pPr>
      <w:r w:rsidRPr="00914F0A">
        <w:rPr>
          <w:b/>
          <w:sz w:val="20"/>
        </w:rPr>
        <w:t>Figure 7.</w:t>
      </w:r>
      <w:r>
        <w:rPr>
          <w:b/>
          <w:sz w:val="20"/>
        </w:rPr>
        <w:t>10</w:t>
      </w:r>
      <w:r w:rsidRPr="00914F0A">
        <w:rPr>
          <w:sz w:val="20"/>
        </w:rPr>
        <w:t xml:space="preserve"> Mean percent cover of floating pondweed (</w:t>
      </w:r>
      <w:r w:rsidRPr="00914F0A">
        <w:rPr>
          <w:i/>
          <w:sz w:val="20"/>
        </w:rPr>
        <w:t>Potamogeton tricarinatus</w:t>
      </w:r>
      <w:r w:rsidRPr="00914F0A">
        <w:rPr>
          <w:sz w:val="20"/>
        </w:rPr>
        <w:t>) monitored monthly across five hydrological zones in the Edward/Kolety-Wakool system between 2014 and 2020. Transect zero is lowest on the riverbank and transects are labelled consecutively up to transect 5 highest on the river bank. Green shading indicates that zones 1, 3, 4 and 8 received environmental water each year. Zone 2 received minimal no environmental water, with the exception being in 2018-19</w:t>
      </w:r>
      <w:r w:rsidRPr="007747FE">
        <w:rPr>
          <w:sz w:val="20"/>
        </w:rPr>
        <w:t>, as indicated</w:t>
      </w:r>
      <w:r>
        <w:rPr>
          <w:sz w:val="20"/>
        </w:rPr>
        <w:t>.</w:t>
      </w:r>
    </w:p>
    <w:p w14:paraId="7BBEE123" w14:textId="5FCBFD6D" w:rsidR="00D424BF" w:rsidRDefault="007D4AD8" w:rsidP="009E6B16">
      <w:pPr>
        <w:spacing w:after="0" w:line="240" w:lineRule="auto"/>
        <w:jc w:val="left"/>
        <w:rPr>
          <w:rFonts w:cs="Calibri"/>
          <w:b/>
          <w:i/>
          <w:color w:val="31849B" w:themeColor="accent5" w:themeShade="BF"/>
          <w:sz w:val="24"/>
          <w:szCs w:val="24"/>
        </w:rPr>
      </w:pPr>
      <w:r>
        <w:rPr>
          <w:rFonts w:cs="Calibri"/>
          <w:b/>
          <w:i/>
          <w:noProof/>
          <w:color w:val="31849B" w:themeColor="accent5" w:themeShade="BF"/>
          <w:sz w:val="24"/>
          <w:szCs w:val="24"/>
          <w:lang w:eastAsia="en-AU"/>
        </w:rPr>
        <w:drawing>
          <wp:inline distT="0" distB="0" distL="0" distR="0" wp14:anchorId="674AE5BE" wp14:editId="22EE6DBE">
            <wp:extent cx="8685358" cy="4932000"/>
            <wp:effectExtent l="0" t="0" r="1905"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8685358" cy="4932000"/>
                    </a:xfrm>
                    <a:prstGeom prst="rect">
                      <a:avLst/>
                    </a:prstGeom>
                    <a:noFill/>
                  </pic:spPr>
                </pic:pic>
              </a:graphicData>
            </a:graphic>
          </wp:inline>
        </w:drawing>
      </w:r>
    </w:p>
    <w:p w14:paraId="1BA3E53D" w14:textId="4D57E932" w:rsidR="00D424BF" w:rsidRDefault="00D424BF" w:rsidP="00D424BF">
      <w:pPr>
        <w:spacing w:after="120" w:line="240" w:lineRule="auto"/>
        <w:ind w:right="-427"/>
        <w:jc w:val="left"/>
        <w:rPr>
          <w:sz w:val="20"/>
        </w:rPr>
      </w:pPr>
      <w:r w:rsidRPr="00E82DE1">
        <w:rPr>
          <w:b/>
          <w:sz w:val="20"/>
        </w:rPr>
        <w:t>Figure 7.11</w:t>
      </w:r>
      <w:r w:rsidRPr="00E82DE1">
        <w:rPr>
          <w:sz w:val="20"/>
        </w:rPr>
        <w:t xml:space="preserve"> Mean percent cover of milfoil (</w:t>
      </w:r>
      <w:r w:rsidRPr="00E82DE1">
        <w:rPr>
          <w:i/>
          <w:sz w:val="20"/>
        </w:rPr>
        <w:t>Myriophyllum spp</w:t>
      </w:r>
      <w:r w:rsidRPr="00E82DE1">
        <w:rPr>
          <w:sz w:val="20"/>
        </w:rPr>
        <w:t xml:space="preserve">) monitored monthly across </w:t>
      </w:r>
      <w:r w:rsidR="00E82DE1" w:rsidRPr="00E82DE1">
        <w:rPr>
          <w:sz w:val="20"/>
        </w:rPr>
        <w:t>five</w:t>
      </w:r>
      <w:r w:rsidRPr="00E82DE1">
        <w:rPr>
          <w:sz w:val="20"/>
        </w:rPr>
        <w:t xml:space="preserve"> hydrological zones in the Edward/Kolety-Wakool system between 2014 and </w:t>
      </w:r>
      <w:r w:rsidR="00E82DE1" w:rsidRPr="00E82DE1">
        <w:rPr>
          <w:sz w:val="20"/>
        </w:rPr>
        <w:t>2020</w:t>
      </w:r>
      <w:r w:rsidRPr="00E82DE1">
        <w:rPr>
          <w:sz w:val="20"/>
        </w:rPr>
        <w:t>. Transect zero is lowest on the riverbank and transects are labelled consecutively up to transect 5 highest on the river bank.</w:t>
      </w:r>
      <w:r w:rsidR="00E82DE1" w:rsidRPr="00E82DE1">
        <w:rPr>
          <w:sz w:val="20"/>
        </w:rPr>
        <w:t xml:space="preserve"> Green shading indicates that zones 1, 3, 4 and 8 received environmental water each year. Zone 2 received minimal no environmental water, with the exception being in 2018-19, as indicated.</w:t>
      </w:r>
    </w:p>
    <w:p w14:paraId="320946C4" w14:textId="77777777" w:rsidR="008F33BB" w:rsidRDefault="008F33BB" w:rsidP="008F33BB">
      <w:pPr>
        <w:spacing w:after="240" w:line="240" w:lineRule="auto"/>
        <w:jc w:val="left"/>
      </w:pPr>
      <w:r>
        <w:rPr>
          <w:noProof/>
          <w:lang w:eastAsia="en-AU"/>
        </w:rPr>
        <w:drawing>
          <wp:inline distT="0" distB="0" distL="0" distR="0" wp14:anchorId="18F6AC80" wp14:editId="5C16AFC3">
            <wp:extent cx="8646748" cy="4644000"/>
            <wp:effectExtent l="0" t="0" r="254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8646748" cy="4644000"/>
                    </a:xfrm>
                    <a:prstGeom prst="rect">
                      <a:avLst/>
                    </a:prstGeom>
                    <a:noFill/>
                  </pic:spPr>
                </pic:pic>
              </a:graphicData>
            </a:graphic>
          </wp:inline>
        </w:drawing>
      </w:r>
    </w:p>
    <w:p w14:paraId="542AB440" w14:textId="28ECA159" w:rsidR="008F33BB" w:rsidRDefault="008F33BB" w:rsidP="008F33BB">
      <w:pPr>
        <w:spacing w:after="120" w:line="240" w:lineRule="auto"/>
        <w:ind w:right="-143"/>
        <w:jc w:val="left"/>
        <w:rPr>
          <w:sz w:val="20"/>
        </w:rPr>
      </w:pPr>
      <w:r w:rsidRPr="00AE2B3D">
        <w:rPr>
          <w:b/>
          <w:sz w:val="20"/>
        </w:rPr>
        <w:t>Figure 7.</w:t>
      </w:r>
      <w:r w:rsidRPr="006A73B6">
        <w:rPr>
          <w:b/>
          <w:sz w:val="20"/>
        </w:rPr>
        <w:t>12</w:t>
      </w:r>
      <w:r w:rsidRPr="006A73B6">
        <w:rPr>
          <w:sz w:val="20"/>
        </w:rPr>
        <w:t xml:space="preserve"> Mean percent cover of the eight most abundant terrestrial vegetation taxa monitored monthly across five hydrological zones in the Edward/Kolety-Wakool system between 2014 and 2020. Green shading indicates that zones 1, 3, 4 and 8 received environmental water</w:t>
      </w:r>
      <w:r w:rsidRPr="00E82DE1">
        <w:rPr>
          <w:sz w:val="20"/>
        </w:rPr>
        <w:t xml:space="preserve"> each year. Zone 2 received minimal no environmental water, with the exception being in 2018-19, as indicated</w:t>
      </w:r>
    </w:p>
    <w:p w14:paraId="554BFF53" w14:textId="77777777" w:rsidR="008F33BB" w:rsidRDefault="008F33BB" w:rsidP="008F33BB">
      <w:pPr>
        <w:spacing w:after="0" w:line="240" w:lineRule="auto"/>
        <w:ind w:right="-142"/>
        <w:jc w:val="left"/>
        <w:rPr>
          <w:b/>
          <w:sz w:val="20"/>
        </w:rPr>
      </w:pPr>
      <w:r>
        <w:rPr>
          <w:b/>
          <w:noProof/>
          <w:sz w:val="20"/>
          <w:lang w:eastAsia="en-AU"/>
        </w:rPr>
        <w:drawing>
          <wp:inline distT="0" distB="0" distL="0" distR="0" wp14:anchorId="082F6912" wp14:editId="1DDE93B5">
            <wp:extent cx="8555275" cy="4752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8555275" cy="4752000"/>
                    </a:xfrm>
                    <a:prstGeom prst="rect">
                      <a:avLst/>
                    </a:prstGeom>
                    <a:noFill/>
                  </pic:spPr>
                </pic:pic>
              </a:graphicData>
            </a:graphic>
          </wp:inline>
        </w:drawing>
      </w:r>
    </w:p>
    <w:p w14:paraId="6D61A035" w14:textId="7ED55B1F" w:rsidR="008F33BB" w:rsidRDefault="008F33BB" w:rsidP="008F33BB">
      <w:pPr>
        <w:spacing w:after="120" w:line="240" w:lineRule="auto"/>
        <w:ind w:right="-143"/>
        <w:jc w:val="left"/>
        <w:rPr>
          <w:sz w:val="20"/>
        </w:rPr>
      </w:pPr>
      <w:r w:rsidRPr="00AE2B3D">
        <w:rPr>
          <w:b/>
          <w:sz w:val="20"/>
        </w:rPr>
        <w:t>Figure 7.</w:t>
      </w:r>
      <w:r>
        <w:rPr>
          <w:b/>
          <w:sz w:val="20"/>
        </w:rPr>
        <w:t>13</w:t>
      </w:r>
      <w:r w:rsidRPr="00AE2B3D">
        <w:rPr>
          <w:sz w:val="20"/>
        </w:rPr>
        <w:t xml:space="preserve"> </w:t>
      </w:r>
      <w:r w:rsidRPr="006A73B6">
        <w:rPr>
          <w:sz w:val="20"/>
        </w:rPr>
        <w:t>Mean percent cover of common sneeze weed (</w:t>
      </w:r>
      <w:r w:rsidRPr="006A73B6">
        <w:rPr>
          <w:i/>
          <w:sz w:val="20"/>
        </w:rPr>
        <w:t>Centipeda cunninghamii</w:t>
      </w:r>
      <w:r w:rsidRPr="006A73B6">
        <w:rPr>
          <w:sz w:val="20"/>
        </w:rPr>
        <w:t>) monitored monthly across five hydrological zones in the Edward/Kolety-Wakool system between 2014 and 2020. Transect zero is lowest on the riverbank and transects are labelled consecutively up to transect 5 highest on the river bank. Green</w:t>
      </w:r>
      <w:r w:rsidRPr="00E82DE1">
        <w:rPr>
          <w:sz w:val="20"/>
        </w:rPr>
        <w:t xml:space="preserve"> shading indicates that zones 1, 3, 4 and 8 received environmental water each year. Zone 2 received minimal no environmental water, with the exception being in 2018-19, as indicated.</w:t>
      </w:r>
    </w:p>
    <w:p w14:paraId="58298F01" w14:textId="77777777" w:rsidR="0041611F" w:rsidRDefault="0041611F" w:rsidP="00752788">
      <w:pPr>
        <w:tabs>
          <w:tab w:val="left" w:pos="9071"/>
        </w:tabs>
        <w:spacing w:after="240" w:line="320" w:lineRule="exact"/>
        <w:ind w:right="-1"/>
        <w:jc w:val="left"/>
        <w:rPr>
          <w:b/>
          <w:color w:val="31849B" w:themeColor="accent5" w:themeShade="BF"/>
          <w:sz w:val="28"/>
          <w:szCs w:val="28"/>
        </w:rPr>
        <w:sectPr w:rsidR="0041611F" w:rsidSect="0041611F">
          <w:pgSz w:w="16838" w:h="11906" w:orient="landscape"/>
          <w:pgMar w:top="1701" w:right="1276" w:bottom="1701" w:left="1440" w:header="709" w:footer="709" w:gutter="0"/>
          <w:cols w:space="708"/>
          <w:docGrid w:linePitch="360"/>
        </w:sectPr>
      </w:pPr>
    </w:p>
    <w:p w14:paraId="32155D73" w14:textId="78AB563B" w:rsidR="00752788" w:rsidRPr="004C71B4" w:rsidRDefault="00752788" w:rsidP="00752788">
      <w:pPr>
        <w:tabs>
          <w:tab w:val="left" w:pos="9071"/>
        </w:tabs>
        <w:spacing w:after="240" w:line="320" w:lineRule="exact"/>
        <w:ind w:right="-1"/>
        <w:jc w:val="left"/>
        <w:rPr>
          <w:b/>
          <w:color w:val="31849B" w:themeColor="accent5" w:themeShade="BF"/>
          <w:sz w:val="28"/>
          <w:szCs w:val="28"/>
        </w:rPr>
      </w:pPr>
      <w:r>
        <w:rPr>
          <w:b/>
          <w:color w:val="31849B" w:themeColor="accent5" w:themeShade="BF"/>
          <w:sz w:val="28"/>
          <w:szCs w:val="28"/>
        </w:rPr>
        <w:t>7.6</w:t>
      </w:r>
      <w:r w:rsidR="001D6944">
        <w:rPr>
          <w:b/>
          <w:color w:val="31849B" w:themeColor="accent5" w:themeShade="BF"/>
          <w:sz w:val="28"/>
          <w:szCs w:val="28"/>
        </w:rPr>
        <w:t xml:space="preserve">  </w:t>
      </w:r>
      <w:r w:rsidRPr="004C71B4">
        <w:rPr>
          <w:b/>
          <w:color w:val="31849B" w:themeColor="accent5" w:themeShade="BF"/>
          <w:sz w:val="28"/>
          <w:szCs w:val="28"/>
        </w:rPr>
        <w:t>Discussion</w:t>
      </w:r>
    </w:p>
    <w:p w14:paraId="78AED7F2" w14:textId="034E41FC" w:rsidR="00752788" w:rsidRPr="00C128C7" w:rsidRDefault="00752788" w:rsidP="00752788">
      <w:pPr>
        <w:spacing w:after="120" w:line="320" w:lineRule="exact"/>
        <w:jc w:val="left"/>
        <w:rPr>
          <w:rFonts w:cs="Calibri"/>
        </w:rPr>
      </w:pPr>
      <w:r w:rsidRPr="00C128C7">
        <w:rPr>
          <w:rFonts w:cs="Calibri"/>
        </w:rPr>
        <w:t xml:space="preserve">Riverbank and aquatic </w:t>
      </w:r>
      <w:r w:rsidR="0029244C">
        <w:rPr>
          <w:rFonts w:cs="Calibri"/>
        </w:rPr>
        <w:t>plants</w:t>
      </w:r>
      <w:r w:rsidRPr="00C128C7">
        <w:rPr>
          <w:rFonts w:cs="Calibri"/>
        </w:rPr>
        <w:t xml:space="preserve"> in the </w:t>
      </w:r>
      <w:r w:rsidR="008E27F6" w:rsidRPr="00C128C7">
        <w:rPr>
          <w:rFonts w:cs="Calibri"/>
        </w:rPr>
        <w:t>Edward/Kolety-Wakool</w:t>
      </w:r>
      <w:r w:rsidR="005A592B">
        <w:rPr>
          <w:rFonts w:cs="Calibri"/>
        </w:rPr>
        <w:t xml:space="preserve"> system continue</w:t>
      </w:r>
      <w:r w:rsidRPr="00C128C7">
        <w:rPr>
          <w:rFonts w:cs="Calibri"/>
        </w:rPr>
        <w:t xml:space="preserve"> to </w:t>
      </w:r>
      <w:r w:rsidR="009A4025" w:rsidRPr="00C128C7">
        <w:rPr>
          <w:rFonts w:cs="Calibri"/>
        </w:rPr>
        <w:t>recover</w:t>
      </w:r>
      <w:r w:rsidRPr="00C128C7">
        <w:rPr>
          <w:rFonts w:cs="Calibri"/>
        </w:rPr>
        <w:t xml:space="preserve"> following the reduction in mean species richness and mean cover that occurred following the unregulated flood in 2016.</w:t>
      </w:r>
      <w:r w:rsidR="0049310B">
        <w:rPr>
          <w:rFonts w:cs="Calibri"/>
        </w:rPr>
        <w:t xml:space="preserve"> </w:t>
      </w:r>
    </w:p>
    <w:p w14:paraId="7B21D03D" w14:textId="6C460290" w:rsidR="005A592B" w:rsidRDefault="005A592B" w:rsidP="005A592B">
      <w:pPr>
        <w:spacing w:after="120" w:line="320" w:lineRule="exact"/>
        <w:jc w:val="left"/>
        <w:rPr>
          <w:color w:val="000000" w:themeColor="text1"/>
          <w:szCs w:val="22"/>
        </w:rPr>
      </w:pPr>
      <w:r w:rsidRPr="0006441C">
        <w:rPr>
          <w:color w:val="000000" w:themeColor="text1"/>
          <w:szCs w:val="22"/>
        </w:rPr>
        <w:t xml:space="preserve">Since the flood in 2016 there </w:t>
      </w:r>
      <w:r>
        <w:rPr>
          <w:color w:val="000000" w:themeColor="text1"/>
          <w:szCs w:val="22"/>
        </w:rPr>
        <w:t xml:space="preserve">has been </w:t>
      </w:r>
      <w:r w:rsidRPr="0006441C">
        <w:rPr>
          <w:color w:val="000000" w:themeColor="text1"/>
          <w:szCs w:val="22"/>
        </w:rPr>
        <w:t>evidence of recovery of submerged and amphibious taxa</w:t>
      </w:r>
      <w:r>
        <w:rPr>
          <w:color w:val="000000" w:themeColor="text1"/>
          <w:szCs w:val="22"/>
        </w:rPr>
        <w:t xml:space="preserve"> in 2017-18 and again in 2018-19 (Watts et al. 2018, 2019). I</w:t>
      </w:r>
      <w:r w:rsidRPr="0006441C">
        <w:rPr>
          <w:color w:val="000000" w:themeColor="text1"/>
          <w:szCs w:val="22"/>
        </w:rPr>
        <w:t xml:space="preserve">n 2019-20 there </w:t>
      </w:r>
      <w:r>
        <w:rPr>
          <w:color w:val="000000" w:themeColor="text1"/>
          <w:szCs w:val="22"/>
        </w:rPr>
        <w:t>was</w:t>
      </w:r>
      <w:r w:rsidRPr="0006441C">
        <w:rPr>
          <w:color w:val="000000" w:themeColor="text1"/>
          <w:szCs w:val="22"/>
        </w:rPr>
        <w:t xml:space="preserve"> further evidence signs of recovery such as an increase in the number of amphibious taxa. </w:t>
      </w:r>
      <w:r w:rsidR="0049310B">
        <w:t>However, t</w:t>
      </w:r>
      <w:r>
        <w:t>here was considerable variability in the recovery of different taxa</w:t>
      </w:r>
      <w:r w:rsidRPr="005A592B">
        <w:t xml:space="preserve"> </w:t>
      </w:r>
      <w:r>
        <w:t xml:space="preserve">and the response to environmental watering actions has not been consistent among zones. </w:t>
      </w:r>
      <w:r w:rsidR="0049310B">
        <w:t>The reason for this is because the dominant taxa in different zones</w:t>
      </w:r>
      <w:r w:rsidR="0049310B" w:rsidRPr="00BF5F2C">
        <w:t xml:space="preserve"> </w:t>
      </w:r>
      <w:r w:rsidR="0049310B">
        <w:t xml:space="preserve">have characteristics that enable them to respond differently to inundation. </w:t>
      </w:r>
      <w:r w:rsidRPr="0006441C">
        <w:rPr>
          <w:color w:val="000000" w:themeColor="text1"/>
          <w:szCs w:val="22"/>
        </w:rPr>
        <w:t xml:space="preserve">Amphibious taxa such as floating pondweed and milfoil </w:t>
      </w:r>
      <w:r w:rsidR="0049310B">
        <w:rPr>
          <w:color w:val="000000" w:themeColor="text1"/>
          <w:szCs w:val="22"/>
        </w:rPr>
        <w:t xml:space="preserve">that were more common in zone 3 </w:t>
      </w:r>
      <w:r w:rsidRPr="0006441C">
        <w:rPr>
          <w:color w:val="000000" w:themeColor="text1"/>
          <w:szCs w:val="22"/>
        </w:rPr>
        <w:t>are slowly recovering</w:t>
      </w:r>
      <w:r w:rsidR="0049310B">
        <w:rPr>
          <w:color w:val="000000" w:themeColor="text1"/>
          <w:szCs w:val="22"/>
        </w:rPr>
        <w:t xml:space="preserve">. Some plants of these taxa have been observed outside the monitored transects at several other reaches, </w:t>
      </w:r>
      <w:r w:rsidR="0049310B" w:rsidRPr="00245466">
        <w:t>suggesting there is the possibility of the recovery of these species following future</w:t>
      </w:r>
      <w:r w:rsidR="0049310B">
        <w:t xml:space="preserve"> environmental watering actions</w:t>
      </w:r>
      <w:r w:rsidR="0049310B">
        <w:rPr>
          <w:color w:val="000000" w:themeColor="text1"/>
          <w:szCs w:val="22"/>
        </w:rPr>
        <w:t>.</w:t>
      </w:r>
      <w:r>
        <w:rPr>
          <w:color w:val="000000" w:themeColor="text1"/>
          <w:szCs w:val="22"/>
        </w:rPr>
        <w:t xml:space="preserve"> </w:t>
      </w:r>
      <w:r w:rsidR="0049310B">
        <w:rPr>
          <w:color w:val="000000" w:themeColor="text1"/>
          <w:szCs w:val="22"/>
        </w:rPr>
        <w:t>In contrast,</w:t>
      </w:r>
      <w:r>
        <w:rPr>
          <w:color w:val="000000" w:themeColor="text1"/>
          <w:szCs w:val="22"/>
        </w:rPr>
        <w:t xml:space="preserve"> other </w:t>
      </w:r>
      <w:r w:rsidR="0049310B">
        <w:rPr>
          <w:color w:val="000000" w:themeColor="text1"/>
          <w:szCs w:val="22"/>
        </w:rPr>
        <w:t xml:space="preserve">more tolerant </w:t>
      </w:r>
      <w:r>
        <w:rPr>
          <w:color w:val="000000" w:themeColor="text1"/>
          <w:szCs w:val="22"/>
        </w:rPr>
        <w:t>taxa such as Chara, rush (</w:t>
      </w:r>
      <w:r w:rsidRPr="005A592B">
        <w:rPr>
          <w:i/>
          <w:color w:val="000000" w:themeColor="text1"/>
          <w:szCs w:val="22"/>
        </w:rPr>
        <w:t>Juncus sp.)</w:t>
      </w:r>
      <w:r>
        <w:rPr>
          <w:color w:val="000000" w:themeColor="text1"/>
          <w:szCs w:val="22"/>
        </w:rPr>
        <w:t xml:space="preserve"> and common spike rush have recovered more quickly</w:t>
      </w:r>
      <w:r w:rsidR="0049310B">
        <w:rPr>
          <w:color w:val="000000" w:themeColor="text1"/>
          <w:szCs w:val="22"/>
        </w:rPr>
        <w:t xml:space="preserve"> following the 2016 flood</w:t>
      </w:r>
      <w:r>
        <w:rPr>
          <w:color w:val="000000" w:themeColor="text1"/>
          <w:szCs w:val="22"/>
        </w:rPr>
        <w:t>.</w:t>
      </w:r>
      <w:r w:rsidR="0049310B">
        <w:rPr>
          <w:color w:val="000000" w:themeColor="text1"/>
          <w:szCs w:val="22"/>
        </w:rPr>
        <w:t xml:space="preserve"> This variability in responses can make it difficult to assess the contribution of environmental water</w:t>
      </w:r>
      <w:r w:rsidR="003A4251">
        <w:rPr>
          <w:color w:val="000000" w:themeColor="text1"/>
          <w:szCs w:val="22"/>
        </w:rPr>
        <w:t xml:space="preserve"> </w:t>
      </w:r>
      <w:r w:rsidR="0049310B">
        <w:rPr>
          <w:color w:val="000000" w:themeColor="text1"/>
          <w:szCs w:val="22"/>
        </w:rPr>
        <w:t>in the recovery of vegetation.</w:t>
      </w:r>
    </w:p>
    <w:p w14:paraId="6DD71A98" w14:textId="3295C11F" w:rsidR="0049310B" w:rsidRPr="0049310B" w:rsidRDefault="005A592B" w:rsidP="0049310B">
      <w:pPr>
        <w:spacing w:after="120" w:line="320" w:lineRule="exact"/>
        <w:jc w:val="left"/>
        <w:rPr>
          <w:rFonts w:asciiTheme="minorHAnsi" w:eastAsiaTheme="minorEastAsia" w:hAnsiTheme="minorHAnsi" w:cstheme="minorBidi"/>
          <w:color w:val="000000" w:themeColor="text1"/>
          <w:szCs w:val="22"/>
          <w:lang w:val="en-GB"/>
        </w:rPr>
      </w:pPr>
      <w:r w:rsidRPr="00313075">
        <w:rPr>
          <w:color w:val="000000" w:themeColor="text1"/>
          <w:szCs w:val="22"/>
        </w:rPr>
        <w:t xml:space="preserve">The </w:t>
      </w:r>
      <w:r w:rsidR="0049310B">
        <w:rPr>
          <w:color w:val="000000" w:themeColor="text1"/>
          <w:szCs w:val="22"/>
        </w:rPr>
        <w:t>potential for environmental water</w:t>
      </w:r>
      <w:r w:rsidRPr="00313075">
        <w:rPr>
          <w:color w:val="000000" w:themeColor="text1"/>
          <w:szCs w:val="22"/>
        </w:rPr>
        <w:t xml:space="preserve"> to promote recovery </w:t>
      </w:r>
      <w:r w:rsidR="0049310B">
        <w:rPr>
          <w:color w:val="000000" w:themeColor="text1"/>
          <w:szCs w:val="22"/>
        </w:rPr>
        <w:t xml:space="preserve">of vegetation </w:t>
      </w:r>
      <w:r>
        <w:rPr>
          <w:color w:val="000000" w:themeColor="text1"/>
          <w:szCs w:val="22"/>
        </w:rPr>
        <w:t>is</w:t>
      </w:r>
      <w:r w:rsidRPr="00313075">
        <w:rPr>
          <w:color w:val="000000" w:themeColor="text1"/>
          <w:szCs w:val="22"/>
        </w:rPr>
        <w:t xml:space="preserve"> evident </w:t>
      </w:r>
      <w:r>
        <w:rPr>
          <w:color w:val="000000" w:themeColor="text1"/>
          <w:szCs w:val="22"/>
        </w:rPr>
        <w:t>by comparing the</w:t>
      </w:r>
      <w:r w:rsidRPr="00313075">
        <w:rPr>
          <w:color w:val="000000" w:themeColor="text1"/>
          <w:szCs w:val="22"/>
        </w:rPr>
        <w:t xml:space="preserve"> response of taxa in zone 2 in 2018-19</w:t>
      </w:r>
      <w:r>
        <w:rPr>
          <w:color w:val="000000" w:themeColor="text1"/>
          <w:szCs w:val="22"/>
        </w:rPr>
        <w:t xml:space="preserve"> and 2019-20</w:t>
      </w:r>
      <w:r w:rsidRPr="00313075">
        <w:rPr>
          <w:color w:val="000000" w:themeColor="text1"/>
          <w:szCs w:val="22"/>
        </w:rPr>
        <w:t xml:space="preserve">. In most years zone </w:t>
      </w:r>
      <w:r>
        <w:rPr>
          <w:color w:val="000000" w:themeColor="text1"/>
          <w:szCs w:val="22"/>
        </w:rPr>
        <w:t>2 receives</w:t>
      </w:r>
      <w:r w:rsidRPr="00313075">
        <w:rPr>
          <w:color w:val="000000" w:themeColor="text1"/>
          <w:szCs w:val="22"/>
        </w:rPr>
        <w:t xml:space="preserve"> none or very minimal environmental water</w:t>
      </w:r>
      <w:r w:rsidR="0049310B">
        <w:rPr>
          <w:color w:val="000000" w:themeColor="text1"/>
          <w:szCs w:val="22"/>
        </w:rPr>
        <w:t xml:space="preserve"> and this zone has lower taxa richness than othe</w:t>
      </w:r>
      <w:r w:rsidR="003A4251">
        <w:rPr>
          <w:color w:val="000000" w:themeColor="text1"/>
          <w:szCs w:val="22"/>
        </w:rPr>
        <w:t>r</w:t>
      </w:r>
      <w:r w:rsidR="0049310B">
        <w:rPr>
          <w:color w:val="000000" w:themeColor="text1"/>
          <w:szCs w:val="22"/>
        </w:rPr>
        <w:t xml:space="preserve"> zones.</w:t>
      </w:r>
      <w:r w:rsidRPr="00313075">
        <w:rPr>
          <w:color w:val="000000" w:themeColor="text1"/>
          <w:szCs w:val="22"/>
        </w:rPr>
        <w:t xml:space="preserve"> However in 2018-19 zone </w:t>
      </w:r>
      <w:r>
        <w:rPr>
          <w:color w:val="000000" w:themeColor="text1"/>
          <w:szCs w:val="22"/>
        </w:rPr>
        <w:t xml:space="preserve">2 </w:t>
      </w:r>
      <w:r w:rsidRPr="00313075">
        <w:rPr>
          <w:color w:val="000000" w:themeColor="text1"/>
          <w:szCs w:val="22"/>
        </w:rPr>
        <w:t>received environmental water released from the Wakool escape from Mulwala canal. This resulted in an increase in mean total species richness of amphibious taxa in the upper Wakool River zone 2 and increased cover of terrestrial taxa. Watts et al (2019) suggested this was likely to be</w:t>
      </w:r>
      <w:r w:rsidRPr="00313075">
        <w:t xml:space="preserve"> in response to the higher flows and increased variability in this river, and particularly increased wetted area of riverbank that is not usually experienced in this system during operational flows.</w:t>
      </w:r>
      <w:r w:rsidRPr="00313075">
        <w:rPr>
          <w:color w:val="000000" w:themeColor="text1"/>
          <w:szCs w:val="22"/>
        </w:rPr>
        <w:t xml:space="preserve"> </w:t>
      </w:r>
      <w:r w:rsidR="0049310B">
        <w:rPr>
          <w:color w:val="000000" w:themeColor="text1"/>
          <w:szCs w:val="22"/>
        </w:rPr>
        <w:t>I</w:t>
      </w:r>
      <w:r>
        <w:rPr>
          <w:color w:val="000000" w:themeColor="text1"/>
          <w:szCs w:val="22"/>
        </w:rPr>
        <w:t>n 2019-20 z</w:t>
      </w:r>
      <w:r w:rsidRPr="00313075">
        <w:rPr>
          <w:color w:val="000000" w:themeColor="text1"/>
          <w:szCs w:val="22"/>
        </w:rPr>
        <w:t>one 2 did not receive any environmental water and the richness and</w:t>
      </w:r>
      <w:r w:rsidR="003A4251">
        <w:rPr>
          <w:color w:val="000000" w:themeColor="text1"/>
          <w:szCs w:val="22"/>
        </w:rPr>
        <w:t xml:space="preserve"> </w:t>
      </w:r>
      <w:r w:rsidRPr="00313075">
        <w:rPr>
          <w:color w:val="000000" w:themeColor="text1"/>
          <w:szCs w:val="22"/>
        </w:rPr>
        <w:t xml:space="preserve">cover of submerged and amphibious taxa reduced relative to the previous year. </w:t>
      </w:r>
      <w:r w:rsidRPr="00313075">
        <w:t>Th</w:t>
      </w:r>
      <w:r>
        <w:t xml:space="preserve">ese observations suggest that environmental water is contributing to the recovery of </w:t>
      </w:r>
      <w:r w:rsidRPr="00313075">
        <w:t>submerged and amphibious vegetation in this system. The results also s</w:t>
      </w:r>
      <w:r w:rsidRPr="00313075">
        <w:rPr>
          <w:color w:val="000000" w:themeColor="text1"/>
          <w:szCs w:val="22"/>
        </w:rPr>
        <w:t xml:space="preserve">upport the hypothesis that </w:t>
      </w:r>
      <w:r w:rsidR="0049310B">
        <w:rPr>
          <w:color w:val="000000" w:themeColor="text1"/>
          <w:szCs w:val="22"/>
        </w:rPr>
        <w:t>future delivery of environmental water to</w:t>
      </w:r>
      <w:r w:rsidRPr="00313075">
        <w:rPr>
          <w:color w:val="000000" w:themeColor="text1"/>
          <w:szCs w:val="22"/>
        </w:rPr>
        <w:t xml:space="preserve"> zone 2 would result in better environmental outcomes.</w:t>
      </w:r>
      <w:r w:rsidR="0049310B">
        <w:rPr>
          <w:color w:val="000000" w:themeColor="text1"/>
          <w:szCs w:val="22"/>
        </w:rPr>
        <w:t xml:space="preserve"> </w:t>
      </w:r>
    </w:p>
    <w:p w14:paraId="380208B1" w14:textId="3422A804" w:rsidR="005A592B" w:rsidRDefault="005A592B" w:rsidP="005A592B">
      <w:pPr>
        <w:spacing w:after="120" w:line="320" w:lineRule="exact"/>
        <w:jc w:val="left"/>
      </w:pPr>
      <w:r w:rsidRPr="00313075">
        <w:t>These observations from 2019-20</w:t>
      </w:r>
      <w:r w:rsidR="00291A71">
        <w:t xml:space="preserve"> combined with previous LTIM/MER</w:t>
      </w:r>
      <w:r w:rsidRPr="00313075">
        <w:t xml:space="preserve"> results (Watts et al. 2015, 2016, 2017, 2018, 2019) suggest that late winter/early spring freshes that inundate slackwater, in-channel benches or low lying areas of riverbank within the channel can trigger emergence of river bank vegetation. Following the recession of flows, these damp banks provide ideal conditions for plant growth prior to the onset of hotter weather in summer that can quickly dry out the river banks. Further freshes delivered after the initial event that re-wet these areas can provide suitable conditions for amphibious plants to grow and survive the warmer conditions over the summer.</w:t>
      </w:r>
    </w:p>
    <w:p w14:paraId="686CAF9F" w14:textId="361E9775" w:rsidR="009A4025" w:rsidRPr="0006441C" w:rsidRDefault="00752788" w:rsidP="00752788">
      <w:pPr>
        <w:spacing w:after="120" w:line="320" w:lineRule="exact"/>
        <w:jc w:val="left"/>
      </w:pPr>
      <w:r w:rsidRPr="00C128C7">
        <w:rPr>
          <w:color w:val="000000" w:themeColor="text1"/>
          <w:szCs w:val="22"/>
        </w:rPr>
        <w:t xml:space="preserve">The floods in 2016 decreased the richness and cover of submerged and amphibious taxa throughout the </w:t>
      </w:r>
      <w:r w:rsidR="008E27F6" w:rsidRPr="00C128C7">
        <w:rPr>
          <w:color w:val="000000" w:themeColor="text1"/>
          <w:szCs w:val="22"/>
        </w:rPr>
        <w:t>Edward/Kolety-Wakool</w:t>
      </w:r>
      <w:r w:rsidRPr="00C128C7">
        <w:rPr>
          <w:color w:val="000000" w:themeColor="text1"/>
          <w:szCs w:val="22"/>
        </w:rPr>
        <w:t xml:space="preserve"> system. The r</w:t>
      </w:r>
      <w:r w:rsidRPr="00C128C7">
        <w:t>eduction in the cover of submerged taxa and amphibious taxa may have been due to extreme physical disturbance experienced during the flood</w:t>
      </w:r>
      <w:r w:rsidR="009A4025" w:rsidRPr="00C128C7">
        <w:t xml:space="preserve"> which can restrict access to atmospheric carbon dioxide and oxygen, causing anoxic soil conditions and depleted soil biota (Campbell et al. 2019)</w:t>
      </w:r>
      <w:r w:rsidRPr="00C128C7">
        <w:t xml:space="preserve">. </w:t>
      </w:r>
      <w:r w:rsidR="009A4025" w:rsidRPr="00C128C7">
        <w:t>S</w:t>
      </w:r>
      <w:r w:rsidRPr="00C128C7">
        <w:t>ome of the sites had overbank flows for over 1 month during late 2016 and most riverbank transects were underwater for 4 to 5 months</w:t>
      </w:r>
      <w:r w:rsidR="009A4025" w:rsidRPr="00C128C7">
        <w:t xml:space="preserve"> and higher turbidity levels with values ranging from </w:t>
      </w:r>
      <w:r w:rsidR="009A4025" w:rsidRPr="00C128C7">
        <w:rPr>
          <w:rFonts w:cs="Calibri"/>
        </w:rPr>
        <w:t>~</w:t>
      </w:r>
      <w:r w:rsidR="009A4025" w:rsidRPr="00C128C7">
        <w:t>50 to 300 NTU were observed during this period (Figure 5.4)</w:t>
      </w:r>
      <w:r w:rsidRPr="00C128C7">
        <w:t xml:space="preserve">. </w:t>
      </w:r>
      <w:r w:rsidR="009A4025" w:rsidRPr="00C128C7">
        <w:t>A</w:t>
      </w:r>
      <w:r w:rsidRPr="00C128C7">
        <w:t xml:space="preserve"> reduced light climate during the </w:t>
      </w:r>
      <w:r w:rsidR="009A4025" w:rsidRPr="00C128C7">
        <w:t xml:space="preserve">2016 </w:t>
      </w:r>
      <w:r w:rsidRPr="00C128C7">
        <w:t xml:space="preserve">flood would have </w:t>
      </w:r>
      <w:r w:rsidR="009A4025" w:rsidRPr="00C128C7">
        <w:t xml:space="preserve">potentially </w:t>
      </w:r>
      <w:r w:rsidRPr="00C128C7">
        <w:t xml:space="preserve">prevented submerged and amphibious </w:t>
      </w:r>
      <w:r w:rsidR="009A4025" w:rsidRPr="00C128C7">
        <w:t>plants</w:t>
      </w:r>
      <w:r w:rsidRPr="00C128C7">
        <w:t xml:space="preserve"> from </w:t>
      </w:r>
      <w:r w:rsidRPr="0006441C">
        <w:t xml:space="preserve">photosynthesising. </w:t>
      </w:r>
      <w:r w:rsidR="009A4025" w:rsidRPr="0006441C">
        <w:t xml:space="preserve">Likewise, in a controlled experiment Doyle and Smart (2001) found that higher turbidity levels significantly affected </w:t>
      </w:r>
      <w:r w:rsidR="009A4025" w:rsidRPr="0006441C">
        <w:rPr>
          <w:i/>
        </w:rPr>
        <w:t>Vallisneria americana</w:t>
      </w:r>
      <w:r w:rsidR="009A4025" w:rsidRPr="0006441C">
        <w:t xml:space="preserve"> in terms of producing less leaf production and biomass and causing a higher mortality rate of plants. </w:t>
      </w:r>
      <w:r w:rsidR="0006441C" w:rsidRPr="0006441C">
        <w:t>In the years since the flood the turbidity in this Edward/Kolety-Wakool study sites were generally above the ANZECC (2000) trigger level and in the range ~40 to150</w:t>
      </w:r>
      <w:r w:rsidR="00085A12" w:rsidRPr="0006441C">
        <w:t xml:space="preserve"> NTU (</w:t>
      </w:r>
      <w:r w:rsidR="0006441C" w:rsidRPr="0006441C">
        <w:t>section 5</w:t>
      </w:r>
      <w:r w:rsidR="00085A12" w:rsidRPr="0006441C">
        <w:t xml:space="preserve">). This limitation on </w:t>
      </w:r>
      <w:r w:rsidR="009A4025" w:rsidRPr="0006441C">
        <w:t>light penetration may offer</w:t>
      </w:r>
      <w:r w:rsidR="00085A12" w:rsidRPr="0006441C">
        <w:t>, at least in part, a</w:t>
      </w:r>
      <w:r w:rsidR="009A4025" w:rsidRPr="0006441C">
        <w:t xml:space="preserve"> hypothesis </w:t>
      </w:r>
      <w:r w:rsidR="00085A12" w:rsidRPr="0006441C">
        <w:t xml:space="preserve">as </w:t>
      </w:r>
      <w:r w:rsidR="009A4025" w:rsidRPr="0006441C">
        <w:t>to why the recovery of submerged and amphibious taxa is slow.</w:t>
      </w:r>
    </w:p>
    <w:p w14:paraId="669F5094" w14:textId="223435EB" w:rsidR="00752788" w:rsidRPr="0006441C" w:rsidRDefault="00752788" w:rsidP="0049310B">
      <w:pPr>
        <w:spacing w:after="240" w:line="320" w:lineRule="exact"/>
        <w:jc w:val="left"/>
        <w:rPr>
          <w:color w:val="000000" w:themeColor="text1"/>
          <w:szCs w:val="22"/>
        </w:rPr>
      </w:pPr>
      <w:r w:rsidRPr="0006441C">
        <w:t xml:space="preserve">On the recession of the flood, some plants were observed to have died and rotted during the long period of inundation. These observations are consistent with findings of previous studies that </w:t>
      </w:r>
      <w:r w:rsidRPr="0006441C">
        <w:rPr>
          <w:rFonts w:cs="Calibri"/>
        </w:rPr>
        <w:t xml:space="preserve">long duration of inundation, such as can occur during floods or long periods of regulated flows, can reduce growth or survival of riverbank plants (Blom et al. 1994; Johansson and Nilsson 2002; Lowe et al. 2010). The risks to recovery of the submerged and amphibious riverbank plants include disturbance by carp, disturbance by pigs when rhizomes become exposed, </w:t>
      </w:r>
      <w:r w:rsidR="00E569FD">
        <w:rPr>
          <w:rFonts w:cs="Calibri"/>
        </w:rPr>
        <w:t xml:space="preserve">damage to riverbanks and reduction of establishing vegetation by stock, </w:t>
      </w:r>
      <w:r w:rsidRPr="0006441C">
        <w:rPr>
          <w:rFonts w:cs="Calibri"/>
        </w:rPr>
        <w:t>and damage from frost if the regulators and system is shut down during the winter.</w:t>
      </w:r>
    </w:p>
    <w:p w14:paraId="47DF22CF" w14:textId="5A822213" w:rsidR="00752788" w:rsidRPr="00F0082C" w:rsidRDefault="00752788" w:rsidP="00F0082C">
      <w:pPr>
        <w:pStyle w:val="Para0"/>
        <w:spacing w:before="0" w:after="240" w:line="320" w:lineRule="exact"/>
        <w:rPr>
          <w:rFonts w:asciiTheme="minorHAnsi" w:hAnsiTheme="minorHAnsi"/>
          <w:b/>
          <w:i/>
          <w:color w:val="31849B" w:themeColor="accent5" w:themeShade="BF"/>
          <w:sz w:val="24"/>
        </w:rPr>
      </w:pPr>
      <w:r w:rsidRPr="00F0082C">
        <w:rPr>
          <w:rFonts w:asciiTheme="minorHAnsi" w:hAnsiTheme="minorHAnsi"/>
          <w:b/>
          <w:i/>
          <w:color w:val="31849B" w:themeColor="accent5" w:themeShade="BF"/>
          <w:sz w:val="24"/>
        </w:rPr>
        <w:t>Long-term evaluation questions</w:t>
      </w:r>
    </w:p>
    <w:p w14:paraId="56472F4C" w14:textId="77777777" w:rsidR="00752788" w:rsidRPr="00F0082C" w:rsidRDefault="00752788" w:rsidP="0029244C">
      <w:pPr>
        <w:pStyle w:val="Para0bullet"/>
        <w:numPr>
          <w:ilvl w:val="0"/>
          <w:numId w:val="0"/>
        </w:numPr>
        <w:spacing w:line="320" w:lineRule="exact"/>
        <w:rPr>
          <w:rFonts w:asciiTheme="minorHAnsi" w:hAnsiTheme="minorHAnsi"/>
          <w:i/>
          <w:color w:val="31849B" w:themeColor="accent5" w:themeShade="BF"/>
          <w:sz w:val="22"/>
          <w:szCs w:val="22"/>
        </w:rPr>
      </w:pPr>
      <w:r w:rsidRPr="00F0082C">
        <w:rPr>
          <w:rFonts w:asciiTheme="minorHAnsi" w:hAnsiTheme="minorHAnsi"/>
          <w:i/>
          <w:color w:val="31849B" w:themeColor="accent5" w:themeShade="BF"/>
          <w:sz w:val="22"/>
          <w:szCs w:val="22"/>
        </w:rPr>
        <w:t xml:space="preserve">What has </w:t>
      </w:r>
      <w:r w:rsidRPr="00F0082C">
        <w:rPr>
          <w:rFonts w:asciiTheme="minorHAnsi" w:hAnsiTheme="minorHAnsi" w:cs="Calibri"/>
          <w:i/>
          <w:color w:val="31849B" w:themeColor="accent5" w:themeShade="BF"/>
          <w:sz w:val="22"/>
          <w:szCs w:val="22"/>
        </w:rPr>
        <w:t xml:space="preserve">Commonwealth environmental water </w:t>
      </w:r>
      <w:r w:rsidRPr="00F0082C">
        <w:rPr>
          <w:rFonts w:asciiTheme="minorHAnsi" w:hAnsiTheme="minorHAnsi"/>
          <w:i/>
          <w:color w:val="31849B" w:themeColor="accent5" w:themeShade="BF"/>
          <w:sz w:val="22"/>
          <w:szCs w:val="22"/>
        </w:rPr>
        <w:t>contributed to the recovery (measured through species richness, plant cover and recruitment) of riverbank and aquatic vegetation in Yallakool Creek and the mid and upper Wakool River that have been impacted by operational flows and drought and how do those responses vary over time?</w:t>
      </w:r>
    </w:p>
    <w:p w14:paraId="03EE571F" w14:textId="77777777" w:rsidR="00752788" w:rsidRPr="00617268" w:rsidRDefault="00752788" w:rsidP="0029244C">
      <w:pPr>
        <w:pStyle w:val="Para0bullet"/>
        <w:numPr>
          <w:ilvl w:val="0"/>
          <w:numId w:val="0"/>
        </w:numPr>
        <w:spacing w:line="320" w:lineRule="exact"/>
        <w:rPr>
          <w:rFonts w:asciiTheme="minorHAnsi" w:hAnsiTheme="minorHAnsi"/>
          <w:color w:val="31849B" w:themeColor="accent5" w:themeShade="BF"/>
          <w:sz w:val="22"/>
          <w:szCs w:val="22"/>
        </w:rPr>
      </w:pPr>
      <w:r w:rsidRPr="00F0082C">
        <w:rPr>
          <w:rFonts w:asciiTheme="minorHAnsi" w:hAnsiTheme="minorHAnsi"/>
          <w:i/>
          <w:color w:val="31849B" w:themeColor="accent5" w:themeShade="BF"/>
          <w:sz w:val="22"/>
          <w:szCs w:val="22"/>
        </w:rPr>
        <w:t xml:space="preserve">How do vegetation responses to Commonwealth environmental water delivery vary among </w:t>
      </w:r>
      <w:r w:rsidRPr="00617268">
        <w:rPr>
          <w:rFonts w:asciiTheme="minorHAnsi" w:hAnsiTheme="minorHAnsi"/>
          <w:i/>
          <w:color w:val="31849B" w:themeColor="accent5" w:themeShade="BF"/>
          <w:sz w:val="22"/>
          <w:szCs w:val="22"/>
        </w:rPr>
        <w:t>hydrological zones</w:t>
      </w:r>
      <w:r w:rsidRPr="00617268">
        <w:rPr>
          <w:rFonts w:asciiTheme="minorHAnsi" w:hAnsiTheme="minorHAnsi"/>
          <w:color w:val="31849B" w:themeColor="accent5" w:themeShade="BF"/>
          <w:sz w:val="22"/>
          <w:szCs w:val="22"/>
        </w:rPr>
        <w:t>?</w:t>
      </w:r>
    </w:p>
    <w:p w14:paraId="6990F1F0" w14:textId="6D0E65F1" w:rsidR="00752788" w:rsidRPr="00617268" w:rsidRDefault="00752788" w:rsidP="00752788">
      <w:pPr>
        <w:spacing w:after="120" w:line="320" w:lineRule="exact"/>
        <w:jc w:val="left"/>
        <w:rPr>
          <w:rFonts w:asciiTheme="minorHAnsi" w:hAnsiTheme="minorHAnsi" w:cstheme="minorHAnsi"/>
          <w:szCs w:val="22"/>
        </w:rPr>
      </w:pPr>
      <w:r w:rsidRPr="00617268">
        <w:rPr>
          <w:rFonts w:asciiTheme="minorHAnsi" w:hAnsiTheme="minorHAnsi" w:cstheme="minorHAnsi"/>
          <w:szCs w:val="22"/>
        </w:rPr>
        <w:t xml:space="preserve">Riverbank and aquatic vegetation in the </w:t>
      </w:r>
      <w:r w:rsidR="008E27F6" w:rsidRPr="00617268">
        <w:rPr>
          <w:rFonts w:asciiTheme="minorHAnsi" w:hAnsiTheme="minorHAnsi" w:cstheme="minorHAnsi"/>
          <w:szCs w:val="22"/>
        </w:rPr>
        <w:t>Edward/Kolety-Wakool</w:t>
      </w:r>
      <w:r w:rsidRPr="00617268">
        <w:rPr>
          <w:rFonts w:asciiTheme="minorHAnsi" w:hAnsiTheme="minorHAnsi" w:cstheme="minorHAnsi"/>
          <w:szCs w:val="22"/>
        </w:rPr>
        <w:t xml:space="preserve"> system was considerably impacted by the large unregulated flood in spring 2016. </w:t>
      </w:r>
      <w:r w:rsidR="00617268" w:rsidRPr="00617268">
        <w:rPr>
          <w:rFonts w:asciiTheme="minorHAnsi" w:hAnsiTheme="minorHAnsi" w:cstheme="minorHAnsi"/>
          <w:szCs w:val="22"/>
        </w:rPr>
        <w:t>Since 2017</w:t>
      </w:r>
      <w:r w:rsidRPr="00617268">
        <w:rPr>
          <w:rFonts w:asciiTheme="minorHAnsi" w:hAnsiTheme="minorHAnsi" w:cstheme="minorHAnsi"/>
          <w:szCs w:val="22"/>
        </w:rPr>
        <w:t xml:space="preserve"> there </w:t>
      </w:r>
      <w:r w:rsidR="00617268" w:rsidRPr="00617268">
        <w:rPr>
          <w:rFonts w:asciiTheme="minorHAnsi" w:hAnsiTheme="minorHAnsi" w:cstheme="minorHAnsi"/>
          <w:szCs w:val="22"/>
        </w:rPr>
        <w:t>is</w:t>
      </w:r>
      <w:r w:rsidRPr="00617268">
        <w:rPr>
          <w:rFonts w:asciiTheme="minorHAnsi" w:hAnsiTheme="minorHAnsi" w:cstheme="minorHAnsi"/>
          <w:szCs w:val="22"/>
        </w:rPr>
        <w:t xml:space="preserve"> evidence that riverbank and a</w:t>
      </w:r>
      <w:r w:rsidR="00617268" w:rsidRPr="00617268">
        <w:rPr>
          <w:rFonts w:asciiTheme="minorHAnsi" w:hAnsiTheme="minorHAnsi" w:cstheme="minorHAnsi"/>
          <w:szCs w:val="22"/>
        </w:rPr>
        <w:t>quatic vegetation is recovering.</w:t>
      </w:r>
    </w:p>
    <w:p w14:paraId="789E6E6F" w14:textId="68C9E063" w:rsidR="00752788" w:rsidRPr="00617268" w:rsidRDefault="00752788" w:rsidP="00752788">
      <w:pPr>
        <w:spacing w:after="120" w:line="320" w:lineRule="exact"/>
        <w:jc w:val="left"/>
        <w:rPr>
          <w:rFonts w:asciiTheme="minorHAnsi" w:hAnsiTheme="minorHAnsi" w:cstheme="minorHAnsi"/>
          <w:szCs w:val="22"/>
        </w:rPr>
      </w:pPr>
      <w:r w:rsidRPr="00617268">
        <w:rPr>
          <w:rFonts w:asciiTheme="minorHAnsi" w:hAnsiTheme="minorHAnsi" w:cstheme="minorHAnsi"/>
          <w:szCs w:val="22"/>
        </w:rPr>
        <w:t>There is evidence that Commonwealth environmental watering actions has contributed to this recovery. Spring freshes have increased opportunities for germination and follow-up freshes contribute to growth and survival. The winter watering action in 2017 would have prevented loss from frost and aided the recovery of vegetation.</w:t>
      </w:r>
    </w:p>
    <w:p w14:paraId="70FF87E4" w14:textId="462282DB" w:rsidR="00752788" w:rsidRPr="00617268" w:rsidRDefault="00752788" w:rsidP="00752788">
      <w:pPr>
        <w:spacing w:after="120" w:line="320" w:lineRule="exact"/>
        <w:jc w:val="left"/>
      </w:pPr>
      <w:r w:rsidRPr="00617268">
        <w:t>In previous years the species richness and cover of vegetation was lower in the upper Wakool River zone 2 (received minimal or no environmental water) than in zones 1, 3 and 4 that had received environmental water. In 2018-19 a pulse of environmental water was delivered to zone 2 in September 2018 during the 800 ML/d flow trial and this was followed by a period of operational flows from the MIL Wakool escape between October 2018 and February 2019. These actions resulted in an increase in total and mean richness</w:t>
      </w:r>
      <w:r w:rsidR="00617268" w:rsidRPr="00617268">
        <w:t xml:space="preserve"> of vegetation taxa in zone 2, demonstrating a clear response to environmental watering.</w:t>
      </w:r>
    </w:p>
    <w:p w14:paraId="160D2181" w14:textId="578C89AF" w:rsidR="00752788" w:rsidRPr="00617268" w:rsidRDefault="00752788" w:rsidP="00752788">
      <w:pPr>
        <w:spacing w:after="120" w:line="320" w:lineRule="exact"/>
        <w:jc w:val="left"/>
      </w:pPr>
      <w:r w:rsidRPr="00617268">
        <w:rPr>
          <w:rFonts w:asciiTheme="minorHAnsi" w:hAnsiTheme="minorHAnsi" w:cstheme="minorHAnsi"/>
          <w:szCs w:val="22"/>
        </w:rPr>
        <w:t>Despite the increase in the total species richness, t</w:t>
      </w:r>
      <w:r w:rsidRPr="00617268">
        <w:t>he mean species richness in zones 1, 3 and 4 has not yet recovered to the same levels as pri</w:t>
      </w:r>
      <w:r w:rsidR="00617268" w:rsidRPr="00617268">
        <w:t>or to the 2016 flood</w:t>
      </w:r>
      <w:r w:rsidRPr="00617268">
        <w:t xml:space="preserve">. Some amphibious taxa such as floating pondweed and milfoil that had high percent cover prior to the flood were considerably reduced in cover or were killed </w:t>
      </w:r>
      <w:r w:rsidR="00617268" w:rsidRPr="00617268">
        <w:t>during flood in 2016. In 2019-20</w:t>
      </w:r>
      <w:r w:rsidRPr="00617268">
        <w:t xml:space="preserve">, </w:t>
      </w:r>
      <w:r w:rsidR="00617268" w:rsidRPr="00617268">
        <w:t>three</w:t>
      </w:r>
      <w:r w:rsidRPr="00617268">
        <w:t xml:space="preserve"> years after the flood, there </w:t>
      </w:r>
      <w:r w:rsidR="00617268" w:rsidRPr="00617268">
        <w:t>re signs that these taxa are beginning to recover</w:t>
      </w:r>
      <w:r w:rsidRPr="00617268">
        <w:t xml:space="preserve">. Small plants of these species </w:t>
      </w:r>
      <w:r w:rsidR="00617268" w:rsidRPr="00617268">
        <w:t>were</w:t>
      </w:r>
      <w:r w:rsidRPr="00617268">
        <w:t xml:space="preserve"> observed outside the formal transects</w:t>
      </w:r>
      <w:r w:rsidR="00617268" w:rsidRPr="00617268">
        <w:t xml:space="preserve"> in 2018-19 (Watts et al. 2019) and were observed within transects this year in 2019-20. This suggests</w:t>
      </w:r>
      <w:r w:rsidRPr="00617268">
        <w:t xml:space="preserve"> there is the possibility of the recovery of these species over the next </w:t>
      </w:r>
      <w:r w:rsidR="00617268" w:rsidRPr="00617268">
        <w:t>years</w:t>
      </w:r>
      <w:r w:rsidRPr="00617268">
        <w:t xml:space="preserve"> that can be supported by environmental watering.</w:t>
      </w:r>
    </w:p>
    <w:p w14:paraId="10CB0617" w14:textId="6812144B" w:rsidR="00752788" w:rsidRPr="00F0082C" w:rsidRDefault="00752788" w:rsidP="00F0082C">
      <w:pPr>
        <w:pStyle w:val="Para0bullet"/>
        <w:numPr>
          <w:ilvl w:val="0"/>
          <w:numId w:val="0"/>
        </w:numPr>
        <w:spacing w:after="240" w:line="320" w:lineRule="exact"/>
        <w:rPr>
          <w:rFonts w:asciiTheme="minorHAnsi" w:hAnsiTheme="minorHAnsi"/>
          <w:b/>
          <w:i/>
          <w:color w:val="31849B" w:themeColor="accent5" w:themeShade="BF"/>
          <w:sz w:val="24"/>
        </w:rPr>
      </w:pPr>
      <w:r w:rsidRPr="00F0082C">
        <w:rPr>
          <w:rFonts w:asciiTheme="minorHAnsi" w:hAnsiTheme="minorHAnsi"/>
          <w:b/>
          <w:i/>
          <w:color w:val="31849B" w:themeColor="accent5" w:themeShade="BF"/>
          <w:sz w:val="24"/>
        </w:rPr>
        <w:t>Short-term evaluation questions</w:t>
      </w:r>
    </w:p>
    <w:p w14:paraId="57B56AFC" w14:textId="2B048940" w:rsidR="00752788" w:rsidRPr="00F0082C" w:rsidRDefault="00752788" w:rsidP="00752788">
      <w:pPr>
        <w:pStyle w:val="Para0bullet"/>
        <w:numPr>
          <w:ilvl w:val="0"/>
          <w:numId w:val="0"/>
        </w:numPr>
        <w:spacing w:line="320" w:lineRule="exact"/>
        <w:rPr>
          <w:rFonts w:asciiTheme="minorHAnsi" w:hAnsiTheme="minorHAnsi" w:cs="Calibri"/>
          <w:i/>
          <w:color w:val="31849B" w:themeColor="accent5" w:themeShade="BF"/>
          <w:sz w:val="22"/>
          <w:szCs w:val="22"/>
        </w:rPr>
      </w:pPr>
      <w:r w:rsidRPr="00F0082C">
        <w:rPr>
          <w:rFonts w:asciiTheme="minorHAnsi" w:hAnsiTheme="minorHAnsi" w:cs="Calibri"/>
          <w:i/>
          <w:color w:val="31849B" w:themeColor="accent5" w:themeShade="BF"/>
          <w:sz w:val="22"/>
          <w:szCs w:val="22"/>
        </w:rPr>
        <w:t>What did Commonwealth environmental water contribute to the diversity and percent cover of riverbank and aquatic vegetation taxa?</w:t>
      </w:r>
    </w:p>
    <w:p w14:paraId="65D61C16" w14:textId="0738DC79" w:rsidR="00752788" w:rsidRDefault="00004A5C" w:rsidP="00752788">
      <w:pPr>
        <w:pStyle w:val="Para0bullet"/>
        <w:numPr>
          <w:ilvl w:val="0"/>
          <w:numId w:val="0"/>
        </w:numPr>
        <w:spacing w:after="240" w:line="320" w:lineRule="exact"/>
        <w:rPr>
          <w:rFonts w:asciiTheme="minorHAnsi" w:hAnsiTheme="minorHAnsi" w:cstheme="minorHAnsi"/>
          <w:sz w:val="22"/>
          <w:szCs w:val="22"/>
        </w:rPr>
      </w:pPr>
      <w:r w:rsidRPr="00004A5C">
        <w:rPr>
          <w:rFonts w:asciiTheme="minorHAnsi" w:hAnsiTheme="minorHAnsi" w:cstheme="minorHAnsi"/>
          <w:sz w:val="22"/>
          <w:szCs w:val="22"/>
        </w:rPr>
        <w:t>Evidence of responses to individual watering actions include observations of germinating plants on river banks following recession of flows. O</w:t>
      </w:r>
      <w:r w:rsidR="00752788" w:rsidRPr="00004A5C">
        <w:rPr>
          <w:rFonts w:asciiTheme="minorHAnsi" w:hAnsiTheme="minorHAnsi" w:cstheme="minorHAnsi"/>
          <w:sz w:val="22"/>
          <w:szCs w:val="22"/>
        </w:rPr>
        <w:t xml:space="preserve">bserved germination </w:t>
      </w:r>
      <w:r w:rsidRPr="00004A5C">
        <w:rPr>
          <w:rFonts w:asciiTheme="minorHAnsi" w:hAnsiTheme="minorHAnsi" w:cstheme="minorHAnsi"/>
          <w:sz w:val="22"/>
          <w:szCs w:val="22"/>
        </w:rPr>
        <w:t>following winter or early spring flows appears to provide better opportunity for seedlings to establish and get roots deeper into the soil prior to hotter summer weather that dries out riverbanks. These observations suggest</w:t>
      </w:r>
      <w:r w:rsidR="00752788" w:rsidRPr="00004A5C">
        <w:rPr>
          <w:rFonts w:asciiTheme="minorHAnsi" w:hAnsiTheme="minorHAnsi" w:cstheme="minorHAnsi"/>
          <w:sz w:val="22"/>
          <w:szCs w:val="22"/>
        </w:rPr>
        <w:t xml:space="preserve"> that late winter/early spring freshes that inundate </w:t>
      </w:r>
      <w:r w:rsidR="00652183" w:rsidRPr="00004A5C">
        <w:rPr>
          <w:rFonts w:asciiTheme="minorHAnsi" w:hAnsiTheme="minorHAnsi" w:cstheme="minorHAnsi"/>
          <w:sz w:val="22"/>
          <w:szCs w:val="22"/>
        </w:rPr>
        <w:t>slackwater</w:t>
      </w:r>
      <w:r w:rsidR="00752788" w:rsidRPr="00004A5C">
        <w:rPr>
          <w:rFonts w:asciiTheme="minorHAnsi" w:hAnsiTheme="minorHAnsi" w:cstheme="minorHAnsi"/>
          <w:sz w:val="22"/>
          <w:szCs w:val="22"/>
        </w:rPr>
        <w:t xml:space="preserve">, in-channel benches or low lying areas of riverbank within the channel can have positive outcomes on the germination of river bank vegetation. Following the recession of flows, the damp banks provided ideal conditions for plant growth prior to the onset of hotter weather in summer that can quickly dry out the river banks. </w:t>
      </w:r>
      <w:r w:rsidRPr="00004A5C">
        <w:rPr>
          <w:rFonts w:asciiTheme="minorHAnsi" w:hAnsiTheme="minorHAnsi" w:cstheme="minorHAnsi"/>
          <w:sz w:val="22"/>
          <w:szCs w:val="22"/>
        </w:rPr>
        <w:t xml:space="preserve">The best outcome is when there are </w:t>
      </w:r>
      <w:r w:rsidR="00752788" w:rsidRPr="00004A5C">
        <w:rPr>
          <w:rFonts w:asciiTheme="minorHAnsi" w:hAnsiTheme="minorHAnsi" w:cstheme="minorHAnsi"/>
          <w:sz w:val="22"/>
          <w:szCs w:val="22"/>
        </w:rPr>
        <w:t xml:space="preserve">subsequent freshes (environmental actions or operational flows) that re-wet these areas </w:t>
      </w:r>
      <w:r w:rsidRPr="00004A5C">
        <w:rPr>
          <w:rFonts w:asciiTheme="minorHAnsi" w:hAnsiTheme="minorHAnsi" w:cstheme="minorHAnsi"/>
          <w:sz w:val="22"/>
          <w:szCs w:val="22"/>
        </w:rPr>
        <w:t>and</w:t>
      </w:r>
      <w:r w:rsidR="00752788" w:rsidRPr="00004A5C">
        <w:rPr>
          <w:rFonts w:asciiTheme="minorHAnsi" w:hAnsiTheme="minorHAnsi" w:cstheme="minorHAnsi"/>
          <w:sz w:val="22"/>
          <w:szCs w:val="22"/>
        </w:rPr>
        <w:t xml:space="preserve"> provide ongoing conditions that are suitable for amphibious plants to grow and survive the warmer conditions over the summer.</w:t>
      </w:r>
    </w:p>
    <w:p w14:paraId="58B70D7E" w14:textId="51CBD25B" w:rsidR="00291A71" w:rsidRPr="00F113E5" w:rsidRDefault="00291A71" w:rsidP="00291A71">
      <w:pPr>
        <w:spacing w:after="120" w:line="324" w:lineRule="exact"/>
        <w:ind w:right="-285"/>
        <w:jc w:val="left"/>
        <w:rPr>
          <w:b/>
          <w:i/>
          <w:color w:val="31849B"/>
          <w:sz w:val="24"/>
          <w:szCs w:val="24"/>
          <w:lang w:val="en-US"/>
        </w:rPr>
      </w:pPr>
      <w:r>
        <w:rPr>
          <w:b/>
          <w:i/>
          <w:color w:val="31849B"/>
          <w:sz w:val="24"/>
          <w:szCs w:val="24"/>
          <w:lang w:val="en-US"/>
        </w:rPr>
        <w:t>R</w:t>
      </w:r>
      <w:r w:rsidRPr="00F113E5">
        <w:rPr>
          <w:b/>
          <w:i/>
          <w:color w:val="31849B"/>
          <w:sz w:val="24"/>
          <w:szCs w:val="24"/>
          <w:lang w:val="en-US"/>
        </w:rPr>
        <w:t xml:space="preserve">ecommendation for </w:t>
      </w:r>
      <w:r>
        <w:rPr>
          <w:b/>
          <w:i/>
          <w:color w:val="31849B"/>
          <w:sz w:val="24"/>
          <w:szCs w:val="24"/>
          <w:lang w:val="en-US"/>
        </w:rPr>
        <w:t>aquatic and riverbank vegetation</w:t>
      </w:r>
      <w:r w:rsidRPr="00F113E5">
        <w:rPr>
          <w:b/>
          <w:i/>
          <w:color w:val="31849B"/>
          <w:sz w:val="24"/>
          <w:szCs w:val="24"/>
          <w:lang w:val="en-US"/>
        </w:rPr>
        <w:t xml:space="preserve"> outcomes</w:t>
      </w:r>
    </w:p>
    <w:p w14:paraId="3201BC89" w14:textId="4EB3BEAA" w:rsidR="00E569FD" w:rsidRDefault="00291A71" w:rsidP="00E569FD">
      <w:pPr>
        <w:spacing w:after="120" w:line="324" w:lineRule="exact"/>
        <w:ind w:right="-285"/>
        <w:jc w:val="left"/>
      </w:pPr>
      <w:r w:rsidRPr="00B75695">
        <w:rPr>
          <w:b/>
        </w:rPr>
        <w:t>Recommendation:</w:t>
      </w:r>
      <w:r>
        <w:t xml:space="preserve"> Deliver series of freshes to all rivers in </w:t>
      </w:r>
      <w:r w:rsidR="00E569FD">
        <w:t xml:space="preserve">all major tributaries of </w:t>
      </w:r>
      <w:r>
        <w:t>the</w:t>
      </w:r>
      <w:r w:rsidR="00E569FD">
        <w:t xml:space="preserve"> Edward/Kolety-Wakool</w:t>
      </w:r>
      <w:r>
        <w:t xml:space="preserve"> system to increase the wetted area of the bank. </w:t>
      </w:r>
      <w:r w:rsidR="00E569FD">
        <w:t>L</w:t>
      </w:r>
      <w:r w:rsidR="00E569FD" w:rsidRPr="00313075">
        <w:t xml:space="preserve">ate winter/early spring freshes that inundate slackwater, in-channel benches or low lying areas of riverbank within the channel </w:t>
      </w:r>
      <w:r w:rsidR="00E569FD">
        <w:t>will</w:t>
      </w:r>
      <w:r w:rsidR="00E569FD" w:rsidRPr="00313075">
        <w:t xml:space="preserve"> trigger emergence of river bank vegetation. Following the recession of flows, these damp banks provide ideal conditions for plant</w:t>
      </w:r>
      <w:r w:rsidR="00E569FD">
        <w:t>s to establish and grow</w:t>
      </w:r>
      <w:r w:rsidR="00E569FD" w:rsidRPr="00313075">
        <w:t xml:space="preserve"> prior to the onset of hotter weather in summer that can quickly dry out the river banks.</w:t>
      </w:r>
    </w:p>
    <w:p w14:paraId="3A0C6B79" w14:textId="0C3DB9EA" w:rsidR="00A568A4" w:rsidRPr="00291A71" w:rsidRDefault="00A568A4" w:rsidP="00A568A4">
      <w:pPr>
        <w:spacing w:after="120" w:line="324" w:lineRule="exact"/>
        <w:ind w:right="-285"/>
        <w:jc w:val="left"/>
      </w:pPr>
      <w:r w:rsidRPr="003F214C">
        <w:rPr>
          <w:b/>
        </w:rPr>
        <w:t>Recommendation</w:t>
      </w:r>
      <w:r>
        <w:rPr>
          <w:b/>
        </w:rPr>
        <w:t xml:space="preserve">: </w:t>
      </w:r>
      <w:r>
        <w:t xml:space="preserve">Undertake actions that improve the </w:t>
      </w:r>
      <w:r w:rsidR="00D246B1">
        <w:t xml:space="preserve">aquatic and riverbank vegetation </w:t>
      </w:r>
      <w:r>
        <w:t>outcomes in the Upper Wakool River. Deliver larger fr</w:t>
      </w:r>
      <w:r w:rsidR="00D246B1">
        <w:t>e</w:t>
      </w:r>
      <w:r>
        <w:t>shes with increased variability to enable riverbank vegetation to establish and be maintained.</w:t>
      </w:r>
    </w:p>
    <w:p w14:paraId="187380C9" w14:textId="039B32AF" w:rsidR="00291A71" w:rsidRDefault="00291A71" w:rsidP="00291A71">
      <w:pPr>
        <w:spacing w:after="120" w:line="324" w:lineRule="exact"/>
        <w:ind w:right="-285"/>
        <w:jc w:val="left"/>
      </w:pPr>
      <w:r w:rsidRPr="00B75695">
        <w:rPr>
          <w:b/>
        </w:rPr>
        <w:t>Recommendation</w:t>
      </w:r>
      <w:r>
        <w:t xml:space="preserve">: Prevent negative impacts of a-seasonal cease-to-flow events by delivering winter base flows to promote temporal availability and continuity of instream habitat for </w:t>
      </w:r>
      <w:r w:rsidR="00E569FD">
        <w:t>aquatic vegetation</w:t>
      </w:r>
      <w:r>
        <w:t xml:space="preserve">. </w:t>
      </w:r>
      <w:r w:rsidR="00E569FD">
        <w:t>T</w:t>
      </w:r>
      <w:r>
        <w:t xml:space="preserve">his </w:t>
      </w:r>
      <w:r w:rsidR="00E569FD">
        <w:t>will have</w:t>
      </w:r>
      <w:r>
        <w:t xml:space="preserve"> </w:t>
      </w:r>
      <w:r w:rsidR="00E569FD">
        <w:t xml:space="preserve">minimise damage from </w:t>
      </w:r>
      <w:r w:rsidR="00E569FD" w:rsidRPr="0006441C">
        <w:rPr>
          <w:rFonts w:cs="Calibri"/>
        </w:rPr>
        <w:t xml:space="preserve">damage from frost </w:t>
      </w:r>
      <w:r w:rsidR="00E569FD">
        <w:rPr>
          <w:rFonts w:cs="Calibri"/>
        </w:rPr>
        <w:t xml:space="preserve">and livestock </w:t>
      </w:r>
      <w:r w:rsidR="00E569FD" w:rsidRPr="0006441C">
        <w:rPr>
          <w:rFonts w:cs="Calibri"/>
        </w:rPr>
        <w:t>if the system</w:t>
      </w:r>
      <w:r w:rsidR="00E569FD">
        <w:rPr>
          <w:rFonts w:cs="Calibri"/>
        </w:rPr>
        <w:t xml:space="preserve"> is shut down during the winter, and result in </w:t>
      </w:r>
      <w:r>
        <w:t xml:space="preserve">positive benefits for the survival and </w:t>
      </w:r>
      <w:r w:rsidR="00E569FD">
        <w:t>maintenance of aquatic and riverbank vegetation</w:t>
      </w:r>
      <w:r>
        <w:t>.</w:t>
      </w:r>
    </w:p>
    <w:p w14:paraId="3A0B9CDA" w14:textId="06EB3612" w:rsidR="00337053" w:rsidRDefault="00291A71" w:rsidP="00291A71">
      <w:pPr>
        <w:spacing w:after="120" w:line="324" w:lineRule="exact"/>
        <w:ind w:right="-285"/>
        <w:jc w:val="left"/>
      </w:pPr>
      <w:r w:rsidRPr="003F214C">
        <w:rPr>
          <w:b/>
        </w:rPr>
        <w:t>Recommendation:</w:t>
      </w:r>
      <w:r>
        <w:t xml:space="preserve"> </w:t>
      </w:r>
      <w:r w:rsidR="00E569FD">
        <w:t xml:space="preserve">Consider developing communication products and contribute to engagement programs in collaboration with other agencies (e.g. Local Land Services) to </w:t>
      </w:r>
      <w:r w:rsidR="00E569FD">
        <w:rPr>
          <w:rFonts w:cs="Calibri"/>
        </w:rPr>
        <w:t>support projects that reduce</w:t>
      </w:r>
      <w:r w:rsidR="00E569FD" w:rsidRPr="0006441C">
        <w:rPr>
          <w:rFonts w:cs="Calibri"/>
        </w:rPr>
        <w:t xml:space="preserve"> risks to recovery </w:t>
      </w:r>
      <w:r w:rsidR="00E569FD">
        <w:rPr>
          <w:rFonts w:cs="Calibri"/>
        </w:rPr>
        <w:t>and maintenance of</w:t>
      </w:r>
      <w:r w:rsidR="00E569FD" w:rsidRPr="0006441C">
        <w:rPr>
          <w:rFonts w:cs="Calibri"/>
        </w:rPr>
        <w:t xml:space="preserve"> </w:t>
      </w:r>
      <w:r w:rsidR="00E569FD">
        <w:rPr>
          <w:rFonts w:cs="Calibri"/>
        </w:rPr>
        <w:t>aquatic and</w:t>
      </w:r>
      <w:r w:rsidR="00E569FD" w:rsidRPr="0006441C">
        <w:rPr>
          <w:rFonts w:cs="Calibri"/>
        </w:rPr>
        <w:t xml:space="preserve"> riverbank plants </w:t>
      </w:r>
      <w:r w:rsidR="00E569FD">
        <w:rPr>
          <w:rFonts w:cs="Calibri"/>
        </w:rPr>
        <w:t>by</w:t>
      </w:r>
      <w:r w:rsidR="00E569FD" w:rsidRPr="0006441C">
        <w:rPr>
          <w:rFonts w:cs="Calibri"/>
        </w:rPr>
        <w:t xml:space="preserve"> carp, pigs </w:t>
      </w:r>
      <w:r w:rsidR="00E569FD">
        <w:rPr>
          <w:rFonts w:cs="Calibri"/>
        </w:rPr>
        <w:t xml:space="preserve">and livestock. Disturbance </w:t>
      </w:r>
      <w:r w:rsidR="00FF725E">
        <w:rPr>
          <w:rFonts w:cs="Calibri"/>
        </w:rPr>
        <w:t xml:space="preserve">of the riverbank </w:t>
      </w:r>
      <w:r w:rsidR="00E569FD">
        <w:rPr>
          <w:rFonts w:cs="Calibri"/>
        </w:rPr>
        <w:t xml:space="preserve">caused by carp, pigs and livestock has a high potential to undo the positive outcomes of </w:t>
      </w:r>
      <w:r w:rsidR="00FF725E">
        <w:rPr>
          <w:rFonts w:cs="Calibri"/>
        </w:rPr>
        <w:t>environmental watering actions.</w:t>
      </w:r>
    </w:p>
    <w:p w14:paraId="42B05FEA" w14:textId="77777777" w:rsidR="000742BD" w:rsidRDefault="000742BD">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3B4F89C7" w14:textId="56818AA2" w:rsidR="00D83954" w:rsidRDefault="00752788" w:rsidP="00836CDD">
      <w:pPr>
        <w:pStyle w:val="Heading1"/>
      </w:pPr>
      <w:bookmarkStart w:id="26" w:name="_Toc69846020"/>
      <w:r>
        <w:t>8</w:t>
      </w:r>
      <w:r>
        <w:tab/>
      </w:r>
      <w:r w:rsidR="006624ED">
        <w:t>F</w:t>
      </w:r>
      <w:r w:rsidR="00BB30E9">
        <w:t>ish</w:t>
      </w:r>
      <w:bookmarkEnd w:id="26"/>
    </w:p>
    <w:p w14:paraId="752A9484" w14:textId="4EA52B23" w:rsidR="0046477B" w:rsidRPr="0046477B" w:rsidRDefault="00A30448" w:rsidP="0046477B">
      <w:pPr>
        <w:spacing w:after="240" w:line="240" w:lineRule="auto"/>
        <w:rPr>
          <w:lang w:val="en-US" w:eastAsia="en-AU"/>
        </w:rPr>
      </w:pPr>
      <w:r>
        <w:rPr>
          <w:lang w:val="en-US" w:eastAsia="en-AU"/>
        </w:rPr>
        <w:t xml:space="preserve">Authors: </w:t>
      </w:r>
      <w:r w:rsidR="0046477B">
        <w:rPr>
          <w:lang w:val="en-US" w:eastAsia="en-AU"/>
        </w:rPr>
        <w:t>Nicole McCasker, Jason Thiem, John Trethewie, Daniel Wright</w:t>
      </w:r>
    </w:p>
    <w:tbl>
      <w:tblPr>
        <w:tblStyle w:val="TableGrid"/>
        <w:tblW w:w="8317" w:type="dxa"/>
        <w:tblInd w:w="-5" w:type="dxa"/>
        <w:tblLayout w:type="fixed"/>
        <w:tblLook w:val="04A0" w:firstRow="1" w:lastRow="0" w:firstColumn="1" w:lastColumn="0" w:noHBand="0" w:noVBand="1"/>
      </w:tblPr>
      <w:tblGrid>
        <w:gridCol w:w="709"/>
        <w:gridCol w:w="1512"/>
        <w:gridCol w:w="6096"/>
      </w:tblGrid>
      <w:tr w:rsidR="001D7536" w:rsidRPr="00504D7A" w14:paraId="70FAF205" w14:textId="77777777" w:rsidTr="00EE7F09">
        <w:trPr>
          <w:cantSplit/>
          <w:trHeight w:val="695"/>
        </w:trPr>
        <w:tc>
          <w:tcPr>
            <w:tcW w:w="8317" w:type="dxa"/>
            <w:gridSpan w:val="3"/>
            <w:shd w:val="clear" w:color="auto" w:fill="31849B" w:themeFill="accent5" w:themeFillShade="BF"/>
            <w:tcMar>
              <w:left w:w="28" w:type="dxa"/>
            </w:tcMar>
            <w:vAlign w:val="center"/>
          </w:tcPr>
          <w:p w14:paraId="2D0341AA" w14:textId="3F012FAD" w:rsidR="001D7536" w:rsidRPr="00504D7A" w:rsidRDefault="001C1192" w:rsidP="001D7536">
            <w:pPr>
              <w:autoSpaceDE w:val="0"/>
              <w:autoSpaceDN w:val="0"/>
              <w:adjustRightInd w:val="0"/>
              <w:spacing w:after="0" w:line="240" w:lineRule="auto"/>
              <w:jc w:val="left"/>
              <w:rPr>
                <w:b/>
                <w:color w:val="FFFFFF"/>
                <w:sz w:val="32"/>
                <w:szCs w:val="32"/>
              </w:rPr>
            </w:pPr>
            <w:r>
              <w:rPr>
                <w:b/>
                <w:color w:val="FFFFFF"/>
                <w:sz w:val="32"/>
                <w:szCs w:val="32"/>
              </w:rPr>
              <w:t>K</w:t>
            </w:r>
            <w:r w:rsidR="001D7536" w:rsidRPr="00504D7A">
              <w:rPr>
                <w:b/>
                <w:color w:val="FFFFFF"/>
                <w:sz w:val="32"/>
                <w:szCs w:val="32"/>
              </w:rPr>
              <w:t xml:space="preserve">ey </w:t>
            </w:r>
            <w:r w:rsidR="001D7536">
              <w:rPr>
                <w:b/>
                <w:color w:val="FFFFFF"/>
                <w:sz w:val="32"/>
                <w:szCs w:val="32"/>
              </w:rPr>
              <w:t>findings</w:t>
            </w:r>
          </w:p>
        </w:tc>
      </w:tr>
      <w:tr w:rsidR="001D7536" w:rsidRPr="00504D7A" w14:paraId="023E5614" w14:textId="77777777" w:rsidTr="00EA17D0">
        <w:trPr>
          <w:cantSplit/>
          <w:trHeight w:val="1981"/>
        </w:trPr>
        <w:tc>
          <w:tcPr>
            <w:tcW w:w="709" w:type="dxa"/>
            <w:shd w:val="clear" w:color="auto" w:fill="31849B" w:themeFill="accent5" w:themeFillShade="BF"/>
            <w:tcMar>
              <w:left w:w="28" w:type="dxa"/>
            </w:tcMar>
            <w:textDirection w:val="btLr"/>
          </w:tcPr>
          <w:p w14:paraId="66238CCB"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Movement</w:t>
            </w:r>
          </w:p>
        </w:tc>
        <w:tc>
          <w:tcPr>
            <w:tcW w:w="1512" w:type="dxa"/>
            <w:shd w:val="clear" w:color="auto" w:fill="B6DDE8" w:themeFill="accent5" w:themeFillTint="66"/>
          </w:tcPr>
          <w:p w14:paraId="7CDD45FF" w14:textId="77777777" w:rsidR="001D7536" w:rsidRPr="00605A7D" w:rsidRDefault="001D7536" w:rsidP="00605A7D">
            <w:pPr>
              <w:autoSpaceDE w:val="0"/>
              <w:autoSpaceDN w:val="0"/>
              <w:adjustRightInd w:val="0"/>
              <w:spacing w:after="0" w:line="240" w:lineRule="auto"/>
              <w:jc w:val="left"/>
              <w:rPr>
                <w:sz w:val="20"/>
              </w:rPr>
            </w:pPr>
            <w:r w:rsidRPr="00605A7D">
              <w:rPr>
                <w:sz w:val="20"/>
              </w:rPr>
              <w:t>Movement of golden perch and silver perch</w:t>
            </w:r>
          </w:p>
        </w:tc>
        <w:tc>
          <w:tcPr>
            <w:tcW w:w="6096" w:type="dxa"/>
            <w:shd w:val="clear" w:color="auto" w:fill="auto"/>
          </w:tcPr>
          <w:p w14:paraId="30841D11" w14:textId="77777777" w:rsidR="00605A7D" w:rsidRPr="00605A7D" w:rsidRDefault="00605A7D" w:rsidP="00605A7D">
            <w:pPr>
              <w:spacing w:after="60" w:line="240" w:lineRule="auto"/>
              <w:rPr>
                <w:bCs/>
                <w:sz w:val="20"/>
              </w:rPr>
            </w:pPr>
            <w:r w:rsidRPr="00605A7D">
              <w:rPr>
                <w:bCs/>
                <w:sz w:val="20"/>
              </w:rPr>
              <w:t>No discernible differences were observed in the scale of the movements of golden perch or silver perch during the 2019 winter watering event, although we note that sample sizes were low.</w:t>
            </w:r>
          </w:p>
          <w:p w14:paraId="575BECC4" w14:textId="77777777" w:rsidR="00605A7D" w:rsidRPr="00605A7D" w:rsidRDefault="00605A7D" w:rsidP="00605A7D">
            <w:pPr>
              <w:spacing w:after="60" w:line="240" w:lineRule="auto"/>
              <w:rPr>
                <w:bCs/>
                <w:sz w:val="20"/>
              </w:rPr>
            </w:pPr>
            <w:r w:rsidRPr="00605A7D">
              <w:rPr>
                <w:bCs/>
                <w:sz w:val="20"/>
              </w:rPr>
              <w:t>Movements during winter are typically localised for both species in this system based on previous observed and modelled data, although modelling based on previous water delivery years (2017 and 2018) indicates that CEW deliveries in winter result in a discernible increase in the frequency of movement of golden perch, silver perch and Murray cod, but that it is most pronounced in silver perch.</w:t>
            </w:r>
          </w:p>
          <w:p w14:paraId="77D6B082" w14:textId="7C970200" w:rsidR="001D7536" w:rsidRPr="00605A7D" w:rsidRDefault="00605A7D" w:rsidP="00605A7D">
            <w:pPr>
              <w:autoSpaceDE w:val="0"/>
              <w:autoSpaceDN w:val="0"/>
              <w:adjustRightInd w:val="0"/>
              <w:spacing w:after="60" w:line="240" w:lineRule="auto"/>
              <w:jc w:val="left"/>
              <w:rPr>
                <w:sz w:val="20"/>
                <w:highlight w:val="yellow"/>
              </w:rPr>
            </w:pPr>
            <w:r w:rsidRPr="00605A7D">
              <w:rPr>
                <w:bCs/>
                <w:sz w:val="20"/>
              </w:rPr>
              <w:t>Occupation of Yallakool Creek zone 1 by golden perch was enabled during winter watering in 2019 in comparison to winter 2018 (no watering), indicating that increased habitat was both available and utilised during the watering event.</w:t>
            </w:r>
          </w:p>
        </w:tc>
      </w:tr>
      <w:tr w:rsidR="001D7536" w:rsidRPr="00504D7A" w14:paraId="7687C637" w14:textId="77777777" w:rsidTr="00EA17D0">
        <w:trPr>
          <w:cantSplit/>
          <w:trHeight w:val="1605"/>
        </w:trPr>
        <w:tc>
          <w:tcPr>
            <w:tcW w:w="709" w:type="dxa"/>
            <w:vMerge w:val="restart"/>
            <w:shd w:val="clear" w:color="auto" w:fill="31849B" w:themeFill="accent5" w:themeFillShade="BF"/>
            <w:tcMar>
              <w:left w:w="28" w:type="dxa"/>
            </w:tcMar>
            <w:textDirection w:val="btLr"/>
          </w:tcPr>
          <w:p w14:paraId="6CA860AD" w14:textId="269235DF" w:rsidR="001D7536" w:rsidRPr="00605A7D" w:rsidRDefault="00605A7D" w:rsidP="001D7536">
            <w:pPr>
              <w:autoSpaceDE w:val="0"/>
              <w:autoSpaceDN w:val="0"/>
              <w:adjustRightInd w:val="0"/>
              <w:spacing w:after="0" w:line="240" w:lineRule="auto"/>
              <w:ind w:left="113" w:right="113"/>
              <w:jc w:val="center"/>
              <w:rPr>
                <w:b/>
                <w:color w:val="FFFFFF"/>
                <w:sz w:val="32"/>
                <w:szCs w:val="32"/>
              </w:rPr>
            </w:pPr>
            <w:r>
              <w:rPr>
                <w:b/>
                <w:color w:val="FFFFFF"/>
                <w:sz w:val="32"/>
                <w:szCs w:val="32"/>
              </w:rPr>
              <w:t>S</w:t>
            </w:r>
            <w:r w:rsidRPr="00605A7D">
              <w:rPr>
                <w:b/>
                <w:color w:val="FFFFFF"/>
                <w:sz w:val="32"/>
                <w:szCs w:val="32"/>
              </w:rPr>
              <w:t>pawning</w:t>
            </w:r>
          </w:p>
        </w:tc>
        <w:tc>
          <w:tcPr>
            <w:tcW w:w="1512" w:type="dxa"/>
            <w:shd w:val="clear" w:color="auto" w:fill="B6DDE8" w:themeFill="accent5" w:themeFillTint="66"/>
          </w:tcPr>
          <w:p w14:paraId="1291AE08" w14:textId="5F0F8FC2" w:rsidR="001D7536" w:rsidRPr="00EE7F09" w:rsidRDefault="00605A7D" w:rsidP="00605A7D">
            <w:pPr>
              <w:autoSpaceDE w:val="0"/>
              <w:autoSpaceDN w:val="0"/>
              <w:adjustRightInd w:val="0"/>
              <w:spacing w:after="0" w:line="240" w:lineRule="auto"/>
              <w:jc w:val="left"/>
              <w:rPr>
                <w:sz w:val="20"/>
              </w:rPr>
            </w:pPr>
            <w:r w:rsidRPr="00EE7F09">
              <w:rPr>
                <w:sz w:val="20"/>
              </w:rPr>
              <w:t>P</w:t>
            </w:r>
            <w:r w:rsidR="001D7536" w:rsidRPr="00EE7F09">
              <w:rPr>
                <w:sz w:val="20"/>
              </w:rPr>
              <w:t>eriodic species</w:t>
            </w:r>
          </w:p>
        </w:tc>
        <w:tc>
          <w:tcPr>
            <w:tcW w:w="6096" w:type="dxa"/>
          </w:tcPr>
          <w:p w14:paraId="12ACBE0E" w14:textId="77777777" w:rsidR="00605A7D" w:rsidRPr="00605A7D" w:rsidRDefault="00605A7D" w:rsidP="00605A7D">
            <w:pPr>
              <w:autoSpaceDE w:val="0"/>
              <w:autoSpaceDN w:val="0"/>
              <w:adjustRightInd w:val="0"/>
              <w:spacing w:after="60" w:line="240" w:lineRule="auto"/>
              <w:jc w:val="left"/>
              <w:rPr>
                <w:bCs/>
                <w:sz w:val="20"/>
              </w:rPr>
            </w:pPr>
            <w:bookmarkStart w:id="27" w:name="_Hlk66701205"/>
            <w:r w:rsidRPr="00605A7D">
              <w:rPr>
                <w:bCs/>
                <w:sz w:val="20"/>
              </w:rPr>
              <w:t>Significantly more bony herring larvae were found in some study rivers that received environmental water compared to the Upper Wakool River, which did not receive environmental water.</w:t>
            </w:r>
          </w:p>
          <w:p w14:paraId="79CE3302" w14:textId="0803E55F" w:rsidR="001D7536" w:rsidRPr="001D7536" w:rsidRDefault="00605A7D" w:rsidP="00605A7D">
            <w:pPr>
              <w:autoSpaceDE w:val="0"/>
              <w:autoSpaceDN w:val="0"/>
              <w:adjustRightInd w:val="0"/>
              <w:spacing w:after="60" w:line="240" w:lineRule="auto"/>
              <w:jc w:val="left"/>
              <w:rPr>
                <w:sz w:val="20"/>
              </w:rPr>
            </w:pPr>
            <w:r w:rsidRPr="00605A7D">
              <w:rPr>
                <w:bCs/>
                <w:sz w:val="20"/>
              </w:rPr>
              <w:t>Despite the highly connected Murray River Channel flow that influenced the Edward/Kolety River, Wakool River and Yallakool Creek, there was no evidence of golden or silver perch spawning recorded.</w:t>
            </w:r>
            <w:bookmarkEnd w:id="27"/>
          </w:p>
        </w:tc>
      </w:tr>
      <w:tr w:rsidR="001D7536" w:rsidRPr="00504D7A" w14:paraId="01898B5F" w14:textId="77777777" w:rsidTr="00605A7D">
        <w:trPr>
          <w:cantSplit/>
          <w:trHeight w:val="818"/>
        </w:trPr>
        <w:tc>
          <w:tcPr>
            <w:tcW w:w="709" w:type="dxa"/>
            <w:vMerge/>
            <w:shd w:val="clear" w:color="auto" w:fill="31849B" w:themeFill="accent5" w:themeFillShade="BF"/>
            <w:tcMar>
              <w:left w:w="28" w:type="dxa"/>
            </w:tcMar>
            <w:textDirection w:val="btLr"/>
          </w:tcPr>
          <w:p w14:paraId="51CC1ACC" w14:textId="77777777" w:rsidR="001D7536" w:rsidRPr="00504D7A" w:rsidRDefault="001D7536" w:rsidP="001D7536">
            <w:pPr>
              <w:autoSpaceDE w:val="0"/>
              <w:autoSpaceDN w:val="0"/>
              <w:adjustRightInd w:val="0"/>
              <w:spacing w:after="0" w:line="240" w:lineRule="auto"/>
              <w:ind w:left="113" w:right="113"/>
              <w:jc w:val="center"/>
              <w:rPr>
                <w:b/>
                <w:color w:val="FFFFFF"/>
                <w:sz w:val="24"/>
                <w:szCs w:val="24"/>
              </w:rPr>
            </w:pPr>
          </w:p>
        </w:tc>
        <w:tc>
          <w:tcPr>
            <w:tcW w:w="1512" w:type="dxa"/>
            <w:shd w:val="clear" w:color="auto" w:fill="B6DDE8" w:themeFill="accent5" w:themeFillTint="66"/>
          </w:tcPr>
          <w:p w14:paraId="1E2CF6D4" w14:textId="78821EC4" w:rsidR="001D7536" w:rsidRPr="00EE7F09" w:rsidRDefault="00605A7D" w:rsidP="00605A7D">
            <w:pPr>
              <w:autoSpaceDE w:val="0"/>
              <w:autoSpaceDN w:val="0"/>
              <w:adjustRightInd w:val="0"/>
              <w:spacing w:after="0" w:line="240" w:lineRule="auto"/>
              <w:jc w:val="left"/>
              <w:rPr>
                <w:sz w:val="20"/>
              </w:rPr>
            </w:pPr>
            <w:r w:rsidRPr="00EE7F09">
              <w:rPr>
                <w:sz w:val="20"/>
              </w:rPr>
              <w:t>O</w:t>
            </w:r>
            <w:r w:rsidR="001D7536" w:rsidRPr="00EE7F09">
              <w:rPr>
                <w:sz w:val="20"/>
              </w:rPr>
              <w:t>pportunistic species</w:t>
            </w:r>
          </w:p>
        </w:tc>
        <w:tc>
          <w:tcPr>
            <w:tcW w:w="6096" w:type="dxa"/>
          </w:tcPr>
          <w:p w14:paraId="3E05DA03" w14:textId="3FA7A729" w:rsidR="001D7536" w:rsidRPr="001D7536" w:rsidRDefault="00605A7D" w:rsidP="00605A7D">
            <w:pPr>
              <w:autoSpaceDE w:val="0"/>
              <w:autoSpaceDN w:val="0"/>
              <w:adjustRightInd w:val="0"/>
              <w:spacing w:after="60" w:line="240" w:lineRule="auto"/>
              <w:jc w:val="left"/>
              <w:rPr>
                <w:sz w:val="20"/>
                <w:highlight w:val="yellow"/>
              </w:rPr>
            </w:pPr>
            <w:bookmarkStart w:id="28" w:name="_Hlk66701248"/>
            <w:r w:rsidRPr="00605A7D">
              <w:rPr>
                <w:bCs/>
                <w:sz w:val="20"/>
              </w:rPr>
              <w:t>Significantly more Australian smelt larvae were found in all study rivers that received environmental water compared to the Upper Wakool River which did not receive environmental water.</w:t>
            </w:r>
            <w:bookmarkEnd w:id="28"/>
          </w:p>
        </w:tc>
      </w:tr>
      <w:tr w:rsidR="001D7536" w:rsidRPr="00504D7A" w14:paraId="759B494E" w14:textId="77777777" w:rsidTr="00EA17D0">
        <w:trPr>
          <w:cantSplit/>
          <w:trHeight w:val="1253"/>
        </w:trPr>
        <w:tc>
          <w:tcPr>
            <w:tcW w:w="709" w:type="dxa"/>
            <w:shd w:val="clear" w:color="auto" w:fill="31849B" w:themeFill="accent5" w:themeFillShade="BF"/>
            <w:tcMar>
              <w:left w:w="28" w:type="dxa"/>
            </w:tcMar>
            <w:textDirection w:val="btLr"/>
          </w:tcPr>
          <w:p w14:paraId="14B46CAB"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Recruitment</w:t>
            </w:r>
          </w:p>
        </w:tc>
        <w:tc>
          <w:tcPr>
            <w:tcW w:w="1512" w:type="dxa"/>
            <w:shd w:val="clear" w:color="auto" w:fill="B6DDE8" w:themeFill="accent5" w:themeFillTint="66"/>
          </w:tcPr>
          <w:p w14:paraId="68B99597" w14:textId="77777777" w:rsidR="001D7536" w:rsidRPr="00EE7F09" w:rsidRDefault="001D7536" w:rsidP="00605A7D">
            <w:pPr>
              <w:autoSpaceDE w:val="0"/>
              <w:autoSpaceDN w:val="0"/>
              <w:adjustRightInd w:val="0"/>
              <w:spacing w:after="0" w:line="240" w:lineRule="auto"/>
              <w:jc w:val="left"/>
              <w:rPr>
                <w:sz w:val="20"/>
              </w:rPr>
            </w:pPr>
            <w:r w:rsidRPr="00EE7F09">
              <w:rPr>
                <w:sz w:val="20"/>
              </w:rPr>
              <w:t>Murray cod, silver perch and golden perch recruitment</w:t>
            </w:r>
          </w:p>
        </w:tc>
        <w:tc>
          <w:tcPr>
            <w:tcW w:w="6096" w:type="dxa"/>
          </w:tcPr>
          <w:p w14:paraId="4134CF10" w14:textId="77777777" w:rsidR="00605A7D" w:rsidRPr="00605A7D" w:rsidRDefault="00605A7D" w:rsidP="00605A7D">
            <w:pPr>
              <w:autoSpaceDE w:val="0"/>
              <w:autoSpaceDN w:val="0"/>
              <w:adjustRightInd w:val="0"/>
              <w:spacing w:after="60" w:line="240" w:lineRule="auto"/>
              <w:jc w:val="left"/>
              <w:rPr>
                <w:bCs/>
                <w:sz w:val="20"/>
              </w:rPr>
            </w:pPr>
            <w:bookmarkStart w:id="29" w:name="_Hlk66701142"/>
            <w:r w:rsidRPr="00605A7D">
              <w:rPr>
                <w:bCs/>
                <w:sz w:val="20"/>
              </w:rPr>
              <w:t>Murray cod YOY recruits were detected in zones 3 and 4 for first time since 2015-16. Murray cod 1+ recruits were at their highest relative abundance since surveys began, although slower growth rates were observed compared to the previous year.</w:t>
            </w:r>
          </w:p>
          <w:p w14:paraId="21F87CD8" w14:textId="77777777" w:rsidR="00605A7D" w:rsidRPr="00605A7D" w:rsidRDefault="00605A7D" w:rsidP="00605A7D">
            <w:pPr>
              <w:autoSpaceDE w:val="0"/>
              <w:autoSpaceDN w:val="0"/>
              <w:adjustRightInd w:val="0"/>
              <w:spacing w:after="60" w:line="240" w:lineRule="auto"/>
              <w:jc w:val="left"/>
              <w:rPr>
                <w:bCs/>
                <w:sz w:val="20"/>
              </w:rPr>
            </w:pPr>
            <w:r w:rsidRPr="00605A7D">
              <w:rPr>
                <w:bCs/>
                <w:sz w:val="20"/>
              </w:rPr>
              <w:t>Silver perch 1+ recruits were present at a low relative abundance and YOY recruits were not detected.</w:t>
            </w:r>
          </w:p>
          <w:p w14:paraId="0827B018" w14:textId="54DA30C0" w:rsidR="001D7536" w:rsidRPr="001D7536" w:rsidRDefault="00605A7D" w:rsidP="00605A7D">
            <w:pPr>
              <w:autoSpaceDE w:val="0"/>
              <w:autoSpaceDN w:val="0"/>
              <w:adjustRightInd w:val="0"/>
              <w:spacing w:after="60" w:line="240" w:lineRule="auto"/>
              <w:jc w:val="left"/>
              <w:rPr>
                <w:sz w:val="20"/>
              </w:rPr>
            </w:pPr>
            <w:r w:rsidRPr="00605A7D">
              <w:rPr>
                <w:bCs/>
                <w:sz w:val="20"/>
              </w:rPr>
              <w:t>No golden perch 1+ or YOY recruits were detected.</w:t>
            </w:r>
            <w:bookmarkEnd w:id="29"/>
          </w:p>
        </w:tc>
      </w:tr>
      <w:tr w:rsidR="001D7536" w:rsidRPr="00504D7A" w14:paraId="5B77741F" w14:textId="77777777" w:rsidTr="00EA17D0">
        <w:trPr>
          <w:cantSplit/>
          <w:trHeight w:val="1821"/>
        </w:trPr>
        <w:tc>
          <w:tcPr>
            <w:tcW w:w="709" w:type="dxa"/>
            <w:shd w:val="clear" w:color="auto" w:fill="31849B" w:themeFill="accent5" w:themeFillShade="BF"/>
            <w:tcMar>
              <w:left w:w="28" w:type="dxa"/>
            </w:tcMar>
            <w:textDirection w:val="btLr"/>
          </w:tcPr>
          <w:p w14:paraId="61582534" w14:textId="77777777" w:rsidR="001D7536" w:rsidRPr="00504D7A" w:rsidRDefault="001D7536" w:rsidP="001D7536">
            <w:pPr>
              <w:autoSpaceDE w:val="0"/>
              <w:autoSpaceDN w:val="0"/>
              <w:adjustRightInd w:val="0"/>
              <w:spacing w:after="0" w:line="240" w:lineRule="auto"/>
              <w:ind w:left="113" w:right="113"/>
              <w:jc w:val="center"/>
              <w:rPr>
                <w:b/>
                <w:color w:val="FFFFFF"/>
                <w:sz w:val="32"/>
                <w:szCs w:val="32"/>
              </w:rPr>
            </w:pPr>
            <w:r w:rsidRPr="00504D7A">
              <w:rPr>
                <w:b/>
                <w:color w:val="FFFFFF"/>
                <w:sz w:val="32"/>
                <w:szCs w:val="32"/>
              </w:rPr>
              <w:t>Adults</w:t>
            </w:r>
          </w:p>
        </w:tc>
        <w:tc>
          <w:tcPr>
            <w:tcW w:w="1512" w:type="dxa"/>
            <w:shd w:val="clear" w:color="auto" w:fill="B6DDE8" w:themeFill="accent5" w:themeFillTint="66"/>
          </w:tcPr>
          <w:p w14:paraId="0D981D13" w14:textId="77777777" w:rsidR="001D7536" w:rsidRPr="00EE7F09" w:rsidRDefault="001D7536" w:rsidP="00605A7D">
            <w:pPr>
              <w:autoSpaceDE w:val="0"/>
              <w:autoSpaceDN w:val="0"/>
              <w:adjustRightInd w:val="0"/>
              <w:spacing w:after="0" w:line="240" w:lineRule="auto"/>
              <w:jc w:val="left"/>
              <w:rPr>
                <w:sz w:val="20"/>
              </w:rPr>
            </w:pPr>
            <w:r w:rsidRPr="00EE7F09">
              <w:rPr>
                <w:sz w:val="20"/>
              </w:rPr>
              <w:t>Adult fish populations</w:t>
            </w:r>
          </w:p>
        </w:tc>
        <w:tc>
          <w:tcPr>
            <w:tcW w:w="6096" w:type="dxa"/>
          </w:tcPr>
          <w:p w14:paraId="796C2B9C" w14:textId="77777777" w:rsidR="00605A7D" w:rsidRPr="00605A7D" w:rsidRDefault="00605A7D" w:rsidP="00605A7D">
            <w:pPr>
              <w:autoSpaceDE w:val="0"/>
              <w:autoSpaceDN w:val="0"/>
              <w:adjustRightInd w:val="0"/>
              <w:spacing w:after="60" w:line="240" w:lineRule="auto"/>
              <w:jc w:val="left"/>
              <w:rPr>
                <w:bCs/>
                <w:sz w:val="20"/>
              </w:rPr>
            </w:pPr>
            <w:r w:rsidRPr="00605A7D">
              <w:rPr>
                <w:bCs/>
                <w:sz w:val="20"/>
              </w:rPr>
              <w:t xml:space="preserve">Eight native species and two alien fish species were captured during fish community sampling. Both flathead gudgeon and Eastern gambusia were absent, although these were in low and/or variable abundance in previous years. </w:t>
            </w:r>
          </w:p>
          <w:p w14:paraId="45D20305" w14:textId="77777777" w:rsidR="00605A7D" w:rsidRPr="00605A7D" w:rsidRDefault="00605A7D" w:rsidP="00605A7D">
            <w:pPr>
              <w:autoSpaceDE w:val="0"/>
              <w:autoSpaceDN w:val="0"/>
              <w:adjustRightInd w:val="0"/>
              <w:spacing w:after="60" w:line="240" w:lineRule="auto"/>
              <w:jc w:val="left"/>
              <w:rPr>
                <w:bCs/>
                <w:sz w:val="20"/>
              </w:rPr>
            </w:pPr>
            <w:r w:rsidRPr="00605A7D">
              <w:rPr>
                <w:bCs/>
                <w:sz w:val="20"/>
              </w:rPr>
              <w:t xml:space="preserve">Limited-to-no carp recruitment was observed in 2020, and the adult population exhibited decreased relative abundance and biomass. </w:t>
            </w:r>
          </w:p>
          <w:p w14:paraId="24CAC0B1" w14:textId="42762FAF" w:rsidR="00605A7D" w:rsidRPr="00605A7D" w:rsidRDefault="00605A7D" w:rsidP="00605A7D">
            <w:pPr>
              <w:autoSpaceDE w:val="0"/>
              <w:autoSpaceDN w:val="0"/>
              <w:adjustRightInd w:val="0"/>
              <w:spacing w:after="60" w:line="240" w:lineRule="auto"/>
              <w:jc w:val="left"/>
              <w:rPr>
                <w:bCs/>
                <w:sz w:val="20"/>
              </w:rPr>
            </w:pPr>
            <w:r w:rsidRPr="00605A7D">
              <w:rPr>
                <w:bCs/>
                <w:sz w:val="20"/>
              </w:rPr>
              <w:t xml:space="preserve">The golden perch population continues to exhibit no recruitment, and is predominantly comprised of large adults. The population is ageing but stable. </w:t>
            </w:r>
          </w:p>
          <w:p w14:paraId="114F1308" w14:textId="77777777" w:rsidR="00605A7D" w:rsidRPr="00605A7D" w:rsidRDefault="00605A7D" w:rsidP="00605A7D">
            <w:pPr>
              <w:autoSpaceDE w:val="0"/>
              <w:autoSpaceDN w:val="0"/>
              <w:adjustRightInd w:val="0"/>
              <w:spacing w:after="60" w:line="240" w:lineRule="auto"/>
              <w:jc w:val="left"/>
              <w:rPr>
                <w:bCs/>
                <w:sz w:val="20"/>
              </w:rPr>
            </w:pPr>
            <w:r w:rsidRPr="00605A7D">
              <w:rPr>
                <w:bCs/>
                <w:sz w:val="20"/>
              </w:rPr>
              <w:t>Murray cod relative abundance and biomass continue to increase following fish kills in 2016.</w:t>
            </w:r>
          </w:p>
          <w:p w14:paraId="2199CD62" w14:textId="77777777" w:rsidR="00605A7D" w:rsidRPr="00605A7D" w:rsidRDefault="00605A7D" w:rsidP="00605A7D">
            <w:pPr>
              <w:autoSpaceDE w:val="0"/>
              <w:autoSpaceDN w:val="0"/>
              <w:adjustRightInd w:val="0"/>
              <w:spacing w:after="60" w:line="240" w:lineRule="auto"/>
              <w:jc w:val="left"/>
              <w:rPr>
                <w:bCs/>
                <w:sz w:val="20"/>
              </w:rPr>
            </w:pPr>
            <w:r w:rsidRPr="00605A7D">
              <w:rPr>
                <w:bCs/>
                <w:sz w:val="20"/>
              </w:rPr>
              <w:t>Bony herring were present at the highest relative abundance observed in the program, reflecting a strong spawning and recruitment year.</w:t>
            </w:r>
          </w:p>
          <w:p w14:paraId="5EC234FB" w14:textId="2468FA47" w:rsidR="001D7536" w:rsidRPr="001D7536" w:rsidRDefault="00605A7D" w:rsidP="00605A7D">
            <w:pPr>
              <w:autoSpaceDE w:val="0"/>
              <w:autoSpaceDN w:val="0"/>
              <w:adjustRightInd w:val="0"/>
              <w:spacing w:after="60" w:line="240" w:lineRule="auto"/>
              <w:jc w:val="left"/>
              <w:rPr>
                <w:rFonts w:cs="Calibri"/>
                <w:iCs/>
                <w:sz w:val="20"/>
                <w:highlight w:val="yellow"/>
              </w:rPr>
            </w:pPr>
            <w:r w:rsidRPr="00605A7D">
              <w:rPr>
                <w:bCs/>
                <w:sz w:val="20"/>
              </w:rPr>
              <w:t>Typical annual fluctuations were observed in small bodied generalist species.</w:t>
            </w:r>
          </w:p>
        </w:tc>
      </w:tr>
    </w:tbl>
    <w:p w14:paraId="7D6DA6A4" w14:textId="595258C1" w:rsidR="001D7536" w:rsidRPr="00600650" w:rsidRDefault="001D7536" w:rsidP="001D7536">
      <w:pPr>
        <w:spacing w:after="240" w:line="324" w:lineRule="exact"/>
        <w:jc w:val="left"/>
        <w:rPr>
          <w:b/>
          <w:color w:val="31849B" w:themeColor="accent5" w:themeShade="BF"/>
          <w:sz w:val="28"/>
          <w:szCs w:val="28"/>
        </w:rPr>
      </w:pPr>
      <w:r>
        <w:rPr>
          <w:b/>
          <w:color w:val="31849B" w:themeColor="accent5" w:themeShade="BF"/>
          <w:sz w:val="28"/>
          <w:szCs w:val="28"/>
        </w:rPr>
        <w:t xml:space="preserve">8.1   </w:t>
      </w:r>
      <w:r w:rsidR="00605A7D">
        <w:rPr>
          <w:b/>
          <w:color w:val="31849B" w:themeColor="accent5" w:themeShade="BF"/>
          <w:sz w:val="28"/>
          <w:szCs w:val="28"/>
        </w:rPr>
        <w:t>Background</w:t>
      </w:r>
    </w:p>
    <w:p w14:paraId="70924CDA" w14:textId="77777777" w:rsidR="00EE7F09" w:rsidRPr="00496DE0" w:rsidRDefault="00EE7F09" w:rsidP="00EE7F09">
      <w:pPr>
        <w:pStyle w:val="BodyText"/>
        <w:spacing w:after="120"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The Edward</w:t>
      </w:r>
      <w:r>
        <w:rPr>
          <w:rFonts w:asciiTheme="minorHAnsi" w:hAnsiTheme="minorHAnsi"/>
          <w:color w:val="000000" w:themeColor="text1"/>
          <w:sz w:val="22"/>
          <w:szCs w:val="22"/>
        </w:rPr>
        <w:t>/Kolety</w:t>
      </w:r>
      <w:r w:rsidRPr="00496DE0">
        <w:rPr>
          <w:rFonts w:asciiTheme="minorHAnsi" w:hAnsiTheme="minorHAnsi"/>
          <w:color w:val="000000" w:themeColor="text1"/>
          <w:sz w:val="22"/>
          <w:szCs w:val="22"/>
        </w:rPr>
        <w:t xml:space="preserve">-Wakool </w:t>
      </w:r>
      <w:r>
        <w:rPr>
          <w:rFonts w:asciiTheme="minorHAnsi" w:hAnsiTheme="minorHAnsi"/>
          <w:color w:val="000000" w:themeColor="text1"/>
          <w:sz w:val="22"/>
          <w:szCs w:val="22"/>
        </w:rPr>
        <w:t xml:space="preserve">River </w:t>
      </w:r>
      <w:r w:rsidRPr="00496DE0">
        <w:rPr>
          <w:rFonts w:asciiTheme="minorHAnsi" w:hAnsiTheme="minorHAnsi"/>
          <w:color w:val="000000" w:themeColor="text1"/>
          <w:sz w:val="22"/>
          <w:szCs w:val="22"/>
        </w:rPr>
        <w:t xml:space="preserve">system is recognized as a priority area for fish diversity in the Murray-Darling Basin and is part of </w:t>
      </w:r>
      <w:r w:rsidRPr="00423B1D">
        <w:rPr>
          <w:rFonts w:asciiTheme="minorHAnsi" w:hAnsiTheme="minorHAnsi"/>
          <w:color w:val="000000" w:themeColor="text1"/>
          <w:sz w:val="22"/>
          <w:szCs w:val="22"/>
        </w:rPr>
        <w:t>the threatened ‘</w:t>
      </w:r>
      <w:r w:rsidRPr="00496DE0">
        <w:rPr>
          <w:rFonts w:asciiTheme="minorHAnsi" w:hAnsiTheme="minorHAnsi"/>
          <w:color w:val="000000" w:themeColor="text1"/>
          <w:sz w:val="22"/>
          <w:szCs w:val="22"/>
        </w:rPr>
        <w:t>aquatic ecological community in the natural drainage system of the lower Murray River catchment’ in New South Wales (</w:t>
      </w:r>
      <w:r w:rsidRPr="00496DE0">
        <w:rPr>
          <w:rFonts w:asciiTheme="minorHAnsi" w:hAnsiTheme="minorHAnsi"/>
          <w:i/>
          <w:color w:val="000000" w:themeColor="text1"/>
          <w:sz w:val="22"/>
          <w:szCs w:val="22"/>
        </w:rPr>
        <w:t>NSW Fisheries Management Act 1994</w:t>
      </w:r>
      <w:r w:rsidRPr="00496DE0">
        <w:rPr>
          <w:rFonts w:asciiTheme="minorHAnsi" w:hAnsiTheme="minorHAnsi"/>
          <w:color w:val="000000" w:themeColor="text1"/>
          <w:sz w:val="22"/>
          <w:szCs w:val="22"/>
        </w:rPr>
        <w:t xml:space="preserve">). </w:t>
      </w:r>
      <w:r>
        <w:rPr>
          <w:rFonts w:asciiTheme="minorHAnsi" w:hAnsiTheme="minorHAnsi"/>
          <w:color w:val="000000" w:themeColor="text1"/>
          <w:sz w:val="22"/>
          <w:szCs w:val="22"/>
        </w:rPr>
        <w:t>Outcomes for fish have been a</w:t>
      </w:r>
      <w:r w:rsidRPr="00496DE0">
        <w:rPr>
          <w:rFonts w:asciiTheme="minorHAnsi" w:hAnsiTheme="minorHAnsi"/>
          <w:color w:val="000000" w:themeColor="text1"/>
          <w:sz w:val="22"/>
          <w:szCs w:val="22"/>
        </w:rPr>
        <w:t xml:space="preserve"> main focus of </w:t>
      </w:r>
      <w:r>
        <w:rPr>
          <w:rFonts w:asciiTheme="minorHAnsi" w:hAnsiTheme="minorHAnsi"/>
          <w:color w:val="000000" w:themeColor="text1"/>
          <w:sz w:val="22"/>
          <w:szCs w:val="22"/>
        </w:rPr>
        <w:t xml:space="preserve">environmental water delivery in the </w:t>
      </w:r>
      <w:r w:rsidRPr="00496DE0">
        <w:rPr>
          <w:rFonts w:asciiTheme="minorHAnsi" w:hAnsiTheme="minorHAnsi"/>
          <w:color w:val="000000" w:themeColor="text1"/>
          <w:sz w:val="22"/>
          <w:szCs w:val="22"/>
        </w:rPr>
        <w:t>Edward</w:t>
      </w:r>
      <w:r>
        <w:rPr>
          <w:rFonts w:asciiTheme="minorHAnsi" w:hAnsiTheme="minorHAnsi"/>
          <w:color w:val="000000" w:themeColor="text1"/>
          <w:sz w:val="22"/>
          <w:szCs w:val="22"/>
        </w:rPr>
        <w:t>/Kolety</w:t>
      </w:r>
      <w:r w:rsidRPr="00496DE0">
        <w:rPr>
          <w:rFonts w:asciiTheme="minorHAnsi" w:hAnsiTheme="minorHAnsi"/>
          <w:color w:val="000000" w:themeColor="text1"/>
          <w:sz w:val="22"/>
          <w:szCs w:val="22"/>
        </w:rPr>
        <w:t>-Wakool system. Historically, the Edward</w:t>
      </w:r>
      <w:r>
        <w:rPr>
          <w:rFonts w:asciiTheme="minorHAnsi" w:hAnsiTheme="minorHAnsi"/>
          <w:color w:val="000000" w:themeColor="text1"/>
          <w:sz w:val="22"/>
          <w:szCs w:val="22"/>
        </w:rPr>
        <w:t>/Kolety</w:t>
      </w:r>
      <w:r w:rsidRPr="00496DE0">
        <w:rPr>
          <w:rFonts w:asciiTheme="minorHAnsi" w:hAnsiTheme="minorHAnsi"/>
          <w:color w:val="000000" w:themeColor="text1"/>
          <w:sz w:val="22"/>
          <w:szCs w:val="22"/>
        </w:rPr>
        <w:t>-Wakool system had diverse fish communities and supported extensive commercial and recreational fisheries (Rowland 1998). Twenty two native freshwater fish species are thought to have historically occupied the lowland region of th</w:t>
      </w:r>
      <w:r>
        <w:rPr>
          <w:rFonts w:asciiTheme="minorHAnsi" w:hAnsiTheme="minorHAnsi"/>
          <w:color w:val="000000" w:themeColor="text1"/>
          <w:sz w:val="22"/>
          <w:szCs w:val="22"/>
        </w:rPr>
        <w:t>e central Murray valley (Table 8</w:t>
      </w:r>
      <w:r w:rsidRPr="00496DE0">
        <w:rPr>
          <w:rFonts w:asciiTheme="minorHAnsi" w:hAnsiTheme="minorHAnsi"/>
          <w:color w:val="000000" w:themeColor="text1"/>
          <w:sz w:val="22"/>
          <w:szCs w:val="22"/>
        </w:rPr>
        <w:t>.</w:t>
      </w:r>
      <w:r>
        <w:rPr>
          <w:rFonts w:asciiTheme="minorHAnsi" w:hAnsiTheme="minorHAnsi"/>
          <w:color w:val="000000" w:themeColor="text1"/>
          <w:sz w:val="22"/>
          <w:szCs w:val="22"/>
        </w:rPr>
        <w:t>1</w:t>
      </w:r>
      <w:r w:rsidRPr="00496DE0">
        <w:rPr>
          <w:rFonts w:asciiTheme="minorHAnsi" w:hAnsiTheme="minorHAnsi"/>
          <w:color w:val="000000" w:themeColor="text1"/>
          <w:sz w:val="22"/>
          <w:szCs w:val="22"/>
        </w:rPr>
        <w:t>), including the recently described obscure galaxias (</w:t>
      </w:r>
      <w:r w:rsidRPr="00496DE0">
        <w:rPr>
          <w:rFonts w:asciiTheme="minorHAnsi" w:hAnsiTheme="minorHAnsi"/>
          <w:i/>
          <w:color w:val="000000" w:themeColor="text1"/>
          <w:sz w:val="22"/>
          <w:szCs w:val="22"/>
        </w:rPr>
        <w:t>Galaxias oliros</w:t>
      </w:r>
      <w:r w:rsidRPr="00496DE0">
        <w:rPr>
          <w:rFonts w:asciiTheme="minorHAnsi" w:hAnsiTheme="minorHAnsi"/>
          <w:color w:val="000000" w:themeColor="text1"/>
          <w:sz w:val="22"/>
          <w:szCs w:val="22"/>
        </w:rPr>
        <w:t>). Fourteen of these native specie</w:t>
      </w:r>
      <w:r>
        <w:rPr>
          <w:rFonts w:asciiTheme="minorHAnsi" w:hAnsiTheme="minorHAnsi"/>
          <w:color w:val="000000" w:themeColor="text1"/>
          <w:sz w:val="22"/>
          <w:szCs w:val="22"/>
        </w:rPr>
        <w:t>s still occur within the system</w:t>
      </w:r>
      <w:r w:rsidRPr="00423B1D">
        <w:rPr>
          <w:rFonts w:asciiTheme="minorHAnsi" w:hAnsiTheme="minorHAnsi"/>
          <w:color w:val="000000" w:themeColor="text1"/>
          <w:sz w:val="22"/>
          <w:szCs w:val="22"/>
        </w:rPr>
        <w:t>.</w:t>
      </w:r>
      <w:r w:rsidRPr="00E67D19">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Fish remain </w:t>
      </w:r>
      <w:r w:rsidRPr="00496DE0">
        <w:rPr>
          <w:rFonts w:asciiTheme="minorHAnsi" w:hAnsiTheme="minorHAnsi"/>
          <w:color w:val="000000" w:themeColor="text1"/>
          <w:sz w:val="22"/>
          <w:szCs w:val="22"/>
        </w:rPr>
        <w:t>a key environmental asset valued by the broader Edward</w:t>
      </w:r>
      <w:r>
        <w:rPr>
          <w:rFonts w:asciiTheme="minorHAnsi" w:hAnsiTheme="minorHAnsi"/>
          <w:color w:val="000000" w:themeColor="text1"/>
          <w:sz w:val="22"/>
          <w:szCs w:val="22"/>
        </w:rPr>
        <w:t>/Kolety</w:t>
      </w:r>
      <w:r w:rsidRPr="00496DE0">
        <w:rPr>
          <w:rFonts w:asciiTheme="minorHAnsi" w:hAnsiTheme="minorHAnsi"/>
          <w:color w:val="000000" w:themeColor="text1"/>
          <w:sz w:val="22"/>
          <w:szCs w:val="22"/>
        </w:rPr>
        <w:t>-Wakool community</w:t>
      </w:r>
      <w:r>
        <w:rPr>
          <w:rFonts w:asciiTheme="minorHAnsi" w:hAnsiTheme="minorHAnsi"/>
          <w:color w:val="000000" w:themeColor="text1"/>
          <w:sz w:val="22"/>
          <w:szCs w:val="22"/>
        </w:rPr>
        <w:t>.</w:t>
      </w:r>
    </w:p>
    <w:p w14:paraId="379B30B2" w14:textId="77777777" w:rsidR="00EE7F09" w:rsidRDefault="00EE7F09" w:rsidP="00EE7F09">
      <w:pPr>
        <w:pStyle w:val="BodyText"/>
        <w:spacing w:after="120"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The overarching principle that underpins the monitoring and evaluation of Commonwealth environmental water for the Edward</w:t>
      </w:r>
      <w:r>
        <w:rPr>
          <w:rFonts w:asciiTheme="minorHAnsi" w:hAnsiTheme="minorHAnsi"/>
          <w:color w:val="000000" w:themeColor="text1"/>
          <w:sz w:val="22"/>
          <w:szCs w:val="22"/>
        </w:rPr>
        <w:t>/Kolety</w:t>
      </w:r>
      <w:r w:rsidRPr="00496DE0">
        <w:rPr>
          <w:rFonts w:asciiTheme="minorHAnsi" w:hAnsiTheme="minorHAnsi"/>
          <w:color w:val="000000" w:themeColor="text1"/>
          <w:sz w:val="22"/>
          <w:szCs w:val="22"/>
        </w:rPr>
        <w:t>-Wakool Selected Area is that we are taking an ecosystem approa</w:t>
      </w:r>
      <w:r>
        <w:rPr>
          <w:rFonts w:asciiTheme="minorHAnsi" w:hAnsiTheme="minorHAnsi"/>
          <w:color w:val="000000" w:themeColor="text1"/>
          <w:sz w:val="22"/>
          <w:szCs w:val="22"/>
        </w:rPr>
        <w:t>ch to evaluate</w:t>
      </w:r>
      <w:r w:rsidRPr="00496DE0">
        <w:rPr>
          <w:rFonts w:asciiTheme="minorHAnsi" w:hAnsiTheme="minorHAnsi"/>
          <w:color w:val="000000" w:themeColor="text1"/>
          <w:sz w:val="22"/>
          <w:szCs w:val="22"/>
        </w:rPr>
        <w:t xml:space="preserve"> Commonwealth environmental watering. A suit</w:t>
      </w:r>
      <w:r>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 of questions and indicators have been selected that all have clear linkages to othe</w:t>
      </w:r>
      <w:r>
        <w:rPr>
          <w:rFonts w:asciiTheme="minorHAnsi" w:hAnsiTheme="minorHAnsi"/>
          <w:color w:val="000000" w:themeColor="text1"/>
          <w:sz w:val="22"/>
          <w:szCs w:val="22"/>
        </w:rPr>
        <w:t xml:space="preserve">r components of the Monitoring, Evaluation and Research Plan (Figure 8.1). The Edward/Kolety-Wakool Monitoring , Evaluation and Research Plan (Watts et al. 2019a) </w:t>
      </w:r>
      <w:r w:rsidRPr="00496DE0">
        <w:rPr>
          <w:rFonts w:asciiTheme="minorHAnsi" w:hAnsiTheme="minorHAnsi"/>
          <w:color w:val="000000" w:themeColor="text1"/>
          <w:sz w:val="22"/>
          <w:szCs w:val="22"/>
        </w:rPr>
        <w:t xml:space="preserve">has a strong emphasis on the response of fish populations to Commonwealth </w:t>
      </w:r>
      <w:r>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nvironmental </w:t>
      </w:r>
      <w:r>
        <w:rPr>
          <w:rFonts w:asciiTheme="minorHAnsi" w:hAnsiTheme="minorHAnsi"/>
          <w:color w:val="000000" w:themeColor="text1"/>
          <w:sz w:val="22"/>
          <w:szCs w:val="22"/>
        </w:rPr>
        <w:t>w</w:t>
      </w:r>
      <w:r w:rsidRPr="00496DE0">
        <w:rPr>
          <w:rFonts w:asciiTheme="minorHAnsi" w:hAnsiTheme="minorHAnsi"/>
          <w:color w:val="000000" w:themeColor="text1"/>
          <w:sz w:val="22"/>
          <w:szCs w:val="22"/>
        </w:rPr>
        <w:t xml:space="preserve">atering, and includes components directly assessing fish movement, reproduction, recruitment and adult populations. In addition, many of the other indicators evaluated in this report (such as </w:t>
      </w:r>
      <w:r>
        <w:rPr>
          <w:rFonts w:asciiTheme="minorHAnsi" w:hAnsiTheme="minorHAnsi"/>
          <w:color w:val="000000" w:themeColor="text1"/>
          <w:sz w:val="22"/>
          <w:szCs w:val="22"/>
        </w:rPr>
        <w:t xml:space="preserve">hydrology, </w:t>
      </w:r>
      <w:r w:rsidRPr="00496DE0">
        <w:rPr>
          <w:rFonts w:asciiTheme="minorHAnsi" w:hAnsiTheme="minorHAnsi"/>
          <w:color w:val="000000" w:themeColor="text1"/>
          <w:sz w:val="22"/>
          <w:szCs w:val="22"/>
        </w:rPr>
        <w:t>water quality, stream metabolism and aquatic vegetation</w:t>
      </w:r>
      <w:r>
        <w:rPr>
          <w:rFonts w:asciiTheme="minorHAnsi" w:hAnsiTheme="minorHAnsi"/>
          <w:color w:val="000000" w:themeColor="text1"/>
          <w:sz w:val="22"/>
          <w:szCs w:val="22"/>
        </w:rPr>
        <w:t>)</w:t>
      </w:r>
      <w:r w:rsidRPr="00496DE0">
        <w:rPr>
          <w:rFonts w:asciiTheme="minorHAnsi" w:hAnsiTheme="minorHAnsi"/>
          <w:color w:val="000000" w:themeColor="text1"/>
          <w:sz w:val="22"/>
          <w:szCs w:val="22"/>
        </w:rPr>
        <w:t xml:space="preserve"> are likely to have indirect influence on fish population dynamics, and thus a key goal of the long-term intervention monitoring in the Edward</w:t>
      </w:r>
      <w:r>
        <w:rPr>
          <w:rFonts w:asciiTheme="minorHAnsi" w:hAnsiTheme="minorHAnsi"/>
          <w:color w:val="000000" w:themeColor="text1"/>
          <w:sz w:val="22"/>
          <w:szCs w:val="22"/>
        </w:rPr>
        <w:t>/Kolety-Wakool Selected A</w:t>
      </w:r>
      <w:r w:rsidRPr="00496DE0">
        <w:rPr>
          <w:rFonts w:asciiTheme="minorHAnsi" w:hAnsiTheme="minorHAnsi"/>
          <w:color w:val="000000" w:themeColor="text1"/>
          <w:sz w:val="22"/>
          <w:szCs w:val="22"/>
        </w:rPr>
        <w:t xml:space="preserve">rea is to improve our understanding and interpretation of these interdependences. </w:t>
      </w:r>
    </w:p>
    <w:p w14:paraId="57A7ECE9" w14:textId="77777777" w:rsidR="00EE7F09" w:rsidRDefault="00EE7F09" w:rsidP="00EE7F09">
      <w:pPr>
        <w:pStyle w:val="BodyText"/>
        <w:spacing w:after="120"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Key processes that ultimately shape </w:t>
      </w:r>
      <w:r>
        <w:rPr>
          <w:rFonts w:asciiTheme="minorHAnsi" w:hAnsiTheme="minorHAnsi"/>
          <w:color w:val="000000" w:themeColor="text1"/>
          <w:sz w:val="22"/>
          <w:szCs w:val="22"/>
        </w:rPr>
        <w:t>adult fish populations (</w:t>
      </w:r>
      <w:r w:rsidRPr="00496DE0">
        <w:rPr>
          <w:rFonts w:asciiTheme="minorHAnsi" w:hAnsiTheme="minorHAnsi"/>
          <w:color w:val="000000" w:themeColor="text1"/>
          <w:sz w:val="22"/>
          <w:szCs w:val="22"/>
        </w:rPr>
        <w:t>movement, spawning, recruitment and growth</w:t>
      </w:r>
      <w:r>
        <w:rPr>
          <w:rFonts w:asciiTheme="minorHAnsi" w:hAnsiTheme="minorHAnsi"/>
          <w:color w:val="000000" w:themeColor="text1"/>
          <w:sz w:val="22"/>
          <w:szCs w:val="22"/>
        </w:rPr>
        <w:t>)</w:t>
      </w:r>
      <w:r w:rsidRPr="00496DE0">
        <w:rPr>
          <w:rFonts w:asciiTheme="minorHAnsi" w:hAnsiTheme="minorHAnsi"/>
          <w:color w:val="000000" w:themeColor="text1"/>
          <w:sz w:val="22"/>
          <w:szCs w:val="22"/>
        </w:rPr>
        <w:t xml:space="preserve"> </w:t>
      </w:r>
      <w:r>
        <w:rPr>
          <w:rFonts w:asciiTheme="minorHAnsi" w:hAnsiTheme="minorHAnsi"/>
          <w:color w:val="000000" w:themeColor="text1"/>
          <w:sz w:val="22"/>
          <w:szCs w:val="22"/>
        </w:rPr>
        <w:t>have been</w:t>
      </w:r>
      <w:r w:rsidRPr="00496DE0">
        <w:rPr>
          <w:rFonts w:asciiTheme="minorHAnsi" w:hAnsiTheme="minorHAnsi"/>
          <w:color w:val="000000" w:themeColor="text1"/>
          <w:sz w:val="22"/>
          <w:szCs w:val="22"/>
        </w:rPr>
        <w:t xml:space="preserve"> monitored and evaluated in response to the contribution of Commonwealth environmental water. Monitoring of these key elements are complementary, allowing us to assess contributions of environmental water to the key population processes that structure fish assemblage</w:t>
      </w:r>
      <w:r>
        <w:rPr>
          <w:rFonts w:asciiTheme="minorHAnsi" w:hAnsiTheme="minorHAnsi"/>
          <w:color w:val="000000" w:themeColor="text1"/>
          <w:sz w:val="22"/>
          <w:szCs w:val="22"/>
        </w:rPr>
        <w:t>s in the Edward/Kolety-Wakool (Figure 8.1). T</w:t>
      </w:r>
      <w:r w:rsidRPr="00496DE0">
        <w:rPr>
          <w:rFonts w:asciiTheme="minorHAnsi" w:hAnsiTheme="minorHAnsi"/>
          <w:color w:val="000000" w:themeColor="text1"/>
          <w:sz w:val="22"/>
          <w:szCs w:val="22"/>
        </w:rPr>
        <w:t xml:space="preserve">he responses measured across these key fish indicators will be used in a multiple lines of evidence approach to evaluate competing hypotheses about underlying mechanisms driving or limiting the outcomes from environmental water delivery. For example, if watering achieves increases in production and fish spawning, but not recruitment, it may be possible to identify potential bottlenecks and strategies for overcoming those limitations as part of an adaptive management cycle. </w:t>
      </w:r>
      <w:r>
        <w:rPr>
          <w:rFonts w:asciiTheme="minorHAnsi" w:hAnsiTheme="minorHAnsi"/>
          <w:color w:val="000000" w:themeColor="text1"/>
          <w:sz w:val="22"/>
          <w:szCs w:val="22"/>
        </w:rPr>
        <w:t>Each o</w:t>
      </w:r>
      <w:r w:rsidRPr="00496DE0">
        <w:rPr>
          <w:rFonts w:asciiTheme="minorHAnsi" w:hAnsiTheme="minorHAnsi"/>
          <w:color w:val="000000" w:themeColor="text1"/>
          <w:sz w:val="22"/>
          <w:szCs w:val="22"/>
        </w:rPr>
        <w:t>f the fish indicators being monitored in the Edward</w:t>
      </w:r>
      <w:r>
        <w:rPr>
          <w:rFonts w:asciiTheme="minorHAnsi" w:hAnsiTheme="minorHAnsi"/>
          <w:color w:val="000000" w:themeColor="text1"/>
          <w:sz w:val="22"/>
          <w:szCs w:val="22"/>
        </w:rPr>
        <w:t>/Kolety -</w:t>
      </w:r>
      <w:r w:rsidRPr="00496DE0">
        <w:rPr>
          <w:rFonts w:asciiTheme="minorHAnsi" w:hAnsiTheme="minorHAnsi"/>
          <w:color w:val="000000" w:themeColor="text1"/>
          <w:sz w:val="22"/>
          <w:szCs w:val="22"/>
        </w:rPr>
        <w:t xml:space="preserve"> Wakool system </w:t>
      </w:r>
      <w:r>
        <w:rPr>
          <w:rFonts w:asciiTheme="minorHAnsi" w:hAnsiTheme="minorHAnsi"/>
          <w:color w:val="000000" w:themeColor="text1"/>
          <w:sz w:val="22"/>
          <w:szCs w:val="22"/>
        </w:rPr>
        <w:t>is described below.</w:t>
      </w:r>
    </w:p>
    <w:p w14:paraId="60389516" w14:textId="77777777" w:rsidR="00EE7F09" w:rsidRDefault="00EE7F09" w:rsidP="00EE7F09">
      <w:pPr>
        <w:spacing w:after="120" w:line="324" w:lineRule="exact"/>
        <w:rPr>
          <w:color w:val="000000" w:themeColor="text1"/>
        </w:rPr>
      </w:pPr>
      <w:r>
        <w:rPr>
          <w:color w:val="000000" w:themeColor="text1"/>
        </w:rPr>
        <w:t xml:space="preserve">In section 8.6 </w:t>
      </w:r>
      <w:r w:rsidRPr="00785816">
        <w:rPr>
          <w:color w:val="000000" w:themeColor="text1"/>
        </w:rPr>
        <w:t>we bring together our results across the movement, spawning, recruitment a</w:t>
      </w:r>
      <w:r>
        <w:rPr>
          <w:color w:val="000000" w:themeColor="text1"/>
        </w:rPr>
        <w:t>n</w:t>
      </w:r>
      <w:r w:rsidRPr="00785816">
        <w:rPr>
          <w:color w:val="000000" w:themeColor="text1"/>
        </w:rPr>
        <w:t>d adult sampling to provide an overview of how the fish community in the Edward</w:t>
      </w:r>
      <w:r>
        <w:rPr>
          <w:color w:val="000000" w:themeColor="text1"/>
        </w:rPr>
        <w:t>/Kolety</w:t>
      </w:r>
      <w:r w:rsidRPr="00785816">
        <w:rPr>
          <w:color w:val="000000" w:themeColor="text1"/>
        </w:rPr>
        <w:t>-Wakool responded to watering events and Edward</w:t>
      </w:r>
      <w:r>
        <w:rPr>
          <w:color w:val="000000" w:themeColor="text1"/>
        </w:rPr>
        <w:t>/Kolety</w:t>
      </w:r>
      <w:r w:rsidRPr="00785816">
        <w:rPr>
          <w:color w:val="000000" w:themeColor="text1"/>
        </w:rPr>
        <w:t>-Wakool hydrological conditions in general</w:t>
      </w:r>
      <w:r w:rsidRPr="00F1472C">
        <w:rPr>
          <w:color w:val="000000" w:themeColor="text1"/>
        </w:rPr>
        <w:t>.</w:t>
      </w:r>
    </w:p>
    <w:p w14:paraId="5734BA2A" w14:textId="77777777" w:rsidR="00EE7F09" w:rsidRDefault="00EE7F09" w:rsidP="00EE7F09">
      <w:pPr>
        <w:rPr>
          <w:b/>
          <w:sz w:val="20"/>
        </w:rPr>
      </w:pPr>
      <w:r>
        <w:rPr>
          <w:b/>
          <w:sz w:val="20"/>
        </w:rPr>
        <w:br w:type="page"/>
      </w:r>
    </w:p>
    <w:p w14:paraId="1CD6C5C9" w14:textId="77777777" w:rsidR="00EE7F09" w:rsidRPr="00ED0E89" w:rsidRDefault="00EE7F09" w:rsidP="00EE7F09">
      <w:pPr>
        <w:spacing w:after="120" w:line="240" w:lineRule="auto"/>
        <w:rPr>
          <w:sz w:val="20"/>
        </w:rPr>
      </w:pPr>
      <w:r w:rsidRPr="00ED0E89">
        <w:rPr>
          <w:b/>
          <w:sz w:val="20"/>
        </w:rPr>
        <w:t xml:space="preserve">Table 8.1 </w:t>
      </w:r>
      <w:r w:rsidRPr="00ED0E89">
        <w:rPr>
          <w:sz w:val="20"/>
        </w:rPr>
        <w:t>Fish species of Edward</w:t>
      </w:r>
      <w:r>
        <w:rPr>
          <w:sz w:val="20"/>
        </w:rPr>
        <w:t>/Kolety -</w:t>
      </w:r>
      <w:r w:rsidRPr="00ED0E89">
        <w:rPr>
          <w:sz w:val="20"/>
        </w:rPr>
        <w:t xml:space="preserve"> Wakool River system (recorded and expected). Recorded and alien species are those that have been sampled in the region since 2010, and expected native species are species that were historically likely to have been in the lowland central Murray region. Asterisks highlight if local spawning has been detected since LTIM</w:t>
      </w:r>
      <w:r>
        <w:rPr>
          <w:sz w:val="20"/>
        </w:rPr>
        <w:t xml:space="preserve"> and MER</w:t>
      </w:r>
      <w:r w:rsidRPr="00ED0E89">
        <w:rPr>
          <w:sz w:val="20"/>
        </w:rPr>
        <w:t xml:space="preserve"> monitoring commenced in 2014. </w:t>
      </w:r>
      <w:r w:rsidRPr="00ED0E89">
        <w:rPr>
          <w:sz w:val="20"/>
          <w:vertAlign w:val="superscript"/>
        </w:rPr>
        <w:t>1</w:t>
      </w:r>
      <w:r w:rsidRPr="00ED0E89">
        <w:rPr>
          <w:sz w:val="20"/>
        </w:rPr>
        <w:t>Indicates species have been recorded in the Edward</w:t>
      </w:r>
      <w:r>
        <w:rPr>
          <w:sz w:val="20"/>
        </w:rPr>
        <w:t>/Kolety</w:t>
      </w:r>
      <w:r w:rsidRPr="00ED0E89">
        <w:rPr>
          <w:sz w:val="20"/>
        </w:rPr>
        <w:t xml:space="preserve"> Wakool system, but outside the LTIM focal study zones.</w:t>
      </w:r>
    </w:p>
    <w:tbl>
      <w:tblPr>
        <w:tblW w:w="79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3686"/>
        <w:gridCol w:w="1275"/>
      </w:tblGrid>
      <w:tr w:rsidR="00EE7F09" w:rsidRPr="00ED0E89" w14:paraId="672976B3" w14:textId="77777777" w:rsidTr="00EE7F09">
        <w:trPr>
          <w:trHeight w:val="754"/>
        </w:trPr>
        <w:tc>
          <w:tcPr>
            <w:tcW w:w="2977" w:type="dxa"/>
            <w:tcBorders>
              <w:left w:val="nil"/>
              <w:bottom w:val="single" w:sz="4" w:space="0" w:color="auto"/>
              <w:right w:val="nil"/>
            </w:tcBorders>
            <w:shd w:val="clear" w:color="auto" w:fill="B6DDE8"/>
            <w:vAlign w:val="bottom"/>
          </w:tcPr>
          <w:p w14:paraId="766E7267" w14:textId="77777777" w:rsidR="00EE7F09" w:rsidRPr="00ED0E89" w:rsidRDefault="00EE7F09" w:rsidP="00EE7F09">
            <w:pPr>
              <w:spacing w:after="240" w:line="240" w:lineRule="auto"/>
            </w:pPr>
            <w:r w:rsidRPr="00ED0E89">
              <w:t>Common name</w:t>
            </w:r>
          </w:p>
        </w:tc>
        <w:tc>
          <w:tcPr>
            <w:tcW w:w="3686" w:type="dxa"/>
            <w:tcBorders>
              <w:left w:val="nil"/>
              <w:bottom w:val="single" w:sz="4" w:space="0" w:color="auto"/>
              <w:right w:val="nil"/>
            </w:tcBorders>
            <w:shd w:val="clear" w:color="auto" w:fill="B6DDE8"/>
            <w:vAlign w:val="bottom"/>
          </w:tcPr>
          <w:p w14:paraId="0627D714" w14:textId="77777777" w:rsidR="00EE7F09" w:rsidRPr="00ED0E89" w:rsidRDefault="00EE7F09" w:rsidP="00EE7F09">
            <w:pPr>
              <w:spacing w:after="240" w:line="240" w:lineRule="auto"/>
            </w:pPr>
            <w:r w:rsidRPr="00ED0E89">
              <w:t>species name</w:t>
            </w:r>
          </w:p>
        </w:tc>
        <w:tc>
          <w:tcPr>
            <w:tcW w:w="1275" w:type="dxa"/>
            <w:tcBorders>
              <w:left w:val="nil"/>
              <w:bottom w:val="single" w:sz="4" w:space="0" w:color="auto"/>
              <w:right w:val="nil"/>
            </w:tcBorders>
            <w:shd w:val="clear" w:color="auto" w:fill="B6DDE8"/>
            <w:vAlign w:val="center"/>
          </w:tcPr>
          <w:p w14:paraId="4172BEE8" w14:textId="77777777" w:rsidR="00EE7F09" w:rsidRPr="00ED0E89" w:rsidRDefault="00EE7F09" w:rsidP="00EE7F09">
            <w:pPr>
              <w:spacing w:after="0" w:line="240" w:lineRule="auto"/>
              <w:jc w:val="center"/>
            </w:pPr>
            <w:r w:rsidRPr="00ED0E89">
              <w:t>spawning detected</w:t>
            </w:r>
          </w:p>
          <w:p w14:paraId="6A129D4D" w14:textId="77777777" w:rsidR="00EE7F09" w:rsidRPr="00ED0E89" w:rsidRDefault="00EE7F09" w:rsidP="00EE7F09">
            <w:pPr>
              <w:spacing w:after="0" w:line="240" w:lineRule="auto"/>
              <w:jc w:val="center"/>
            </w:pPr>
            <w:r>
              <w:t>2014-19</w:t>
            </w:r>
          </w:p>
        </w:tc>
      </w:tr>
      <w:tr w:rsidR="00EE7F09" w:rsidRPr="00ED0E89" w14:paraId="70DCE137" w14:textId="77777777" w:rsidTr="00EE7F09">
        <w:tc>
          <w:tcPr>
            <w:tcW w:w="2977" w:type="dxa"/>
            <w:tcBorders>
              <w:top w:val="nil"/>
              <w:left w:val="nil"/>
              <w:bottom w:val="nil"/>
              <w:right w:val="nil"/>
            </w:tcBorders>
            <w:vAlign w:val="center"/>
          </w:tcPr>
          <w:p w14:paraId="3CBBA82A" w14:textId="77777777" w:rsidR="00EE7F09" w:rsidRPr="00ED0E89" w:rsidRDefault="00EE7F09" w:rsidP="00EE7F09">
            <w:pPr>
              <w:spacing w:before="60" w:after="60" w:line="240" w:lineRule="auto"/>
              <w:rPr>
                <w:b/>
                <w:i/>
                <w:color w:val="000000"/>
                <w:sz w:val="2"/>
                <w:szCs w:val="2"/>
              </w:rPr>
            </w:pPr>
          </w:p>
        </w:tc>
        <w:tc>
          <w:tcPr>
            <w:tcW w:w="3686" w:type="dxa"/>
            <w:tcBorders>
              <w:top w:val="nil"/>
              <w:left w:val="nil"/>
              <w:bottom w:val="nil"/>
              <w:right w:val="nil"/>
            </w:tcBorders>
          </w:tcPr>
          <w:p w14:paraId="062F25C2" w14:textId="77777777" w:rsidR="00EE7F09" w:rsidRPr="00ED0E89" w:rsidRDefault="00EE7F09" w:rsidP="00EE7F09">
            <w:pPr>
              <w:spacing w:before="60" w:after="60" w:line="240" w:lineRule="auto"/>
              <w:rPr>
                <w:i/>
                <w:iCs/>
                <w:color w:val="000000"/>
                <w:sz w:val="2"/>
                <w:szCs w:val="2"/>
              </w:rPr>
            </w:pPr>
          </w:p>
        </w:tc>
        <w:tc>
          <w:tcPr>
            <w:tcW w:w="1275" w:type="dxa"/>
            <w:tcBorders>
              <w:top w:val="nil"/>
              <w:left w:val="nil"/>
              <w:bottom w:val="nil"/>
              <w:right w:val="nil"/>
            </w:tcBorders>
          </w:tcPr>
          <w:p w14:paraId="59C8366D" w14:textId="77777777" w:rsidR="00EE7F09" w:rsidRPr="00ED0E89" w:rsidRDefault="00EE7F09" w:rsidP="00EE7F09">
            <w:pPr>
              <w:spacing w:before="60" w:after="60" w:line="240" w:lineRule="auto"/>
              <w:jc w:val="center"/>
              <w:rPr>
                <w:b/>
                <w:iCs/>
                <w:color w:val="000000"/>
                <w:sz w:val="2"/>
                <w:szCs w:val="2"/>
              </w:rPr>
            </w:pPr>
          </w:p>
        </w:tc>
      </w:tr>
      <w:tr w:rsidR="00EE7F09" w:rsidRPr="00ED0E89" w14:paraId="33AB0455" w14:textId="77777777" w:rsidTr="00EE7F09">
        <w:tc>
          <w:tcPr>
            <w:tcW w:w="2977" w:type="dxa"/>
            <w:tcBorders>
              <w:top w:val="nil"/>
              <w:left w:val="nil"/>
              <w:bottom w:val="nil"/>
              <w:right w:val="nil"/>
            </w:tcBorders>
            <w:vAlign w:val="center"/>
          </w:tcPr>
          <w:p w14:paraId="64B8F137" w14:textId="77777777" w:rsidR="00EE7F09" w:rsidRPr="00ED0E89" w:rsidRDefault="00EE7F09" w:rsidP="00EE7F09">
            <w:pPr>
              <w:spacing w:before="60" w:after="60" w:line="240" w:lineRule="auto"/>
              <w:rPr>
                <w:b/>
                <w:i/>
                <w:color w:val="000000"/>
                <w:sz w:val="20"/>
              </w:rPr>
            </w:pPr>
            <w:r w:rsidRPr="00ED0E89">
              <w:rPr>
                <w:b/>
                <w:i/>
                <w:color w:val="000000"/>
                <w:sz w:val="20"/>
              </w:rPr>
              <w:t>Native species – recorded</w:t>
            </w:r>
          </w:p>
        </w:tc>
        <w:tc>
          <w:tcPr>
            <w:tcW w:w="3686" w:type="dxa"/>
            <w:tcBorders>
              <w:top w:val="nil"/>
              <w:left w:val="nil"/>
              <w:bottom w:val="nil"/>
              <w:right w:val="nil"/>
            </w:tcBorders>
          </w:tcPr>
          <w:p w14:paraId="260ABD19" w14:textId="77777777" w:rsidR="00EE7F09" w:rsidRPr="00ED0E89" w:rsidRDefault="00EE7F09" w:rsidP="00EE7F09">
            <w:pPr>
              <w:spacing w:before="60" w:after="60" w:line="240" w:lineRule="auto"/>
              <w:rPr>
                <w:i/>
                <w:iCs/>
                <w:color w:val="000000"/>
                <w:sz w:val="20"/>
              </w:rPr>
            </w:pPr>
          </w:p>
        </w:tc>
        <w:tc>
          <w:tcPr>
            <w:tcW w:w="1275" w:type="dxa"/>
            <w:tcBorders>
              <w:top w:val="nil"/>
              <w:left w:val="nil"/>
              <w:bottom w:val="nil"/>
              <w:right w:val="nil"/>
            </w:tcBorders>
          </w:tcPr>
          <w:p w14:paraId="05053410" w14:textId="77777777" w:rsidR="00EE7F09" w:rsidRPr="00ED0E89" w:rsidRDefault="00EE7F09" w:rsidP="00EE7F09">
            <w:pPr>
              <w:spacing w:before="60" w:after="60" w:line="240" w:lineRule="auto"/>
              <w:jc w:val="center"/>
              <w:rPr>
                <w:b/>
                <w:iCs/>
                <w:color w:val="000000"/>
                <w:sz w:val="20"/>
              </w:rPr>
            </w:pPr>
          </w:p>
        </w:tc>
      </w:tr>
      <w:tr w:rsidR="00EE7F09" w:rsidRPr="00ED0E89" w14:paraId="4824F2CC" w14:textId="77777777" w:rsidTr="00EE7F09">
        <w:trPr>
          <w:trHeight w:hRule="exact" w:val="255"/>
        </w:trPr>
        <w:tc>
          <w:tcPr>
            <w:tcW w:w="2977" w:type="dxa"/>
            <w:tcBorders>
              <w:top w:val="nil"/>
              <w:left w:val="nil"/>
              <w:bottom w:val="nil"/>
              <w:right w:val="nil"/>
            </w:tcBorders>
            <w:vAlign w:val="center"/>
          </w:tcPr>
          <w:p w14:paraId="42D20566" w14:textId="77777777" w:rsidR="00EE7F09" w:rsidRPr="00ED0E89" w:rsidRDefault="00EE7F09" w:rsidP="00EE7F09">
            <w:pPr>
              <w:spacing w:before="20" w:after="60" w:line="240" w:lineRule="auto"/>
              <w:rPr>
                <w:color w:val="000000"/>
                <w:sz w:val="20"/>
              </w:rPr>
            </w:pPr>
            <w:r w:rsidRPr="00ED0E89">
              <w:rPr>
                <w:color w:val="000000"/>
                <w:sz w:val="20"/>
              </w:rPr>
              <w:t>Australian smelt</w:t>
            </w:r>
          </w:p>
        </w:tc>
        <w:tc>
          <w:tcPr>
            <w:tcW w:w="3686" w:type="dxa"/>
            <w:tcBorders>
              <w:top w:val="nil"/>
              <w:left w:val="nil"/>
              <w:bottom w:val="nil"/>
              <w:right w:val="nil"/>
            </w:tcBorders>
          </w:tcPr>
          <w:p w14:paraId="0E25EFB3" w14:textId="77777777" w:rsidR="00EE7F09" w:rsidRPr="00ED0E89" w:rsidRDefault="00EE7F09" w:rsidP="00EE7F09">
            <w:pPr>
              <w:spacing w:before="20" w:after="60" w:line="240" w:lineRule="auto"/>
              <w:rPr>
                <w:i/>
                <w:iCs/>
                <w:color w:val="000000"/>
                <w:sz w:val="20"/>
              </w:rPr>
            </w:pPr>
            <w:r w:rsidRPr="00ED0E89">
              <w:rPr>
                <w:i/>
                <w:iCs/>
                <w:color w:val="000000"/>
                <w:sz w:val="20"/>
              </w:rPr>
              <w:t>Retropinna semoni</w:t>
            </w:r>
          </w:p>
        </w:tc>
        <w:tc>
          <w:tcPr>
            <w:tcW w:w="1275" w:type="dxa"/>
            <w:tcBorders>
              <w:top w:val="nil"/>
              <w:left w:val="nil"/>
              <w:bottom w:val="nil"/>
              <w:right w:val="nil"/>
            </w:tcBorders>
          </w:tcPr>
          <w:p w14:paraId="6069711B" w14:textId="77777777" w:rsidR="00EE7F09" w:rsidRPr="00ED0E89" w:rsidRDefault="00EE7F09" w:rsidP="00EE7F09">
            <w:pPr>
              <w:spacing w:before="20" w:after="60" w:line="240" w:lineRule="auto"/>
              <w:jc w:val="center"/>
              <w:rPr>
                <w:iCs/>
                <w:color w:val="000000"/>
                <w:sz w:val="20"/>
              </w:rPr>
            </w:pPr>
            <w:r w:rsidRPr="00ED0E89">
              <w:rPr>
                <w:b/>
                <w:iCs/>
                <w:color w:val="000000"/>
                <w:sz w:val="20"/>
              </w:rPr>
              <w:t>*</w:t>
            </w:r>
          </w:p>
        </w:tc>
      </w:tr>
      <w:tr w:rsidR="00EE7F09" w:rsidRPr="00ED0E89" w14:paraId="2920E0F6" w14:textId="77777777" w:rsidTr="00EE7F09">
        <w:trPr>
          <w:trHeight w:hRule="exact" w:val="255"/>
        </w:trPr>
        <w:tc>
          <w:tcPr>
            <w:tcW w:w="2977" w:type="dxa"/>
            <w:tcBorders>
              <w:top w:val="nil"/>
              <w:left w:val="nil"/>
              <w:bottom w:val="nil"/>
              <w:right w:val="nil"/>
            </w:tcBorders>
            <w:vAlign w:val="center"/>
          </w:tcPr>
          <w:p w14:paraId="4C835BB8" w14:textId="77777777" w:rsidR="00EE7F09" w:rsidRPr="00ED0E89" w:rsidRDefault="00EE7F09" w:rsidP="00EE7F09">
            <w:pPr>
              <w:spacing w:before="20" w:after="60" w:line="240" w:lineRule="auto"/>
              <w:rPr>
                <w:color w:val="000000"/>
                <w:sz w:val="20"/>
              </w:rPr>
            </w:pPr>
            <w:r w:rsidRPr="00ED0E89">
              <w:rPr>
                <w:color w:val="000000"/>
                <w:sz w:val="20"/>
              </w:rPr>
              <w:t>carp gudgeon</w:t>
            </w:r>
          </w:p>
        </w:tc>
        <w:tc>
          <w:tcPr>
            <w:tcW w:w="3686" w:type="dxa"/>
            <w:tcBorders>
              <w:top w:val="nil"/>
              <w:left w:val="nil"/>
              <w:bottom w:val="nil"/>
              <w:right w:val="nil"/>
            </w:tcBorders>
          </w:tcPr>
          <w:p w14:paraId="666272FD" w14:textId="77777777" w:rsidR="00EE7F09" w:rsidRPr="00ED0E89" w:rsidRDefault="00EE7F09" w:rsidP="00EE7F09">
            <w:pPr>
              <w:spacing w:before="20" w:after="60" w:line="240" w:lineRule="auto"/>
              <w:rPr>
                <w:i/>
                <w:iCs/>
                <w:color w:val="000000"/>
                <w:sz w:val="20"/>
              </w:rPr>
            </w:pPr>
            <w:r w:rsidRPr="00ED0E89">
              <w:rPr>
                <w:i/>
                <w:iCs/>
                <w:color w:val="000000"/>
                <w:sz w:val="20"/>
              </w:rPr>
              <w:t xml:space="preserve">Hypseleotris </w:t>
            </w:r>
            <w:r w:rsidRPr="00ED0E89">
              <w:rPr>
                <w:iCs/>
                <w:color w:val="000000"/>
                <w:sz w:val="20"/>
              </w:rPr>
              <w:t>spp.</w:t>
            </w:r>
          </w:p>
        </w:tc>
        <w:tc>
          <w:tcPr>
            <w:tcW w:w="1275" w:type="dxa"/>
            <w:tcBorders>
              <w:top w:val="nil"/>
              <w:left w:val="nil"/>
              <w:bottom w:val="nil"/>
              <w:right w:val="nil"/>
            </w:tcBorders>
          </w:tcPr>
          <w:p w14:paraId="69E2493F" w14:textId="77777777" w:rsidR="00EE7F09" w:rsidRPr="00ED0E89" w:rsidRDefault="00EE7F09" w:rsidP="00EE7F09">
            <w:pPr>
              <w:spacing w:before="20" w:after="60" w:line="240" w:lineRule="auto"/>
              <w:jc w:val="center"/>
              <w:rPr>
                <w:iCs/>
                <w:color w:val="000000"/>
                <w:sz w:val="20"/>
              </w:rPr>
            </w:pPr>
            <w:r w:rsidRPr="00ED0E89">
              <w:rPr>
                <w:b/>
                <w:iCs/>
                <w:color w:val="000000"/>
                <w:sz w:val="20"/>
              </w:rPr>
              <w:t>*</w:t>
            </w:r>
          </w:p>
        </w:tc>
      </w:tr>
      <w:tr w:rsidR="00EE7F09" w:rsidRPr="00ED0E89" w14:paraId="20761A4B" w14:textId="77777777" w:rsidTr="00EE7F09">
        <w:trPr>
          <w:trHeight w:hRule="exact" w:val="255"/>
        </w:trPr>
        <w:tc>
          <w:tcPr>
            <w:tcW w:w="2977" w:type="dxa"/>
            <w:tcBorders>
              <w:top w:val="nil"/>
              <w:left w:val="nil"/>
              <w:bottom w:val="nil"/>
              <w:right w:val="nil"/>
            </w:tcBorders>
            <w:vAlign w:val="center"/>
          </w:tcPr>
          <w:p w14:paraId="6D63067F" w14:textId="77777777" w:rsidR="00EE7F09" w:rsidRPr="00ED0E89" w:rsidRDefault="00EE7F09" w:rsidP="00EE7F09">
            <w:pPr>
              <w:spacing w:before="20" w:after="60" w:line="240" w:lineRule="auto"/>
              <w:rPr>
                <w:color w:val="000000"/>
                <w:sz w:val="20"/>
              </w:rPr>
            </w:pPr>
            <w:r w:rsidRPr="00ED0E89">
              <w:rPr>
                <w:color w:val="000000"/>
                <w:sz w:val="20"/>
              </w:rPr>
              <w:t>flathead gudgeon</w:t>
            </w:r>
          </w:p>
        </w:tc>
        <w:tc>
          <w:tcPr>
            <w:tcW w:w="3686" w:type="dxa"/>
            <w:tcBorders>
              <w:top w:val="nil"/>
              <w:left w:val="nil"/>
              <w:bottom w:val="nil"/>
              <w:right w:val="nil"/>
            </w:tcBorders>
          </w:tcPr>
          <w:p w14:paraId="0AFD1AC5" w14:textId="77777777" w:rsidR="00EE7F09" w:rsidRPr="00ED0E89" w:rsidRDefault="00EE7F09" w:rsidP="00EE7F09">
            <w:pPr>
              <w:spacing w:before="20" w:after="60" w:line="240" w:lineRule="auto"/>
              <w:rPr>
                <w:iCs/>
                <w:color w:val="000000"/>
                <w:sz w:val="20"/>
              </w:rPr>
            </w:pPr>
            <w:r w:rsidRPr="00ED0E89">
              <w:rPr>
                <w:i/>
                <w:iCs/>
                <w:color w:val="000000"/>
                <w:sz w:val="20"/>
              </w:rPr>
              <w:t>Philypnodon grandiceps</w:t>
            </w:r>
          </w:p>
        </w:tc>
        <w:tc>
          <w:tcPr>
            <w:tcW w:w="1275" w:type="dxa"/>
            <w:tcBorders>
              <w:top w:val="nil"/>
              <w:left w:val="nil"/>
              <w:bottom w:val="nil"/>
              <w:right w:val="nil"/>
            </w:tcBorders>
          </w:tcPr>
          <w:p w14:paraId="2AF8A8F2"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647910CE" w14:textId="77777777" w:rsidTr="00EE7F09">
        <w:trPr>
          <w:trHeight w:hRule="exact" w:val="255"/>
        </w:trPr>
        <w:tc>
          <w:tcPr>
            <w:tcW w:w="2977" w:type="dxa"/>
            <w:tcBorders>
              <w:top w:val="nil"/>
              <w:left w:val="nil"/>
              <w:bottom w:val="nil"/>
              <w:right w:val="nil"/>
            </w:tcBorders>
            <w:vAlign w:val="center"/>
          </w:tcPr>
          <w:p w14:paraId="6DDB6292" w14:textId="77777777" w:rsidR="00EE7F09" w:rsidRPr="00ED0E89" w:rsidRDefault="00EE7F09" w:rsidP="00EE7F09">
            <w:pPr>
              <w:spacing w:before="20" w:after="60" w:line="240" w:lineRule="auto"/>
              <w:rPr>
                <w:color w:val="000000"/>
                <w:sz w:val="20"/>
              </w:rPr>
            </w:pPr>
            <w:r w:rsidRPr="00ED0E89">
              <w:rPr>
                <w:color w:val="000000"/>
                <w:sz w:val="20"/>
              </w:rPr>
              <w:t>Murray cod</w:t>
            </w:r>
          </w:p>
        </w:tc>
        <w:tc>
          <w:tcPr>
            <w:tcW w:w="3686" w:type="dxa"/>
            <w:tcBorders>
              <w:top w:val="nil"/>
              <w:left w:val="nil"/>
              <w:bottom w:val="nil"/>
              <w:right w:val="nil"/>
            </w:tcBorders>
          </w:tcPr>
          <w:p w14:paraId="14616524" w14:textId="77777777" w:rsidR="00EE7F09" w:rsidRPr="00ED0E89" w:rsidRDefault="00EE7F09" w:rsidP="00EE7F09">
            <w:pPr>
              <w:spacing w:before="20" w:after="60" w:line="240" w:lineRule="auto"/>
              <w:rPr>
                <w:i/>
                <w:iCs/>
                <w:color w:val="000000"/>
                <w:sz w:val="20"/>
              </w:rPr>
            </w:pPr>
            <w:r w:rsidRPr="00ED0E89">
              <w:rPr>
                <w:i/>
                <w:iCs/>
                <w:color w:val="000000"/>
                <w:sz w:val="20"/>
              </w:rPr>
              <w:t>Maccullochella peelii</w:t>
            </w:r>
          </w:p>
        </w:tc>
        <w:tc>
          <w:tcPr>
            <w:tcW w:w="1275" w:type="dxa"/>
            <w:tcBorders>
              <w:top w:val="nil"/>
              <w:left w:val="nil"/>
              <w:bottom w:val="nil"/>
              <w:right w:val="nil"/>
            </w:tcBorders>
          </w:tcPr>
          <w:p w14:paraId="7771D158" w14:textId="77777777" w:rsidR="00EE7F09" w:rsidRPr="00ED0E89" w:rsidRDefault="00EE7F09" w:rsidP="00EE7F09">
            <w:pPr>
              <w:spacing w:before="20" w:after="60" w:line="240" w:lineRule="auto"/>
              <w:jc w:val="center"/>
              <w:rPr>
                <w:iCs/>
                <w:color w:val="000000"/>
                <w:sz w:val="20"/>
              </w:rPr>
            </w:pPr>
            <w:r w:rsidRPr="00ED0E89">
              <w:rPr>
                <w:b/>
                <w:iCs/>
                <w:color w:val="000000"/>
                <w:sz w:val="20"/>
              </w:rPr>
              <w:t>*</w:t>
            </w:r>
          </w:p>
        </w:tc>
      </w:tr>
      <w:tr w:rsidR="00EE7F09" w:rsidRPr="00ED0E89" w14:paraId="7E5FA423" w14:textId="77777777" w:rsidTr="00EE7F09">
        <w:trPr>
          <w:trHeight w:hRule="exact" w:val="255"/>
        </w:trPr>
        <w:tc>
          <w:tcPr>
            <w:tcW w:w="2977" w:type="dxa"/>
            <w:tcBorders>
              <w:top w:val="nil"/>
              <w:left w:val="nil"/>
              <w:bottom w:val="nil"/>
              <w:right w:val="nil"/>
            </w:tcBorders>
            <w:vAlign w:val="center"/>
          </w:tcPr>
          <w:p w14:paraId="1386A826" w14:textId="77777777" w:rsidR="00EE7F09" w:rsidRPr="00ED0E89" w:rsidRDefault="00EE7F09" w:rsidP="00EE7F09">
            <w:pPr>
              <w:spacing w:before="20" w:after="60" w:line="240" w:lineRule="auto"/>
              <w:rPr>
                <w:color w:val="000000"/>
                <w:sz w:val="20"/>
              </w:rPr>
            </w:pPr>
            <w:r w:rsidRPr="00ED0E89">
              <w:rPr>
                <w:color w:val="000000"/>
                <w:sz w:val="20"/>
              </w:rPr>
              <w:t>Murray River rainbowfish</w:t>
            </w:r>
          </w:p>
        </w:tc>
        <w:tc>
          <w:tcPr>
            <w:tcW w:w="3686" w:type="dxa"/>
            <w:tcBorders>
              <w:top w:val="nil"/>
              <w:left w:val="nil"/>
              <w:bottom w:val="nil"/>
              <w:right w:val="nil"/>
            </w:tcBorders>
          </w:tcPr>
          <w:p w14:paraId="2FED7034" w14:textId="77777777" w:rsidR="00EE7F09" w:rsidRPr="00ED0E89" w:rsidRDefault="00EE7F09" w:rsidP="00EE7F09">
            <w:pPr>
              <w:spacing w:before="20" w:after="60" w:line="240" w:lineRule="auto"/>
              <w:rPr>
                <w:i/>
                <w:iCs/>
                <w:color w:val="000000"/>
                <w:sz w:val="20"/>
              </w:rPr>
            </w:pPr>
            <w:r w:rsidRPr="00ED0E89">
              <w:rPr>
                <w:i/>
                <w:iCs/>
                <w:color w:val="000000"/>
                <w:sz w:val="20"/>
              </w:rPr>
              <w:t>Melanotaenia fluviatilis</w:t>
            </w:r>
          </w:p>
        </w:tc>
        <w:tc>
          <w:tcPr>
            <w:tcW w:w="1275" w:type="dxa"/>
            <w:tcBorders>
              <w:top w:val="nil"/>
              <w:left w:val="nil"/>
              <w:bottom w:val="nil"/>
              <w:right w:val="nil"/>
            </w:tcBorders>
          </w:tcPr>
          <w:p w14:paraId="42F64FC9"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17A4E432" w14:textId="77777777" w:rsidTr="00EE7F09">
        <w:trPr>
          <w:trHeight w:hRule="exact" w:val="255"/>
        </w:trPr>
        <w:tc>
          <w:tcPr>
            <w:tcW w:w="2977" w:type="dxa"/>
            <w:tcBorders>
              <w:top w:val="nil"/>
              <w:left w:val="nil"/>
              <w:bottom w:val="nil"/>
              <w:right w:val="nil"/>
            </w:tcBorders>
          </w:tcPr>
          <w:p w14:paraId="3628D5EA" w14:textId="77777777" w:rsidR="00EE7F09" w:rsidRPr="00ED0E89" w:rsidRDefault="00EE7F09" w:rsidP="00EE7F09">
            <w:pPr>
              <w:spacing w:before="20" w:after="60" w:line="240" w:lineRule="auto"/>
              <w:rPr>
                <w:color w:val="000000"/>
                <w:sz w:val="20"/>
              </w:rPr>
            </w:pPr>
            <w:r w:rsidRPr="00ED0E89">
              <w:rPr>
                <w:color w:val="000000"/>
                <w:sz w:val="20"/>
              </w:rPr>
              <w:t>unspecked hardyhead</w:t>
            </w:r>
          </w:p>
        </w:tc>
        <w:tc>
          <w:tcPr>
            <w:tcW w:w="3686" w:type="dxa"/>
            <w:tcBorders>
              <w:top w:val="nil"/>
              <w:left w:val="nil"/>
              <w:bottom w:val="nil"/>
              <w:right w:val="nil"/>
            </w:tcBorders>
          </w:tcPr>
          <w:p w14:paraId="57A34DF2" w14:textId="77777777" w:rsidR="00EE7F09" w:rsidRPr="00ED0E89" w:rsidRDefault="00EE7F09" w:rsidP="00EE7F09">
            <w:pPr>
              <w:spacing w:before="20" w:after="60" w:line="240" w:lineRule="auto"/>
              <w:rPr>
                <w:i/>
                <w:iCs/>
                <w:color w:val="000000"/>
                <w:sz w:val="20"/>
              </w:rPr>
            </w:pPr>
            <w:r w:rsidRPr="00ED0E89">
              <w:rPr>
                <w:i/>
                <w:iCs/>
                <w:color w:val="000000"/>
                <w:sz w:val="20"/>
              </w:rPr>
              <w:t>Craterocephalus stercusmascarum fulvus</w:t>
            </w:r>
          </w:p>
        </w:tc>
        <w:tc>
          <w:tcPr>
            <w:tcW w:w="1275" w:type="dxa"/>
            <w:tcBorders>
              <w:top w:val="nil"/>
              <w:left w:val="nil"/>
              <w:bottom w:val="nil"/>
              <w:right w:val="nil"/>
            </w:tcBorders>
          </w:tcPr>
          <w:p w14:paraId="2EF211E2" w14:textId="77777777" w:rsidR="00EE7F09" w:rsidRPr="00ED0E89" w:rsidRDefault="00EE7F09" w:rsidP="00EE7F09">
            <w:pPr>
              <w:spacing w:before="20" w:after="60" w:line="240" w:lineRule="auto"/>
              <w:jc w:val="center"/>
              <w:rPr>
                <w:iCs/>
                <w:color w:val="000000"/>
                <w:sz w:val="20"/>
              </w:rPr>
            </w:pPr>
            <w:r w:rsidRPr="00ED0E89">
              <w:rPr>
                <w:b/>
                <w:iCs/>
                <w:color w:val="000000"/>
                <w:sz w:val="20"/>
              </w:rPr>
              <w:t>*</w:t>
            </w:r>
          </w:p>
        </w:tc>
      </w:tr>
      <w:tr w:rsidR="00EE7F09" w:rsidRPr="00ED0E89" w14:paraId="3267C4C3" w14:textId="77777777" w:rsidTr="00EE7F09">
        <w:trPr>
          <w:trHeight w:hRule="exact" w:val="255"/>
        </w:trPr>
        <w:tc>
          <w:tcPr>
            <w:tcW w:w="2977" w:type="dxa"/>
            <w:tcBorders>
              <w:top w:val="nil"/>
              <w:left w:val="nil"/>
              <w:bottom w:val="nil"/>
              <w:right w:val="nil"/>
            </w:tcBorders>
            <w:vAlign w:val="center"/>
          </w:tcPr>
          <w:p w14:paraId="2BD30484" w14:textId="77777777" w:rsidR="00EE7F09" w:rsidRPr="00ED0E89" w:rsidRDefault="00EE7F09" w:rsidP="00EE7F09">
            <w:pPr>
              <w:spacing w:before="20" w:after="60" w:line="240" w:lineRule="auto"/>
              <w:rPr>
                <w:color w:val="000000"/>
                <w:sz w:val="20"/>
              </w:rPr>
            </w:pPr>
            <w:r w:rsidRPr="00ED0E89">
              <w:rPr>
                <w:color w:val="000000"/>
                <w:sz w:val="20"/>
              </w:rPr>
              <w:t>obscure galaxias</w:t>
            </w:r>
          </w:p>
        </w:tc>
        <w:tc>
          <w:tcPr>
            <w:tcW w:w="3686" w:type="dxa"/>
            <w:tcBorders>
              <w:top w:val="nil"/>
              <w:left w:val="nil"/>
              <w:bottom w:val="nil"/>
              <w:right w:val="nil"/>
            </w:tcBorders>
          </w:tcPr>
          <w:p w14:paraId="59611830" w14:textId="77777777" w:rsidR="00EE7F09" w:rsidRPr="00ED0E89" w:rsidRDefault="00EE7F09" w:rsidP="00EE7F09">
            <w:pPr>
              <w:spacing w:before="20" w:after="60" w:line="240" w:lineRule="auto"/>
              <w:rPr>
                <w:i/>
                <w:iCs/>
                <w:color w:val="000000"/>
                <w:sz w:val="20"/>
              </w:rPr>
            </w:pPr>
            <w:r w:rsidRPr="00ED0E89">
              <w:rPr>
                <w:i/>
                <w:iCs/>
                <w:color w:val="000000"/>
                <w:sz w:val="20"/>
              </w:rPr>
              <w:t>Galaxias oliros</w:t>
            </w:r>
          </w:p>
        </w:tc>
        <w:tc>
          <w:tcPr>
            <w:tcW w:w="1275" w:type="dxa"/>
            <w:tcBorders>
              <w:top w:val="nil"/>
              <w:left w:val="nil"/>
              <w:bottom w:val="nil"/>
              <w:right w:val="nil"/>
            </w:tcBorders>
          </w:tcPr>
          <w:p w14:paraId="7CE9DA47"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445E6E37" w14:textId="77777777" w:rsidTr="00EE7F09">
        <w:trPr>
          <w:trHeight w:hRule="exact" w:val="255"/>
        </w:trPr>
        <w:tc>
          <w:tcPr>
            <w:tcW w:w="2977" w:type="dxa"/>
            <w:tcBorders>
              <w:top w:val="nil"/>
              <w:left w:val="nil"/>
              <w:bottom w:val="nil"/>
              <w:right w:val="nil"/>
            </w:tcBorders>
            <w:vAlign w:val="center"/>
          </w:tcPr>
          <w:p w14:paraId="51F44721" w14:textId="77777777" w:rsidR="00EE7F09" w:rsidRPr="00ED0E89" w:rsidRDefault="00EE7F09" w:rsidP="00EE7F09">
            <w:pPr>
              <w:spacing w:before="20" w:after="60" w:line="240" w:lineRule="auto"/>
              <w:rPr>
                <w:color w:val="000000"/>
                <w:sz w:val="20"/>
              </w:rPr>
            </w:pPr>
            <w:r w:rsidRPr="00ED0E89">
              <w:rPr>
                <w:color w:val="000000"/>
                <w:sz w:val="20"/>
              </w:rPr>
              <w:t>river blackfish</w:t>
            </w:r>
          </w:p>
        </w:tc>
        <w:tc>
          <w:tcPr>
            <w:tcW w:w="3686" w:type="dxa"/>
            <w:tcBorders>
              <w:top w:val="nil"/>
              <w:left w:val="nil"/>
              <w:bottom w:val="nil"/>
              <w:right w:val="nil"/>
            </w:tcBorders>
          </w:tcPr>
          <w:p w14:paraId="2359921C" w14:textId="77777777" w:rsidR="00EE7F09" w:rsidRPr="00ED0E89" w:rsidRDefault="00EE7F09" w:rsidP="00EE7F09">
            <w:pPr>
              <w:spacing w:before="20" w:after="60" w:line="240" w:lineRule="auto"/>
              <w:rPr>
                <w:i/>
                <w:iCs/>
                <w:color w:val="000000"/>
                <w:sz w:val="20"/>
              </w:rPr>
            </w:pPr>
            <w:r w:rsidRPr="00ED0E89">
              <w:rPr>
                <w:i/>
                <w:iCs/>
                <w:color w:val="000000"/>
                <w:sz w:val="20"/>
              </w:rPr>
              <w:t>Gadopsis marmoratus</w:t>
            </w:r>
          </w:p>
        </w:tc>
        <w:tc>
          <w:tcPr>
            <w:tcW w:w="1275" w:type="dxa"/>
            <w:tcBorders>
              <w:top w:val="nil"/>
              <w:left w:val="nil"/>
              <w:bottom w:val="nil"/>
              <w:right w:val="nil"/>
            </w:tcBorders>
          </w:tcPr>
          <w:p w14:paraId="3E46FCD6" w14:textId="77777777" w:rsidR="00EE7F09" w:rsidRPr="00ED0E89" w:rsidRDefault="00EE7F09" w:rsidP="00EE7F09">
            <w:pPr>
              <w:spacing w:before="20" w:after="60" w:line="240" w:lineRule="auto"/>
              <w:jc w:val="center"/>
              <w:rPr>
                <w:iCs/>
                <w:color w:val="000000"/>
                <w:sz w:val="20"/>
              </w:rPr>
            </w:pPr>
            <w:r w:rsidRPr="00ED0E89">
              <w:rPr>
                <w:b/>
                <w:iCs/>
                <w:color w:val="000000"/>
                <w:sz w:val="20"/>
              </w:rPr>
              <w:t>*</w:t>
            </w:r>
          </w:p>
        </w:tc>
      </w:tr>
      <w:tr w:rsidR="00EE7F09" w:rsidRPr="00ED0E89" w14:paraId="6C27B937" w14:textId="77777777" w:rsidTr="00EE7F09">
        <w:trPr>
          <w:trHeight w:hRule="exact" w:val="255"/>
        </w:trPr>
        <w:tc>
          <w:tcPr>
            <w:tcW w:w="2977" w:type="dxa"/>
            <w:tcBorders>
              <w:top w:val="nil"/>
              <w:left w:val="nil"/>
              <w:bottom w:val="nil"/>
              <w:right w:val="nil"/>
            </w:tcBorders>
            <w:vAlign w:val="center"/>
          </w:tcPr>
          <w:p w14:paraId="75B710F7" w14:textId="77777777" w:rsidR="00EE7F09" w:rsidRPr="00ED0E89" w:rsidRDefault="00EE7F09" w:rsidP="00EE7F09">
            <w:pPr>
              <w:spacing w:before="20" w:after="60" w:line="240" w:lineRule="auto"/>
              <w:rPr>
                <w:color w:val="000000"/>
                <w:sz w:val="20"/>
              </w:rPr>
            </w:pPr>
            <w:r w:rsidRPr="00ED0E89">
              <w:rPr>
                <w:color w:val="000000"/>
                <w:sz w:val="20"/>
              </w:rPr>
              <w:t>silver perch</w:t>
            </w:r>
          </w:p>
        </w:tc>
        <w:tc>
          <w:tcPr>
            <w:tcW w:w="3686" w:type="dxa"/>
            <w:tcBorders>
              <w:top w:val="nil"/>
              <w:left w:val="nil"/>
              <w:bottom w:val="nil"/>
              <w:right w:val="nil"/>
            </w:tcBorders>
          </w:tcPr>
          <w:p w14:paraId="0B12BD88" w14:textId="77777777" w:rsidR="00EE7F09" w:rsidRPr="00ED0E89" w:rsidRDefault="00EE7F09" w:rsidP="00EE7F09">
            <w:pPr>
              <w:spacing w:before="20" w:after="60" w:line="240" w:lineRule="auto"/>
              <w:rPr>
                <w:i/>
                <w:iCs/>
                <w:color w:val="000000"/>
                <w:sz w:val="20"/>
              </w:rPr>
            </w:pPr>
            <w:r w:rsidRPr="00ED0E89">
              <w:rPr>
                <w:i/>
                <w:iCs/>
                <w:color w:val="000000"/>
                <w:sz w:val="20"/>
              </w:rPr>
              <w:t>Bidyanus bidyanus</w:t>
            </w:r>
          </w:p>
        </w:tc>
        <w:tc>
          <w:tcPr>
            <w:tcW w:w="1275" w:type="dxa"/>
            <w:tcBorders>
              <w:top w:val="nil"/>
              <w:left w:val="nil"/>
              <w:bottom w:val="nil"/>
              <w:right w:val="nil"/>
            </w:tcBorders>
          </w:tcPr>
          <w:p w14:paraId="68FDD02A" w14:textId="77777777" w:rsidR="00EE7F09" w:rsidRPr="00ED0E89" w:rsidRDefault="00EE7F09" w:rsidP="00EE7F09">
            <w:pPr>
              <w:spacing w:before="20" w:after="60" w:line="240" w:lineRule="auto"/>
              <w:jc w:val="center"/>
              <w:rPr>
                <w:iCs/>
                <w:color w:val="000000"/>
                <w:sz w:val="20"/>
              </w:rPr>
            </w:pPr>
            <w:r w:rsidRPr="00ED0E89">
              <w:rPr>
                <w:iCs/>
                <w:color w:val="000000"/>
                <w:sz w:val="20"/>
              </w:rPr>
              <w:t>*</w:t>
            </w:r>
          </w:p>
        </w:tc>
      </w:tr>
      <w:tr w:rsidR="00EE7F09" w:rsidRPr="00ED0E89" w14:paraId="4910E64B" w14:textId="77777777" w:rsidTr="00EE7F09">
        <w:trPr>
          <w:trHeight w:hRule="exact" w:val="255"/>
        </w:trPr>
        <w:tc>
          <w:tcPr>
            <w:tcW w:w="2977" w:type="dxa"/>
            <w:tcBorders>
              <w:top w:val="nil"/>
              <w:left w:val="nil"/>
              <w:bottom w:val="nil"/>
              <w:right w:val="nil"/>
            </w:tcBorders>
            <w:vAlign w:val="center"/>
          </w:tcPr>
          <w:p w14:paraId="4AF96AA4" w14:textId="77777777" w:rsidR="00EE7F09" w:rsidRPr="00ED0E89" w:rsidRDefault="00EE7F09" w:rsidP="00EE7F09">
            <w:pPr>
              <w:spacing w:before="20" w:after="60" w:line="240" w:lineRule="auto"/>
              <w:rPr>
                <w:color w:val="000000"/>
                <w:sz w:val="20"/>
              </w:rPr>
            </w:pPr>
            <w:r w:rsidRPr="00ED0E89">
              <w:rPr>
                <w:color w:val="000000"/>
                <w:sz w:val="20"/>
              </w:rPr>
              <w:t>bony herring</w:t>
            </w:r>
          </w:p>
        </w:tc>
        <w:tc>
          <w:tcPr>
            <w:tcW w:w="3686" w:type="dxa"/>
            <w:tcBorders>
              <w:top w:val="nil"/>
              <w:left w:val="nil"/>
              <w:bottom w:val="nil"/>
              <w:right w:val="nil"/>
            </w:tcBorders>
          </w:tcPr>
          <w:p w14:paraId="5D7CF290" w14:textId="77777777" w:rsidR="00EE7F09" w:rsidRPr="00ED0E89" w:rsidRDefault="00EE7F09" w:rsidP="00EE7F09">
            <w:pPr>
              <w:spacing w:before="20" w:after="60" w:line="240" w:lineRule="auto"/>
              <w:rPr>
                <w:i/>
                <w:iCs/>
                <w:color w:val="000000"/>
                <w:sz w:val="20"/>
              </w:rPr>
            </w:pPr>
            <w:r w:rsidRPr="00ED0E89">
              <w:rPr>
                <w:i/>
                <w:iCs/>
                <w:color w:val="000000"/>
                <w:sz w:val="20"/>
              </w:rPr>
              <w:t>Nematolosa erebi</w:t>
            </w:r>
          </w:p>
        </w:tc>
        <w:tc>
          <w:tcPr>
            <w:tcW w:w="1275" w:type="dxa"/>
            <w:tcBorders>
              <w:top w:val="nil"/>
              <w:left w:val="nil"/>
              <w:bottom w:val="nil"/>
              <w:right w:val="nil"/>
            </w:tcBorders>
          </w:tcPr>
          <w:p w14:paraId="1D72681D"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278BE02F" w14:textId="77777777" w:rsidTr="00EE7F09">
        <w:trPr>
          <w:trHeight w:hRule="exact" w:val="255"/>
        </w:trPr>
        <w:tc>
          <w:tcPr>
            <w:tcW w:w="2977" w:type="dxa"/>
            <w:tcBorders>
              <w:top w:val="nil"/>
              <w:left w:val="nil"/>
              <w:bottom w:val="nil"/>
              <w:right w:val="nil"/>
            </w:tcBorders>
            <w:vAlign w:val="center"/>
          </w:tcPr>
          <w:p w14:paraId="285FA935" w14:textId="77777777" w:rsidR="00EE7F09" w:rsidRPr="00ED0E89" w:rsidRDefault="00EE7F09" w:rsidP="00EE7F09">
            <w:pPr>
              <w:spacing w:before="20" w:after="60" w:line="240" w:lineRule="auto"/>
              <w:rPr>
                <w:color w:val="000000"/>
                <w:sz w:val="20"/>
              </w:rPr>
            </w:pPr>
            <w:r w:rsidRPr="00ED0E89">
              <w:rPr>
                <w:color w:val="000000"/>
                <w:sz w:val="20"/>
              </w:rPr>
              <w:t>golden perch</w:t>
            </w:r>
          </w:p>
        </w:tc>
        <w:tc>
          <w:tcPr>
            <w:tcW w:w="3686" w:type="dxa"/>
            <w:tcBorders>
              <w:top w:val="nil"/>
              <w:left w:val="nil"/>
              <w:bottom w:val="nil"/>
              <w:right w:val="nil"/>
            </w:tcBorders>
          </w:tcPr>
          <w:p w14:paraId="78EB278C" w14:textId="77777777" w:rsidR="00EE7F09" w:rsidRPr="00ED0E89" w:rsidRDefault="00EE7F09" w:rsidP="00EE7F09">
            <w:pPr>
              <w:spacing w:before="20" w:after="60" w:line="240" w:lineRule="auto"/>
              <w:rPr>
                <w:i/>
                <w:iCs/>
                <w:color w:val="000000"/>
                <w:sz w:val="20"/>
              </w:rPr>
            </w:pPr>
            <w:r w:rsidRPr="00ED0E89">
              <w:rPr>
                <w:i/>
                <w:iCs/>
                <w:color w:val="000000"/>
                <w:sz w:val="20"/>
              </w:rPr>
              <w:t>Macquaria ambigua</w:t>
            </w:r>
          </w:p>
        </w:tc>
        <w:tc>
          <w:tcPr>
            <w:tcW w:w="1275" w:type="dxa"/>
            <w:tcBorders>
              <w:top w:val="nil"/>
              <w:left w:val="nil"/>
              <w:bottom w:val="nil"/>
              <w:right w:val="nil"/>
            </w:tcBorders>
          </w:tcPr>
          <w:p w14:paraId="70592922" w14:textId="77777777" w:rsidR="00EE7F09" w:rsidRPr="00ED0E89" w:rsidRDefault="00EE7F09" w:rsidP="00EE7F09">
            <w:pPr>
              <w:spacing w:before="20" w:after="60" w:line="240" w:lineRule="auto"/>
              <w:jc w:val="center"/>
              <w:rPr>
                <w:b/>
                <w:iCs/>
                <w:color w:val="000000"/>
                <w:sz w:val="20"/>
              </w:rPr>
            </w:pPr>
          </w:p>
        </w:tc>
      </w:tr>
      <w:tr w:rsidR="00EE7F09" w:rsidRPr="00ED0E89" w14:paraId="6264F92F" w14:textId="77777777" w:rsidTr="00EE7F09">
        <w:trPr>
          <w:trHeight w:hRule="exact" w:val="255"/>
        </w:trPr>
        <w:tc>
          <w:tcPr>
            <w:tcW w:w="2977" w:type="dxa"/>
            <w:tcBorders>
              <w:top w:val="nil"/>
              <w:left w:val="nil"/>
              <w:bottom w:val="nil"/>
              <w:right w:val="nil"/>
            </w:tcBorders>
            <w:vAlign w:val="center"/>
          </w:tcPr>
          <w:p w14:paraId="3C243507" w14:textId="77777777" w:rsidR="00EE7F09" w:rsidRPr="00ED0E89" w:rsidRDefault="00EE7F09" w:rsidP="00EE7F09">
            <w:pPr>
              <w:spacing w:before="20" w:after="60" w:line="240" w:lineRule="auto"/>
              <w:rPr>
                <w:color w:val="000000"/>
                <w:sz w:val="20"/>
              </w:rPr>
            </w:pPr>
            <w:r w:rsidRPr="00ED0E89">
              <w:rPr>
                <w:color w:val="000000"/>
                <w:sz w:val="20"/>
              </w:rPr>
              <w:t>trout cod</w:t>
            </w:r>
            <w:r w:rsidRPr="00ED0E89">
              <w:rPr>
                <w:color w:val="000000"/>
                <w:sz w:val="20"/>
                <w:vertAlign w:val="superscript"/>
              </w:rPr>
              <w:t>1</w:t>
            </w:r>
          </w:p>
        </w:tc>
        <w:tc>
          <w:tcPr>
            <w:tcW w:w="3686" w:type="dxa"/>
            <w:tcBorders>
              <w:top w:val="nil"/>
              <w:left w:val="nil"/>
              <w:bottom w:val="nil"/>
              <w:right w:val="nil"/>
            </w:tcBorders>
          </w:tcPr>
          <w:p w14:paraId="54133219" w14:textId="77777777" w:rsidR="00EE7F09" w:rsidRPr="00ED0E89" w:rsidRDefault="00EE7F09" w:rsidP="00EE7F09">
            <w:pPr>
              <w:spacing w:before="20" w:after="60" w:line="240" w:lineRule="auto"/>
              <w:rPr>
                <w:i/>
                <w:iCs/>
                <w:color w:val="000000"/>
                <w:sz w:val="20"/>
              </w:rPr>
            </w:pPr>
            <w:r w:rsidRPr="00ED0E89">
              <w:rPr>
                <w:i/>
                <w:iCs/>
                <w:color w:val="000000"/>
                <w:sz w:val="20"/>
              </w:rPr>
              <w:t>Maccullochella macquariensis</w:t>
            </w:r>
          </w:p>
        </w:tc>
        <w:tc>
          <w:tcPr>
            <w:tcW w:w="1275" w:type="dxa"/>
            <w:tcBorders>
              <w:top w:val="nil"/>
              <w:left w:val="nil"/>
              <w:bottom w:val="nil"/>
              <w:right w:val="nil"/>
            </w:tcBorders>
          </w:tcPr>
          <w:p w14:paraId="7F75B9C7" w14:textId="77777777" w:rsidR="00EE7F09" w:rsidRPr="00ED0E89" w:rsidRDefault="00EE7F09" w:rsidP="00EE7F09">
            <w:pPr>
              <w:spacing w:before="20" w:after="60" w:line="240" w:lineRule="auto"/>
              <w:jc w:val="center"/>
              <w:rPr>
                <w:iCs/>
                <w:color w:val="000000"/>
                <w:sz w:val="20"/>
              </w:rPr>
            </w:pPr>
          </w:p>
        </w:tc>
      </w:tr>
      <w:tr w:rsidR="00EE7F09" w:rsidRPr="00ED0E89" w14:paraId="4032D6FA" w14:textId="77777777" w:rsidTr="00EE7F09">
        <w:trPr>
          <w:trHeight w:hRule="exact" w:val="255"/>
        </w:trPr>
        <w:tc>
          <w:tcPr>
            <w:tcW w:w="2977" w:type="dxa"/>
            <w:tcBorders>
              <w:top w:val="nil"/>
              <w:left w:val="nil"/>
              <w:bottom w:val="nil"/>
              <w:right w:val="nil"/>
            </w:tcBorders>
            <w:vAlign w:val="center"/>
          </w:tcPr>
          <w:p w14:paraId="56B85D82" w14:textId="77777777" w:rsidR="00EE7F09" w:rsidRPr="00ED0E89" w:rsidRDefault="00EE7F09" w:rsidP="00EE7F09">
            <w:pPr>
              <w:spacing w:before="20" w:after="60" w:line="240" w:lineRule="auto"/>
              <w:rPr>
                <w:color w:val="000000"/>
                <w:sz w:val="20"/>
              </w:rPr>
            </w:pPr>
            <w:r w:rsidRPr="00ED0E89">
              <w:rPr>
                <w:color w:val="000000"/>
                <w:sz w:val="20"/>
              </w:rPr>
              <w:t>dwarf flathead gudgeon</w:t>
            </w:r>
          </w:p>
        </w:tc>
        <w:tc>
          <w:tcPr>
            <w:tcW w:w="3686" w:type="dxa"/>
            <w:tcBorders>
              <w:top w:val="nil"/>
              <w:left w:val="nil"/>
              <w:bottom w:val="nil"/>
              <w:right w:val="nil"/>
            </w:tcBorders>
          </w:tcPr>
          <w:p w14:paraId="79E83178" w14:textId="77777777" w:rsidR="00EE7F09" w:rsidRPr="00ED0E89" w:rsidRDefault="00EE7F09" w:rsidP="00EE7F09">
            <w:pPr>
              <w:spacing w:before="20" w:after="60" w:line="240" w:lineRule="auto"/>
              <w:rPr>
                <w:i/>
                <w:iCs/>
                <w:color w:val="000000"/>
                <w:sz w:val="20"/>
              </w:rPr>
            </w:pPr>
            <w:r w:rsidRPr="00ED0E89">
              <w:rPr>
                <w:i/>
                <w:iCs/>
                <w:color w:val="000000"/>
                <w:sz w:val="20"/>
              </w:rPr>
              <w:t>Philypnodon macrostomus</w:t>
            </w:r>
          </w:p>
        </w:tc>
        <w:tc>
          <w:tcPr>
            <w:tcW w:w="1275" w:type="dxa"/>
            <w:tcBorders>
              <w:top w:val="nil"/>
              <w:left w:val="nil"/>
              <w:bottom w:val="nil"/>
              <w:right w:val="nil"/>
            </w:tcBorders>
          </w:tcPr>
          <w:p w14:paraId="5BBEC25A" w14:textId="77777777" w:rsidR="00EE7F09" w:rsidRPr="00ED0E89" w:rsidRDefault="00EE7F09" w:rsidP="00EE7F09">
            <w:pPr>
              <w:spacing w:before="20" w:after="60" w:line="240" w:lineRule="auto"/>
              <w:jc w:val="center"/>
              <w:rPr>
                <w:b/>
                <w:iCs/>
                <w:color w:val="000000"/>
                <w:sz w:val="20"/>
              </w:rPr>
            </w:pPr>
          </w:p>
        </w:tc>
      </w:tr>
      <w:tr w:rsidR="00EE7F09" w:rsidRPr="00ED0E89" w14:paraId="6362E726" w14:textId="77777777" w:rsidTr="00EE7F09">
        <w:trPr>
          <w:trHeight w:hRule="exact" w:val="255"/>
        </w:trPr>
        <w:tc>
          <w:tcPr>
            <w:tcW w:w="2977" w:type="dxa"/>
            <w:tcBorders>
              <w:top w:val="nil"/>
              <w:left w:val="nil"/>
              <w:bottom w:val="nil"/>
              <w:right w:val="nil"/>
            </w:tcBorders>
            <w:vAlign w:val="center"/>
          </w:tcPr>
          <w:p w14:paraId="796E1E51" w14:textId="77777777" w:rsidR="00EE7F09" w:rsidRPr="00ED0E89" w:rsidRDefault="00EE7F09" w:rsidP="00EE7F09">
            <w:pPr>
              <w:spacing w:before="20" w:after="60" w:line="240" w:lineRule="auto"/>
              <w:rPr>
                <w:color w:val="000000"/>
                <w:sz w:val="20"/>
              </w:rPr>
            </w:pPr>
            <w:r w:rsidRPr="00ED0E89" w:rsidDel="00931E82">
              <w:rPr>
                <w:color w:val="000000"/>
                <w:sz w:val="20"/>
              </w:rPr>
              <w:t>freshwater</w:t>
            </w:r>
            <w:r w:rsidRPr="00ED0E89">
              <w:rPr>
                <w:color w:val="000000"/>
                <w:sz w:val="20"/>
              </w:rPr>
              <w:t xml:space="preserve"> catfish</w:t>
            </w:r>
            <w:r w:rsidRPr="00ED0E89">
              <w:rPr>
                <w:color w:val="000000"/>
                <w:sz w:val="20"/>
                <w:vertAlign w:val="superscript"/>
              </w:rPr>
              <w:t>1</w:t>
            </w:r>
          </w:p>
        </w:tc>
        <w:tc>
          <w:tcPr>
            <w:tcW w:w="3686" w:type="dxa"/>
            <w:tcBorders>
              <w:top w:val="nil"/>
              <w:left w:val="nil"/>
              <w:bottom w:val="nil"/>
              <w:right w:val="nil"/>
            </w:tcBorders>
          </w:tcPr>
          <w:p w14:paraId="108E000A" w14:textId="77777777" w:rsidR="00EE7F09" w:rsidRPr="00ED0E89" w:rsidRDefault="00EE7F09" w:rsidP="00EE7F09">
            <w:pPr>
              <w:spacing w:before="20" w:after="60" w:line="240" w:lineRule="auto"/>
              <w:rPr>
                <w:i/>
                <w:iCs/>
                <w:color w:val="000000"/>
                <w:sz w:val="20"/>
              </w:rPr>
            </w:pPr>
            <w:r w:rsidRPr="00ED0E89">
              <w:rPr>
                <w:i/>
                <w:iCs/>
                <w:color w:val="000000"/>
                <w:sz w:val="20"/>
              </w:rPr>
              <w:t>Tandanus tandanus</w:t>
            </w:r>
          </w:p>
        </w:tc>
        <w:tc>
          <w:tcPr>
            <w:tcW w:w="1275" w:type="dxa"/>
            <w:tcBorders>
              <w:top w:val="nil"/>
              <w:left w:val="nil"/>
              <w:bottom w:val="nil"/>
              <w:right w:val="nil"/>
            </w:tcBorders>
          </w:tcPr>
          <w:p w14:paraId="32A447CA"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3C2FF81B" w14:textId="77777777" w:rsidTr="00EE7F09">
        <w:tc>
          <w:tcPr>
            <w:tcW w:w="2977" w:type="dxa"/>
            <w:tcBorders>
              <w:top w:val="nil"/>
              <w:left w:val="nil"/>
              <w:bottom w:val="nil"/>
              <w:right w:val="nil"/>
            </w:tcBorders>
            <w:vAlign w:val="center"/>
          </w:tcPr>
          <w:p w14:paraId="644A83AE" w14:textId="77777777" w:rsidR="00EE7F09" w:rsidRPr="00ED0E89" w:rsidRDefault="00EE7F09" w:rsidP="00EE7F09">
            <w:pPr>
              <w:spacing w:before="120" w:after="60" w:line="240" w:lineRule="auto"/>
              <w:rPr>
                <w:b/>
                <w:i/>
                <w:color w:val="000000"/>
                <w:sz w:val="2"/>
                <w:szCs w:val="2"/>
              </w:rPr>
            </w:pPr>
          </w:p>
        </w:tc>
        <w:tc>
          <w:tcPr>
            <w:tcW w:w="3686" w:type="dxa"/>
            <w:tcBorders>
              <w:top w:val="nil"/>
              <w:left w:val="nil"/>
              <w:bottom w:val="nil"/>
              <w:right w:val="nil"/>
            </w:tcBorders>
          </w:tcPr>
          <w:p w14:paraId="19AA931D" w14:textId="77777777" w:rsidR="00EE7F09" w:rsidRPr="00ED0E89" w:rsidRDefault="00EE7F09" w:rsidP="00EE7F09">
            <w:pPr>
              <w:spacing w:before="120" w:after="60" w:line="240" w:lineRule="auto"/>
              <w:rPr>
                <w:i/>
                <w:iCs/>
                <w:color w:val="000000"/>
                <w:sz w:val="2"/>
                <w:szCs w:val="2"/>
              </w:rPr>
            </w:pPr>
          </w:p>
        </w:tc>
        <w:tc>
          <w:tcPr>
            <w:tcW w:w="1275" w:type="dxa"/>
            <w:tcBorders>
              <w:top w:val="nil"/>
              <w:left w:val="nil"/>
              <w:bottom w:val="nil"/>
              <w:right w:val="nil"/>
            </w:tcBorders>
          </w:tcPr>
          <w:p w14:paraId="3FDA7E66" w14:textId="77777777" w:rsidR="00EE7F09" w:rsidRPr="00ED0E89" w:rsidRDefault="00EE7F09" w:rsidP="00EE7F09">
            <w:pPr>
              <w:spacing w:before="120" w:after="60" w:line="240" w:lineRule="auto"/>
              <w:jc w:val="center"/>
              <w:rPr>
                <w:b/>
                <w:iCs/>
                <w:color w:val="000000"/>
                <w:sz w:val="2"/>
                <w:szCs w:val="2"/>
              </w:rPr>
            </w:pPr>
          </w:p>
        </w:tc>
      </w:tr>
      <w:tr w:rsidR="00EE7F09" w:rsidRPr="00ED0E89" w14:paraId="52D05C8F" w14:textId="77777777" w:rsidTr="00EE7F09">
        <w:tc>
          <w:tcPr>
            <w:tcW w:w="2977" w:type="dxa"/>
            <w:tcBorders>
              <w:top w:val="nil"/>
              <w:left w:val="nil"/>
              <w:bottom w:val="nil"/>
              <w:right w:val="nil"/>
            </w:tcBorders>
            <w:vAlign w:val="center"/>
          </w:tcPr>
          <w:p w14:paraId="174DF09D" w14:textId="77777777" w:rsidR="00EE7F09" w:rsidRPr="00ED0E89" w:rsidRDefault="00EE7F09" w:rsidP="00EE7F09">
            <w:pPr>
              <w:spacing w:before="120" w:after="60" w:line="240" w:lineRule="auto"/>
              <w:rPr>
                <w:b/>
                <w:i/>
                <w:color w:val="000000"/>
                <w:sz w:val="20"/>
              </w:rPr>
            </w:pPr>
            <w:r w:rsidRPr="00ED0E89">
              <w:rPr>
                <w:b/>
                <w:i/>
                <w:color w:val="000000"/>
                <w:sz w:val="20"/>
              </w:rPr>
              <w:t>Native species – expected</w:t>
            </w:r>
          </w:p>
        </w:tc>
        <w:tc>
          <w:tcPr>
            <w:tcW w:w="3686" w:type="dxa"/>
            <w:tcBorders>
              <w:top w:val="nil"/>
              <w:left w:val="nil"/>
              <w:bottom w:val="nil"/>
              <w:right w:val="nil"/>
            </w:tcBorders>
          </w:tcPr>
          <w:p w14:paraId="2414717B" w14:textId="77777777" w:rsidR="00EE7F09" w:rsidRPr="00ED0E89" w:rsidRDefault="00EE7F09" w:rsidP="00EE7F09">
            <w:pPr>
              <w:spacing w:before="120" w:after="60" w:line="240" w:lineRule="auto"/>
              <w:rPr>
                <w:i/>
                <w:iCs/>
                <w:color w:val="000000"/>
                <w:sz w:val="20"/>
              </w:rPr>
            </w:pPr>
          </w:p>
        </w:tc>
        <w:tc>
          <w:tcPr>
            <w:tcW w:w="1275" w:type="dxa"/>
            <w:tcBorders>
              <w:top w:val="nil"/>
              <w:left w:val="nil"/>
              <w:bottom w:val="nil"/>
              <w:right w:val="nil"/>
            </w:tcBorders>
          </w:tcPr>
          <w:p w14:paraId="3F52493C" w14:textId="77777777" w:rsidR="00EE7F09" w:rsidRPr="00ED0E89" w:rsidRDefault="00EE7F09" w:rsidP="00EE7F09">
            <w:pPr>
              <w:spacing w:before="120" w:after="60" w:line="240" w:lineRule="auto"/>
              <w:jc w:val="center"/>
              <w:rPr>
                <w:b/>
                <w:iCs/>
                <w:color w:val="000000"/>
                <w:sz w:val="20"/>
              </w:rPr>
            </w:pPr>
          </w:p>
        </w:tc>
      </w:tr>
      <w:tr w:rsidR="00EE7F09" w:rsidRPr="00ED0E89" w14:paraId="38F4AD67" w14:textId="77777777" w:rsidTr="00EE7F09">
        <w:trPr>
          <w:trHeight w:hRule="exact" w:val="255"/>
        </w:trPr>
        <w:tc>
          <w:tcPr>
            <w:tcW w:w="2977" w:type="dxa"/>
            <w:tcBorders>
              <w:top w:val="nil"/>
              <w:left w:val="nil"/>
              <w:bottom w:val="nil"/>
              <w:right w:val="nil"/>
            </w:tcBorders>
            <w:vAlign w:val="center"/>
          </w:tcPr>
          <w:p w14:paraId="1E7BCB05" w14:textId="77777777" w:rsidR="00EE7F09" w:rsidRPr="00ED0E89" w:rsidRDefault="00EE7F09" w:rsidP="00EE7F09">
            <w:pPr>
              <w:spacing w:before="20" w:after="60" w:line="240" w:lineRule="auto"/>
              <w:rPr>
                <w:color w:val="000000"/>
                <w:sz w:val="20"/>
              </w:rPr>
            </w:pPr>
            <w:r w:rsidRPr="00ED0E89">
              <w:rPr>
                <w:color w:val="000000"/>
                <w:sz w:val="20"/>
              </w:rPr>
              <w:t>Agassiz’s glassfish (olive perchlet)</w:t>
            </w:r>
          </w:p>
        </w:tc>
        <w:tc>
          <w:tcPr>
            <w:tcW w:w="3686" w:type="dxa"/>
            <w:tcBorders>
              <w:top w:val="nil"/>
              <w:left w:val="nil"/>
              <w:bottom w:val="nil"/>
              <w:right w:val="nil"/>
            </w:tcBorders>
          </w:tcPr>
          <w:p w14:paraId="0E2835F8" w14:textId="77777777" w:rsidR="00EE7F09" w:rsidRPr="00ED0E89" w:rsidRDefault="00EE7F09" w:rsidP="00EE7F09">
            <w:pPr>
              <w:spacing w:before="20" w:after="60" w:line="240" w:lineRule="auto"/>
              <w:rPr>
                <w:i/>
                <w:iCs/>
                <w:color w:val="000000"/>
                <w:sz w:val="20"/>
              </w:rPr>
            </w:pPr>
            <w:r w:rsidRPr="00ED0E89">
              <w:rPr>
                <w:i/>
                <w:iCs/>
                <w:color w:val="000000"/>
                <w:sz w:val="20"/>
              </w:rPr>
              <w:t>Ambassis agassizii</w:t>
            </w:r>
          </w:p>
        </w:tc>
        <w:tc>
          <w:tcPr>
            <w:tcW w:w="1275" w:type="dxa"/>
            <w:tcBorders>
              <w:top w:val="nil"/>
              <w:left w:val="nil"/>
              <w:bottom w:val="nil"/>
              <w:right w:val="nil"/>
            </w:tcBorders>
          </w:tcPr>
          <w:p w14:paraId="37AB1295" w14:textId="77777777" w:rsidR="00EE7F09" w:rsidRPr="00ED0E89" w:rsidRDefault="00EE7F09" w:rsidP="00EE7F09">
            <w:pPr>
              <w:spacing w:before="20" w:after="60" w:line="240" w:lineRule="auto"/>
              <w:jc w:val="center"/>
              <w:rPr>
                <w:b/>
                <w:iCs/>
                <w:color w:val="000000"/>
                <w:sz w:val="20"/>
              </w:rPr>
            </w:pPr>
          </w:p>
        </w:tc>
      </w:tr>
      <w:tr w:rsidR="00EE7F09" w:rsidRPr="00ED0E89" w14:paraId="2A8CA924" w14:textId="77777777" w:rsidTr="00EE7F09">
        <w:trPr>
          <w:trHeight w:hRule="exact" w:val="255"/>
        </w:trPr>
        <w:tc>
          <w:tcPr>
            <w:tcW w:w="2977" w:type="dxa"/>
            <w:tcBorders>
              <w:top w:val="nil"/>
              <w:left w:val="nil"/>
              <w:bottom w:val="nil"/>
              <w:right w:val="nil"/>
            </w:tcBorders>
            <w:vAlign w:val="center"/>
          </w:tcPr>
          <w:p w14:paraId="1DAD2901" w14:textId="77777777" w:rsidR="00EE7F09" w:rsidRPr="00ED0E89" w:rsidRDefault="00EE7F09" w:rsidP="00EE7F09">
            <w:pPr>
              <w:spacing w:before="20" w:after="60" w:line="240" w:lineRule="auto"/>
              <w:rPr>
                <w:color w:val="000000"/>
                <w:sz w:val="20"/>
              </w:rPr>
            </w:pPr>
            <w:r w:rsidRPr="00ED0E89">
              <w:rPr>
                <w:color w:val="000000"/>
                <w:sz w:val="20"/>
              </w:rPr>
              <w:t>flathead galaxias</w:t>
            </w:r>
          </w:p>
        </w:tc>
        <w:tc>
          <w:tcPr>
            <w:tcW w:w="3686" w:type="dxa"/>
            <w:tcBorders>
              <w:top w:val="nil"/>
              <w:left w:val="nil"/>
              <w:bottom w:val="nil"/>
              <w:right w:val="nil"/>
            </w:tcBorders>
          </w:tcPr>
          <w:p w14:paraId="170AC403" w14:textId="77777777" w:rsidR="00EE7F09" w:rsidRPr="00ED0E89" w:rsidRDefault="00EE7F09" w:rsidP="00EE7F09">
            <w:pPr>
              <w:spacing w:before="20" w:after="60" w:line="240" w:lineRule="auto"/>
              <w:rPr>
                <w:i/>
                <w:iCs/>
                <w:color w:val="000000"/>
                <w:sz w:val="20"/>
              </w:rPr>
            </w:pPr>
            <w:r w:rsidRPr="00ED0E89">
              <w:rPr>
                <w:i/>
                <w:iCs/>
                <w:color w:val="000000"/>
                <w:sz w:val="20"/>
              </w:rPr>
              <w:t>Galaxias rostratus</w:t>
            </w:r>
          </w:p>
        </w:tc>
        <w:tc>
          <w:tcPr>
            <w:tcW w:w="1275" w:type="dxa"/>
            <w:tcBorders>
              <w:top w:val="nil"/>
              <w:left w:val="nil"/>
              <w:bottom w:val="nil"/>
              <w:right w:val="nil"/>
            </w:tcBorders>
          </w:tcPr>
          <w:p w14:paraId="130E66DB" w14:textId="77777777" w:rsidR="00EE7F09" w:rsidRPr="00ED0E89" w:rsidRDefault="00EE7F09" w:rsidP="00EE7F09">
            <w:pPr>
              <w:spacing w:before="20" w:after="60" w:line="240" w:lineRule="auto"/>
              <w:jc w:val="center"/>
              <w:rPr>
                <w:b/>
                <w:iCs/>
                <w:color w:val="000000"/>
                <w:sz w:val="20"/>
              </w:rPr>
            </w:pPr>
          </w:p>
        </w:tc>
      </w:tr>
      <w:tr w:rsidR="00EE7F09" w:rsidRPr="00ED0E89" w14:paraId="4D3925F9" w14:textId="77777777" w:rsidTr="00EE7F09">
        <w:trPr>
          <w:trHeight w:hRule="exact" w:val="255"/>
        </w:trPr>
        <w:tc>
          <w:tcPr>
            <w:tcW w:w="2977" w:type="dxa"/>
            <w:tcBorders>
              <w:top w:val="nil"/>
              <w:left w:val="nil"/>
              <w:bottom w:val="nil"/>
              <w:right w:val="nil"/>
            </w:tcBorders>
            <w:vAlign w:val="center"/>
          </w:tcPr>
          <w:p w14:paraId="71418BCA" w14:textId="77777777" w:rsidR="00EE7F09" w:rsidRPr="00ED0E89" w:rsidRDefault="00EE7F09" w:rsidP="00EE7F09">
            <w:pPr>
              <w:spacing w:before="20" w:after="60" w:line="240" w:lineRule="auto"/>
              <w:rPr>
                <w:color w:val="000000"/>
                <w:sz w:val="20"/>
              </w:rPr>
            </w:pPr>
            <w:r w:rsidRPr="00ED0E89">
              <w:rPr>
                <w:color w:val="000000"/>
                <w:sz w:val="20"/>
              </w:rPr>
              <w:t>Macquarie perch</w:t>
            </w:r>
          </w:p>
        </w:tc>
        <w:tc>
          <w:tcPr>
            <w:tcW w:w="3686" w:type="dxa"/>
            <w:tcBorders>
              <w:top w:val="nil"/>
              <w:left w:val="nil"/>
              <w:bottom w:val="nil"/>
              <w:right w:val="nil"/>
            </w:tcBorders>
          </w:tcPr>
          <w:p w14:paraId="7A9CA9AF" w14:textId="77777777" w:rsidR="00EE7F09" w:rsidRPr="00ED0E89" w:rsidRDefault="00EE7F09" w:rsidP="00EE7F09">
            <w:pPr>
              <w:spacing w:before="20" w:after="60" w:line="240" w:lineRule="auto"/>
              <w:rPr>
                <w:i/>
                <w:iCs/>
                <w:color w:val="000000"/>
                <w:sz w:val="20"/>
              </w:rPr>
            </w:pPr>
            <w:r w:rsidRPr="00ED0E89">
              <w:rPr>
                <w:i/>
                <w:iCs/>
                <w:color w:val="000000"/>
                <w:sz w:val="20"/>
              </w:rPr>
              <w:t>Macquaria australasica</w:t>
            </w:r>
          </w:p>
        </w:tc>
        <w:tc>
          <w:tcPr>
            <w:tcW w:w="1275" w:type="dxa"/>
            <w:tcBorders>
              <w:top w:val="nil"/>
              <w:left w:val="nil"/>
              <w:bottom w:val="nil"/>
              <w:right w:val="nil"/>
            </w:tcBorders>
          </w:tcPr>
          <w:p w14:paraId="67268E97" w14:textId="77777777" w:rsidR="00EE7F09" w:rsidRPr="00ED0E89" w:rsidRDefault="00EE7F09" w:rsidP="00EE7F09">
            <w:pPr>
              <w:spacing w:before="20" w:after="60" w:line="240" w:lineRule="auto"/>
              <w:jc w:val="center"/>
              <w:rPr>
                <w:b/>
                <w:iCs/>
                <w:color w:val="000000"/>
                <w:sz w:val="20"/>
              </w:rPr>
            </w:pPr>
          </w:p>
        </w:tc>
      </w:tr>
      <w:tr w:rsidR="00EE7F09" w:rsidRPr="00ED0E89" w14:paraId="1B517AD1" w14:textId="77777777" w:rsidTr="00EE7F09">
        <w:trPr>
          <w:trHeight w:hRule="exact" w:val="255"/>
        </w:trPr>
        <w:tc>
          <w:tcPr>
            <w:tcW w:w="2977" w:type="dxa"/>
            <w:tcBorders>
              <w:top w:val="nil"/>
              <w:left w:val="nil"/>
              <w:bottom w:val="nil"/>
              <w:right w:val="nil"/>
            </w:tcBorders>
            <w:vAlign w:val="center"/>
          </w:tcPr>
          <w:p w14:paraId="2472A99C" w14:textId="77777777" w:rsidR="00EE7F09" w:rsidRPr="00ED0E89" w:rsidRDefault="00EE7F09" w:rsidP="00EE7F09">
            <w:pPr>
              <w:spacing w:before="20" w:after="60" w:line="240" w:lineRule="auto"/>
              <w:rPr>
                <w:color w:val="000000"/>
                <w:sz w:val="20"/>
              </w:rPr>
            </w:pPr>
            <w:r w:rsidRPr="00ED0E89">
              <w:rPr>
                <w:color w:val="000000"/>
                <w:sz w:val="20"/>
              </w:rPr>
              <w:t>mountain galaxias</w:t>
            </w:r>
          </w:p>
        </w:tc>
        <w:tc>
          <w:tcPr>
            <w:tcW w:w="3686" w:type="dxa"/>
            <w:tcBorders>
              <w:top w:val="nil"/>
              <w:left w:val="nil"/>
              <w:bottom w:val="nil"/>
              <w:right w:val="nil"/>
            </w:tcBorders>
          </w:tcPr>
          <w:p w14:paraId="5DE18B94" w14:textId="77777777" w:rsidR="00EE7F09" w:rsidRPr="00ED0E89" w:rsidRDefault="00EE7F09" w:rsidP="00EE7F09">
            <w:pPr>
              <w:spacing w:before="20" w:after="60" w:line="240" w:lineRule="auto"/>
              <w:rPr>
                <w:i/>
                <w:iCs/>
                <w:color w:val="000000"/>
                <w:sz w:val="20"/>
              </w:rPr>
            </w:pPr>
            <w:r w:rsidRPr="00ED0E89">
              <w:rPr>
                <w:i/>
                <w:iCs/>
                <w:color w:val="000000"/>
                <w:sz w:val="20"/>
              </w:rPr>
              <w:t>Galaxias olidus</w:t>
            </w:r>
          </w:p>
        </w:tc>
        <w:tc>
          <w:tcPr>
            <w:tcW w:w="1275" w:type="dxa"/>
            <w:tcBorders>
              <w:top w:val="nil"/>
              <w:left w:val="nil"/>
              <w:bottom w:val="nil"/>
              <w:right w:val="nil"/>
            </w:tcBorders>
          </w:tcPr>
          <w:p w14:paraId="30B498AA" w14:textId="77777777" w:rsidR="00EE7F09" w:rsidRPr="00ED0E89" w:rsidRDefault="00EE7F09" w:rsidP="00EE7F09">
            <w:pPr>
              <w:spacing w:before="20" w:after="60" w:line="240" w:lineRule="auto"/>
              <w:jc w:val="center"/>
              <w:rPr>
                <w:b/>
                <w:iCs/>
                <w:color w:val="000000"/>
                <w:sz w:val="20"/>
              </w:rPr>
            </w:pPr>
          </w:p>
        </w:tc>
      </w:tr>
      <w:tr w:rsidR="00EE7F09" w:rsidRPr="00ED0E89" w14:paraId="07F562F5" w14:textId="77777777" w:rsidTr="00EE7F09">
        <w:trPr>
          <w:trHeight w:hRule="exact" w:val="255"/>
        </w:trPr>
        <w:tc>
          <w:tcPr>
            <w:tcW w:w="2977" w:type="dxa"/>
            <w:tcBorders>
              <w:top w:val="nil"/>
              <w:left w:val="nil"/>
              <w:bottom w:val="nil"/>
              <w:right w:val="nil"/>
            </w:tcBorders>
            <w:vAlign w:val="center"/>
          </w:tcPr>
          <w:p w14:paraId="1FE15B3A" w14:textId="77777777" w:rsidR="00EE7F09" w:rsidRPr="00ED0E89" w:rsidRDefault="00EE7F09" w:rsidP="00EE7F09">
            <w:pPr>
              <w:spacing w:before="20" w:after="60" w:line="240" w:lineRule="auto"/>
              <w:rPr>
                <w:color w:val="000000"/>
                <w:sz w:val="20"/>
              </w:rPr>
            </w:pPr>
            <w:r w:rsidRPr="00ED0E89">
              <w:rPr>
                <w:color w:val="000000"/>
                <w:sz w:val="20"/>
              </w:rPr>
              <w:t>Murray hardyhead</w:t>
            </w:r>
          </w:p>
        </w:tc>
        <w:tc>
          <w:tcPr>
            <w:tcW w:w="3686" w:type="dxa"/>
            <w:tcBorders>
              <w:top w:val="nil"/>
              <w:left w:val="nil"/>
              <w:bottom w:val="nil"/>
              <w:right w:val="nil"/>
            </w:tcBorders>
          </w:tcPr>
          <w:p w14:paraId="2375757F" w14:textId="77777777" w:rsidR="00EE7F09" w:rsidRPr="00ED0E89" w:rsidRDefault="00EE7F09" w:rsidP="00EE7F09">
            <w:pPr>
              <w:spacing w:before="20" w:after="60" w:line="240" w:lineRule="auto"/>
              <w:rPr>
                <w:i/>
                <w:iCs/>
                <w:color w:val="000000"/>
                <w:sz w:val="20"/>
              </w:rPr>
            </w:pPr>
            <w:r w:rsidRPr="00ED0E89">
              <w:rPr>
                <w:i/>
                <w:iCs/>
                <w:color w:val="000000"/>
                <w:sz w:val="20"/>
              </w:rPr>
              <w:t>Craterocephalus fluviatilis</w:t>
            </w:r>
          </w:p>
        </w:tc>
        <w:tc>
          <w:tcPr>
            <w:tcW w:w="1275" w:type="dxa"/>
            <w:tcBorders>
              <w:top w:val="nil"/>
              <w:left w:val="nil"/>
              <w:bottom w:val="nil"/>
              <w:right w:val="nil"/>
            </w:tcBorders>
          </w:tcPr>
          <w:p w14:paraId="6C29502B" w14:textId="77777777" w:rsidR="00EE7F09" w:rsidRPr="00ED0E89" w:rsidRDefault="00EE7F09" w:rsidP="00EE7F09">
            <w:pPr>
              <w:spacing w:before="20" w:after="60" w:line="240" w:lineRule="auto"/>
              <w:jc w:val="center"/>
              <w:rPr>
                <w:b/>
                <w:iCs/>
                <w:color w:val="000000"/>
                <w:sz w:val="20"/>
              </w:rPr>
            </w:pPr>
          </w:p>
        </w:tc>
      </w:tr>
      <w:tr w:rsidR="00EE7F09" w:rsidRPr="00ED0E89" w14:paraId="2B56A4E1" w14:textId="77777777" w:rsidTr="00EE7F09">
        <w:trPr>
          <w:trHeight w:hRule="exact" w:val="255"/>
        </w:trPr>
        <w:tc>
          <w:tcPr>
            <w:tcW w:w="2977" w:type="dxa"/>
            <w:tcBorders>
              <w:top w:val="nil"/>
              <w:left w:val="nil"/>
              <w:bottom w:val="nil"/>
              <w:right w:val="nil"/>
            </w:tcBorders>
            <w:vAlign w:val="center"/>
          </w:tcPr>
          <w:p w14:paraId="6BE202AE" w14:textId="77777777" w:rsidR="00EE7F09" w:rsidRPr="00ED0E89" w:rsidRDefault="00EE7F09" w:rsidP="00EE7F09">
            <w:pPr>
              <w:spacing w:before="20" w:after="60" w:line="240" w:lineRule="auto"/>
              <w:rPr>
                <w:color w:val="000000"/>
                <w:sz w:val="20"/>
              </w:rPr>
            </w:pPr>
            <w:r w:rsidRPr="00ED0E89">
              <w:rPr>
                <w:color w:val="000000"/>
                <w:sz w:val="20"/>
              </w:rPr>
              <w:t>shorthead lamprey</w:t>
            </w:r>
          </w:p>
        </w:tc>
        <w:tc>
          <w:tcPr>
            <w:tcW w:w="3686" w:type="dxa"/>
            <w:tcBorders>
              <w:top w:val="nil"/>
              <w:left w:val="nil"/>
              <w:bottom w:val="nil"/>
              <w:right w:val="nil"/>
            </w:tcBorders>
          </w:tcPr>
          <w:p w14:paraId="588DB775" w14:textId="77777777" w:rsidR="00EE7F09" w:rsidRPr="00ED0E89" w:rsidRDefault="00EE7F09" w:rsidP="00EE7F09">
            <w:pPr>
              <w:spacing w:before="20" w:after="60" w:line="240" w:lineRule="auto"/>
              <w:rPr>
                <w:i/>
                <w:iCs/>
                <w:color w:val="000000"/>
                <w:sz w:val="20"/>
              </w:rPr>
            </w:pPr>
            <w:r w:rsidRPr="00ED0E89">
              <w:rPr>
                <w:i/>
                <w:iCs/>
                <w:color w:val="000000"/>
                <w:sz w:val="20"/>
              </w:rPr>
              <w:t>Mordacia mordax</w:t>
            </w:r>
          </w:p>
        </w:tc>
        <w:tc>
          <w:tcPr>
            <w:tcW w:w="1275" w:type="dxa"/>
            <w:tcBorders>
              <w:top w:val="nil"/>
              <w:left w:val="nil"/>
              <w:bottom w:val="nil"/>
              <w:right w:val="nil"/>
            </w:tcBorders>
          </w:tcPr>
          <w:p w14:paraId="4FC3F339" w14:textId="77777777" w:rsidR="00EE7F09" w:rsidRPr="00ED0E89" w:rsidRDefault="00EE7F09" w:rsidP="00EE7F09">
            <w:pPr>
              <w:spacing w:before="20" w:after="60" w:line="240" w:lineRule="auto"/>
              <w:jc w:val="center"/>
              <w:rPr>
                <w:b/>
                <w:iCs/>
                <w:color w:val="000000"/>
                <w:sz w:val="20"/>
              </w:rPr>
            </w:pPr>
          </w:p>
        </w:tc>
      </w:tr>
      <w:tr w:rsidR="00EE7F09" w:rsidRPr="00ED0E89" w14:paraId="6AB0D027" w14:textId="77777777" w:rsidTr="00EE7F09">
        <w:trPr>
          <w:trHeight w:hRule="exact" w:val="255"/>
        </w:trPr>
        <w:tc>
          <w:tcPr>
            <w:tcW w:w="2977" w:type="dxa"/>
            <w:tcBorders>
              <w:top w:val="nil"/>
              <w:left w:val="nil"/>
              <w:bottom w:val="nil"/>
              <w:right w:val="nil"/>
            </w:tcBorders>
            <w:vAlign w:val="center"/>
          </w:tcPr>
          <w:p w14:paraId="3600170B" w14:textId="77777777" w:rsidR="00EE7F09" w:rsidRPr="00ED0E89" w:rsidRDefault="00EE7F09" w:rsidP="00EE7F09">
            <w:pPr>
              <w:spacing w:before="20" w:after="60" w:line="240" w:lineRule="auto"/>
              <w:rPr>
                <w:color w:val="000000"/>
                <w:sz w:val="20"/>
              </w:rPr>
            </w:pPr>
            <w:r w:rsidRPr="00ED0E89">
              <w:rPr>
                <w:color w:val="000000"/>
                <w:sz w:val="20"/>
              </w:rPr>
              <w:t>southern purple spotted gudgeon</w:t>
            </w:r>
          </w:p>
        </w:tc>
        <w:tc>
          <w:tcPr>
            <w:tcW w:w="3686" w:type="dxa"/>
            <w:tcBorders>
              <w:top w:val="nil"/>
              <w:left w:val="nil"/>
              <w:bottom w:val="nil"/>
              <w:right w:val="nil"/>
            </w:tcBorders>
          </w:tcPr>
          <w:p w14:paraId="3C80C987" w14:textId="77777777" w:rsidR="00EE7F09" w:rsidRPr="00ED0E89" w:rsidRDefault="00EE7F09" w:rsidP="00EE7F09">
            <w:pPr>
              <w:spacing w:before="20" w:after="60" w:line="240" w:lineRule="auto"/>
              <w:rPr>
                <w:i/>
                <w:iCs/>
                <w:color w:val="000000"/>
                <w:sz w:val="20"/>
              </w:rPr>
            </w:pPr>
            <w:r w:rsidRPr="00ED0E89">
              <w:rPr>
                <w:i/>
                <w:iCs/>
                <w:color w:val="000000"/>
                <w:sz w:val="20"/>
              </w:rPr>
              <w:t>Mogurnda adspersa</w:t>
            </w:r>
          </w:p>
        </w:tc>
        <w:tc>
          <w:tcPr>
            <w:tcW w:w="1275" w:type="dxa"/>
            <w:tcBorders>
              <w:top w:val="nil"/>
              <w:left w:val="nil"/>
              <w:bottom w:val="nil"/>
              <w:right w:val="nil"/>
            </w:tcBorders>
          </w:tcPr>
          <w:p w14:paraId="33C0134A" w14:textId="77777777" w:rsidR="00EE7F09" w:rsidRPr="00ED0E89" w:rsidRDefault="00EE7F09" w:rsidP="00EE7F09">
            <w:pPr>
              <w:spacing w:before="20" w:after="60" w:line="240" w:lineRule="auto"/>
              <w:jc w:val="center"/>
              <w:rPr>
                <w:b/>
                <w:iCs/>
                <w:color w:val="000000"/>
                <w:sz w:val="20"/>
              </w:rPr>
            </w:pPr>
          </w:p>
        </w:tc>
      </w:tr>
      <w:tr w:rsidR="00EE7F09" w:rsidRPr="00ED0E89" w14:paraId="6FAAE376" w14:textId="77777777" w:rsidTr="00EE7F09">
        <w:trPr>
          <w:trHeight w:hRule="exact" w:val="255"/>
        </w:trPr>
        <w:tc>
          <w:tcPr>
            <w:tcW w:w="2977" w:type="dxa"/>
            <w:tcBorders>
              <w:top w:val="nil"/>
              <w:left w:val="nil"/>
              <w:bottom w:val="nil"/>
              <w:right w:val="nil"/>
            </w:tcBorders>
            <w:vAlign w:val="center"/>
          </w:tcPr>
          <w:p w14:paraId="1C2E52F1" w14:textId="77777777" w:rsidR="00EE7F09" w:rsidRPr="00ED0E89" w:rsidRDefault="00EE7F09" w:rsidP="00EE7F09">
            <w:pPr>
              <w:spacing w:before="20" w:after="60" w:line="240" w:lineRule="auto"/>
              <w:rPr>
                <w:color w:val="000000"/>
                <w:sz w:val="20"/>
              </w:rPr>
            </w:pPr>
            <w:r w:rsidRPr="00ED0E89">
              <w:rPr>
                <w:color w:val="000000"/>
                <w:sz w:val="20"/>
              </w:rPr>
              <w:t>southern pygmy perch</w:t>
            </w:r>
          </w:p>
        </w:tc>
        <w:tc>
          <w:tcPr>
            <w:tcW w:w="3686" w:type="dxa"/>
            <w:tcBorders>
              <w:top w:val="nil"/>
              <w:left w:val="nil"/>
              <w:bottom w:val="nil"/>
              <w:right w:val="nil"/>
            </w:tcBorders>
          </w:tcPr>
          <w:p w14:paraId="3830BB2C" w14:textId="77777777" w:rsidR="00EE7F09" w:rsidRPr="00ED0E89" w:rsidRDefault="00EE7F09" w:rsidP="00EE7F09">
            <w:pPr>
              <w:spacing w:before="20" w:after="60" w:line="240" w:lineRule="auto"/>
              <w:rPr>
                <w:i/>
                <w:iCs/>
                <w:color w:val="000000"/>
                <w:sz w:val="20"/>
              </w:rPr>
            </w:pPr>
            <w:r w:rsidRPr="00ED0E89">
              <w:rPr>
                <w:i/>
                <w:iCs/>
                <w:color w:val="000000"/>
                <w:sz w:val="20"/>
              </w:rPr>
              <w:t>Nannoperca australis</w:t>
            </w:r>
          </w:p>
        </w:tc>
        <w:tc>
          <w:tcPr>
            <w:tcW w:w="1275" w:type="dxa"/>
            <w:tcBorders>
              <w:top w:val="nil"/>
              <w:left w:val="nil"/>
              <w:bottom w:val="nil"/>
              <w:right w:val="nil"/>
            </w:tcBorders>
          </w:tcPr>
          <w:p w14:paraId="408955BC" w14:textId="77777777" w:rsidR="00EE7F09" w:rsidRPr="00ED0E89" w:rsidRDefault="00EE7F09" w:rsidP="00EE7F09">
            <w:pPr>
              <w:spacing w:before="20" w:after="60" w:line="240" w:lineRule="auto"/>
              <w:jc w:val="center"/>
              <w:rPr>
                <w:b/>
                <w:iCs/>
                <w:color w:val="000000"/>
                <w:sz w:val="20"/>
              </w:rPr>
            </w:pPr>
          </w:p>
        </w:tc>
      </w:tr>
      <w:tr w:rsidR="00EE7F09" w:rsidRPr="00ED0E89" w14:paraId="75374814" w14:textId="77777777" w:rsidTr="00EE7F09">
        <w:tc>
          <w:tcPr>
            <w:tcW w:w="2977" w:type="dxa"/>
            <w:tcBorders>
              <w:top w:val="nil"/>
              <w:left w:val="nil"/>
              <w:bottom w:val="nil"/>
              <w:right w:val="nil"/>
            </w:tcBorders>
            <w:vAlign w:val="center"/>
          </w:tcPr>
          <w:p w14:paraId="09E521BA" w14:textId="77777777" w:rsidR="00EE7F09" w:rsidRPr="00ED0E89" w:rsidRDefault="00EE7F09" w:rsidP="00EE7F09">
            <w:pPr>
              <w:spacing w:before="20" w:after="60" w:line="240" w:lineRule="auto"/>
              <w:rPr>
                <w:color w:val="000000"/>
                <w:sz w:val="20"/>
              </w:rPr>
            </w:pPr>
          </w:p>
        </w:tc>
        <w:tc>
          <w:tcPr>
            <w:tcW w:w="3686" w:type="dxa"/>
            <w:tcBorders>
              <w:top w:val="nil"/>
              <w:left w:val="nil"/>
              <w:bottom w:val="nil"/>
              <w:right w:val="nil"/>
            </w:tcBorders>
          </w:tcPr>
          <w:p w14:paraId="364B99CA" w14:textId="77777777" w:rsidR="00EE7F09" w:rsidRPr="00ED0E89" w:rsidRDefault="00EE7F09" w:rsidP="00EE7F09">
            <w:pPr>
              <w:spacing w:before="20" w:after="60" w:line="240" w:lineRule="auto"/>
              <w:rPr>
                <w:i/>
                <w:iCs/>
                <w:color w:val="000000"/>
                <w:sz w:val="20"/>
              </w:rPr>
            </w:pPr>
          </w:p>
        </w:tc>
        <w:tc>
          <w:tcPr>
            <w:tcW w:w="1275" w:type="dxa"/>
            <w:tcBorders>
              <w:top w:val="nil"/>
              <w:left w:val="nil"/>
              <w:bottom w:val="nil"/>
              <w:right w:val="nil"/>
            </w:tcBorders>
          </w:tcPr>
          <w:p w14:paraId="0D579D39" w14:textId="77777777" w:rsidR="00EE7F09" w:rsidRPr="00ED0E89" w:rsidRDefault="00EE7F09" w:rsidP="00EE7F09">
            <w:pPr>
              <w:spacing w:before="20" w:after="60" w:line="240" w:lineRule="auto"/>
              <w:jc w:val="center"/>
              <w:rPr>
                <w:b/>
                <w:iCs/>
                <w:color w:val="000000"/>
                <w:sz w:val="20"/>
              </w:rPr>
            </w:pPr>
          </w:p>
        </w:tc>
      </w:tr>
      <w:tr w:rsidR="00EE7F09" w:rsidRPr="00ED0E89" w14:paraId="21904148" w14:textId="77777777" w:rsidTr="00EE7F09">
        <w:tc>
          <w:tcPr>
            <w:tcW w:w="2977" w:type="dxa"/>
            <w:tcBorders>
              <w:top w:val="nil"/>
              <w:left w:val="nil"/>
              <w:bottom w:val="nil"/>
              <w:right w:val="nil"/>
            </w:tcBorders>
            <w:vAlign w:val="center"/>
          </w:tcPr>
          <w:p w14:paraId="64D52631" w14:textId="77777777" w:rsidR="00EE7F09" w:rsidRPr="00ED0E89" w:rsidRDefault="00EE7F09" w:rsidP="00EE7F09">
            <w:pPr>
              <w:spacing w:before="20" w:after="60" w:line="240" w:lineRule="auto"/>
              <w:rPr>
                <w:color w:val="000000"/>
                <w:sz w:val="20"/>
              </w:rPr>
            </w:pPr>
            <w:r w:rsidRPr="00ED0E89">
              <w:rPr>
                <w:b/>
                <w:i/>
                <w:color w:val="000000"/>
                <w:sz w:val="20"/>
              </w:rPr>
              <w:t>Alien species – recorded</w:t>
            </w:r>
          </w:p>
        </w:tc>
        <w:tc>
          <w:tcPr>
            <w:tcW w:w="3686" w:type="dxa"/>
            <w:tcBorders>
              <w:top w:val="nil"/>
              <w:left w:val="nil"/>
              <w:bottom w:val="nil"/>
              <w:right w:val="nil"/>
            </w:tcBorders>
          </w:tcPr>
          <w:p w14:paraId="60271A9D" w14:textId="77777777" w:rsidR="00EE7F09" w:rsidRPr="00ED0E89" w:rsidRDefault="00EE7F09" w:rsidP="00EE7F09">
            <w:pPr>
              <w:spacing w:before="20" w:after="60" w:line="240" w:lineRule="auto"/>
              <w:rPr>
                <w:i/>
                <w:iCs/>
                <w:color w:val="000000"/>
                <w:sz w:val="20"/>
              </w:rPr>
            </w:pPr>
          </w:p>
        </w:tc>
        <w:tc>
          <w:tcPr>
            <w:tcW w:w="1275" w:type="dxa"/>
            <w:tcBorders>
              <w:top w:val="nil"/>
              <w:left w:val="nil"/>
              <w:bottom w:val="nil"/>
              <w:right w:val="nil"/>
            </w:tcBorders>
          </w:tcPr>
          <w:p w14:paraId="5734D9B1" w14:textId="77777777" w:rsidR="00EE7F09" w:rsidRPr="00ED0E89" w:rsidRDefault="00EE7F09" w:rsidP="00EE7F09">
            <w:pPr>
              <w:spacing w:before="20" w:after="60" w:line="240" w:lineRule="auto"/>
              <w:jc w:val="center"/>
              <w:rPr>
                <w:b/>
                <w:iCs/>
                <w:color w:val="000000"/>
                <w:sz w:val="20"/>
              </w:rPr>
            </w:pPr>
          </w:p>
        </w:tc>
      </w:tr>
      <w:tr w:rsidR="00EE7F09" w:rsidRPr="00ED0E89" w14:paraId="54B976DD" w14:textId="77777777" w:rsidTr="00EE7F09">
        <w:trPr>
          <w:trHeight w:hRule="exact" w:val="255"/>
        </w:trPr>
        <w:tc>
          <w:tcPr>
            <w:tcW w:w="2977" w:type="dxa"/>
            <w:tcBorders>
              <w:top w:val="nil"/>
              <w:left w:val="nil"/>
              <w:bottom w:val="nil"/>
              <w:right w:val="nil"/>
            </w:tcBorders>
            <w:vAlign w:val="center"/>
          </w:tcPr>
          <w:p w14:paraId="362522CD" w14:textId="77777777" w:rsidR="00EE7F09" w:rsidRPr="00ED0E89" w:rsidRDefault="00EE7F09" w:rsidP="00EE7F09">
            <w:pPr>
              <w:spacing w:before="20" w:after="60" w:line="240" w:lineRule="auto"/>
              <w:rPr>
                <w:color w:val="000000"/>
                <w:sz w:val="20"/>
              </w:rPr>
            </w:pPr>
            <w:r w:rsidRPr="00ED0E89">
              <w:rPr>
                <w:color w:val="000000"/>
                <w:sz w:val="20"/>
              </w:rPr>
              <w:t>common carp</w:t>
            </w:r>
          </w:p>
        </w:tc>
        <w:tc>
          <w:tcPr>
            <w:tcW w:w="3686" w:type="dxa"/>
            <w:tcBorders>
              <w:top w:val="nil"/>
              <w:left w:val="nil"/>
              <w:bottom w:val="nil"/>
              <w:right w:val="nil"/>
            </w:tcBorders>
          </w:tcPr>
          <w:p w14:paraId="49B4DC6D" w14:textId="77777777" w:rsidR="00EE7F09" w:rsidRPr="00ED0E89" w:rsidRDefault="00EE7F09" w:rsidP="00EE7F09">
            <w:pPr>
              <w:spacing w:before="20" w:after="60" w:line="240" w:lineRule="auto"/>
              <w:rPr>
                <w:i/>
                <w:iCs/>
                <w:color w:val="000000"/>
                <w:sz w:val="20"/>
              </w:rPr>
            </w:pPr>
            <w:r w:rsidRPr="00ED0E89">
              <w:rPr>
                <w:i/>
                <w:iCs/>
                <w:color w:val="000000"/>
                <w:sz w:val="20"/>
              </w:rPr>
              <w:t>Cyrpinus carpio</w:t>
            </w:r>
          </w:p>
        </w:tc>
        <w:tc>
          <w:tcPr>
            <w:tcW w:w="1275" w:type="dxa"/>
            <w:tcBorders>
              <w:top w:val="nil"/>
              <w:left w:val="nil"/>
              <w:bottom w:val="nil"/>
              <w:right w:val="nil"/>
            </w:tcBorders>
          </w:tcPr>
          <w:p w14:paraId="3A792627"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76DFFB4F" w14:textId="77777777" w:rsidTr="00EE7F09">
        <w:trPr>
          <w:trHeight w:hRule="exact" w:val="255"/>
        </w:trPr>
        <w:tc>
          <w:tcPr>
            <w:tcW w:w="2977" w:type="dxa"/>
            <w:tcBorders>
              <w:top w:val="nil"/>
              <w:left w:val="nil"/>
              <w:bottom w:val="nil"/>
              <w:right w:val="nil"/>
            </w:tcBorders>
            <w:vAlign w:val="center"/>
          </w:tcPr>
          <w:p w14:paraId="6A11EE2D" w14:textId="77777777" w:rsidR="00EE7F09" w:rsidRPr="00ED0E89" w:rsidRDefault="00EE7F09" w:rsidP="00EE7F09">
            <w:pPr>
              <w:spacing w:before="20" w:after="60" w:line="240" w:lineRule="auto"/>
              <w:rPr>
                <w:color w:val="000000"/>
                <w:sz w:val="20"/>
              </w:rPr>
            </w:pPr>
            <w:r w:rsidRPr="00ED0E89">
              <w:rPr>
                <w:color w:val="000000"/>
                <w:sz w:val="20"/>
              </w:rPr>
              <w:t>eastern gambusia</w:t>
            </w:r>
          </w:p>
        </w:tc>
        <w:tc>
          <w:tcPr>
            <w:tcW w:w="3686" w:type="dxa"/>
            <w:tcBorders>
              <w:top w:val="nil"/>
              <w:left w:val="nil"/>
              <w:bottom w:val="nil"/>
              <w:right w:val="nil"/>
            </w:tcBorders>
          </w:tcPr>
          <w:p w14:paraId="4CEB11C8" w14:textId="77777777" w:rsidR="00EE7F09" w:rsidRPr="00ED0E89" w:rsidRDefault="00EE7F09" w:rsidP="00EE7F09">
            <w:pPr>
              <w:spacing w:before="20" w:after="60" w:line="240" w:lineRule="auto"/>
              <w:rPr>
                <w:i/>
                <w:iCs/>
                <w:color w:val="000000"/>
                <w:sz w:val="20"/>
              </w:rPr>
            </w:pPr>
            <w:r w:rsidRPr="00ED0E89">
              <w:rPr>
                <w:i/>
                <w:iCs/>
                <w:color w:val="000000"/>
                <w:sz w:val="20"/>
              </w:rPr>
              <w:t>Gambusia holbrooki</w:t>
            </w:r>
          </w:p>
        </w:tc>
        <w:tc>
          <w:tcPr>
            <w:tcW w:w="1275" w:type="dxa"/>
            <w:tcBorders>
              <w:top w:val="nil"/>
              <w:left w:val="nil"/>
              <w:bottom w:val="nil"/>
              <w:right w:val="nil"/>
            </w:tcBorders>
          </w:tcPr>
          <w:p w14:paraId="711612E6"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4EB52C71" w14:textId="77777777" w:rsidTr="00EE7F09">
        <w:trPr>
          <w:trHeight w:hRule="exact" w:val="255"/>
        </w:trPr>
        <w:tc>
          <w:tcPr>
            <w:tcW w:w="2977" w:type="dxa"/>
            <w:tcBorders>
              <w:top w:val="nil"/>
              <w:left w:val="nil"/>
              <w:bottom w:val="nil"/>
              <w:right w:val="nil"/>
            </w:tcBorders>
            <w:vAlign w:val="center"/>
          </w:tcPr>
          <w:p w14:paraId="09B90C59" w14:textId="77777777" w:rsidR="00EE7F09" w:rsidRPr="00ED0E89" w:rsidRDefault="00EE7F09" w:rsidP="00EE7F09">
            <w:pPr>
              <w:spacing w:before="20" w:after="60" w:line="240" w:lineRule="auto"/>
              <w:rPr>
                <w:color w:val="000000"/>
                <w:sz w:val="20"/>
              </w:rPr>
            </w:pPr>
            <w:r w:rsidRPr="00ED0E89">
              <w:rPr>
                <w:color w:val="000000"/>
                <w:sz w:val="20"/>
              </w:rPr>
              <w:t>oriental weatherloach</w:t>
            </w:r>
          </w:p>
        </w:tc>
        <w:tc>
          <w:tcPr>
            <w:tcW w:w="3686" w:type="dxa"/>
            <w:tcBorders>
              <w:top w:val="nil"/>
              <w:left w:val="nil"/>
              <w:bottom w:val="nil"/>
              <w:right w:val="nil"/>
            </w:tcBorders>
          </w:tcPr>
          <w:p w14:paraId="1B1B758C" w14:textId="77777777" w:rsidR="00EE7F09" w:rsidRPr="00ED0E89" w:rsidRDefault="00EE7F09" w:rsidP="00EE7F09">
            <w:pPr>
              <w:spacing w:before="20" w:after="60" w:line="240" w:lineRule="auto"/>
              <w:rPr>
                <w:i/>
                <w:iCs/>
                <w:color w:val="000000"/>
                <w:sz w:val="20"/>
              </w:rPr>
            </w:pPr>
            <w:r w:rsidRPr="00ED0E89">
              <w:rPr>
                <w:i/>
                <w:iCs/>
                <w:color w:val="000000"/>
                <w:sz w:val="20"/>
              </w:rPr>
              <w:t>Misgurnus anguillicaudatus</w:t>
            </w:r>
          </w:p>
        </w:tc>
        <w:tc>
          <w:tcPr>
            <w:tcW w:w="1275" w:type="dxa"/>
            <w:tcBorders>
              <w:top w:val="nil"/>
              <w:left w:val="nil"/>
              <w:bottom w:val="nil"/>
              <w:right w:val="nil"/>
            </w:tcBorders>
          </w:tcPr>
          <w:p w14:paraId="07792CB7"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63C8C9E5" w14:textId="77777777" w:rsidTr="00EE7F09">
        <w:trPr>
          <w:trHeight w:hRule="exact" w:val="255"/>
        </w:trPr>
        <w:tc>
          <w:tcPr>
            <w:tcW w:w="2977" w:type="dxa"/>
            <w:tcBorders>
              <w:top w:val="nil"/>
              <w:left w:val="nil"/>
              <w:bottom w:val="nil"/>
              <w:right w:val="nil"/>
            </w:tcBorders>
            <w:vAlign w:val="center"/>
          </w:tcPr>
          <w:p w14:paraId="1776BB3A" w14:textId="77777777" w:rsidR="00EE7F09" w:rsidRPr="00ED0E89" w:rsidRDefault="00EE7F09" w:rsidP="00EE7F09">
            <w:pPr>
              <w:spacing w:before="20" w:after="60" w:line="240" w:lineRule="auto"/>
              <w:rPr>
                <w:color w:val="000000"/>
                <w:sz w:val="20"/>
              </w:rPr>
            </w:pPr>
            <w:r w:rsidRPr="00ED0E89">
              <w:rPr>
                <w:color w:val="000000"/>
                <w:sz w:val="20"/>
              </w:rPr>
              <w:t>redfin perch</w:t>
            </w:r>
          </w:p>
        </w:tc>
        <w:tc>
          <w:tcPr>
            <w:tcW w:w="3686" w:type="dxa"/>
            <w:tcBorders>
              <w:top w:val="nil"/>
              <w:left w:val="nil"/>
              <w:bottom w:val="nil"/>
              <w:right w:val="nil"/>
            </w:tcBorders>
          </w:tcPr>
          <w:p w14:paraId="40F9612F" w14:textId="77777777" w:rsidR="00EE7F09" w:rsidRPr="00ED0E89" w:rsidRDefault="00EE7F09" w:rsidP="00EE7F09">
            <w:pPr>
              <w:spacing w:before="20" w:after="60" w:line="240" w:lineRule="auto"/>
              <w:rPr>
                <w:i/>
                <w:iCs/>
                <w:color w:val="000000"/>
                <w:sz w:val="20"/>
              </w:rPr>
            </w:pPr>
            <w:r w:rsidRPr="00ED0E89">
              <w:rPr>
                <w:i/>
                <w:iCs/>
                <w:color w:val="000000"/>
                <w:sz w:val="20"/>
              </w:rPr>
              <w:t>Perca fluviatilis</w:t>
            </w:r>
          </w:p>
        </w:tc>
        <w:tc>
          <w:tcPr>
            <w:tcW w:w="1275" w:type="dxa"/>
            <w:tcBorders>
              <w:top w:val="nil"/>
              <w:left w:val="nil"/>
              <w:bottom w:val="nil"/>
              <w:right w:val="nil"/>
            </w:tcBorders>
          </w:tcPr>
          <w:p w14:paraId="3A121BFF" w14:textId="77777777" w:rsidR="00EE7F09" w:rsidRPr="00ED0E89" w:rsidRDefault="00EE7F09" w:rsidP="00EE7F09">
            <w:pPr>
              <w:spacing w:before="20" w:after="60" w:line="240" w:lineRule="auto"/>
              <w:jc w:val="center"/>
              <w:rPr>
                <w:b/>
                <w:iCs/>
                <w:color w:val="000000"/>
                <w:sz w:val="20"/>
              </w:rPr>
            </w:pPr>
            <w:r w:rsidRPr="00ED0E89">
              <w:rPr>
                <w:b/>
                <w:iCs/>
                <w:color w:val="000000"/>
                <w:sz w:val="20"/>
              </w:rPr>
              <w:t>*</w:t>
            </w:r>
          </w:p>
        </w:tc>
      </w:tr>
      <w:tr w:rsidR="00EE7F09" w:rsidRPr="00ED0E89" w14:paraId="108A8D08" w14:textId="77777777" w:rsidTr="00EE7F09">
        <w:trPr>
          <w:trHeight w:hRule="exact" w:val="255"/>
        </w:trPr>
        <w:tc>
          <w:tcPr>
            <w:tcW w:w="2977" w:type="dxa"/>
            <w:tcBorders>
              <w:top w:val="nil"/>
              <w:left w:val="nil"/>
              <w:bottom w:val="single" w:sz="4" w:space="0" w:color="auto"/>
              <w:right w:val="nil"/>
            </w:tcBorders>
            <w:vAlign w:val="center"/>
          </w:tcPr>
          <w:p w14:paraId="28F6423D" w14:textId="77777777" w:rsidR="00EE7F09" w:rsidRPr="00ED0E89" w:rsidRDefault="00EE7F09" w:rsidP="00EE7F09">
            <w:pPr>
              <w:spacing w:before="20" w:after="60" w:line="240" w:lineRule="auto"/>
              <w:rPr>
                <w:color w:val="000000"/>
                <w:sz w:val="20"/>
              </w:rPr>
            </w:pPr>
            <w:r w:rsidRPr="00ED0E89">
              <w:rPr>
                <w:color w:val="000000"/>
                <w:sz w:val="20"/>
              </w:rPr>
              <w:t>goldfish</w:t>
            </w:r>
          </w:p>
        </w:tc>
        <w:tc>
          <w:tcPr>
            <w:tcW w:w="3686" w:type="dxa"/>
            <w:tcBorders>
              <w:top w:val="nil"/>
              <w:left w:val="nil"/>
              <w:bottom w:val="single" w:sz="4" w:space="0" w:color="auto"/>
              <w:right w:val="nil"/>
            </w:tcBorders>
          </w:tcPr>
          <w:p w14:paraId="0A57F528" w14:textId="77777777" w:rsidR="00EE7F09" w:rsidRPr="00ED0E89" w:rsidRDefault="00EE7F09" w:rsidP="00EE7F09">
            <w:pPr>
              <w:spacing w:before="20" w:after="60" w:line="240" w:lineRule="auto"/>
              <w:rPr>
                <w:i/>
                <w:iCs/>
                <w:color w:val="000000"/>
                <w:sz w:val="20"/>
              </w:rPr>
            </w:pPr>
            <w:r w:rsidRPr="00ED0E89">
              <w:rPr>
                <w:i/>
                <w:iCs/>
                <w:color w:val="000000"/>
                <w:sz w:val="20"/>
              </w:rPr>
              <w:t>Carrassius auratus</w:t>
            </w:r>
          </w:p>
        </w:tc>
        <w:tc>
          <w:tcPr>
            <w:tcW w:w="1275" w:type="dxa"/>
            <w:tcBorders>
              <w:top w:val="nil"/>
              <w:left w:val="nil"/>
              <w:bottom w:val="single" w:sz="4" w:space="0" w:color="auto"/>
              <w:right w:val="nil"/>
            </w:tcBorders>
          </w:tcPr>
          <w:p w14:paraId="6B64AE95" w14:textId="77777777" w:rsidR="00EE7F09" w:rsidRPr="00ED0E89" w:rsidRDefault="00EE7F09" w:rsidP="00EE7F09">
            <w:pPr>
              <w:spacing w:before="20" w:after="60" w:line="240" w:lineRule="auto"/>
              <w:jc w:val="center"/>
              <w:rPr>
                <w:b/>
                <w:iCs/>
                <w:color w:val="000000"/>
                <w:sz w:val="20"/>
              </w:rPr>
            </w:pPr>
          </w:p>
        </w:tc>
      </w:tr>
    </w:tbl>
    <w:p w14:paraId="2E512BF9" w14:textId="77777777" w:rsidR="00EE7F09" w:rsidRDefault="00EE7F09" w:rsidP="00EE7F09">
      <w:pPr>
        <w:rPr>
          <w:b/>
          <w:color w:val="006666"/>
          <w:sz w:val="28"/>
          <w:szCs w:val="28"/>
        </w:rPr>
      </w:pPr>
    </w:p>
    <w:p w14:paraId="7B10AE8B" w14:textId="77777777" w:rsidR="00EE7F09" w:rsidRDefault="00EE7F09" w:rsidP="00EE7F09">
      <w:pPr>
        <w:rPr>
          <w:b/>
          <w:color w:val="006666"/>
          <w:sz w:val="28"/>
          <w:szCs w:val="28"/>
        </w:rPr>
      </w:pPr>
      <w:r w:rsidRPr="00ED0E89">
        <w:rPr>
          <w:noProof/>
          <w:sz w:val="20"/>
          <w:lang w:eastAsia="en-AU"/>
        </w:rPr>
        <w:drawing>
          <wp:inline distT="0" distB="0" distL="0" distR="0" wp14:anchorId="4EA3FF2F" wp14:editId="04819CAC">
            <wp:extent cx="5392507" cy="48600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392507" cy="4860000"/>
                    </a:xfrm>
                    <a:prstGeom prst="rect">
                      <a:avLst/>
                    </a:prstGeom>
                    <a:noFill/>
                  </pic:spPr>
                </pic:pic>
              </a:graphicData>
            </a:graphic>
          </wp:inline>
        </w:drawing>
      </w:r>
    </w:p>
    <w:p w14:paraId="4A050873" w14:textId="77777777" w:rsidR="00EE7F09" w:rsidRDefault="00EE7F09" w:rsidP="00523C98">
      <w:pPr>
        <w:spacing w:line="240" w:lineRule="auto"/>
        <w:jc w:val="left"/>
        <w:rPr>
          <w:color w:val="000000" w:themeColor="text1"/>
          <w:sz w:val="20"/>
        </w:rPr>
      </w:pPr>
      <w:r>
        <w:rPr>
          <w:b/>
          <w:color w:val="000000" w:themeColor="text1"/>
          <w:sz w:val="20"/>
        </w:rPr>
        <w:t>Figure 8</w:t>
      </w:r>
      <w:r w:rsidRPr="00C43A0B">
        <w:rPr>
          <w:b/>
          <w:color w:val="000000" w:themeColor="text1"/>
          <w:sz w:val="20"/>
        </w:rPr>
        <w:t>.1</w:t>
      </w:r>
      <w:r>
        <w:rPr>
          <w:color w:val="000000" w:themeColor="text1"/>
          <w:sz w:val="20"/>
        </w:rPr>
        <w:t xml:space="preserve"> </w:t>
      </w:r>
      <w:r w:rsidRPr="00C43A0B">
        <w:rPr>
          <w:color w:val="000000" w:themeColor="text1"/>
          <w:sz w:val="20"/>
        </w:rPr>
        <w:t>Conceptual diagram illustrating the linkages between different types of environmental watering (freshes,</w:t>
      </w:r>
      <w:r>
        <w:rPr>
          <w:color w:val="000000" w:themeColor="text1"/>
          <w:sz w:val="20"/>
        </w:rPr>
        <w:t xml:space="preserve"> </w:t>
      </w:r>
      <w:r w:rsidRPr="00C43A0B">
        <w:rPr>
          <w:color w:val="000000" w:themeColor="text1"/>
          <w:sz w:val="20"/>
        </w:rPr>
        <w:t>overbank flows, low</w:t>
      </w:r>
      <w:r>
        <w:rPr>
          <w:color w:val="000000" w:themeColor="text1"/>
          <w:sz w:val="20"/>
        </w:rPr>
        <w:t xml:space="preserve"> flows) to fish populations via</w:t>
      </w:r>
      <w:r w:rsidRPr="00C43A0B">
        <w:rPr>
          <w:color w:val="000000" w:themeColor="text1"/>
          <w:sz w:val="20"/>
        </w:rPr>
        <w:t xml:space="preserve"> key ecological processes. Key ecological processes that are being monitored as</w:t>
      </w:r>
      <w:r>
        <w:rPr>
          <w:color w:val="000000" w:themeColor="text1"/>
          <w:sz w:val="20"/>
        </w:rPr>
        <w:t xml:space="preserve"> part of the Edward/Kolety-Wakool Monitoring, Evaluation and Research P</w:t>
      </w:r>
      <w:r w:rsidRPr="00C43A0B">
        <w:rPr>
          <w:color w:val="000000" w:themeColor="text1"/>
          <w:sz w:val="20"/>
        </w:rPr>
        <w:t xml:space="preserve">lan are highlighted in blue. </w:t>
      </w:r>
    </w:p>
    <w:p w14:paraId="3AFF9191" w14:textId="77777777" w:rsidR="00EE7F09" w:rsidRPr="00ED0E89" w:rsidRDefault="00EE7F09" w:rsidP="00EE7F09">
      <w:pPr>
        <w:spacing w:after="120" w:line="324" w:lineRule="exact"/>
        <w:rPr>
          <w:b/>
          <w:i/>
          <w:color w:val="31849B"/>
          <w:sz w:val="24"/>
          <w:szCs w:val="24"/>
          <w:lang w:val="en-US"/>
        </w:rPr>
      </w:pPr>
      <w:r w:rsidRPr="00ED0E89">
        <w:rPr>
          <w:b/>
          <w:i/>
          <w:color w:val="31849B"/>
          <w:sz w:val="24"/>
          <w:szCs w:val="24"/>
          <w:lang w:val="en-US"/>
        </w:rPr>
        <w:t>Fish movement</w:t>
      </w:r>
    </w:p>
    <w:p w14:paraId="79804CE7" w14:textId="77777777" w:rsidR="00EE7F09" w:rsidRPr="00ED0E89" w:rsidRDefault="00EE7F09" w:rsidP="00523C98">
      <w:pPr>
        <w:spacing w:after="120" w:line="324" w:lineRule="exact"/>
        <w:jc w:val="left"/>
        <w:rPr>
          <w:color w:val="000000"/>
          <w:lang w:val="en-US"/>
        </w:rPr>
      </w:pPr>
      <w:r w:rsidRPr="00ED0E89">
        <w:rPr>
          <w:color w:val="000000"/>
          <w:lang w:val="en-US"/>
        </w:rPr>
        <w:t>We use</w:t>
      </w:r>
      <w:r>
        <w:rPr>
          <w:color w:val="000000"/>
          <w:lang w:val="en-US"/>
        </w:rPr>
        <w:t>d</w:t>
      </w:r>
      <w:r w:rsidRPr="00ED0E89">
        <w:rPr>
          <w:color w:val="000000"/>
          <w:lang w:val="en-US"/>
        </w:rPr>
        <w:t xml:space="preserve"> acoustic telemetry methods for investigating broad-scale and fine-scale fish movement of golden perch adults.</w:t>
      </w:r>
      <w:r>
        <w:rPr>
          <w:color w:val="000000"/>
          <w:lang w:val="en-US"/>
        </w:rPr>
        <w:t xml:space="preserve"> </w:t>
      </w:r>
      <w:r w:rsidRPr="00ED0E89">
        <w:rPr>
          <w:color w:val="000000"/>
          <w:lang w:val="en-US"/>
        </w:rPr>
        <w:t>This information can be used to quantify large scale dispersal, including movements to and from refuge habitats, and serves as a useful additional line of evidence to infer successful reproduction (e.g. Thiem et al. 2013, Walsh et al. 2013).</w:t>
      </w:r>
      <w:r>
        <w:rPr>
          <w:color w:val="000000"/>
          <w:lang w:val="en-US"/>
        </w:rPr>
        <w:t xml:space="preserve"> Specifically, the movement response of golden perch already fitted with active acoustic transmitters was monitored from May 2019-September 2019 in response to a winter watering event. More general information in the context of fish movement data collections during LTIM are presented in this report and can also be found in Thiem et al. (2020). Monitoring of fish movement studies will not continue as part of the Edward/Kolety-Wakool MER Plan after 2019, although the data generated through LTIM in this region will be integrated into the basin scale MER research project.</w:t>
      </w:r>
    </w:p>
    <w:p w14:paraId="1A6B8CE8" w14:textId="77777777" w:rsidR="0046477B" w:rsidRDefault="0046477B">
      <w:pPr>
        <w:spacing w:after="0" w:line="240" w:lineRule="auto"/>
        <w:jc w:val="left"/>
        <w:rPr>
          <w:b/>
          <w:i/>
          <w:color w:val="31849B"/>
          <w:sz w:val="24"/>
          <w:szCs w:val="24"/>
          <w:lang w:val="en-US"/>
        </w:rPr>
      </w:pPr>
      <w:r>
        <w:rPr>
          <w:b/>
          <w:i/>
          <w:color w:val="31849B"/>
          <w:sz w:val="24"/>
          <w:szCs w:val="24"/>
          <w:lang w:val="en-US"/>
        </w:rPr>
        <w:br w:type="page"/>
      </w:r>
    </w:p>
    <w:p w14:paraId="5B31510B" w14:textId="46468510" w:rsidR="00EE7F09" w:rsidRPr="00ED0E89" w:rsidRDefault="00EE7F09" w:rsidP="00EE7F09">
      <w:pPr>
        <w:spacing w:after="120" w:line="324" w:lineRule="exact"/>
        <w:rPr>
          <w:b/>
          <w:i/>
          <w:color w:val="31849B"/>
          <w:sz w:val="24"/>
          <w:szCs w:val="24"/>
          <w:lang w:val="en-US"/>
        </w:rPr>
      </w:pPr>
      <w:r w:rsidRPr="00ED0E89">
        <w:rPr>
          <w:b/>
          <w:i/>
          <w:color w:val="31849B"/>
          <w:sz w:val="24"/>
          <w:szCs w:val="24"/>
          <w:lang w:val="en-US"/>
        </w:rPr>
        <w:t>Fish spawning and reproduction</w:t>
      </w:r>
    </w:p>
    <w:p w14:paraId="0DFF01BE" w14:textId="77777777" w:rsidR="00EE7F09" w:rsidRPr="00ED0E89" w:rsidRDefault="00EE7F09" w:rsidP="00523C98">
      <w:pPr>
        <w:spacing w:after="120" w:line="324" w:lineRule="exact"/>
        <w:jc w:val="left"/>
        <w:rPr>
          <w:color w:val="000000"/>
          <w:lang w:val="en-US"/>
        </w:rPr>
      </w:pPr>
      <w:r w:rsidRPr="00ED0E89">
        <w:rPr>
          <w:color w:val="000000"/>
          <w:lang w:val="en-US"/>
        </w:rPr>
        <w:t xml:space="preserve">Monitoring the diversity and abundance of fish </w:t>
      </w:r>
      <w:r>
        <w:rPr>
          <w:color w:val="000000"/>
          <w:lang w:val="en-US"/>
        </w:rPr>
        <w:t xml:space="preserve">eggs and </w:t>
      </w:r>
      <w:r w:rsidRPr="00ED0E89">
        <w:rPr>
          <w:color w:val="000000"/>
          <w:lang w:val="en-US"/>
        </w:rPr>
        <w:t xml:space="preserve">larvae across the spring-summer spawning period is used to identify which fish species have successfully spawned, and under what hydraulic and temperature conditions. This information </w:t>
      </w:r>
      <w:r>
        <w:rPr>
          <w:color w:val="000000"/>
          <w:lang w:val="en-US"/>
        </w:rPr>
        <w:t xml:space="preserve">provides will allow us to develop ecologically meaningful flow-spawning </w:t>
      </w:r>
      <w:r w:rsidRPr="00ED0E89">
        <w:rPr>
          <w:color w:val="000000"/>
          <w:lang w:val="en-US"/>
        </w:rPr>
        <w:t>rel</w:t>
      </w:r>
      <w:r>
        <w:rPr>
          <w:color w:val="000000"/>
          <w:lang w:val="en-US"/>
        </w:rPr>
        <w:t>ationships for</w:t>
      </w:r>
      <w:r w:rsidRPr="00ED0E89">
        <w:rPr>
          <w:color w:val="000000"/>
          <w:lang w:val="en-US"/>
        </w:rPr>
        <w:t xml:space="preserve"> the Edward</w:t>
      </w:r>
      <w:r>
        <w:rPr>
          <w:color w:val="000000"/>
          <w:lang w:val="en-US"/>
        </w:rPr>
        <w:t>/Kolety</w:t>
      </w:r>
      <w:r w:rsidRPr="00ED0E89">
        <w:rPr>
          <w:color w:val="000000"/>
          <w:lang w:val="en-US"/>
        </w:rPr>
        <w:t>-Wakool fish assemblage and will assist in future planning of environmental water delivery for fish population outcomes.</w:t>
      </w:r>
    </w:p>
    <w:p w14:paraId="0AF29B56" w14:textId="77777777" w:rsidR="00EE7F09" w:rsidRPr="00ED0E89" w:rsidRDefault="00EE7F09" w:rsidP="00523C98">
      <w:pPr>
        <w:spacing w:after="120" w:line="324" w:lineRule="exact"/>
        <w:jc w:val="left"/>
        <w:rPr>
          <w:b/>
          <w:i/>
          <w:color w:val="31849B"/>
          <w:sz w:val="24"/>
          <w:szCs w:val="24"/>
          <w:lang w:val="en-US"/>
        </w:rPr>
      </w:pPr>
      <w:r w:rsidRPr="00ED0E89">
        <w:rPr>
          <w:b/>
          <w:i/>
          <w:color w:val="31849B"/>
          <w:sz w:val="24"/>
          <w:szCs w:val="24"/>
          <w:lang w:val="en-US"/>
        </w:rPr>
        <w:t>Recruitment of Murray cod, silver perch and golden perch</w:t>
      </w:r>
    </w:p>
    <w:p w14:paraId="183DE665" w14:textId="77777777" w:rsidR="00EE7F09" w:rsidRPr="00ED0E89" w:rsidRDefault="00EE7F09" w:rsidP="00523C98">
      <w:pPr>
        <w:spacing w:after="120" w:line="324" w:lineRule="exact"/>
        <w:jc w:val="left"/>
        <w:rPr>
          <w:color w:val="000000"/>
          <w:lang w:val="en-US"/>
        </w:rPr>
      </w:pPr>
      <w:r w:rsidRPr="00ED0E89">
        <w:rPr>
          <w:color w:val="000000"/>
          <w:lang w:val="en-US"/>
        </w:rPr>
        <w:t>Relationships among early life-history growth and recruitment ultimately determine the abundance of many marine fish population</w:t>
      </w:r>
      <w:r>
        <w:rPr>
          <w:color w:val="000000"/>
          <w:lang w:val="en-US"/>
        </w:rPr>
        <w:t>s</w:t>
      </w:r>
      <w:r w:rsidRPr="00ED0E89">
        <w:rPr>
          <w:color w:val="000000"/>
          <w:lang w:val="en-US"/>
        </w:rPr>
        <w:t xml:space="preserve"> (Pepin et al. 2015), but much less is known about how these factors contribute to populations of freshwater species. It is well established that many species of fish in the Murray-Darling basin do not require over-bank flows, or changes in water level to indicate spawning (Humphries et al. 1999), but nonetheless </w:t>
      </w:r>
      <w:r w:rsidRPr="00ED0E89">
        <w:rPr>
          <w:i/>
          <w:color w:val="000000"/>
          <w:lang w:val="en-US"/>
        </w:rPr>
        <w:t>recruitment</w:t>
      </w:r>
      <w:r w:rsidRPr="00ED0E89">
        <w:rPr>
          <w:color w:val="000000"/>
          <w:lang w:val="en-US"/>
        </w:rPr>
        <w:t xml:space="preserve"> of all speci</w:t>
      </w:r>
      <w:r>
        <w:rPr>
          <w:color w:val="000000"/>
          <w:lang w:val="en-US"/>
        </w:rPr>
        <w:t>es may be affected by disruption</w:t>
      </w:r>
      <w:r w:rsidRPr="00ED0E89">
        <w:rPr>
          <w:color w:val="000000"/>
          <w:lang w:val="en-US"/>
        </w:rPr>
        <w:t xml:space="preserve"> to the natural flow regime, and environmental flows may be able to address this. </w:t>
      </w:r>
      <w:r>
        <w:rPr>
          <w:color w:val="000000"/>
          <w:lang w:val="en-US"/>
        </w:rPr>
        <w:t>F</w:t>
      </w:r>
      <w:r w:rsidRPr="00ED0E89">
        <w:rPr>
          <w:color w:val="000000"/>
          <w:lang w:val="en-US"/>
        </w:rPr>
        <w:t>ish recruitment monitoring was developed specifically for the Edward</w:t>
      </w:r>
      <w:r>
        <w:rPr>
          <w:color w:val="000000"/>
          <w:lang w:val="en-US"/>
        </w:rPr>
        <w:t>/Kolety</w:t>
      </w:r>
      <w:r w:rsidRPr="00ED0E89">
        <w:rPr>
          <w:color w:val="000000"/>
          <w:lang w:val="en-US"/>
        </w:rPr>
        <w:t>-Wakool system in order to target juvenile Murray cod, silver perch and golden perch. This monitoring enables comparison of juvenile growth rates among zones of the Edward</w:t>
      </w:r>
      <w:r>
        <w:rPr>
          <w:color w:val="000000"/>
          <w:lang w:val="en-US"/>
        </w:rPr>
        <w:t>/Kolety</w:t>
      </w:r>
      <w:r w:rsidRPr="00ED0E89">
        <w:rPr>
          <w:color w:val="000000"/>
          <w:lang w:val="en-US"/>
        </w:rPr>
        <w:t>-Wakool and is used to determine recruitment variation of these species among years, in response to environmental watering.</w:t>
      </w:r>
    </w:p>
    <w:p w14:paraId="19BC745B" w14:textId="77777777" w:rsidR="00EE7F09" w:rsidRPr="00ED0E89" w:rsidRDefault="00EE7F09" w:rsidP="00EE7F09">
      <w:pPr>
        <w:spacing w:after="120" w:line="324" w:lineRule="exact"/>
        <w:rPr>
          <w:b/>
          <w:i/>
          <w:color w:val="31849B"/>
          <w:sz w:val="24"/>
          <w:szCs w:val="24"/>
          <w:lang w:val="en-US"/>
        </w:rPr>
      </w:pPr>
      <w:r w:rsidRPr="00ED0E89">
        <w:rPr>
          <w:b/>
          <w:i/>
          <w:color w:val="31849B"/>
          <w:sz w:val="24"/>
          <w:szCs w:val="24"/>
          <w:lang w:val="en-US"/>
        </w:rPr>
        <w:t>Adult fish community</w:t>
      </w:r>
    </w:p>
    <w:p w14:paraId="6DC87B5B" w14:textId="77777777" w:rsidR="00EE7F09" w:rsidRPr="00ED0E89" w:rsidRDefault="00EE7F09" w:rsidP="00523C98">
      <w:pPr>
        <w:spacing w:after="120" w:line="324" w:lineRule="exact"/>
        <w:jc w:val="left"/>
        <w:rPr>
          <w:color w:val="000000"/>
          <w:lang w:val="en-US"/>
        </w:rPr>
      </w:pPr>
      <w:r w:rsidRPr="00ED0E89">
        <w:rPr>
          <w:color w:val="000000"/>
          <w:lang w:val="en-US"/>
        </w:rPr>
        <w:t>Evaluation of the adult fish community to Commonwealth environmental watering is being undertaken in the Edward</w:t>
      </w:r>
      <w:r>
        <w:rPr>
          <w:color w:val="000000"/>
          <w:lang w:val="en-US"/>
        </w:rPr>
        <w:t>/Kolety</w:t>
      </w:r>
      <w:r w:rsidRPr="00ED0E89">
        <w:rPr>
          <w:color w:val="000000"/>
          <w:lang w:val="en-US"/>
        </w:rPr>
        <w:t>-Wakool River system</w:t>
      </w:r>
      <w:r>
        <w:rPr>
          <w:color w:val="000000"/>
          <w:lang w:val="en-US"/>
        </w:rPr>
        <w:t xml:space="preserve">. This work will allow us to </w:t>
      </w:r>
      <w:r w:rsidRPr="00ED0E89">
        <w:rPr>
          <w:color w:val="000000"/>
          <w:lang w:val="en-US"/>
        </w:rPr>
        <w:t>determine long-term trajectories in the fish community assemblage in response to Commonwealth environmental watering, and to assess if movement, spawning and recruitment ultimately lead to positive responses (condition, biomass, abundance, diversity) in the adult fish community bot</w:t>
      </w:r>
      <w:r>
        <w:rPr>
          <w:color w:val="000000"/>
          <w:lang w:val="en-US"/>
        </w:rPr>
        <w:t>h within and outside of the MER</w:t>
      </w:r>
      <w:r w:rsidRPr="00ED0E89">
        <w:rPr>
          <w:color w:val="000000"/>
          <w:lang w:val="en-US"/>
        </w:rPr>
        <w:t xml:space="preserve"> focal area. It is anticipated that changes to the fish community will occur over longer time scales, and as such a broad-scale monitoring p</w:t>
      </w:r>
      <w:r>
        <w:rPr>
          <w:color w:val="000000"/>
          <w:lang w:val="en-US"/>
        </w:rPr>
        <w:t>rogram of the fish community will be</w:t>
      </w:r>
      <w:r w:rsidRPr="00ED0E89">
        <w:rPr>
          <w:color w:val="000000"/>
          <w:lang w:val="en-US"/>
        </w:rPr>
        <w:t xml:space="preserve"> undertaken in </w:t>
      </w:r>
      <w:r>
        <w:rPr>
          <w:color w:val="000000"/>
          <w:lang w:val="en-US"/>
        </w:rPr>
        <w:t>year three of the MER program</w:t>
      </w:r>
      <w:r w:rsidRPr="00ED0E89">
        <w:rPr>
          <w:color w:val="000000"/>
          <w:lang w:val="en-US"/>
        </w:rPr>
        <w:t xml:space="preserve"> (</w:t>
      </w:r>
      <w:r>
        <w:rPr>
          <w:color w:val="000000"/>
          <w:lang w:val="en-US"/>
        </w:rPr>
        <w:t>2021-2022</w:t>
      </w:r>
      <w:r w:rsidRPr="00ED0E89">
        <w:rPr>
          <w:color w:val="000000"/>
          <w:lang w:val="en-US"/>
        </w:rPr>
        <w:t xml:space="preserve">). Additionally, annual fish community censuses are undertaken within a single focal zone (Wakool River, zone 3) to provide data for Basin-scale evaluation of fish communities </w:t>
      </w:r>
      <w:r>
        <w:rPr>
          <w:color w:val="000000"/>
          <w:lang w:val="en-US"/>
        </w:rPr>
        <w:t xml:space="preserve">(see </w:t>
      </w:r>
      <w:hyperlink r:id="rId95" w:history="1">
        <w:r w:rsidRPr="007F5890">
          <w:rPr>
            <w:rStyle w:val="Hyperlink"/>
            <w:lang w:val="en-US"/>
          </w:rPr>
          <w:t>https://www.environment.gov.au/water/cewo/publications/cewo-ltim-basin-evaluation-plan</w:t>
        </w:r>
      </w:hyperlink>
      <w:r>
        <w:rPr>
          <w:color w:val="000000"/>
          <w:lang w:val="en-US"/>
        </w:rPr>
        <w:t xml:space="preserve">) </w:t>
      </w:r>
      <w:r w:rsidRPr="00ED0E89">
        <w:rPr>
          <w:color w:val="000000"/>
          <w:lang w:val="en-US"/>
        </w:rPr>
        <w:t xml:space="preserve">and these data are incorporated into our Selected Area evaluation, where relevant. </w:t>
      </w:r>
    </w:p>
    <w:p w14:paraId="3F314A05" w14:textId="77777777" w:rsidR="00EE7F09" w:rsidRDefault="00EE7F09" w:rsidP="00EE7F09">
      <w:pPr>
        <w:rPr>
          <w:b/>
          <w:color w:val="006666"/>
          <w:sz w:val="28"/>
          <w:szCs w:val="28"/>
        </w:rPr>
      </w:pPr>
    </w:p>
    <w:p w14:paraId="60F17450" w14:textId="77777777" w:rsidR="00EE7F09" w:rsidRDefault="00EE7F09" w:rsidP="00EE7F09">
      <w:pPr>
        <w:rPr>
          <w:b/>
          <w:color w:val="31849B"/>
          <w:sz w:val="28"/>
          <w:szCs w:val="28"/>
        </w:rPr>
      </w:pPr>
      <w:r>
        <w:rPr>
          <w:b/>
          <w:color w:val="31849B"/>
          <w:sz w:val="28"/>
          <w:szCs w:val="28"/>
        </w:rPr>
        <w:br w:type="page"/>
      </w:r>
    </w:p>
    <w:p w14:paraId="2A07FA61" w14:textId="77777777" w:rsidR="00EE7F09" w:rsidRPr="0082565E" w:rsidRDefault="00EE7F09" w:rsidP="00EE7F09">
      <w:pPr>
        <w:spacing w:after="0" w:line="240" w:lineRule="auto"/>
        <w:rPr>
          <w:b/>
          <w:color w:val="215868"/>
          <w:sz w:val="28"/>
          <w:szCs w:val="28"/>
          <w:lang w:val="en-US"/>
        </w:rPr>
      </w:pPr>
      <w:r w:rsidRPr="00E22421">
        <w:rPr>
          <w:b/>
          <w:color w:val="006666"/>
          <w:sz w:val="28"/>
          <w:szCs w:val="28"/>
        </w:rPr>
        <w:t>8.2 Environmental watering actions</w:t>
      </w:r>
    </w:p>
    <w:p w14:paraId="0F1D2280" w14:textId="77777777" w:rsidR="00EE7F09" w:rsidRDefault="00EE7F09" w:rsidP="00523C98">
      <w:pPr>
        <w:spacing w:before="240" w:after="240" w:line="324" w:lineRule="exact"/>
        <w:jc w:val="left"/>
        <w:rPr>
          <w:color w:val="000000"/>
          <w:highlight w:val="yellow"/>
          <w:lang w:val="en-US"/>
        </w:rPr>
      </w:pPr>
      <w:r>
        <w:rPr>
          <w:color w:val="000000"/>
          <w:lang w:val="en-US"/>
        </w:rPr>
        <w:t xml:space="preserve">The CEWO’s overarching objective for environmental watering for fish populations in the Edward/Kolety-Wakool River system was to provide flows to </w:t>
      </w:r>
      <w:r w:rsidRPr="00921137">
        <w:rPr>
          <w:color w:val="000000"/>
          <w:lang w:val="en-US"/>
        </w:rPr>
        <w:t>“support habitat (including longitudinal connectivity and bench inundation), food sources and promote increase movement/dispersal, recruitment and survival/condition of native fish”</w:t>
      </w:r>
      <w:r>
        <w:rPr>
          <w:color w:val="000000"/>
          <w:lang w:val="en-US"/>
        </w:rPr>
        <w:t xml:space="preserve"> (CEWO 2019). Off-channel assets such as the Edward/Kolety-Wakool Forests (e.g. Werai State Forest, Neimur State Forest) were also a key target for CEWO watering actions for improving fish outcomes, particularly for floodplain specialists, however these are not monitored as part of the Flow-MER program. There are three</w:t>
      </w:r>
      <w:r w:rsidRPr="0082565E">
        <w:rPr>
          <w:color w:val="000000"/>
          <w:lang w:val="en-US"/>
        </w:rPr>
        <w:t xml:space="preserve"> Commonwealth environmental watering action</w:t>
      </w:r>
      <w:r>
        <w:rPr>
          <w:color w:val="000000"/>
          <w:lang w:val="en-US"/>
        </w:rPr>
        <w:t>s</w:t>
      </w:r>
      <w:r w:rsidRPr="0082565E">
        <w:rPr>
          <w:color w:val="000000"/>
          <w:lang w:val="en-US"/>
        </w:rPr>
        <w:t xml:space="preserve"> in the Edward</w:t>
      </w:r>
      <w:r>
        <w:rPr>
          <w:color w:val="000000"/>
          <w:lang w:val="en-US"/>
        </w:rPr>
        <w:t>/Kolety-Wakool system in 2019-20</w:t>
      </w:r>
      <w:r w:rsidRPr="0082565E">
        <w:rPr>
          <w:color w:val="000000"/>
          <w:lang w:val="en-US"/>
        </w:rPr>
        <w:t xml:space="preserve"> </w:t>
      </w:r>
      <w:r>
        <w:rPr>
          <w:color w:val="000000"/>
          <w:lang w:val="en-US"/>
        </w:rPr>
        <w:t>that were</w:t>
      </w:r>
      <w:r w:rsidRPr="0082565E">
        <w:rPr>
          <w:color w:val="000000"/>
          <w:lang w:val="en-US"/>
        </w:rPr>
        <w:t xml:space="preserve"> </w:t>
      </w:r>
      <w:r>
        <w:rPr>
          <w:color w:val="000000"/>
          <w:lang w:val="en-US"/>
        </w:rPr>
        <w:t>evaluated by the fish monitoring program of Flow-MER (Table 8.2).</w:t>
      </w:r>
    </w:p>
    <w:p w14:paraId="6BC13202" w14:textId="77777777" w:rsidR="00EE7F09" w:rsidRPr="0082565E" w:rsidRDefault="00EE7F09" w:rsidP="00EE7F09">
      <w:pPr>
        <w:spacing w:after="120" w:line="240" w:lineRule="auto"/>
        <w:rPr>
          <w:rFonts w:cs="Calibri"/>
          <w:color w:val="000000"/>
          <w:highlight w:val="yellow"/>
          <w:lang w:val="en-US"/>
        </w:rPr>
      </w:pPr>
      <w:r w:rsidRPr="0082565E">
        <w:rPr>
          <w:rFonts w:cs="Calibri"/>
          <w:b/>
          <w:sz w:val="20"/>
          <w:szCs w:val="24"/>
          <w:lang w:val="en-US"/>
        </w:rPr>
        <w:t xml:space="preserve">Table 8.2 </w:t>
      </w:r>
      <w:r w:rsidRPr="0082565E">
        <w:rPr>
          <w:rFonts w:cs="Calibri"/>
          <w:sz w:val="20"/>
          <w:szCs w:val="24"/>
          <w:lang w:val="en-US"/>
        </w:rPr>
        <w:t>Commonwealth enviro</w:t>
      </w:r>
      <w:r>
        <w:rPr>
          <w:rFonts w:cs="Calibri"/>
          <w:sz w:val="20"/>
          <w:szCs w:val="24"/>
          <w:lang w:val="en-US"/>
        </w:rPr>
        <w:t>nmental watering actions in 2019-20</w:t>
      </w:r>
      <w:r w:rsidRPr="0082565E">
        <w:rPr>
          <w:rFonts w:cs="Calibri"/>
          <w:sz w:val="20"/>
          <w:szCs w:val="24"/>
          <w:lang w:val="en-US"/>
        </w:rPr>
        <w:t xml:space="preserve"> in the Edward</w:t>
      </w:r>
      <w:r>
        <w:rPr>
          <w:rFonts w:cs="Calibri"/>
          <w:sz w:val="20"/>
          <w:szCs w:val="24"/>
          <w:lang w:val="en-US"/>
        </w:rPr>
        <w:t>/Kolety -</w:t>
      </w:r>
      <w:r w:rsidRPr="0082565E">
        <w:rPr>
          <w:rFonts w:cs="Calibri"/>
          <w:sz w:val="20"/>
          <w:szCs w:val="24"/>
          <w:lang w:val="en-US"/>
        </w:rPr>
        <w:t>Wakool River system that had objectives targeting native fish</w:t>
      </w:r>
      <w:r>
        <w:rPr>
          <w:rFonts w:cs="Calibri"/>
          <w:sz w:val="20"/>
          <w:szCs w:val="24"/>
          <w:lang w:val="en-US"/>
        </w:rPr>
        <w:t xml:space="preserve"> outcomes</w:t>
      </w:r>
      <w:r w:rsidRPr="0082565E">
        <w:rPr>
          <w:rFonts w:cs="Calibri"/>
          <w:sz w:val="20"/>
          <w:szCs w:val="24"/>
          <w:lang w:val="en-US"/>
        </w:rPr>
        <w:t>.</w:t>
      </w:r>
      <w:r>
        <w:rPr>
          <w:rFonts w:cs="Calibri"/>
          <w:sz w:val="20"/>
          <w:szCs w:val="24"/>
          <w:lang w:val="en-US"/>
        </w:rPr>
        <w:t xml:space="preserve"> Watering actions assessed by the MER monitoring program are highlighted in grey.</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1701"/>
        <w:gridCol w:w="1281"/>
        <w:gridCol w:w="1706"/>
        <w:gridCol w:w="3817"/>
      </w:tblGrid>
      <w:tr w:rsidR="00EE7F09" w14:paraId="19BAC095" w14:textId="77777777" w:rsidTr="00523C98">
        <w:tc>
          <w:tcPr>
            <w:tcW w:w="567" w:type="dxa"/>
            <w:tcBorders>
              <w:top w:val="single" w:sz="4" w:space="0" w:color="auto"/>
              <w:bottom w:val="single" w:sz="4" w:space="0" w:color="auto"/>
            </w:tcBorders>
            <w:shd w:val="clear" w:color="auto" w:fill="92CDDC"/>
          </w:tcPr>
          <w:p w14:paraId="6DA868B1" w14:textId="77777777" w:rsidR="00EE7F09" w:rsidRDefault="00EE7F09" w:rsidP="00523C98">
            <w:pPr>
              <w:spacing w:line="240" w:lineRule="auto"/>
              <w:jc w:val="left"/>
              <w:rPr>
                <w:b/>
              </w:rPr>
            </w:pPr>
          </w:p>
        </w:tc>
        <w:tc>
          <w:tcPr>
            <w:tcW w:w="1701" w:type="dxa"/>
            <w:tcBorders>
              <w:top w:val="single" w:sz="4" w:space="0" w:color="auto"/>
              <w:bottom w:val="single" w:sz="4" w:space="0" w:color="auto"/>
            </w:tcBorders>
            <w:shd w:val="clear" w:color="auto" w:fill="92CDDC"/>
          </w:tcPr>
          <w:p w14:paraId="70C532C7" w14:textId="77777777" w:rsidR="00EE7F09" w:rsidRDefault="00EE7F09" w:rsidP="00523C98">
            <w:pPr>
              <w:spacing w:line="240" w:lineRule="auto"/>
              <w:jc w:val="left"/>
              <w:rPr>
                <w:b/>
              </w:rPr>
            </w:pPr>
            <w:r>
              <w:rPr>
                <w:b/>
              </w:rPr>
              <w:t>Watering action</w:t>
            </w:r>
          </w:p>
        </w:tc>
        <w:tc>
          <w:tcPr>
            <w:tcW w:w="1281" w:type="dxa"/>
            <w:tcBorders>
              <w:top w:val="single" w:sz="4" w:space="0" w:color="auto"/>
              <w:bottom w:val="single" w:sz="4" w:space="0" w:color="auto"/>
            </w:tcBorders>
            <w:shd w:val="clear" w:color="auto" w:fill="92CDDC"/>
          </w:tcPr>
          <w:p w14:paraId="5839EC76" w14:textId="77777777" w:rsidR="00EE7F09" w:rsidRDefault="00EE7F09" w:rsidP="00523C98">
            <w:pPr>
              <w:spacing w:before="40" w:after="40" w:line="240" w:lineRule="auto"/>
              <w:jc w:val="left"/>
              <w:rPr>
                <w:b/>
              </w:rPr>
            </w:pPr>
            <w:r>
              <w:rPr>
                <w:b/>
              </w:rPr>
              <w:t>Dates</w:t>
            </w:r>
          </w:p>
        </w:tc>
        <w:tc>
          <w:tcPr>
            <w:tcW w:w="1706" w:type="dxa"/>
            <w:tcBorders>
              <w:top w:val="single" w:sz="4" w:space="0" w:color="auto"/>
              <w:bottom w:val="single" w:sz="4" w:space="0" w:color="auto"/>
            </w:tcBorders>
            <w:shd w:val="clear" w:color="auto" w:fill="92CDDC"/>
          </w:tcPr>
          <w:p w14:paraId="4131418F" w14:textId="77777777" w:rsidR="00EE7F09" w:rsidRDefault="00EE7F09" w:rsidP="00523C98">
            <w:pPr>
              <w:spacing w:before="40" w:after="40" w:line="240" w:lineRule="auto"/>
              <w:jc w:val="left"/>
              <w:rPr>
                <w:b/>
              </w:rPr>
            </w:pPr>
            <w:r>
              <w:rPr>
                <w:b/>
              </w:rPr>
              <w:t>Rivers</w:t>
            </w:r>
          </w:p>
        </w:tc>
        <w:tc>
          <w:tcPr>
            <w:tcW w:w="3817" w:type="dxa"/>
            <w:tcBorders>
              <w:top w:val="single" w:sz="4" w:space="0" w:color="auto"/>
              <w:bottom w:val="single" w:sz="4" w:space="0" w:color="auto"/>
            </w:tcBorders>
            <w:shd w:val="clear" w:color="auto" w:fill="92CDDC"/>
          </w:tcPr>
          <w:p w14:paraId="19ACEADC" w14:textId="77777777" w:rsidR="00EE7F09" w:rsidRDefault="00EE7F09" w:rsidP="00523C98">
            <w:pPr>
              <w:spacing w:before="40" w:after="40" w:line="240" w:lineRule="auto"/>
              <w:jc w:val="left"/>
              <w:rPr>
                <w:b/>
              </w:rPr>
            </w:pPr>
            <w:r>
              <w:rPr>
                <w:b/>
              </w:rPr>
              <w:t>Objectives (from CEWO)</w:t>
            </w:r>
          </w:p>
        </w:tc>
      </w:tr>
      <w:tr w:rsidR="00EE7F09" w14:paraId="4EAEFEBF" w14:textId="77777777" w:rsidTr="00523C98">
        <w:trPr>
          <w:trHeight w:val="407"/>
        </w:trPr>
        <w:tc>
          <w:tcPr>
            <w:tcW w:w="567" w:type="dxa"/>
            <w:tcBorders>
              <w:top w:val="single" w:sz="4" w:space="0" w:color="auto"/>
            </w:tcBorders>
            <w:shd w:val="clear" w:color="auto" w:fill="F2F2F2" w:themeFill="background1" w:themeFillShade="F2"/>
          </w:tcPr>
          <w:p w14:paraId="2C7AD29F" w14:textId="77777777" w:rsidR="00EE7F09" w:rsidRPr="002C710E" w:rsidRDefault="00EE7F09" w:rsidP="00523C98">
            <w:pPr>
              <w:spacing w:line="240" w:lineRule="auto"/>
              <w:jc w:val="left"/>
            </w:pPr>
            <w:r w:rsidRPr="002C710E">
              <w:t>1</w:t>
            </w:r>
          </w:p>
        </w:tc>
        <w:tc>
          <w:tcPr>
            <w:tcW w:w="1701" w:type="dxa"/>
            <w:tcBorders>
              <w:top w:val="single" w:sz="4" w:space="0" w:color="auto"/>
            </w:tcBorders>
            <w:shd w:val="clear" w:color="auto" w:fill="F2F2F2" w:themeFill="background1" w:themeFillShade="F2"/>
          </w:tcPr>
          <w:p w14:paraId="7EEEE3F7" w14:textId="77777777" w:rsidR="00EE7F09" w:rsidRPr="002C710E" w:rsidRDefault="00EE7F09" w:rsidP="00523C98">
            <w:pPr>
              <w:spacing w:line="240" w:lineRule="auto"/>
              <w:jc w:val="left"/>
            </w:pPr>
            <w:r w:rsidRPr="002C710E">
              <w:t>Winter base flow</w:t>
            </w:r>
          </w:p>
        </w:tc>
        <w:tc>
          <w:tcPr>
            <w:tcW w:w="1281" w:type="dxa"/>
            <w:tcBorders>
              <w:top w:val="single" w:sz="4" w:space="0" w:color="auto"/>
            </w:tcBorders>
            <w:shd w:val="clear" w:color="auto" w:fill="F2F2F2" w:themeFill="background1" w:themeFillShade="F2"/>
          </w:tcPr>
          <w:p w14:paraId="2DAC8281" w14:textId="77777777" w:rsidR="00EE7F09" w:rsidRPr="002C710E" w:rsidRDefault="00EE7F09" w:rsidP="00523C98">
            <w:pPr>
              <w:spacing w:before="40" w:after="40" w:line="240" w:lineRule="auto"/>
              <w:jc w:val="left"/>
            </w:pPr>
            <w:r>
              <w:t>15 May  - 9 Aug 20</w:t>
            </w:r>
            <w:r w:rsidRPr="002C710E">
              <w:t>19</w:t>
            </w:r>
          </w:p>
        </w:tc>
        <w:tc>
          <w:tcPr>
            <w:tcW w:w="1706" w:type="dxa"/>
            <w:tcBorders>
              <w:top w:val="single" w:sz="4" w:space="0" w:color="auto"/>
            </w:tcBorders>
            <w:shd w:val="clear" w:color="auto" w:fill="F2F2F2" w:themeFill="background1" w:themeFillShade="F2"/>
          </w:tcPr>
          <w:p w14:paraId="4E17476F" w14:textId="77777777" w:rsidR="00EE7F09" w:rsidRPr="002C710E" w:rsidRDefault="00EE7F09" w:rsidP="00523C98">
            <w:pPr>
              <w:spacing w:before="40" w:after="40" w:line="240" w:lineRule="auto"/>
              <w:jc w:val="left"/>
            </w:pPr>
            <w:r>
              <w:t>Yallakool Creek, mid- and lower Wakool River</w:t>
            </w:r>
          </w:p>
        </w:tc>
        <w:tc>
          <w:tcPr>
            <w:tcW w:w="3817" w:type="dxa"/>
            <w:tcBorders>
              <w:top w:val="single" w:sz="4" w:space="0" w:color="auto"/>
            </w:tcBorders>
            <w:shd w:val="clear" w:color="auto" w:fill="F2F2F2" w:themeFill="background1" w:themeFillShade="F2"/>
          </w:tcPr>
          <w:p w14:paraId="33623984" w14:textId="77777777" w:rsidR="00523C98" w:rsidRDefault="00EE7F09" w:rsidP="00523C98">
            <w:pPr>
              <w:spacing w:before="40" w:after="40" w:line="240" w:lineRule="auto"/>
              <w:jc w:val="left"/>
            </w:pPr>
            <w:r w:rsidRPr="002C710E">
              <w:t>For nat</w:t>
            </w:r>
            <w:r>
              <w:t>ive fish condition and movement</w:t>
            </w:r>
            <w:r w:rsidR="00523C98">
              <w:t xml:space="preserve"> </w:t>
            </w:r>
          </w:p>
          <w:p w14:paraId="2FAF8BF9" w14:textId="77777777" w:rsidR="00523C98" w:rsidRDefault="00523C98" w:rsidP="00523C98">
            <w:pPr>
              <w:spacing w:before="40" w:after="40" w:line="240" w:lineRule="auto"/>
              <w:jc w:val="left"/>
            </w:pPr>
          </w:p>
          <w:p w14:paraId="6E1C4C7B" w14:textId="5A454D33" w:rsidR="00EE7F09" w:rsidRPr="002C710E" w:rsidRDefault="00523C98" w:rsidP="00523C98">
            <w:pPr>
              <w:spacing w:before="40" w:after="40" w:line="240" w:lineRule="auto"/>
              <w:jc w:val="left"/>
            </w:pPr>
            <w:r>
              <w:t xml:space="preserve">Provide </w:t>
            </w:r>
            <w:r w:rsidRPr="002C710E">
              <w:t>refuge habitat during irrigation shut-down period</w:t>
            </w:r>
          </w:p>
        </w:tc>
      </w:tr>
      <w:tr w:rsidR="00EE7F09" w14:paraId="48FC2F10" w14:textId="77777777" w:rsidTr="00523C98">
        <w:trPr>
          <w:trHeight w:val="407"/>
        </w:trPr>
        <w:tc>
          <w:tcPr>
            <w:tcW w:w="567" w:type="dxa"/>
            <w:tcBorders>
              <w:top w:val="dashed" w:sz="4" w:space="0" w:color="auto"/>
            </w:tcBorders>
            <w:shd w:val="clear" w:color="auto" w:fill="auto"/>
          </w:tcPr>
          <w:p w14:paraId="1A5171A4" w14:textId="77777777" w:rsidR="00EE7F09" w:rsidRPr="002C710E" w:rsidRDefault="00EE7F09" w:rsidP="00523C98">
            <w:pPr>
              <w:spacing w:line="240" w:lineRule="auto"/>
              <w:ind w:left="29"/>
              <w:jc w:val="left"/>
            </w:pPr>
            <w:r w:rsidRPr="002C710E">
              <w:t>3a</w:t>
            </w:r>
          </w:p>
        </w:tc>
        <w:tc>
          <w:tcPr>
            <w:tcW w:w="1701" w:type="dxa"/>
            <w:tcBorders>
              <w:top w:val="dashed" w:sz="4" w:space="0" w:color="auto"/>
            </w:tcBorders>
            <w:shd w:val="clear" w:color="auto" w:fill="auto"/>
          </w:tcPr>
          <w:p w14:paraId="4181725C" w14:textId="77777777" w:rsidR="00EE7F09" w:rsidRPr="002C710E" w:rsidRDefault="00EE7F09" w:rsidP="00523C98">
            <w:pPr>
              <w:spacing w:line="240" w:lineRule="auto"/>
              <w:jc w:val="left"/>
            </w:pPr>
            <w:r w:rsidRPr="002C710E">
              <w:t>Winter/spring early fresh</w:t>
            </w:r>
          </w:p>
        </w:tc>
        <w:tc>
          <w:tcPr>
            <w:tcW w:w="1281" w:type="dxa"/>
            <w:tcBorders>
              <w:top w:val="dashed" w:sz="4" w:space="0" w:color="auto"/>
            </w:tcBorders>
          </w:tcPr>
          <w:p w14:paraId="1E0CFC76" w14:textId="77777777" w:rsidR="00EE7F09" w:rsidRPr="002C710E" w:rsidRDefault="00EE7F09" w:rsidP="00523C98">
            <w:pPr>
              <w:spacing w:before="40" w:after="40" w:line="240" w:lineRule="auto"/>
              <w:jc w:val="left"/>
              <w:rPr>
                <w:rFonts w:cs="Arial"/>
                <w:color w:val="000000" w:themeColor="text1"/>
              </w:rPr>
            </w:pPr>
            <w:r>
              <w:t>28 Aug  - 4 Sep 20</w:t>
            </w:r>
            <w:r w:rsidRPr="002C710E">
              <w:t>19</w:t>
            </w:r>
          </w:p>
        </w:tc>
        <w:tc>
          <w:tcPr>
            <w:tcW w:w="1706" w:type="dxa"/>
            <w:tcBorders>
              <w:top w:val="dashed" w:sz="4" w:space="0" w:color="auto"/>
            </w:tcBorders>
          </w:tcPr>
          <w:p w14:paraId="733DFA07" w14:textId="77777777" w:rsidR="00EE7F09" w:rsidRPr="002C710E" w:rsidRDefault="00EE7F09" w:rsidP="00523C98">
            <w:pPr>
              <w:spacing w:before="40" w:after="40" w:line="240" w:lineRule="auto"/>
              <w:jc w:val="left"/>
              <w:rPr>
                <w:rFonts w:cs="Arial"/>
                <w:color w:val="000000" w:themeColor="text1"/>
              </w:rPr>
            </w:pPr>
            <w:r>
              <w:t>Yallakool Creek, mid- and lower Wakool River</w:t>
            </w:r>
          </w:p>
        </w:tc>
        <w:tc>
          <w:tcPr>
            <w:tcW w:w="3817" w:type="dxa"/>
            <w:tcBorders>
              <w:top w:val="dashed" w:sz="4" w:space="0" w:color="auto"/>
            </w:tcBorders>
            <w:shd w:val="clear" w:color="auto" w:fill="auto"/>
          </w:tcPr>
          <w:p w14:paraId="2BADE378" w14:textId="77777777" w:rsidR="00EE7F09" w:rsidRPr="00921137" w:rsidRDefault="00EE7F09" w:rsidP="00523C98">
            <w:pPr>
              <w:spacing w:before="40" w:after="40" w:line="240" w:lineRule="auto"/>
              <w:jc w:val="left"/>
              <w:rPr>
                <w:rFonts w:cs="Arial"/>
                <w:color w:val="000000" w:themeColor="text1"/>
              </w:rPr>
            </w:pPr>
            <w:r w:rsidRPr="002C710E">
              <w:rPr>
                <w:rFonts w:cs="Arial"/>
                <w:color w:val="000000" w:themeColor="text1"/>
              </w:rPr>
              <w:t xml:space="preserve">To provide early season rise in river level to contribute to pre-spawning condition of native fish </w:t>
            </w:r>
          </w:p>
        </w:tc>
      </w:tr>
      <w:tr w:rsidR="00EE7F09" w14:paraId="7C757289" w14:textId="77777777" w:rsidTr="00523C98">
        <w:trPr>
          <w:trHeight w:val="406"/>
        </w:trPr>
        <w:tc>
          <w:tcPr>
            <w:tcW w:w="567" w:type="dxa"/>
            <w:tcBorders>
              <w:bottom w:val="dashed" w:sz="4" w:space="0" w:color="auto"/>
            </w:tcBorders>
            <w:shd w:val="clear" w:color="auto" w:fill="F2F2F2" w:themeFill="background1" w:themeFillShade="F2"/>
          </w:tcPr>
          <w:p w14:paraId="0DA642B2" w14:textId="77777777" w:rsidR="00EE7F09" w:rsidRPr="002C710E" w:rsidRDefault="00EE7F09" w:rsidP="00523C98">
            <w:pPr>
              <w:spacing w:line="240" w:lineRule="auto"/>
              <w:ind w:left="29"/>
              <w:jc w:val="left"/>
            </w:pPr>
          </w:p>
        </w:tc>
        <w:tc>
          <w:tcPr>
            <w:tcW w:w="1701" w:type="dxa"/>
            <w:tcBorders>
              <w:bottom w:val="dashed" w:sz="4" w:space="0" w:color="auto"/>
            </w:tcBorders>
            <w:shd w:val="clear" w:color="auto" w:fill="F2F2F2" w:themeFill="background1" w:themeFillShade="F2"/>
          </w:tcPr>
          <w:p w14:paraId="3E595DE3" w14:textId="77777777" w:rsidR="00EE7F09" w:rsidRPr="002C710E" w:rsidRDefault="00EE7F09" w:rsidP="00523C98">
            <w:pPr>
              <w:spacing w:line="240" w:lineRule="auto"/>
              <w:jc w:val="left"/>
            </w:pPr>
          </w:p>
        </w:tc>
        <w:tc>
          <w:tcPr>
            <w:tcW w:w="1281" w:type="dxa"/>
            <w:tcBorders>
              <w:bottom w:val="dashed" w:sz="4" w:space="0" w:color="auto"/>
            </w:tcBorders>
            <w:shd w:val="clear" w:color="auto" w:fill="F2F2F2" w:themeFill="background1" w:themeFillShade="F2"/>
          </w:tcPr>
          <w:p w14:paraId="0573A24A" w14:textId="77777777" w:rsidR="00EE7F09" w:rsidRDefault="00EE7F09" w:rsidP="00523C98">
            <w:pPr>
              <w:spacing w:before="40" w:after="40" w:line="240" w:lineRule="auto"/>
              <w:jc w:val="left"/>
              <w:rPr>
                <w:rFonts w:cs="Arial"/>
                <w:color w:val="000000" w:themeColor="text1"/>
              </w:rPr>
            </w:pPr>
          </w:p>
        </w:tc>
        <w:tc>
          <w:tcPr>
            <w:tcW w:w="1706" w:type="dxa"/>
            <w:tcBorders>
              <w:bottom w:val="dashed" w:sz="4" w:space="0" w:color="auto"/>
            </w:tcBorders>
            <w:shd w:val="clear" w:color="auto" w:fill="F2F2F2" w:themeFill="background1" w:themeFillShade="F2"/>
          </w:tcPr>
          <w:p w14:paraId="402595AC" w14:textId="77777777" w:rsidR="00EE7F09" w:rsidRDefault="00EE7F09" w:rsidP="00523C98">
            <w:pPr>
              <w:spacing w:before="40" w:after="40" w:line="240" w:lineRule="auto"/>
              <w:jc w:val="left"/>
              <w:rPr>
                <w:rFonts w:cs="Arial"/>
                <w:color w:val="000000" w:themeColor="text1"/>
              </w:rPr>
            </w:pPr>
          </w:p>
        </w:tc>
        <w:tc>
          <w:tcPr>
            <w:tcW w:w="3817" w:type="dxa"/>
            <w:tcBorders>
              <w:bottom w:val="dashed" w:sz="4" w:space="0" w:color="auto"/>
            </w:tcBorders>
            <w:shd w:val="clear" w:color="auto" w:fill="F2F2F2" w:themeFill="background1" w:themeFillShade="F2"/>
          </w:tcPr>
          <w:p w14:paraId="7CEBC870" w14:textId="77777777" w:rsidR="00EE7F09" w:rsidRPr="002C710E" w:rsidRDefault="00EE7F09" w:rsidP="00523C98">
            <w:pPr>
              <w:spacing w:before="40" w:after="40" w:line="240" w:lineRule="auto"/>
              <w:jc w:val="left"/>
              <w:rPr>
                <w:rFonts w:cs="Arial"/>
                <w:color w:val="000000" w:themeColor="text1"/>
              </w:rPr>
            </w:pPr>
            <w:r>
              <w:rPr>
                <w:rFonts w:cs="Arial"/>
                <w:color w:val="000000" w:themeColor="text1"/>
              </w:rPr>
              <w:t xml:space="preserve">Contribute to </w:t>
            </w:r>
            <w:r w:rsidRPr="002C710E">
              <w:rPr>
                <w:rFonts w:cs="Arial"/>
                <w:color w:val="000000" w:themeColor="text1"/>
              </w:rPr>
              <w:t>spawnin</w:t>
            </w:r>
            <w:r>
              <w:rPr>
                <w:rFonts w:cs="Arial"/>
                <w:color w:val="000000" w:themeColor="text1"/>
              </w:rPr>
              <w:t>g in early spawning native fish</w:t>
            </w:r>
          </w:p>
        </w:tc>
      </w:tr>
      <w:tr w:rsidR="00EE7F09" w14:paraId="784ACC21" w14:textId="77777777" w:rsidTr="00523C98">
        <w:trPr>
          <w:trHeight w:val="1004"/>
        </w:trPr>
        <w:tc>
          <w:tcPr>
            <w:tcW w:w="567" w:type="dxa"/>
            <w:tcBorders>
              <w:top w:val="dashed" w:sz="4" w:space="0" w:color="auto"/>
              <w:bottom w:val="dashed" w:sz="4" w:space="0" w:color="auto"/>
            </w:tcBorders>
            <w:shd w:val="clear" w:color="auto" w:fill="F2F2F2" w:themeFill="background1" w:themeFillShade="F2"/>
          </w:tcPr>
          <w:p w14:paraId="40B7E9BB" w14:textId="77777777" w:rsidR="00EE7F09" w:rsidRPr="002C710E" w:rsidRDefault="00EE7F09" w:rsidP="00523C98">
            <w:pPr>
              <w:spacing w:after="0" w:line="240" w:lineRule="auto"/>
              <w:ind w:left="29"/>
              <w:jc w:val="left"/>
            </w:pPr>
            <w:r w:rsidRPr="002C710E">
              <w:t>3b</w:t>
            </w:r>
          </w:p>
        </w:tc>
        <w:tc>
          <w:tcPr>
            <w:tcW w:w="1701" w:type="dxa"/>
            <w:tcBorders>
              <w:top w:val="dashed" w:sz="4" w:space="0" w:color="auto"/>
              <w:bottom w:val="dashed" w:sz="4" w:space="0" w:color="auto"/>
            </w:tcBorders>
            <w:shd w:val="clear" w:color="auto" w:fill="F2F2F2" w:themeFill="background1" w:themeFillShade="F2"/>
          </w:tcPr>
          <w:p w14:paraId="6A8E7D6D" w14:textId="77777777" w:rsidR="00EE7F09" w:rsidRPr="002C710E" w:rsidRDefault="00EE7F09" w:rsidP="00523C98">
            <w:pPr>
              <w:spacing w:after="0" w:line="240" w:lineRule="auto"/>
              <w:jc w:val="left"/>
            </w:pPr>
            <w:r w:rsidRPr="002C710E">
              <w:t>Early spring elevated base flow</w:t>
            </w:r>
          </w:p>
        </w:tc>
        <w:tc>
          <w:tcPr>
            <w:tcW w:w="1281" w:type="dxa"/>
            <w:tcBorders>
              <w:top w:val="dashed" w:sz="4" w:space="0" w:color="auto"/>
              <w:bottom w:val="dashed" w:sz="4" w:space="0" w:color="auto"/>
            </w:tcBorders>
            <w:shd w:val="clear" w:color="auto" w:fill="F2F2F2" w:themeFill="background1" w:themeFillShade="F2"/>
          </w:tcPr>
          <w:p w14:paraId="776EBE46" w14:textId="77777777" w:rsidR="00EE7F09" w:rsidRPr="002C710E" w:rsidRDefault="00EE7F09" w:rsidP="00523C98">
            <w:pPr>
              <w:spacing w:before="40" w:after="0" w:line="240" w:lineRule="auto"/>
              <w:jc w:val="left"/>
              <w:rPr>
                <w:rFonts w:cs="Arial"/>
                <w:color w:val="000000" w:themeColor="text1"/>
                <w14:props3d w14:extrusionH="0" w14:contourW="0" w14:prstMaterial="matte"/>
              </w:rPr>
            </w:pPr>
            <w:r>
              <w:t>5 - 22 Sep 20</w:t>
            </w:r>
            <w:r w:rsidRPr="002C710E">
              <w:t>19</w:t>
            </w:r>
          </w:p>
        </w:tc>
        <w:tc>
          <w:tcPr>
            <w:tcW w:w="1706" w:type="dxa"/>
            <w:tcBorders>
              <w:top w:val="dashed" w:sz="4" w:space="0" w:color="auto"/>
              <w:bottom w:val="dashed" w:sz="4" w:space="0" w:color="auto"/>
            </w:tcBorders>
            <w:shd w:val="clear" w:color="auto" w:fill="F2F2F2" w:themeFill="background1" w:themeFillShade="F2"/>
          </w:tcPr>
          <w:p w14:paraId="6E86710C" w14:textId="77777777" w:rsidR="00EE7F09" w:rsidRPr="002C710E" w:rsidRDefault="00EE7F09" w:rsidP="00523C98">
            <w:pPr>
              <w:spacing w:before="40" w:after="0" w:line="240" w:lineRule="auto"/>
              <w:jc w:val="left"/>
              <w:rPr>
                <w:rFonts w:cs="Arial"/>
                <w:color w:val="000000" w:themeColor="text1"/>
                <w14:props3d w14:extrusionH="0" w14:contourW="0" w14:prstMaterial="matte"/>
              </w:rPr>
            </w:pPr>
            <w:r>
              <w:t>Yallakool Creek, mid- and lower Wakool River</w:t>
            </w:r>
          </w:p>
        </w:tc>
        <w:tc>
          <w:tcPr>
            <w:tcW w:w="3817" w:type="dxa"/>
            <w:tcBorders>
              <w:top w:val="dashed" w:sz="4" w:space="0" w:color="auto"/>
              <w:bottom w:val="dashed" w:sz="4" w:space="0" w:color="auto"/>
            </w:tcBorders>
            <w:shd w:val="clear" w:color="auto" w:fill="F2F2F2" w:themeFill="background1" w:themeFillShade="F2"/>
          </w:tcPr>
          <w:p w14:paraId="36ABCFAC" w14:textId="77777777" w:rsidR="00EE7F09" w:rsidRPr="002C710E" w:rsidRDefault="00EE7F09" w:rsidP="00523C98">
            <w:pPr>
              <w:spacing w:before="40" w:after="0" w:line="240" w:lineRule="auto"/>
              <w:jc w:val="left"/>
            </w:pPr>
            <w:r w:rsidRPr="002C710E">
              <w:rPr>
                <w:rFonts w:cs="Arial"/>
                <w:color w:val="000000" w:themeColor="text1"/>
                <w14:props3d w14:extrusionH="0" w14:contourW="0" w14:prstMaterial="matte"/>
              </w:rPr>
              <w:t>To maintai</w:t>
            </w:r>
            <w:r>
              <w:rPr>
                <w:rFonts w:cs="Arial"/>
                <w:color w:val="000000" w:themeColor="text1"/>
                <w14:props3d w14:extrusionH="0" w14:contourW="0" w14:prstMaterial="matte"/>
              </w:rPr>
              <w:t>n nesting habitat for Murray Cod</w:t>
            </w:r>
          </w:p>
        </w:tc>
      </w:tr>
      <w:tr w:rsidR="00EE7F09" w14:paraId="66FD6EE9" w14:textId="77777777" w:rsidTr="00523C98">
        <w:trPr>
          <w:trHeight w:val="443"/>
        </w:trPr>
        <w:tc>
          <w:tcPr>
            <w:tcW w:w="567" w:type="dxa"/>
            <w:tcBorders>
              <w:top w:val="dashed" w:sz="4" w:space="0" w:color="auto"/>
              <w:bottom w:val="dashed" w:sz="4" w:space="0" w:color="auto"/>
            </w:tcBorders>
            <w:shd w:val="clear" w:color="auto" w:fill="F2F2F2" w:themeFill="background1" w:themeFillShade="F2"/>
          </w:tcPr>
          <w:p w14:paraId="6885F53D" w14:textId="77777777" w:rsidR="00EE7F09" w:rsidRPr="002C710E" w:rsidRDefault="00EE7F09" w:rsidP="00523C98">
            <w:pPr>
              <w:spacing w:line="240" w:lineRule="auto"/>
              <w:ind w:left="29"/>
              <w:jc w:val="left"/>
            </w:pPr>
            <w:r w:rsidRPr="002C710E">
              <w:t>3c</w:t>
            </w:r>
          </w:p>
        </w:tc>
        <w:tc>
          <w:tcPr>
            <w:tcW w:w="1701" w:type="dxa"/>
            <w:tcBorders>
              <w:top w:val="dashed" w:sz="4" w:space="0" w:color="auto"/>
              <w:bottom w:val="dashed" w:sz="4" w:space="0" w:color="auto"/>
            </w:tcBorders>
            <w:shd w:val="clear" w:color="auto" w:fill="F2F2F2" w:themeFill="background1" w:themeFillShade="F2"/>
          </w:tcPr>
          <w:p w14:paraId="761E0AAF" w14:textId="77777777" w:rsidR="00EE7F09" w:rsidRPr="002C710E" w:rsidRDefault="00EE7F09" w:rsidP="00523C98">
            <w:pPr>
              <w:spacing w:line="240" w:lineRule="auto"/>
              <w:jc w:val="left"/>
            </w:pPr>
            <w:r w:rsidRPr="002C710E">
              <w:t>Late spring fresh</w:t>
            </w:r>
          </w:p>
        </w:tc>
        <w:tc>
          <w:tcPr>
            <w:tcW w:w="1281" w:type="dxa"/>
            <w:tcBorders>
              <w:top w:val="dashed" w:sz="4" w:space="0" w:color="auto"/>
              <w:bottom w:val="dashed" w:sz="4" w:space="0" w:color="auto"/>
            </w:tcBorders>
            <w:shd w:val="clear" w:color="auto" w:fill="F2F2F2" w:themeFill="background1" w:themeFillShade="F2"/>
          </w:tcPr>
          <w:p w14:paraId="798CE07E" w14:textId="77777777" w:rsidR="00EE7F09" w:rsidRPr="002C710E" w:rsidRDefault="00EE7F09" w:rsidP="00523C98">
            <w:pPr>
              <w:spacing w:before="40" w:after="40" w:line="240" w:lineRule="auto"/>
              <w:jc w:val="left"/>
              <w:rPr>
                <w:color w:val="000000" w:themeColor="text1"/>
                <w14:props3d w14:extrusionH="0" w14:contourW="0" w14:prstMaterial="matte"/>
              </w:rPr>
            </w:pPr>
            <w:r>
              <w:t>23 Sep</w:t>
            </w:r>
            <w:r w:rsidRPr="002C710E">
              <w:t xml:space="preserve"> </w:t>
            </w:r>
            <w:r>
              <w:t>- 11 Oct 2019</w:t>
            </w:r>
          </w:p>
        </w:tc>
        <w:tc>
          <w:tcPr>
            <w:tcW w:w="1706" w:type="dxa"/>
            <w:tcBorders>
              <w:top w:val="dashed" w:sz="4" w:space="0" w:color="auto"/>
              <w:bottom w:val="dashed" w:sz="4" w:space="0" w:color="auto"/>
            </w:tcBorders>
            <w:shd w:val="clear" w:color="auto" w:fill="F2F2F2" w:themeFill="background1" w:themeFillShade="F2"/>
          </w:tcPr>
          <w:p w14:paraId="2C8D4AF8" w14:textId="77777777" w:rsidR="00EE7F09" w:rsidRPr="002C710E" w:rsidRDefault="00EE7F09" w:rsidP="00523C98">
            <w:pPr>
              <w:spacing w:before="40" w:after="40" w:line="240" w:lineRule="auto"/>
              <w:jc w:val="left"/>
              <w:rPr>
                <w:color w:val="000000" w:themeColor="text1"/>
                <w14:props3d w14:extrusionH="0" w14:contourW="0" w14:prstMaterial="matte"/>
              </w:rPr>
            </w:pPr>
            <w:r>
              <w:t>Yallakool Creek, mid and lower Wakool River</w:t>
            </w:r>
          </w:p>
        </w:tc>
        <w:tc>
          <w:tcPr>
            <w:tcW w:w="3817" w:type="dxa"/>
            <w:tcBorders>
              <w:top w:val="dashed" w:sz="4" w:space="0" w:color="auto"/>
              <w:bottom w:val="dashed" w:sz="4" w:space="0" w:color="auto"/>
            </w:tcBorders>
            <w:shd w:val="clear" w:color="auto" w:fill="F2F2F2" w:themeFill="background1" w:themeFillShade="F2"/>
          </w:tcPr>
          <w:p w14:paraId="50E13698" w14:textId="77777777" w:rsidR="00523C98" w:rsidRDefault="00EE7F09" w:rsidP="00523C98">
            <w:pPr>
              <w:spacing w:before="40" w:after="40" w:line="240" w:lineRule="auto"/>
              <w:jc w:val="left"/>
              <w:rPr>
                <w:color w:val="000000" w:themeColor="text1"/>
                <w14:props3d w14:extrusionH="0" w14:contourW="0" w14:prstMaterial="matte"/>
              </w:rPr>
            </w:pPr>
            <w:r w:rsidRPr="002C710E">
              <w:rPr>
                <w:color w:val="000000" w:themeColor="text1"/>
                <w14:props3d w14:extrusionH="0" w14:contourW="0" w14:prstMaterial="matte"/>
              </w:rPr>
              <w:t>To promote silve</w:t>
            </w:r>
            <w:r>
              <w:rPr>
                <w:color w:val="000000" w:themeColor="text1"/>
                <w14:props3d w14:extrusionH="0" w14:contourW="0" w14:prstMaterial="matte"/>
              </w:rPr>
              <w:t>r perch spawning</w:t>
            </w:r>
            <w:r w:rsidR="00523C98">
              <w:rPr>
                <w:color w:val="000000" w:themeColor="text1"/>
                <w14:props3d w14:extrusionH="0" w14:contourW="0" w14:prstMaterial="matte"/>
              </w:rPr>
              <w:t xml:space="preserve"> </w:t>
            </w:r>
          </w:p>
          <w:p w14:paraId="36A2F191" w14:textId="77777777" w:rsidR="00523C98" w:rsidRDefault="00523C98" w:rsidP="00523C98">
            <w:pPr>
              <w:spacing w:before="40" w:after="40" w:line="240" w:lineRule="auto"/>
              <w:jc w:val="left"/>
              <w:rPr>
                <w:color w:val="000000" w:themeColor="text1"/>
                <w14:props3d w14:extrusionH="0" w14:contourW="0" w14:prstMaterial="matte"/>
              </w:rPr>
            </w:pPr>
            <w:r>
              <w:rPr>
                <w:color w:val="000000" w:themeColor="text1"/>
                <w14:props3d w14:extrusionH="0" w14:contourW="0" w14:prstMaterial="matte"/>
              </w:rPr>
              <w:t>To i</w:t>
            </w:r>
            <w:r w:rsidRPr="002C710E">
              <w:rPr>
                <w:color w:val="000000" w:themeColor="text1"/>
                <w14:props3d w14:extrusionH="0" w14:contourW="0" w14:prstMaterial="matte"/>
              </w:rPr>
              <w:t>nfluence and encourage fish movement, coordinated with wider Murray Riv</w:t>
            </w:r>
            <w:r>
              <w:rPr>
                <w:color w:val="000000" w:themeColor="text1"/>
                <w14:props3d w14:extrusionH="0" w14:contourW="0" w14:prstMaterial="matte"/>
              </w:rPr>
              <w:t xml:space="preserve">er actions to maximise benefit </w:t>
            </w:r>
          </w:p>
          <w:p w14:paraId="4381D60C" w14:textId="241A112F" w:rsidR="00EE7F09" w:rsidRPr="00921137" w:rsidRDefault="00523C98" w:rsidP="00523C98">
            <w:pPr>
              <w:spacing w:before="40" w:after="40" w:line="240" w:lineRule="auto"/>
              <w:jc w:val="left"/>
              <w:rPr>
                <w:color w:val="000000" w:themeColor="text1"/>
                <w14:props3d w14:extrusionH="0" w14:contourW="0" w14:prstMaterial="matte"/>
              </w:rPr>
            </w:pPr>
            <w:r>
              <w:rPr>
                <w:color w:val="000000" w:themeColor="text1"/>
                <w14:props3d w14:extrusionH="0" w14:contourW="0" w14:prstMaterial="matte"/>
              </w:rPr>
              <w:t>To a</w:t>
            </w:r>
            <w:r w:rsidRPr="002C710E">
              <w:rPr>
                <w:color w:val="000000" w:themeColor="text1"/>
                <w14:props3d w14:extrusionH="0" w14:contourW="0" w14:prstMaterial="matte"/>
              </w:rPr>
              <w:t>ssist with dispersal of larvae and juvenil</w:t>
            </w:r>
            <w:r>
              <w:rPr>
                <w:color w:val="000000" w:themeColor="text1"/>
                <w14:props3d w14:extrusionH="0" w14:contourW="0" w14:prstMaterial="matte"/>
              </w:rPr>
              <w:t>es of a number of fish species</w:t>
            </w:r>
          </w:p>
        </w:tc>
      </w:tr>
      <w:tr w:rsidR="00EE7F09" w14:paraId="7ACF5A36" w14:textId="77777777" w:rsidTr="00523C98">
        <w:trPr>
          <w:trHeight w:val="774"/>
        </w:trPr>
        <w:tc>
          <w:tcPr>
            <w:tcW w:w="567" w:type="dxa"/>
            <w:tcBorders>
              <w:top w:val="dashed" w:sz="4" w:space="0" w:color="auto"/>
              <w:bottom w:val="single" w:sz="4" w:space="0" w:color="auto"/>
            </w:tcBorders>
            <w:shd w:val="clear" w:color="auto" w:fill="auto"/>
          </w:tcPr>
          <w:p w14:paraId="29530998" w14:textId="77777777" w:rsidR="00EE7F09" w:rsidRPr="002C710E" w:rsidRDefault="00EE7F09" w:rsidP="00523C98">
            <w:pPr>
              <w:spacing w:line="240" w:lineRule="auto"/>
              <w:ind w:left="29"/>
              <w:jc w:val="left"/>
            </w:pPr>
            <w:r w:rsidRPr="002C710E">
              <w:t>3d</w:t>
            </w:r>
          </w:p>
        </w:tc>
        <w:tc>
          <w:tcPr>
            <w:tcW w:w="1701" w:type="dxa"/>
            <w:tcBorders>
              <w:top w:val="dashed" w:sz="4" w:space="0" w:color="auto"/>
              <w:bottom w:val="single" w:sz="4" w:space="0" w:color="auto"/>
            </w:tcBorders>
            <w:shd w:val="clear" w:color="auto" w:fill="auto"/>
          </w:tcPr>
          <w:p w14:paraId="71A3D379" w14:textId="77777777" w:rsidR="00EE7F09" w:rsidRPr="002C710E" w:rsidRDefault="00EE7F09" w:rsidP="00523C98">
            <w:pPr>
              <w:spacing w:line="240" w:lineRule="auto"/>
              <w:jc w:val="left"/>
            </w:pPr>
            <w:r w:rsidRPr="002C710E">
              <w:t>Late spring elevated base flow</w:t>
            </w:r>
          </w:p>
        </w:tc>
        <w:tc>
          <w:tcPr>
            <w:tcW w:w="1281" w:type="dxa"/>
            <w:tcBorders>
              <w:top w:val="dashed" w:sz="4" w:space="0" w:color="auto"/>
              <w:bottom w:val="single" w:sz="4" w:space="0" w:color="auto"/>
            </w:tcBorders>
          </w:tcPr>
          <w:p w14:paraId="34F4BF32" w14:textId="77777777" w:rsidR="00EE7F09" w:rsidRPr="002C710E" w:rsidRDefault="00EE7F09" w:rsidP="00523C98">
            <w:pPr>
              <w:spacing w:before="40" w:after="40" w:line="240" w:lineRule="auto"/>
              <w:jc w:val="left"/>
              <w:rPr>
                <w:color w:val="000000" w:themeColor="text1"/>
                <w14:props3d w14:extrusionH="0" w14:contourW="0" w14:prstMaterial="matte"/>
              </w:rPr>
            </w:pPr>
            <w:r>
              <w:t>12 Oct - 30 Nov 2019</w:t>
            </w:r>
          </w:p>
        </w:tc>
        <w:tc>
          <w:tcPr>
            <w:tcW w:w="1706" w:type="dxa"/>
            <w:tcBorders>
              <w:top w:val="dashed" w:sz="4" w:space="0" w:color="auto"/>
              <w:bottom w:val="single" w:sz="4" w:space="0" w:color="auto"/>
            </w:tcBorders>
          </w:tcPr>
          <w:p w14:paraId="2C57ACEB" w14:textId="77777777" w:rsidR="00EE7F09" w:rsidRPr="002C710E" w:rsidRDefault="00EE7F09" w:rsidP="00523C98">
            <w:pPr>
              <w:spacing w:before="40" w:after="40" w:line="240" w:lineRule="auto"/>
              <w:jc w:val="left"/>
              <w:rPr>
                <w:color w:val="000000" w:themeColor="text1"/>
                <w14:props3d w14:extrusionH="0" w14:contourW="0" w14:prstMaterial="matte"/>
              </w:rPr>
            </w:pPr>
            <w:r>
              <w:t>Yallakool Creek, mid- and lower Wakool River</w:t>
            </w:r>
          </w:p>
        </w:tc>
        <w:tc>
          <w:tcPr>
            <w:tcW w:w="3817" w:type="dxa"/>
            <w:tcBorders>
              <w:top w:val="dashed" w:sz="4" w:space="0" w:color="auto"/>
              <w:bottom w:val="single" w:sz="4" w:space="0" w:color="auto"/>
            </w:tcBorders>
            <w:shd w:val="clear" w:color="auto" w:fill="auto"/>
          </w:tcPr>
          <w:p w14:paraId="75AEB6F9" w14:textId="77777777" w:rsidR="00EE7F09" w:rsidRDefault="00EE7F09" w:rsidP="00523C98">
            <w:pPr>
              <w:spacing w:before="40" w:after="40" w:line="240" w:lineRule="auto"/>
              <w:jc w:val="left"/>
              <w:rPr>
                <w:color w:val="000000" w:themeColor="text1"/>
                <w14:props3d w14:extrusionH="0" w14:contourW="0" w14:prstMaterial="matte"/>
              </w:rPr>
            </w:pPr>
            <w:r w:rsidRPr="002C710E">
              <w:rPr>
                <w:color w:val="000000" w:themeColor="text1"/>
                <w14:props3d w14:extrusionH="0" w14:contourW="0" w14:prstMaterial="matte"/>
              </w:rPr>
              <w:t>To influence and encourage fish movement, may be coordinated with wider Murray River actions to maxi</w:t>
            </w:r>
            <w:r>
              <w:rPr>
                <w:color w:val="000000" w:themeColor="text1"/>
                <w14:props3d w14:extrusionH="0" w14:contourW="0" w14:prstMaterial="matte"/>
              </w:rPr>
              <w:t>mise benefit</w:t>
            </w:r>
          </w:p>
          <w:p w14:paraId="3A917F59" w14:textId="4AAE6106" w:rsidR="00523C98" w:rsidRPr="00921137" w:rsidRDefault="00523C98" w:rsidP="00523C98">
            <w:pPr>
              <w:spacing w:before="40" w:after="40" w:line="240" w:lineRule="auto"/>
              <w:jc w:val="left"/>
              <w:rPr>
                <w:color w:val="000000" w:themeColor="text1"/>
                <w14:props3d w14:extrusionH="0" w14:contourW="0" w14:prstMaterial="matte"/>
              </w:rPr>
            </w:pPr>
            <w:r>
              <w:rPr>
                <w:color w:val="000000" w:themeColor="text1"/>
                <w14:props3d w14:extrusionH="0" w14:contourW="0" w14:prstMaterial="matte"/>
              </w:rPr>
              <w:t>To</w:t>
            </w:r>
            <w:r w:rsidRPr="002C710E">
              <w:rPr>
                <w:color w:val="000000" w:themeColor="text1"/>
                <w14:props3d w14:extrusionH="0" w14:contourW="0" w14:prstMaterial="matte"/>
              </w:rPr>
              <w:t xml:space="preserve"> also assist with dispersal of larvae and juveni</w:t>
            </w:r>
            <w:r>
              <w:rPr>
                <w:color w:val="000000" w:themeColor="text1"/>
                <w14:props3d w14:extrusionH="0" w14:contourW="0" w14:prstMaterial="matte"/>
              </w:rPr>
              <w:t>les of a number of fish species</w:t>
            </w:r>
          </w:p>
        </w:tc>
      </w:tr>
    </w:tbl>
    <w:p w14:paraId="1FFEEA28" w14:textId="77777777" w:rsidR="00EE7F09" w:rsidRDefault="00EE7F09" w:rsidP="00EE7F09">
      <w:pPr>
        <w:spacing w:after="0"/>
        <w:rPr>
          <w:b/>
          <w:color w:val="31849B"/>
          <w:sz w:val="28"/>
          <w:szCs w:val="28"/>
          <w:lang w:val="en-US"/>
        </w:rPr>
      </w:pPr>
    </w:p>
    <w:p w14:paraId="2469E601" w14:textId="77777777" w:rsidR="00EE7F09" w:rsidRPr="00E22421" w:rsidRDefault="00EE7F09" w:rsidP="00EE7F09">
      <w:pPr>
        <w:spacing w:after="120"/>
        <w:rPr>
          <w:b/>
          <w:color w:val="006666"/>
          <w:sz w:val="28"/>
          <w:szCs w:val="28"/>
        </w:rPr>
      </w:pPr>
      <w:r w:rsidRPr="00E22421">
        <w:rPr>
          <w:b/>
          <w:color w:val="006666"/>
          <w:sz w:val="28"/>
          <w:szCs w:val="28"/>
        </w:rPr>
        <w:t>8.3 Selected Area evaluation questions</w:t>
      </w:r>
    </w:p>
    <w:p w14:paraId="0DA98763" w14:textId="77777777" w:rsidR="00EE7F09" w:rsidRPr="0082565E" w:rsidRDefault="00EE7F09" w:rsidP="00523C98">
      <w:pPr>
        <w:spacing w:after="120" w:line="324" w:lineRule="exact"/>
        <w:jc w:val="left"/>
        <w:rPr>
          <w:color w:val="000000"/>
          <w:lang w:val="en-US"/>
        </w:rPr>
      </w:pPr>
      <w:r w:rsidRPr="0082565E">
        <w:rPr>
          <w:color w:val="000000"/>
          <w:lang w:val="en-US"/>
        </w:rPr>
        <w:t>Data from the Edward</w:t>
      </w:r>
      <w:r>
        <w:rPr>
          <w:color w:val="000000"/>
          <w:lang w:val="en-US"/>
        </w:rPr>
        <w:t>/Kolety</w:t>
      </w:r>
      <w:r w:rsidRPr="0082565E">
        <w:rPr>
          <w:color w:val="000000"/>
          <w:lang w:val="en-US"/>
        </w:rPr>
        <w:t xml:space="preserve">-Wakool system is being evaluated at the Selected Area scale and will </w:t>
      </w:r>
      <w:r>
        <w:rPr>
          <w:color w:val="000000"/>
          <w:lang w:val="en-US"/>
        </w:rPr>
        <w:t xml:space="preserve">further </w:t>
      </w:r>
      <w:r w:rsidRPr="0082565E">
        <w:rPr>
          <w:color w:val="000000"/>
          <w:lang w:val="en-US"/>
        </w:rPr>
        <w:t>contribute to Basin scale evaluation. Basin-scale evaluation involves the integration of multiple datasets from a number of different catchments (Hale et al. 2014), and this will be u</w:t>
      </w:r>
      <w:r>
        <w:rPr>
          <w:color w:val="000000"/>
          <w:lang w:val="en-US"/>
        </w:rPr>
        <w:t>ndertaken by University of Canberra/CSIRO</w:t>
      </w:r>
      <w:r w:rsidRPr="0082565E">
        <w:rPr>
          <w:color w:val="000000"/>
          <w:lang w:val="en-US"/>
        </w:rPr>
        <w:t xml:space="preserve"> and evaluated in a separate report.</w:t>
      </w:r>
    </w:p>
    <w:p w14:paraId="27B5F3A7" w14:textId="084CA716" w:rsidR="00EE7F09" w:rsidRDefault="00EE7F09" w:rsidP="00523C98">
      <w:pPr>
        <w:spacing w:after="120" w:line="324" w:lineRule="exact"/>
        <w:jc w:val="left"/>
        <w:rPr>
          <w:color w:val="000000"/>
          <w:lang w:val="en-US"/>
        </w:rPr>
      </w:pPr>
      <w:r w:rsidRPr="0082565E">
        <w:rPr>
          <w:color w:val="000000"/>
          <w:lang w:val="en-US"/>
        </w:rPr>
        <w:t>T</w:t>
      </w:r>
      <w:r>
        <w:rPr>
          <w:color w:val="000000"/>
          <w:lang w:val="en-US"/>
        </w:rPr>
        <w:t>his is the first</w:t>
      </w:r>
      <w:r w:rsidRPr="0082565E">
        <w:rPr>
          <w:color w:val="000000"/>
          <w:lang w:val="en-US"/>
        </w:rPr>
        <w:t xml:space="preserve"> year of reporting for </w:t>
      </w:r>
      <w:r>
        <w:rPr>
          <w:color w:val="000000"/>
          <w:lang w:val="en-US"/>
        </w:rPr>
        <w:t>the MER project. Much of the work reported here is a continuation of the monitoring undertaken during LTIM program (</w:t>
      </w:r>
      <w:r w:rsidRPr="0082565E">
        <w:rPr>
          <w:color w:val="000000"/>
          <w:lang w:val="en-US"/>
        </w:rPr>
        <w:t>2014-19</w:t>
      </w:r>
      <w:r>
        <w:rPr>
          <w:color w:val="000000"/>
          <w:lang w:val="en-US"/>
        </w:rPr>
        <w:t xml:space="preserve">). </w:t>
      </w:r>
      <w:r w:rsidRPr="0082565E">
        <w:rPr>
          <w:color w:val="000000"/>
          <w:lang w:val="en-US"/>
        </w:rPr>
        <w:t>The short and long term Selected Area evaluation questions, as outlined in the Monitoring</w:t>
      </w:r>
      <w:r>
        <w:rPr>
          <w:color w:val="000000"/>
          <w:lang w:val="en-US"/>
        </w:rPr>
        <w:t xml:space="preserve">, Evaluation and Research </w:t>
      </w:r>
      <w:r w:rsidRPr="0082565E">
        <w:rPr>
          <w:color w:val="000000"/>
          <w:lang w:val="en-US"/>
        </w:rPr>
        <w:t>Plan for the Edward</w:t>
      </w:r>
      <w:r>
        <w:rPr>
          <w:color w:val="000000"/>
          <w:lang w:val="en-US"/>
        </w:rPr>
        <w:t>/Kolety</w:t>
      </w:r>
      <w:r w:rsidRPr="0082565E">
        <w:rPr>
          <w:color w:val="000000"/>
          <w:lang w:val="en-US"/>
        </w:rPr>
        <w:t>-W</w:t>
      </w:r>
      <w:r>
        <w:rPr>
          <w:color w:val="000000"/>
          <w:lang w:val="en-US"/>
        </w:rPr>
        <w:t>akool system (Watts et al. 2019</w:t>
      </w:r>
      <w:r w:rsidRPr="0082565E">
        <w:rPr>
          <w:color w:val="000000"/>
          <w:lang w:val="en-US"/>
        </w:rPr>
        <w:t>) are outlined in Table 8.3. This report will evaluate environment</w:t>
      </w:r>
      <w:r>
        <w:rPr>
          <w:color w:val="000000"/>
          <w:lang w:val="en-US"/>
        </w:rPr>
        <w:t>al water against the short-term questions, with long-term evaluation questions being further assessed in 2022.</w:t>
      </w:r>
    </w:p>
    <w:p w14:paraId="61906345" w14:textId="77777777" w:rsidR="00523C98" w:rsidRDefault="00523C98" w:rsidP="00523C98">
      <w:pPr>
        <w:spacing w:after="120" w:line="324" w:lineRule="exact"/>
        <w:jc w:val="left"/>
        <w:rPr>
          <w:color w:val="000000"/>
          <w:lang w:val="en-US"/>
        </w:rPr>
      </w:pPr>
    </w:p>
    <w:p w14:paraId="0A51202B" w14:textId="77777777" w:rsidR="00EE7F09" w:rsidRPr="0082565E" w:rsidRDefault="00EE7F09" w:rsidP="00523C98">
      <w:pPr>
        <w:spacing w:after="120" w:line="240" w:lineRule="auto"/>
        <w:jc w:val="left"/>
        <w:rPr>
          <w:sz w:val="20"/>
          <w:szCs w:val="24"/>
          <w:lang w:val="en-US"/>
        </w:rPr>
      </w:pPr>
      <w:r w:rsidRPr="0082565E">
        <w:rPr>
          <w:b/>
          <w:sz w:val="20"/>
          <w:szCs w:val="24"/>
          <w:lang w:val="en-US"/>
        </w:rPr>
        <w:t>Table 8.3</w:t>
      </w:r>
      <w:r>
        <w:rPr>
          <w:sz w:val="20"/>
          <w:szCs w:val="24"/>
          <w:lang w:val="en-US"/>
        </w:rPr>
        <w:t xml:space="preserve"> </w:t>
      </w:r>
      <w:r w:rsidRPr="0082565E">
        <w:rPr>
          <w:sz w:val="20"/>
          <w:szCs w:val="24"/>
          <w:lang w:val="en-US"/>
        </w:rPr>
        <w:t>Selected Area evaluation questions relating to the effect of Commonwealth environmental water on Edward</w:t>
      </w:r>
      <w:r>
        <w:rPr>
          <w:sz w:val="20"/>
          <w:szCs w:val="24"/>
          <w:lang w:val="en-US"/>
        </w:rPr>
        <w:t>/Kolety</w:t>
      </w:r>
      <w:r w:rsidRPr="0082565E">
        <w:rPr>
          <w:sz w:val="20"/>
          <w:szCs w:val="24"/>
          <w:lang w:val="en-US"/>
        </w:rPr>
        <w:t>-Wakool fish population</w:t>
      </w:r>
      <w:r>
        <w:rPr>
          <w:sz w:val="20"/>
          <w:szCs w:val="24"/>
          <w:lang w:val="en-US"/>
        </w:rPr>
        <w:t>s relevant to this report.</w:t>
      </w:r>
    </w:p>
    <w:tbl>
      <w:tblPr>
        <w:tblStyle w:val="TableGrid1"/>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6237"/>
      </w:tblGrid>
      <w:tr w:rsidR="00EE7F09" w:rsidRPr="0082565E" w14:paraId="558FDD44" w14:textId="77777777" w:rsidTr="00EE7F09">
        <w:trPr>
          <w:trHeight w:val="478"/>
        </w:trPr>
        <w:tc>
          <w:tcPr>
            <w:tcW w:w="2127" w:type="dxa"/>
            <w:tcBorders>
              <w:top w:val="single" w:sz="4" w:space="0" w:color="auto"/>
            </w:tcBorders>
            <w:shd w:val="clear" w:color="auto" w:fill="B6DDE8"/>
            <w:vAlign w:val="center"/>
          </w:tcPr>
          <w:p w14:paraId="654BC492" w14:textId="77777777" w:rsidR="00EE7F09" w:rsidRPr="0082565E" w:rsidRDefault="00EE7F09" w:rsidP="00523C98">
            <w:pPr>
              <w:spacing w:after="0"/>
              <w:contextualSpacing/>
              <w:rPr>
                <w:rFonts w:cs="Calibri"/>
                <w:b/>
              </w:rPr>
            </w:pPr>
            <w:r>
              <w:rPr>
                <w:rFonts w:cs="Calibri"/>
                <w:b/>
              </w:rPr>
              <w:t>Monitoring component</w:t>
            </w:r>
          </w:p>
        </w:tc>
        <w:tc>
          <w:tcPr>
            <w:tcW w:w="6237" w:type="dxa"/>
            <w:tcBorders>
              <w:top w:val="single" w:sz="4" w:space="0" w:color="auto"/>
            </w:tcBorders>
            <w:shd w:val="clear" w:color="auto" w:fill="B6DDE8"/>
            <w:vAlign w:val="center"/>
          </w:tcPr>
          <w:p w14:paraId="26C102A9" w14:textId="77777777" w:rsidR="00EE7F09" w:rsidRPr="0082565E" w:rsidRDefault="00EE7F09" w:rsidP="00523C98">
            <w:pPr>
              <w:spacing w:after="0"/>
              <w:contextualSpacing/>
              <w:rPr>
                <w:rFonts w:cs="Calibri"/>
                <w:b/>
              </w:rPr>
            </w:pPr>
            <w:r>
              <w:rPr>
                <w:rFonts w:cs="Calibri"/>
                <w:b/>
              </w:rPr>
              <w:t xml:space="preserve">       </w:t>
            </w:r>
            <w:r w:rsidRPr="0082565E">
              <w:rPr>
                <w:rFonts w:cs="Calibri"/>
                <w:b/>
              </w:rPr>
              <w:t xml:space="preserve">Selected Area-scale </w:t>
            </w:r>
            <w:r>
              <w:rPr>
                <w:rFonts w:cs="Calibri"/>
                <w:b/>
              </w:rPr>
              <w:t xml:space="preserve"> short term </w:t>
            </w:r>
            <w:r w:rsidRPr="0082565E">
              <w:rPr>
                <w:rFonts w:cs="Calibri"/>
                <w:b/>
              </w:rPr>
              <w:t>evaluation questions</w:t>
            </w:r>
          </w:p>
        </w:tc>
      </w:tr>
      <w:tr w:rsidR="00EE7F09" w:rsidRPr="0082565E" w14:paraId="14C9569C" w14:textId="77777777" w:rsidTr="00EE7F09">
        <w:tc>
          <w:tcPr>
            <w:tcW w:w="2127" w:type="dxa"/>
            <w:shd w:val="clear" w:color="auto" w:fill="F2F2F2" w:themeFill="background1" w:themeFillShade="F2"/>
            <w:tcMar>
              <w:left w:w="57" w:type="dxa"/>
              <w:right w:w="57" w:type="dxa"/>
            </w:tcMar>
          </w:tcPr>
          <w:p w14:paraId="0B286BAC" w14:textId="77777777" w:rsidR="00EE7F09" w:rsidRPr="0082565E" w:rsidRDefault="00EE7F09" w:rsidP="00523C98">
            <w:pPr>
              <w:spacing w:before="120" w:after="0"/>
              <w:jc w:val="left"/>
            </w:pPr>
            <w:r w:rsidRPr="0082565E">
              <w:t>Fish movement</w:t>
            </w:r>
          </w:p>
          <w:p w14:paraId="28B76387" w14:textId="77777777" w:rsidR="00EE7F09" w:rsidRPr="0082565E" w:rsidRDefault="00EE7F09" w:rsidP="00523C98">
            <w:pPr>
              <w:spacing w:before="120" w:after="0"/>
              <w:contextualSpacing/>
              <w:jc w:val="left"/>
            </w:pPr>
          </w:p>
        </w:tc>
        <w:tc>
          <w:tcPr>
            <w:tcW w:w="6237" w:type="dxa"/>
            <w:shd w:val="clear" w:color="auto" w:fill="F2F2F2" w:themeFill="background1" w:themeFillShade="F2"/>
            <w:tcMar>
              <w:left w:w="57" w:type="dxa"/>
              <w:right w:w="57" w:type="dxa"/>
            </w:tcMar>
          </w:tcPr>
          <w:p w14:paraId="1E71F4CE" w14:textId="77777777" w:rsidR="00EE7F09" w:rsidRPr="0082565E" w:rsidRDefault="00EE7F09" w:rsidP="0029244C">
            <w:pPr>
              <w:numPr>
                <w:ilvl w:val="0"/>
                <w:numId w:val="11"/>
              </w:numPr>
              <w:spacing w:after="0" w:line="240" w:lineRule="auto"/>
              <w:ind w:left="357" w:right="227" w:hanging="357"/>
              <w:contextualSpacing/>
              <w:jc w:val="left"/>
              <w:rPr>
                <w:rFonts w:cs="Calibri"/>
              </w:rPr>
            </w:pPr>
            <w:r w:rsidRPr="007117BB">
              <w:t>Does Commonwealth environmental water facilitate longitudinal connectivity for periodic species during winter?</w:t>
            </w:r>
          </w:p>
        </w:tc>
      </w:tr>
      <w:tr w:rsidR="00EE7F09" w:rsidRPr="0082565E" w14:paraId="7E13819D" w14:textId="77777777" w:rsidTr="00EE7F09">
        <w:tc>
          <w:tcPr>
            <w:tcW w:w="2127" w:type="dxa"/>
            <w:tcMar>
              <w:left w:w="57" w:type="dxa"/>
              <w:right w:w="57" w:type="dxa"/>
            </w:tcMar>
          </w:tcPr>
          <w:p w14:paraId="0B0C5500" w14:textId="77777777" w:rsidR="00EE7F09" w:rsidRPr="0082565E" w:rsidRDefault="00EE7F09" w:rsidP="00523C98">
            <w:pPr>
              <w:spacing w:before="120" w:after="0"/>
              <w:jc w:val="left"/>
            </w:pPr>
            <w:r w:rsidRPr="0082565E">
              <w:t>Fish spawning and reproduction</w:t>
            </w:r>
          </w:p>
          <w:p w14:paraId="7325888F" w14:textId="77777777" w:rsidR="00EE7F09" w:rsidRPr="0082565E" w:rsidRDefault="00EE7F09" w:rsidP="00523C98">
            <w:pPr>
              <w:spacing w:before="120" w:after="0"/>
              <w:contextualSpacing/>
              <w:jc w:val="left"/>
            </w:pPr>
          </w:p>
        </w:tc>
        <w:tc>
          <w:tcPr>
            <w:tcW w:w="6237" w:type="dxa"/>
            <w:tcMar>
              <w:left w:w="57" w:type="dxa"/>
              <w:right w:w="57" w:type="dxa"/>
            </w:tcMar>
          </w:tcPr>
          <w:p w14:paraId="01F4D28F" w14:textId="77777777" w:rsidR="00EE7F09" w:rsidRPr="0082565E" w:rsidRDefault="00EE7F09" w:rsidP="0029244C">
            <w:pPr>
              <w:numPr>
                <w:ilvl w:val="0"/>
                <w:numId w:val="9"/>
              </w:numPr>
              <w:spacing w:after="0" w:line="240" w:lineRule="auto"/>
              <w:ind w:right="227"/>
              <w:contextualSpacing/>
              <w:jc w:val="left"/>
              <w:rPr>
                <w:rFonts w:cs="Calibri"/>
              </w:rPr>
            </w:pPr>
            <w:r w:rsidRPr="0082565E">
              <w:rPr>
                <w:rFonts w:cs="Calibri"/>
              </w:rPr>
              <w:t>What did CEW water contribute to the spawning of ‘opportunistic’ species?</w:t>
            </w:r>
          </w:p>
          <w:p w14:paraId="283E6E20" w14:textId="77777777" w:rsidR="00EE7F09" w:rsidRPr="0082565E" w:rsidRDefault="00EE7F09" w:rsidP="0029244C">
            <w:pPr>
              <w:numPr>
                <w:ilvl w:val="0"/>
                <w:numId w:val="10"/>
              </w:numPr>
              <w:shd w:val="clear" w:color="auto" w:fill="FFFFFF"/>
              <w:spacing w:after="0" w:line="240" w:lineRule="auto"/>
              <w:ind w:left="357" w:right="227" w:hanging="357"/>
              <w:contextualSpacing/>
              <w:jc w:val="left"/>
            </w:pPr>
            <w:r w:rsidRPr="0082565E">
              <w:rPr>
                <w:rFonts w:cs="Calibri"/>
              </w:rPr>
              <w:t>What did CEW contribute to spawning in ‘flow-dependent’ spawning species?</w:t>
            </w:r>
          </w:p>
        </w:tc>
      </w:tr>
      <w:tr w:rsidR="00EE7F09" w:rsidRPr="0082565E" w14:paraId="4A050BCC" w14:textId="77777777" w:rsidTr="00EE7F09">
        <w:trPr>
          <w:trHeight w:val="1160"/>
        </w:trPr>
        <w:tc>
          <w:tcPr>
            <w:tcW w:w="2127" w:type="dxa"/>
            <w:shd w:val="clear" w:color="auto" w:fill="F2F2F2" w:themeFill="background1" w:themeFillShade="F2"/>
            <w:tcMar>
              <w:left w:w="57" w:type="dxa"/>
              <w:right w:w="57" w:type="dxa"/>
            </w:tcMar>
          </w:tcPr>
          <w:p w14:paraId="4D605986" w14:textId="77777777" w:rsidR="00EE7F09" w:rsidRPr="0082565E" w:rsidRDefault="00EE7F09" w:rsidP="00523C98">
            <w:pPr>
              <w:spacing w:before="120" w:after="0"/>
              <w:jc w:val="left"/>
            </w:pPr>
            <w:r w:rsidRPr="0082565E">
              <w:t xml:space="preserve">Recruitment and growth of young of year </w:t>
            </w:r>
          </w:p>
        </w:tc>
        <w:tc>
          <w:tcPr>
            <w:tcW w:w="6237" w:type="dxa"/>
            <w:shd w:val="clear" w:color="auto" w:fill="F2F2F2" w:themeFill="background1" w:themeFillShade="F2"/>
            <w:tcMar>
              <w:left w:w="57" w:type="dxa"/>
              <w:right w:w="57" w:type="dxa"/>
            </w:tcMar>
          </w:tcPr>
          <w:p w14:paraId="04573C54" w14:textId="77777777" w:rsidR="00EE7F09" w:rsidRPr="0082565E" w:rsidRDefault="00EE7F09" w:rsidP="0029244C">
            <w:pPr>
              <w:numPr>
                <w:ilvl w:val="0"/>
                <w:numId w:val="9"/>
              </w:numPr>
              <w:spacing w:after="0" w:line="240" w:lineRule="auto"/>
              <w:ind w:right="227"/>
              <w:contextualSpacing/>
              <w:jc w:val="left"/>
              <w:rPr>
                <w:rFonts w:cs="Calibri"/>
              </w:rPr>
            </w:pPr>
            <w:r w:rsidRPr="0082565E">
              <w:rPr>
                <w:rFonts w:cs="Calibri"/>
              </w:rPr>
              <w:t>What did CEW contribute to native fish recruitment to the first year of life?</w:t>
            </w:r>
          </w:p>
          <w:p w14:paraId="21B22368" w14:textId="77777777" w:rsidR="00EE7F09" w:rsidRPr="0082565E" w:rsidRDefault="00EE7F09" w:rsidP="0029244C">
            <w:pPr>
              <w:numPr>
                <w:ilvl w:val="0"/>
                <w:numId w:val="9"/>
              </w:numPr>
              <w:spacing w:after="0" w:line="240" w:lineRule="auto"/>
              <w:ind w:left="357" w:right="227" w:hanging="357"/>
              <w:jc w:val="left"/>
              <w:rPr>
                <w:rFonts w:cs="Calibri"/>
              </w:rPr>
            </w:pPr>
            <w:r w:rsidRPr="0082565E">
              <w:rPr>
                <w:rFonts w:cs="Calibri"/>
              </w:rPr>
              <w:t>What did CEW contribute to native fish growth rate</w:t>
            </w:r>
            <w:r>
              <w:rPr>
                <w:rFonts w:cs="Calibri"/>
              </w:rPr>
              <w:t>s</w:t>
            </w:r>
            <w:r w:rsidRPr="0082565E">
              <w:rPr>
                <w:rFonts w:cs="Calibri"/>
              </w:rPr>
              <w:t xml:space="preserve"> during the first year of life?</w:t>
            </w:r>
          </w:p>
        </w:tc>
      </w:tr>
      <w:tr w:rsidR="00EE7F09" w:rsidRPr="0082565E" w14:paraId="0C93A985" w14:textId="77777777" w:rsidTr="00EE7F09">
        <w:tc>
          <w:tcPr>
            <w:tcW w:w="2127" w:type="dxa"/>
            <w:tcBorders>
              <w:bottom w:val="single" w:sz="4" w:space="0" w:color="auto"/>
            </w:tcBorders>
            <w:tcMar>
              <w:left w:w="57" w:type="dxa"/>
              <w:right w:w="57" w:type="dxa"/>
            </w:tcMar>
          </w:tcPr>
          <w:p w14:paraId="3EA261BC" w14:textId="77777777" w:rsidR="00EE7F09" w:rsidRPr="0082565E" w:rsidRDefault="00EE7F09" w:rsidP="00523C98">
            <w:pPr>
              <w:spacing w:before="120" w:after="0"/>
              <w:jc w:val="left"/>
            </w:pPr>
            <w:r w:rsidRPr="0082565E">
              <w:t>Adult fish population demographics</w:t>
            </w:r>
          </w:p>
          <w:p w14:paraId="768C2DDA" w14:textId="77777777" w:rsidR="00EE7F09" w:rsidRPr="0082565E" w:rsidRDefault="00EE7F09" w:rsidP="00523C98">
            <w:pPr>
              <w:spacing w:before="120" w:after="0"/>
              <w:contextualSpacing/>
              <w:jc w:val="left"/>
            </w:pPr>
          </w:p>
        </w:tc>
        <w:tc>
          <w:tcPr>
            <w:tcW w:w="6237" w:type="dxa"/>
            <w:tcBorders>
              <w:bottom w:val="single" w:sz="4" w:space="0" w:color="auto"/>
            </w:tcBorders>
            <w:tcMar>
              <w:left w:w="57" w:type="dxa"/>
              <w:right w:w="57" w:type="dxa"/>
            </w:tcMar>
          </w:tcPr>
          <w:p w14:paraId="7AC80C1D" w14:textId="77777777" w:rsidR="00EE7F09" w:rsidRDefault="00EE7F09" w:rsidP="0029244C">
            <w:pPr>
              <w:numPr>
                <w:ilvl w:val="0"/>
                <w:numId w:val="10"/>
              </w:numPr>
              <w:shd w:val="clear" w:color="auto" w:fill="FFFFFF"/>
              <w:spacing w:after="0" w:line="240" w:lineRule="auto"/>
              <w:ind w:right="227"/>
              <w:contextualSpacing/>
              <w:jc w:val="left"/>
            </w:pPr>
            <w:r w:rsidRPr="00520AF7">
              <w:t xml:space="preserve">Does CEW contribute to </w:t>
            </w:r>
            <w:r>
              <w:t xml:space="preserve">the </w:t>
            </w:r>
            <w:r w:rsidRPr="00520AF7">
              <w:t>maint</w:t>
            </w:r>
            <w:r>
              <w:t>enance</w:t>
            </w:r>
            <w:r w:rsidRPr="00520AF7">
              <w:t xml:space="preserve"> or enhance</w:t>
            </w:r>
            <w:r>
              <w:t>ment of</w:t>
            </w:r>
            <w:r w:rsidRPr="00520AF7">
              <w:t xml:space="preserve"> fish condition in th</w:t>
            </w:r>
            <w:r>
              <w:t>e Edward/Kolety-Wakool river system?</w:t>
            </w:r>
          </w:p>
          <w:p w14:paraId="6785A18E" w14:textId="77777777" w:rsidR="00EE7F09" w:rsidRPr="0082565E" w:rsidRDefault="00EE7F09" w:rsidP="0029244C">
            <w:pPr>
              <w:numPr>
                <w:ilvl w:val="0"/>
                <w:numId w:val="10"/>
              </w:numPr>
              <w:shd w:val="clear" w:color="auto" w:fill="FFFFFF"/>
              <w:spacing w:after="0" w:line="240" w:lineRule="auto"/>
              <w:ind w:right="227"/>
              <w:contextualSpacing/>
              <w:jc w:val="left"/>
            </w:pPr>
            <w:r w:rsidRPr="00520AF7">
              <w:t>Does CEW contribute to the recovery of fish communities following negative conditions within the Edward</w:t>
            </w:r>
            <w:r>
              <w:t>/Kolety</w:t>
            </w:r>
            <w:r w:rsidRPr="00520AF7">
              <w:t>-Wakool river system</w:t>
            </w:r>
          </w:p>
        </w:tc>
      </w:tr>
    </w:tbl>
    <w:p w14:paraId="17DAFA22" w14:textId="77777777" w:rsidR="00EE7F09" w:rsidRPr="0082565E" w:rsidRDefault="00EE7F09" w:rsidP="00EE7F09">
      <w:pPr>
        <w:spacing w:after="0" w:line="324" w:lineRule="exact"/>
        <w:rPr>
          <w:color w:val="000000"/>
          <w:lang w:val="en-US"/>
        </w:rPr>
        <w:sectPr w:rsidR="00EE7F09" w:rsidRPr="0082565E" w:rsidSect="00675B7A">
          <w:pgSz w:w="11906" w:h="16838"/>
          <w:pgMar w:top="1440" w:right="1418" w:bottom="1440" w:left="1418" w:header="709" w:footer="709" w:gutter="0"/>
          <w:cols w:space="708"/>
          <w:docGrid w:linePitch="360"/>
        </w:sectPr>
      </w:pPr>
    </w:p>
    <w:p w14:paraId="46BAA146" w14:textId="77777777" w:rsidR="00EE7F09" w:rsidRDefault="00EE7F09" w:rsidP="00EE7F09">
      <w:pPr>
        <w:spacing w:after="0"/>
        <w:rPr>
          <w:b/>
          <w:color w:val="31849B"/>
          <w:sz w:val="28"/>
          <w:szCs w:val="28"/>
          <w:lang w:val="en-US"/>
        </w:rPr>
      </w:pPr>
      <w:r>
        <w:rPr>
          <w:b/>
          <w:color w:val="31849B"/>
          <w:sz w:val="28"/>
          <w:szCs w:val="28"/>
          <w:lang w:val="en-US"/>
        </w:rPr>
        <w:t>8.4</w:t>
      </w:r>
      <w:r w:rsidRPr="0082565E">
        <w:rPr>
          <w:b/>
          <w:color w:val="31849B"/>
          <w:sz w:val="28"/>
          <w:szCs w:val="28"/>
          <w:lang w:val="en-US"/>
        </w:rPr>
        <w:t xml:space="preserve"> </w:t>
      </w:r>
      <w:r>
        <w:rPr>
          <w:b/>
          <w:color w:val="31849B"/>
          <w:sz w:val="28"/>
          <w:szCs w:val="28"/>
          <w:lang w:val="en-US"/>
        </w:rPr>
        <w:t>Methods</w:t>
      </w:r>
    </w:p>
    <w:p w14:paraId="00C9D9BE" w14:textId="77777777" w:rsidR="00EE7F09" w:rsidRPr="00CB0394" w:rsidRDefault="00EE7F09" w:rsidP="00EE7F09">
      <w:pPr>
        <w:spacing w:after="0"/>
        <w:rPr>
          <w:b/>
          <w:i/>
          <w:color w:val="31849B"/>
          <w:sz w:val="24"/>
          <w:szCs w:val="24"/>
          <w:lang w:val="en-US"/>
        </w:rPr>
      </w:pPr>
      <w:r w:rsidRPr="00CB0394">
        <w:rPr>
          <w:b/>
          <w:color w:val="31849B"/>
          <w:sz w:val="24"/>
          <w:szCs w:val="24"/>
          <w:lang w:val="en-US"/>
        </w:rPr>
        <w:t>8.4.1</w:t>
      </w:r>
      <w:r>
        <w:rPr>
          <w:b/>
          <w:i/>
          <w:color w:val="31849B"/>
          <w:sz w:val="24"/>
          <w:szCs w:val="24"/>
          <w:lang w:val="en-US"/>
        </w:rPr>
        <w:t xml:space="preserve"> </w:t>
      </w:r>
      <w:r w:rsidRPr="00CB0394">
        <w:rPr>
          <w:b/>
          <w:i/>
          <w:color w:val="31849B"/>
          <w:sz w:val="24"/>
          <w:szCs w:val="24"/>
          <w:lang w:val="en-US"/>
        </w:rPr>
        <w:t>Fish movement</w:t>
      </w:r>
    </w:p>
    <w:p w14:paraId="5AB3034C" w14:textId="77777777" w:rsidR="00EE7F09" w:rsidRPr="00523C98" w:rsidRDefault="00EE7F09" w:rsidP="00523C98">
      <w:pPr>
        <w:pStyle w:val="CommentText"/>
        <w:spacing w:line="324" w:lineRule="exact"/>
        <w:jc w:val="left"/>
        <w:rPr>
          <w:rFonts w:asciiTheme="minorHAnsi" w:hAnsiTheme="minorHAnsi" w:cstheme="minorHAnsi"/>
          <w:sz w:val="22"/>
          <w:szCs w:val="22"/>
        </w:rPr>
      </w:pPr>
      <w:r w:rsidRPr="00523C98">
        <w:rPr>
          <w:rFonts w:asciiTheme="minorHAnsi" w:hAnsiTheme="minorHAnsi" w:cstheme="minorHAnsi"/>
          <w:sz w:val="22"/>
          <w:szCs w:val="22"/>
        </w:rPr>
        <w:t>A total of 71 acoustic receivers (VEMCO VR2W) were installed in the Edward/Kolety-Wakool system in August 2015. Of these, 51 constituted the fine-scale acoustic receiver array (Figure 8.2) of ~6 km receiver spacing and 20 additional receivers were placed at key entry/exit points and major junctions within the wider Edward/Kolety-Wakool system to monitor any potential emigration out of the system. The installation of these receivers was specifically supported by the local community and undertaken by funds received by Murray Local Land Services through the National Landcare Programme. A total of 79 golden perch, 21 Murray cod and 43 silver perch have been fitted with telemetry tags between August 2015 and September 2017. Acoustic tag implantation procedures followed those outlined by Hale et al. (2014). Here we report on overall movement trends following 4+ years of data collection as well as specific movements in response to watering events in winter 2019.  Sample sizes of tagged fish were low in 2019-20 as a result of battery life expiration and emigration from the study reach. Therefore we were careful to use descriptive statistics when sample sizes are low (e.g. using remaining fish during the winter 2019 period to determine the effects of a watering action) and inferential statistics for populations when sample sizes are high and sufficient (e.g. using all tagged fish over the entire period to develop relationships between flow and movement probability).</w:t>
      </w:r>
    </w:p>
    <w:p w14:paraId="20925A12" w14:textId="77777777" w:rsidR="00EE7F09" w:rsidRPr="0082565E" w:rsidRDefault="00EE7F09" w:rsidP="00EE7F09">
      <w:pPr>
        <w:spacing w:after="0" w:line="240" w:lineRule="auto"/>
        <w:rPr>
          <w:b/>
          <w:color w:val="31849B"/>
          <w:sz w:val="28"/>
          <w:szCs w:val="28"/>
          <w:lang w:val="en-US"/>
        </w:rPr>
      </w:pPr>
      <w:r>
        <w:rPr>
          <w:b/>
          <w:noProof/>
          <w:color w:val="31849B"/>
          <w:sz w:val="28"/>
          <w:szCs w:val="28"/>
          <w:lang w:eastAsia="en-AU"/>
        </w:rPr>
        <w:drawing>
          <wp:inline distT="0" distB="0" distL="0" distR="0" wp14:anchorId="7B6429DA" wp14:editId="4CA69950">
            <wp:extent cx="5387340" cy="362290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405289" cy="3634975"/>
                    </a:xfrm>
                    <a:prstGeom prst="rect">
                      <a:avLst/>
                    </a:prstGeom>
                    <a:noFill/>
                  </pic:spPr>
                </pic:pic>
              </a:graphicData>
            </a:graphic>
          </wp:inline>
        </w:drawing>
      </w:r>
    </w:p>
    <w:p w14:paraId="29963337" w14:textId="77777777" w:rsidR="00EE7F09" w:rsidRDefault="00EE7F09" w:rsidP="00523C98">
      <w:pPr>
        <w:spacing w:after="120" w:line="240" w:lineRule="auto"/>
        <w:jc w:val="left"/>
        <w:rPr>
          <w:sz w:val="20"/>
        </w:rPr>
      </w:pPr>
      <w:r>
        <w:rPr>
          <w:b/>
          <w:bCs/>
          <w:sz w:val="20"/>
        </w:rPr>
        <w:t xml:space="preserve">Figure 8.2 </w:t>
      </w:r>
      <w:r>
        <w:rPr>
          <w:sz w:val="20"/>
        </w:rPr>
        <w:t>Location of acoustic telemetry receivers (green dots) moored in the Edward/Kolety-Wakool system to determine movements of acoustically tagged golden perch and silver perch. Red dots indicate the 20 additional receivers placed at key entry/exit points and major junctions to monitor any potential emigration out of the system. The installation of these receivers was supported by the local community and undertaken by funds received by Murray Local Land Services through the National Landcare Programme.</w:t>
      </w:r>
    </w:p>
    <w:p w14:paraId="0237942F" w14:textId="77777777" w:rsidR="00EE7F09" w:rsidRDefault="00EE7F09" w:rsidP="00523C98">
      <w:pPr>
        <w:spacing w:after="120" w:line="324" w:lineRule="exact"/>
        <w:jc w:val="left"/>
      </w:pPr>
      <w:r>
        <w:t>Acoustic receiver downloads are undertaken quarterly (Figure 8.3). Downloaded acoustic tag detection data and meta-data are uploaded into a custom SQL database. Data are subsequently screened and all duplicates, false detections and orphan tags quarantined prior to storage. Individual movements of fish were recreated over time to determine 1) location within the Edward/Kolety-Wakool system at any given time and, 2) timing and distance of movements. As receivers were spaced at ~6 km intervals, this represents the minimum distance of movements within the receiver array and detection on multiple receivers is required to determine location and direction of movement. Individual fish were assigned a location based on their previous location until any new location (i.e. detection at a new/different location) was determined. Where a new location was not determined (i.e. an individual was never detected again), individual records were truncated to the last verified detection location and date. This data may represent emigration from the acoustic array (and hence the entire Edward/Kolety-Wakool system), an individual between two receivers and not moving, tag failure (battery expiration) or mortality.</w:t>
      </w:r>
    </w:p>
    <w:p w14:paraId="293C8254" w14:textId="77777777" w:rsidR="00EE7F09" w:rsidRPr="007F6493" w:rsidRDefault="00EE7F09" w:rsidP="00523C98">
      <w:pPr>
        <w:spacing w:after="120" w:line="324" w:lineRule="exact"/>
        <w:jc w:val="left"/>
        <w:rPr>
          <w:rFonts w:cstheme="minorHAnsi"/>
        </w:rPr>
      </w:pPr>
      <w:r w:rsidRPr="007F6493">
        <w:rPr>
          <w:rFonts w:cstheme="minorHAnsi"/>
        </w:rPr>
        <w:t>We used generalised additive mixed models (GAMM) with a binomial distribution to model the probability of movement for each of the three species in response to river flows and time of year. We aggregated daily river flows (ML day</w:t>
      </w:r>
      <w:r w:rsidRPr="007F6493">
        <w:rPr>
          <w:rFonts w:cstheme="minorHAnsi"/>
          <w:vertAlign w:val="superscript"/>
        </w:rPr>
        <w:t>-1</w:t>
      </w:r>
      <w:r w:rsidRPr="007F6493">
        <w:rPr>
          <w:rFonts w:cstheme="minorHAnsi"/>
        </w:rPr>
        <w:t>) to a five day time step, as mean daily flow for each five day period. We classified individuals as having moved during a 5 day time step when they were tracked at a receiver that was different from their last known location (i.e. moved a minimum of ~6 km). A random intercept was included in each of the models to account for the fact that individual fish were considered a random draw from the overall population with potentially different tendencies toward movement. Simulations were then run for each calendar year for which there were adequate data (2017 and 2018) for each species to visualise movement responses to varying flows at different times of year. The contribution of river flows with and without CEW was used as a visualisation tool, and represents simulated data generated from GAMM probabilities. The period of flooding in late 2016 was not included in the simulations as the flood magnitude overwhelms the response signal (meaning that comparison among years is unrealistic) and is outside the bounds of any water deliveries and general regulated conditions within the system.</w:t>
      </w:r>
    </w:p>
    <w:p w14:paraId="11608D4A" w14:textId="77777777" w:rsidR="00EE7F09" w:rsidRDefault="00EE7F09" w:rsidP="00EE7F09">
      <w:pPr>
        <w:spacing w:after="0" w:line="240" w:lineRule="auto"/>
        <w:jc w:val="center"/>
        <w:rPr>
          <w:b/>
          <w:color w:val="006666"/>
          <w:sz w:val="28"/>
          <w:szCs w:val="28"/>
        </w:rPr>
      </w:pPr>
      <w:r>
        <w:rPr>
          <w:noProof/>
          <w:lang w:eastAsia="en-AU"/>
        </w:rPr>
        <w:drawing>
          <wp:inline distT="0" distB="0" distL="0" distR="0" wp14:anchorId="2E547B7D" wp14:editId="4050E1A7">
            <wp:extent cx="2925753" cy="226800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97" cstate="email">
                      <a:extLst>
                        <a:ext uri="{28A0092B-C50C-407E-A947-70E740481C1C}">
                          <a14:useLocalDpi xmlns:a14="http://schemas.microsoft.com/office/drawing/2010/main"/>
                        </a:ext>
                      </a:extLst>
                    </a:blip>
                    <a:srcRect t="2923" b="3384"/>
                    <a:stretch/>
                  </pic:blipFill>
                  <pic:spPr bwMode="auto">
                    <a:xfrm>
                      <a:off x="0" y="0"/>
                      <a:ext cx="2925753"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4018FFEA" w14:textId="4FFED643" w:rsidR="00EE7F09" w:rsidRDefault="00EE7F09" w:rsidP="00523C98">
      <w:pPr>
        <w:spacing w:after="0" w:line="240" w:lineRule="auto"/>
        <w:ind w:right="-1"/>
        <w:jc w:val="left"/>
        <w:rPr>
          <w:sz w:val="20"/>
        </w:rPr>
      </w:pPr>
      <w:r>
        <w:rPr>
          <w:b/>
          <w:sz w:val="20"/>
        </w:rPr>
        <w:t>Figure 8.3</w:t>
      </w:r>
      <w:r>
        <w:rPr>
          <w:sz w:val="20"/>
        </w:rPr>
        <w:t xml:space="preserve"> Clockwise from left: An acoustic receiver ready for deployment and an acoustic tag for scale, downloading information from tagged fish passing an acoustic receiver and, an anaesthetised silver perch undergoing surgical implantation of an acoustic tag.</w:t>
      </w:r>
    </w:p>
    <w:p w14:paraId="7E6EAD0A" w14:textId="77777777" w:rsidR="00CE616E" w:rsidRDefault="00CE616E" w:rsidP="00523C98">
      <w:pPr>
        <w:spacing w:after="0" w:line="240" w:lineRule="auto"/>
        <w:ind w:right="-1"/>
        <w:jc w:val="left"/>
        <w:rPr>
          <w:b/>
          <w:sz w:val="20"/>
        </w:rPr>
      </w:pPr>
    </w:p>
    <w:p w14:paraId="1A1E780C" w14:textId="77777777" w:rsidR="00EE7F09" w:rsidRPr="00CB0394" w:rsidRDefault="00EE7F09" w:rsidP="00EE7F09">
      <w:pPr>
        <w:spacing w:after="0"/>
        <w:rPr>
          <w:b/>
          <w:i/>
          <w:color w:val="31849B"/>
          <w:sz w:val="24"/>
          <w:szCs w:val="24"/>
          <w:lang w:val="en-US"/>
        </w:rPr>
      </w:pPr>
      <w:r w:rsidRPr="00CB0394">
        <w:rPr>
          <w:b/>
          <w:color w:val="31849B"/>
          <w:sz w:val="24"/>
          <w:szCs w:val="24"/>
          <w:lang w:val="en-US"/>
        </w:rPr>
        <w:t>8.4.2</w:t>
      </w:r>
      <w:r w:rsidRPr="00CB0394">
        <w:rPr>
          <w:b/>
          <w:i/>
          <w:color w:val="31849B"/>
          <w:sz w:val="24"/>
          <w:szCs w:val="24"/>
          <w:lang w:val="en-US"/>
        </w:rPr>
        <w:t xml:space="preserve"> Fish spawning </w:t>
      </w:r>
    </w:p>
    <w:p w14:paraId="1DF01524" w14:textId="77777777" w:rsidR="00EE7F09" w:rsidRPr="00932379" w:rsidRDefault="00EE7F09" w:rsidP="00523C98">
      <w:pPr>
        <w:spacing w:after="120" w:line="324" w:lineRule="exact"/>
        <w:jc w:val="left"/>
        <w:rPr>
          <w:color w:val="000000" w:themeColor="text1"/>
        </w:rPr>
      </w:pPr>
      <w:r w:rsidRPr="00932379">
        <w:rPr>
          <w:color w:val="000000" w:themeColor="text1"/>
        </w:rPr>
        <w:t>Fish larvae</w:t>
      </w:r>
      <w:r>
        <w:rPr>
          <w:color w:val="000000" w:themeColor="text1"/>
        </w:rPr>
        <w:t xml:space="preserve"> and eggs</w:t>
      </w:r>
      <w:r w:rsidRPr="00932379">
        <w:rPr>
          <w:color w:val="000000" w:themeColor="text1"/>
        </w:rPr>
        <w:t xml:space="preserve"> were sampled fortnightly within the Edward</w:t>
      </w:r>
      <w:r>
        <w:rPr>
          <w:color w:val="000000" w:themeColor="text1"/>
        </w:rPr>
        <w:t xml:space="preserve">/Kolety </w:t>
      </w:r>
      <w:r w:rsidRPr="00932379">
        <w:rPr>
          <w:color w:val="000000" w:themeColor="text1"/>
        </w:rPr>
        <w:t>-</w:t>
      </w:r>
      <w:r>
        <w:rPr>
          <w:color w:val="000000" w:themeColor="text1"/>
        </w:rPr>
        <w:t xml:space="preserve"> </w:t>
      </w:r>
      <w:r w:rsidRPr="00932379">
        <w:rPr>
          <w:color w:val="000000" w:themeColor="text1"/>
        </w:rPr>
        <w:t>Wakool S</w:t>
      </w:r>
      <w:r>
        <w:rPr>
          <w:color w:val="000000" w:themeColor="text1"/>
        </w:rPr>
        <w:t>elected Area from 9 September 2019 – 5 March 2020 (13</w:t>
      </w:r>
      <w:r w:rsidRPr="00932379">
        <w:rPr>
          <w:color w:val="000000" w:themeColor="text1"/>
        </w:rPr>
        <w:t xml:space="preserve"> sampling trips). A combination of </w:t>
      </w:r>
      <w:r>
        <w:rPr>
          <w:color w:val="000000" w:themeColor="text1"/>
        </w:rPr>
        <w:t>modified quatrefoil light traps and drift nets</w:t>
      </w:r>
      <w:r w:rsidRPr="00932379">
        <w:rPr>
          <w:color w:val="000000" w:themeColor="text1"/>
        </w:rPr>
        <w:t xml:space="preserve"> were used in all four study zones; Yallakool Creek (Zone 1), Upper Wakool River (Zone 2), Mid Wakool River </w:t>
      </w:r>
      <w:r>
        <w:rPr>
          <w:color w:val="000000" w:themeColor="text1"/>
        </w:rPr>
        <w:t>upstream</w:t>
      </w:r>
      <w:r w:rsidRPr="00932379">
        <w:rPr>
          <w:color w:val="000000" w:themeColor="text1"/>
        </w:rPr>
        <w:t xml:space="preserve"> of Thule Creek (Zone 3), and Mid Wakool River </w:t>
      </w:r>
      <w:r>
        <w:rPr>
          <w:color w:val="000000" w:themeColor="text1"/>
        </w:rPr>
        <w:t>downstream</w:t>
      </w:r>
      <w:r w:rsidRPr="00932379">
        <w:rPr>
          <w:color w:val="000000" w:themeColor="text1"/>
        </w:rPr>
        <w:t xml:space="preserve"> of Thule Creek (Zone 4)</w:t>
      </w:r>
      <w:r>
        <w:rPr>
          <w:color w:val="000000" w:themeColor="text1"/>
        </w:rPr>
        <w:t>.</w:t>
      </w:r>
    </w:p>
    <w:p w14:paraId="1E67C312" w14:textId="77777777" w:rsidR="00EE7F09" w:rsidRPr="00932379" w:rsidRDefault="00EE7F09" w:rsidP="00523C98">
      <w:pPr>
        <w:spacing w:after="120" w:line="324" w:lineRule="exact"/>
        <w:jc w:val="left"/>
        <w:rPr>
          <w:color w:val="000000" w:themeColor="text1"/>
        </w:rPr>
      </w:pPr>
      <w:r w:rsidRPr="00932379">
        <w:rPr>
          <w:color w:val="000000" w:themeColor="text1"/>
        </w:rPr>
        <w:t>As part of the routine fish larval sampling for the Edward</w:t>
      </w:r>
      <w:r>
        <w:rPr>
          <w:color w:val="000000" w:themeColor="text1"/>
        </w:rPr>
        <w:t>/Kolety-Wakool Selected A</w:t>
      </w:r>
      <w:r w:rsidRPr="00932379">
        <w:rPr>
          <w:color w:val="000000" w:themeColor="text1"/>
        </w:rPr>
        <w:t>rea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3), three </w:t>
      </w:r>
      <w:r>
        <w:rPr>
          <w:color w:val="000000" w:themeColor="text1"/>
        </w:rPr>
        <w:t xml:space="preserve">modified quatrefoil light traps were </w:t>
      </w:r>
      <w:r w:rsidRPr="00932379">
        <w:rPr>
          <w:color w:val="000000" w:themeColor="text1"/>
        </w:rPr>
        <w:t>deployed overnight at five sites within the four study zones each trip. The occurrence of fish larvae throughout a given river reach is patchy, and so to account for this, the three light traps deployed were pooled to create one composite light trap sample</w:t>
      </w:r>
      <w:r>
        <w:rPr>
          <w:color w:val="000000" w:themeColor="text1"/>
        </w:rPr>
        <w:t xml:space="preserve"> per site</w:t>
      </w:r>
      <w:r w:rsidRPr="00932379">
        <w:rPr>
          <w:color w:val="000000" w:themeColor="text1"/>
        </w:rPr>
        <w:t xml:space="preserve">. </w:t>
      </w:r>
    </w:p>
    <w:p w14:paraId="0DB35DD6" w14:textId="77777777" w:rsidR="00EE7F09" w:rsidRDefault="00EE7F09" w:rsidP="00523C98">
      <w:pPr>
        <w:spacing w:after="0" w:line="324" w:lineRule="exact"/>
        <w:contextualSpacing/>
        <w:jc w:val="left"/>
        <w:rPr>
          <w:rFonts w:cs="AdvPSPAL-R"/>
          <w:color w:val="000000" w:themeColor="text1"/>
        </w:rPr>
      </w:pPr>
      <w:r w:rsidRPr="00932379">
        <w:rPr>
          <w:color w:val="000000" w:themeColor="text1"/>
        </w:rPr>
        <w:t xml:space="preserve">Drift nets were also used for sampling larvae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1 </w:t>
      </w:r>
      <w:r>
        <w:rPr>
          <w:color w:val="000000" w:themeColor="text1"/>
        </w:rPr>
        <w:t xml:space="preserve">and </w:t>
      </w:r>
      <w:r w:rsidRPr="00932379">
        <w:rPr>
          <w:color w:val="000000" w:themeColor="text1"/>
        </w:rPr>
        <w:t>3 methods</w:t>
      </w:r>
      <w:r>
        <w:rPr>
          <w:color w:val="000000" w:themeColor="text1"/>
        </w:rPr>
        <w:t>)</w:t>
      </w:r>
      <w:r w:rsidRPr="00932379">
        <w:rPr>
          <w:color w:val="000000" w:themeColor="text1"/>
        </w:rPr>
        <w:t>, albeit o</w:t>
      </w:r>
      <w:r>
        <w:rPr>
          <w:color w:val="000000" w:themeColor="text1"/>
        </w:rPr>
        <w:t xml:space="preserve">ver a shorter period than that of the light trap surveys. </w:t>
      </w:r>
      <w:r w:rsidRPr="00932379">
        <w:rPr>
          <w:color w:val="000000" w:themeColor="text1"/>
        </w:rPr>
        <w:t>Drift nets are used in addition to the light traps</w:t>
      </w:r>
      <w:r>
        <w:rPr>
          <w:color w:val="000000" w:themeColor="text1"/>
        </w:rPr>
        <w:t xml:space="preserve"> as they </w:t>
      </w:r>
      <w:r w:rsidRPr="00932379">
        <w:rPr>
          <w:color w:val="000000" w:themeColor="text1"/>
        </w:rPr>
        <w:t xml:space="preserve">are more effective in </w:t>
      </w:r>
      <w:r>
        <w:rPr>
          <w:color w:val="000000" w:themeColor="text1"/>
        </w:rPr>
        <w:t>detecting</w:t>
      </w:r>
      <w:r w:rsidRPr="00932379">
        <w:rPr>
          <w:color w:val="000000" w:themeColor="text1"/>
        </w:rPr>
        <w:t xml:space="preserve"> eggs and </w:t>
      </w:r>
      <w:r>
        <w:rPr>
          <w:color w:val="000000" w:themeColor="text1"/>
        </w:rPr>
        <w:t xml:space="preserve">early-stage </w:t>
      </w:r>
      <w:r w:rsidRPr="00932379">
        <w:rPr>
          <w:color w:val="000000" w:themeColor="text1"/>
        </w:rPr>
        <w:t>larvae of flow-dependent spawning species, such as golden perch (</w:t>
      </w:r>
      <w:r w:rsidRPr="00932379">
        <w:rPr>
          <w:i/>
          <w:color w:val="000000" w:themeColor="text1"/>
        </w:rPr>
        <w:t>Macquaria ambigua</w:t>
      </w:r>
      <w:r w:rsidRPr="00932379">
        <w:rPr>
          <w:color w:val="000000" w:themeColor="text1"/>
        </w:rPr>
        <w:t>) and silver perch (</w:t>
      </w:r>
      <w:r w:rsidRPr="00932379">
        <w:rPr>
          <w:i/>
          <w:color w:val="000000" w:themeColor="text1"/>
        </w:rPr>
        <w:t>Bidyanus bidyanus</w:t>
      </w:r>
      <w:r>
        <w:rPr>
          <w:color w:val="000000" w:themeColor="text1"/>
        </w:rPr>
        <w:t>). Cat 3 d</w:t>
      </w:r>
      <w:r w:rsidRPr="00932379">
        <w:rPr>
          <w:color w:val="000000" w:themeColor="text1"/>
        </w:rPr>
        <w:t xml:space="preserve">rift net </w:t>
      </w:r>
      <w:r>
        <w:rPr>
          <w:color w:val="000000" w:themeColor="text1"/>
        </w:rPr>
        <w:t xml:space="preserve">methods consisted of </w:t>
      </w:r>
      <w:r w:rsidRPr="00932379">
        <w:rPr>
          <w:color w:val="000000" w:themeColor="text1"/>
        </w:rPr>
        <w:t>drift nets deployed fortnigh</w:t>
      </w:r>
      <w:r>
        <w:rPr>
          <w:color w:val="000000" w:themeColor="text1"/>
        </w:rPr>
        <w:t xml:space="preserve">tly for six sampling trips from 8 October– </w:t>
      </w:r>
      <w:r w:rsidRPr="00932379">
        <w:rPr>
          <w:color w:val="000000" w:themeColor="text1"/>
        </w:rPr>
        <w:t>2</w:t>
      </w:r>
      <w:r>
        <w:rPr>
          <w:color w:val="000000" w:themeColor="text1"/>
        </w:rPr>
        <w:t>0 December 2019</w:t>
      </w:r>
      <w:r w:rsidRPr="00932379">
        <w:rPr>
          <w:color w:val="000000" w:themeColor="text1"/>
        </w:rPr>
        <w:t xml:space="preserve">. Here, three drift nets were deployed overnight at one site in each of the four study zones. The volume of water filtered by the nets was calculated using </w:t>
      </w:r>
      <w:r w:rsidRPr="00932379">
        <w:rPr>
          <w:rFonts w:cs="AdvPSPAL-R"/>
          <w:color w:val="000000" w:themeColor="text1"/>
        </w:rPr>
        <w:t>Oceanic® flow meters positioned at the mouth of each net. Volume sampled by the net was estimated as</w:t>
      </w:r>
      <w:r>
        <w:rPr>
          <w:rFonts w:cs="AdvPSPAL-R"/>
          <w:color w:val="000000" w:themeColor="text1"/>
        </w:rPr>
        <w:t>:</w:t>
      </w:r>
    </w:p>
    <w:p w14:paraId="35239B7B" w14:textId="77777777" w:rsidR="00EE7F09" w:rsidRDefault="00EE7F09" w:rsidP="00523C98">
      <w:pPr>
        <w:spacing w:after="120" w:line="324" w:lineRule="exact"/>
        <w:contextualSpacing/>
        <w:jc w:val="center"/>
        <w:rPr>
          <w:rFonts w:cs="AdvPSPAL-R"/>
          <w:color w:val="000000" w:themeColor="text1"/>
        </w:rPr>
      </w:pPr>
      <m:oMath>
        <m:r>
          <w:rPr>
            <w:rFonts w:ascii="Cambria Math" w:hAnsi="Cambria Math" w:cs="AdvPSPAL-R"/>
            <w:color w:val="000000" w:themeColor="text1"/>
          </w:rPr>
          <m:t>π</m:t>
        </m:r>
        <m:sSup>
          <m:sSupPr>
            <m:ctrlPr>
              <w:rPr>
                <w:rFonts w:ascii="Cambria Math" w:hAnsi="Cambria Math" w:cs="AdvPSPAL-R"/>
                <w:i/>
                <w:color w:val="000000" w:themeColor="text1"/>
              </w:rPr>
            </m:ctrlPr>
          </m:sSupPr>
          <m:e>
            <m:r>
              <w:rPr>
                <w:rFonts w:ascii="Cambria Math" w:hAnsi="Cambria Math" w:cs="AdvPSPAL-R"/>
                <w:color w:val="000000" w:themeColor="text1"/>
              </w:rPr>
              <m:t>r</m:t>
            </m:r>
          </m:e>
          <m:sup>
            <m:r>
              <w:rPr>
                <w:rFonts w:ascii="Cambria Math" w:hAnsi="Cambria Math" w:cs="AdvPSPAL-R"/>
                <w:color w:val="000000" w:themeColor="text1"/>
              </w:rPr>
              <m:t>2</m:t>
            </m:r>
          </m:sup>
        </m:sSup>
        <m:r>
          <w:rPr>
            <w:rFonts w:ascii="Cambria Math" w:hAnsi="Cambria Math" w:cs="AdvPSPAL-R"/>
            <w:color w:val="000000" w:themeColor="text1"/>
          </w:rPr>
          <m:t>∙v ∙t</m:t>
        </m:r>
      </m:oMath>
      <w:r w:rsidRPr="00932379">
        <w:rPr>
          <w:rFonts w:cs="AdvPSPAL-R"/>
          <w:color w:val="000000" w:themeColor="text1"/>
        </w:rPr>
        <w:t>,</w:t>
      </w:r>
    </w:p>
    <w:p w14:paraId="32109520" w14:textId="77777777" w:rsidR="00EE7F09" w:rsidRPr="00CB0394" w:rsidRDefault="00EE7F09" w:rsidP="00523C98">
      <w:pPr>
        <w:spacing w:after="120" w:line="324" w:lineRule="exact"/>
        <w:contextualSpacing/>
        <w:jc w:val="left"/>
        <w:rPr>
          <w:rFonts w:cs="AdvPSPAL-R"/>
          <w:color w:val="000000" w:themeColor="text1"/>
        </w:rPr>
      </w:pPr>
      <w:r w:rsidRPr="00932379">
        <w:rPr>
          <w:rFonts w:cs="AdvPSPAL-R"/>
          <w:color w:val="000000" w:themeColor="text1"/>
        </w:rPr>
        <w:t xml:space="preserve">where </w:t>
      </w:r>
      <w:r w:rsidRPr="00932379">
        <w:rPr>
          <w:rFonts w:cs="AdvPSPAL-R"/>
          <w:i/>
          <w:color w:val="000000" w:themeColor="text1"/>
        </w:rPr>
        <w:t>r</w:t>
      </w:r>
      <w:r w:rsidRPr="00932379">
        <w:rPr>
          <w:rFonts w:cs="AdvPSPAL-R"/>
          <w:color w:val="000000" w:themeColor="text1"/>
        </w:rPr>
        <w:t xml:space="preserve"> is radius in metres, </w:t>
      </w:r>
      <w:r w:rsidRPr="00932379">
        <w:rPr>
          <w:rFonts w:cs="AdvPSPAL-R"/>
          <w:i/>
          <w:color w:val="000000" w:themeColor="text1"/>
        </w:rPr>
        <w:t>v</w:t>
      </w:r>
      <w:r w:rsidRPr="00932379">
        <w:rPr>
          <w:rFonts w:cs="AdvPSPAL-R"/>
          <w:color w:val="000000" w:themeColor="text1"/>
        </w:rPr>
        <w:t xml:space="preserve"> is mean velocity in m/s, and </w:t>
      </w:r>
      <w:r w:rsidRPr="00932379">
        <w:rPr>
          <w:rFonts w:cs="AdvPSPAL-R"/>
          <w:i/>
          <w:color w:val="000000" w:themeColor="text1"/>
        </w:rPr>
        <w:t>t</w:t>
      </w:r>
      <w:r w:rsidRPr="00932379">
        <w:rPr>
          <w:rFonts w:cs="AdvPSPAL-R"/>
          <w:color w:val="000000" w:themeColor="text1"/>
        </w:rPr>
        <w:t xml:space="preserve"> is time set in seconds. </w:t>
      </w:r>
      <w:r>
        <w:rPr>
          <w:rFonts w:cs="AdvPSPAL-R"/>
          <w:color w:val="000000" w:themeColor="text1"/>
        </w:rPr>
        <w:t xml:space="preserve">Drift net samples were also collected fortnightly from the </w:t>
      </w:r>
      <w:r>
        <w:rPr>
          <w:color w:val="000000" w:themeColor="text1"/>
        </w:rPr>
        <w:t xml:space="preserve">23 September – </w:t>
      </w:r>
      <w:r w:rsidRPr="00932379">
        <w:rPr>
          <w:color w:val="000000" w:themeColor="text1"/>
        </w:rPr>
        <w:t>2</w:t>
      </w:r>
      <w:r>
        <w:rPr>
          <w:color w:val="000000" w:themeColor="text1"/>
        </w:rPr>
        <w:t xml:space="preserve">0 December 2019 </w:t>
      </w:r>
      <w:r>
        <w:rPr>
          <w:rFonts w:cs="AdvPSPAL-R"/>
          <w:color w:val="000000" w:themeColor="text1"/>
        </w:rPr>
        <w:t xml:space="preserve">from Wakool River US Thule Creek Zone 3 (n=7 sampling trips), for Category 1 Basin Matter Analysis, however this data is not reported on here. </w:t>
      </w:r>
      <w:r>
        <w:rPr>
          <w:rFonts w:cstheme="minorHAnsi"/>
          <w:color w:val="000000" w:themeColor="text1"/>
        </w:rPr>
        <w:t xml:space="preserve">Drift nets were deployed in the late afternoon, and retrieved the following morning. Up on retrieval, drift nets were rinsed down and entire samples preserved in 70% ethanol, and returned to the laboratory for processing. </w:t>
      </w:r>
    </w:p>
    <w:p w14:paraId="4135C57D" w14:textId="77777777" w:rsidR="00EE7F09" w:rsidRDefault="00EE7F09" w:rsidP="00523C98">
      <w:pPr>
        <w:spacing w:after="120" w:line="324" w:lineRule="exact"/>
        <w:jc w:val="left"/>
        <w:rPr>
          <w:color w:val="000000" w:themeColor="text1"/>
        </w:rPr>
      </w:pPr>
      <w:r>
        <w:rPr>
          <w:color w:val="000000" w:themeColor="text1"/>
        </w:rPr>
        <w:t xml:space="preserve">All eggs and fish </w:t>
      </w:r>
      <w:r w:rsidRPr="004701D9">
        <w:rPr>
          <w:color w:val="000000" w:themeColor="text1"/>
        </w:rPr>
        <w:t>larvae collected in light trap and drift net samples were identified to species according to Serafini and Humphries (2004), and enumerated. Carp gudgeon larvae were identified to genus level (</w:t>
      </w:r>
      <w:r w:rsidRPr="004701D9">
        <w:rPr>
          <w:i/>
          <w:color w:val="000000" w:themeColor="text1"/>
        </w:rPr>
        <w:t>Hypseleotris</w:t>
      </w:r>
      <w:r w:rsidRPr="004701D9">
        <w:rPr>
          <w:color w:val="000000" w:themeColor="text1"/>
        </w:rPr>
        <w:t xml:space="preserve"> spp.) only. </w:t>
      </w:r>
      <w:r>
        <w:rPr>
          <w:color w:val="000000" w:themeColor="text1"/>
        </w:rPr>
        <w:t xml:space="preserve">Genetic analyses undertaken for all eggs collected, and as well on a sample of early-caught </w:t>
      </w:r>
      <w:r>
        <w:rPr>
          <w:rFonts w:cs="Calibri"/>
          <w:color w:val="000000" w:themeColor="text1"/>
        </w:rPr>
        <w:t xml:space="preserve">cod larvae, since Murray cod and trout cod larvae have similar morphological features and cannot be easily distinguished visually. Consequently, a subsample of larvae comprising of possible Murray cod or trout cod were submitted to the Australian Genome Research Facility (AGRF). Nucleic acid extraction and subsequent verification of species assignment was based on dual direction sequencing following PCR amplification. Results of the PCR amplification revealed all larvae to be Murray cod, and thus, from here on, we consider all cod larvae collected in the study zone to be Murray cod. </w:t>
      </w:r>
      <w:r w:rsidRPr="004701D9">
        <w:rPr>
          <w:color w:val="000000" w:themeColor="text1"/>
        </w:rPr>
        <w:t>The developmental stage of each individual was recorded as egg</w:t>
      </w:r>
      <w:r>
        <w:rPr>
          <w:color w:val="000000" w:themeColor="text1"/>
        </w:rPr>
        <w:t xml:space="preserve">, </w:t>
      </w:r>
      <w:r w:rsidRPr="004701D9">
        <w:rPr>
          <w:color w:val="000000" w:themeColor="text1"/>
        </w:rPr>
        <w:t>larvae, or juvenile/adult, according to classifications o</w:t>
      </w:r>
      <w:r>
        <w:rPr>
          <w:color w:val="000000" w:themeColor="text1"/>
        </w:rPr>
        <w:t>f Serafini and Humphries (2004). O</w:t>
      </w:r>
      <w:r w:rsidRPr="004701D9">
        <w:rPr>
          <w:color w:val="000000" w:themeColor="text1"/>
        </w:rPr>
        <w:t xml:space="preserve">nly the trends in abundances of </w:t>
      </w:r>
      <w:r>
        <w:rPr>
          <w:color w:val="000000" w:themeColor="text1"/>
        </w:rPr>
        <w:t xml:space="preserve">eggs and </w:t>
      </w:r>
      <w:r w:rsidRPr="004701D9">
        <w:rPr>
          <w:color w:val="000000" w:themeColor="text1"/>
        </w:rPr>
        <w:t xml:space="preserve">larvae </w:t>
      </w:r>
      <w:r>
        <w:rPr>
          <w:color w:val="000000" w:themeColor="text1"/>
        </w:rPr>
        <w:t>are reported</w:t>
      </w:r>
      <w:r w:rsidRPr="004701D9">
        <w:rPr>
          <w:color w:val="000000" w:themeColor="text1"/>
        </w:rPr>
        <w:t>.</w:t>
      </w:r>
    </w:p>
    <w:p w14:paraId="46E63695" w14:textId="77777777" w:rsidR="00EE7F09" w:rsidRPr="007F3F86" w:rsidRDefault="00EE7F09" w:rsidP="00523C98">
      <w:pPr>
        <w:spacing w:after="120" w:line="324" w:lineRule="exact"/>
        <w:jc w:val="left"/>
        <w:rPr>
          <w:color w:val="000000" w:themeColor="text1"/>
        </w:rPr>
      </w:pPr>
      <w:r>
        <w:rPr>
          <w:color w:val="000000"/>
        </w:rPr>
        <w:t>To address the short-term selected area evaluation questions relevant to spawning and reproduction, we tested to see if the total abundance of larvae (as an indication of magnitude of spawning across a season) varied significantly between the four study zones. We used generalised linear models to test differences in larval catch for individual species where ‘zone’ (zone 1, zone 2, zone 3, zone 4) was treated as a categorical, fixed effect. We hypothesised that the total production of fish larvae across the 2019-20 spawning season would be significantly higher in the study zones that received environmental watering actions (zone 1,3 and 4) compared to zone 2 which did not receive any environmental water. Larval and eggs counts collected from light traps and drift nets were pooled for this analysis and restricted to the species were more than 50 individuals were collected.</w:t>
      </w:r>
    </w:p>
    <w:p w14:paraId="08C8DABC" w14:textId="77777777" w:rsidR="00EE7F09" w:rsidRPr="00E22421" w:rsidRDefault="00EE7F09" w:rsidP="00523C98">
      <w:pPr>
        <w:spacing w:after="240" w:line="324" w:lineRule="exact"/>
        <w:jc w:val="left"/>
        <w:rPr>
          <w:color w:val="000000"/>
        </w:rPr>
      </w:pPr>
      <w:r>
        <w:rPr>
          <w:color w:val="000000"/>
        </w:rPr>
        <w:t>The distribution of l</w:t>
      </w:r>
      <w:r w:rsidRPr="00C130FA">
        <w:rPr>
          <w:color w:val="000000"/>
        </w:rPr>
        <w:t xml:space="preserve">arval </w:t>
      </w:r>
      <w:r>
        <w:rPr>
          <w:color w:val="000000"/>
        </w:rPr>
        <w:t xml:space="preserve">counts were non-Gaussian and highly skewed, so a Gamma distribution with a log-link function was used for all statistical models. </w:t>
      </w:r>
      <w:r w:rsidRPr="00C130FA">
        <w:rPr>
          <w:color w:val="000000"/>
        </w:rPr>
        <w:t>Statis</w:t>
      </w:r>
      <w:r>
        <w:rPr>
          <w:color w:val="000000"/>
        </w:rPr>
        <w:t xml:space="preserve">tical analyses were </w:t>
      </w:r>
      <w:r w:rsidRPr="00C130FA">
        <w:rPr>
          <w:color w:val="000000"/>
        </w:rPr>
        <w:t xml:space="preserve">carried out using </w:t>
      </w:r>
      <w:r>
        <w:rPr>
          <w:color w:val="000000"/>
        </w:rPr>
        <w:t xml:space="preserve">the freeware </w:t>
      </w:r>
      <w:r w:rsidRPr="00C130FA">
        <w:rPr>
          <w:color w:val="000000"/>
        </w:rPr>
        <w:t>R (version 3.3.2, R core t</w:t>
      </w:r>
      <w:r>
        <w:rPr>
          <w:color w:val="000000"/>
        </w:rPr>
        <w:t xml:space="preserve">eam 2020). F-tests were used to test the significance of the zone. </w:t>
      </w:r>
      <w:r w:rsidRPr="00C130FA">
        <w:rPr>
          <w:color w:val="000000"/>
        </w:rPr>
        <w:t>P-values of &lt;0.05 were used to determine the significanc</w:t>
      </w:r>
      <w:r>
        <w:rPr>
          <w:color w:val="000000"/>
        </w:rPr>
        <w:t xml:space="preserve">e of each </w:t>
      </w:r>
      <w:r w:rsidRPr="00C130FA">
        <w:rPr>
          <w:color w:val="000000"/>
        </w:rPr>
        <w:t>test.</w:t>
      </w:r>
      <w:r>
        <w:rPr>
          <w:color w:val="000000"/>
        </w:rPr>
        <w:t xml:space="preserve"> When significant differences were indicated, pairwise comparisons were undertaken to determine differences in estimated marginal means between the zones using the package ‘emmeans’ (Length 2020, v.1.5.0).</w:t>
      </w:r>
    </w:p>
    <w:p w14:paraId="1C7C014A" w14:textId="77777777" w:rsidR="00EE7F09" w:rsidRPr="00B1341B" w:rsidRDefault="00EE7F09" w:rsidP="00523C98">
      <w:pPr>
        <w:spacing w:after="120" w:line="300" w:lineRule="exact"/>
        <w:jc w:val="left"/>
        <w:rPr>
          <w:b/>
          <w:color w:val="006666"/>
          <w:sz w:val="24"/>
          <w:szCs w:val="24"/>
        </w:rPr>
      </w:pPr>
      <w:r w:rsidRPr="00B1341B">
        <w:rPr>
          <w:b/>
          <w:color w:val="006666"/>
          <w:sz w:val="24"/>
          <w:szCs w:val="24"/>
        </w:rPr>
        <w:t xml:space="preserve">8.4.3 </w:t>
      </w:r>
      <w:r w:rsidRPr="00B1341B">
        <w:rPr>
          <w:b/>
          <w:i/>
          <w:color w:val="006666"/>
          <w:sz w:val="24"/>
          <w:szCs w:val="24"/>
        </w:rPr>
        <w:t>Fish recruitment</w:t>
      </w:r>
    </w:p>
    <w:p w14:paraId="5C4A470D" w14:textId="77777777" w:rsidR="00EE7F09" w:rsidRDefault="00EE7F09" w:rsidP="00523C98">
      <w:pPr>
        <w:shd w:val="clear" w:color="auto" w:fill="FFFFFF"/>
        <w:spacing w:after="120" w:line="324" w:lineRule="exact"/>
        <w:jc w:val="left"/>
        <w:rPr>
          <w:rFonts w:eastAsia="Times New Roman" w:cs="Arial"/>
          <w:color w:val="000000"/>
        </w:rPr>
      </w:pPr>
      <w:r w:rsidRPr="00890D77">
        <w:rPr>
          <w:rFonts w:eastAsia="Times New Roman" w:cs="Arial"/>
          <w:color w:val="000000"/>
        </w:rPr>
        <w:t>Four sites were sampled in each of four river zones within the Edward</w:t>
      </w:r>
      <w:r>
        <w:rPr>
          <w:rFonts w:eastAsia="Times New Roman" w:cs="Arial"/>
          <w:color w:val="000000"/>
        </w:rPr>
        <w:t>/Kolety</w:t>
      </w:r>
      <w:r w:rsidRPr="00890D77">
        <w:rPr>
          <w:rFonts w:eastAsia="Times New Roman" w:cs="Arial"/>
          <w:color w:val="000000"/>
        </w:rPr>
        <w:t>-Wakool system: Yallakool Creek Zone 1, Wakool River Zone 2, Wakool River Zone 3 and Wakool River Zone 4. Each of the 16 sites were sampled once in a randomly selected order bet</w:t>
      </w:r>
      <w:r>
        <w:rPr>
          <w:rFonts w:eastAsia="Times New Roman" w:cs="Arial"/>
          <w:color w:val="000000"/>
        </w:rPr>
        <w:t>ween February and March for six</w:t>
      </w:r>
      <w:r w:rsidRPr="00890D77">
        <w:rPr>
          <w:rFonts w:eastAsia="Times New Roman" w:cs="Arial"/>
          <w:color w:val="000000"/>
        </w:rPr>
        <w:t xml:space="preserve"> years: 2014-1</w:t>
      </w:r>
      <w:r>
        <w:rPr>
          <w:rFonts w:eastAsia="Times New Roman" w:cs="Arial"/>
          <w:color w:val="000000"/>
        </w:rPr>
        <w:t>5; 2015-16; 2016-17; 2017-18, 2018-19 and 2019-20.</w:t>
      </w:r>
    </w:p>
    <w:p w14:paraId="2894AF64" w14:textId="77777777" w:rsidR="00EE7F09" w:rsidRDefault="00EE7F09" w:rsidP="00523C98">
      <w:pPr>
        <w:shd w:val="clear" w:color="auto" w:fill="FFFFFF"/>
        <w:spacing w:after="120" w:line="324" w:lineRule="exact"/>
        <w:jc w:val="left"/>
        <w:rPr>
          <w:rFonts w:eastAsia="Times New Roman" w:cs="Arial"/>
          <w:color w:val="000000"/>
        </w:rPr>
      </w:pPr>
      <w:r w:rsidRPr="001C4E41">
        <w:rPr>
          <w:rFonts w:eastAsia="Times New Roman" w:cs="Arial"/>
          <w:color w:val="000000"/>
        </w:rPr>
        <w:t>Three sampling methods including backpack electrofishing, standardised angling and baited set-lines were undertaken to sample recruits of Murray cod, golden perch and silver perch at each of the 16 sites.</w:t>
      </w:r>
      <w:r>
        <w:rPr>
          <w:rFonts w:eastAsia="Times New Roman" w:cs="Arial"/>
          <w:color w:val="000000"/>
        </w:rPr>
        <w:t xml:space="preserve"> In 2019-20 boat electrofishing was added as sampling method for the sites that were too deep to effectively sample with backpack electrofishing. A sub-sample of less than 25</w:t>
      </w:r>
      <w:r w:rsidRPr="001C4E41">
        <w:rPr>
          <w:rFonts w:eastAsia="Times New Roman" w:cs="Arial"/>
          <w:color w:val="000000"/>
        </w:rPr>
        <w:t xml:space="preserve"> </w:t>
      </w:r>
      <w:r>
        <w:rPr>
          <w:rFonts w:eastAsia="Times New Roman" w:cs="Arial"/>
          <w:color w:val="000000"/>
        </w:rPr>
        <w:t xml:space="preserve">Murray cod per zone </w:t>
      </w:r>
      <w:r w:rsidRPr="001C4E41">
        <w:rPr>
          <w:rFonts w:eastAsia="Times New Roman" w:cs="Arial"/>
          <w:color w:val="000000"/>
        </w:rPr>
        <w:t>were euthanized and frozen to determine the age and growth rate of recruits, while all other fish were released alive excluding carp which were euthanized.</w:t>
      </w:r>
    </w:p>
    <w:p w14:paraId="6B1957DB" w14:textId="77777777" w:rsidR="00EE7F09" w:rsidRDefault="00EE7F09" w:rsidP="00523C98">
      <w:pPr>
        <w:shd w:val="clear" w:color="auto" w:fill="FFFFFF"/>
        <w:spacing w:after="120" w:line="324" w:lineRule="exact"/>
        <w:jc w:val="left"/>
        <w:rPr>
          <w:rFonts w:cs="Arial"/>
          <w:color w:val="000000"/>
        </w:rPr>
      </w:pPr>
      <w:r>
        <w:rPr>
          <w:rFonts w:cs="Arial"/>
          <w:color w:val="000000"/>
        </w:rPr>
        <w:t>B</w:t>
      </w:r>
      <w:r w:rsidRPr="00890D77">
        <w:rPr>
          <w:rFonts w:cs="Arial"/>
          <w:color w:val="000000"/>
        </w:rPr>
        <w:t>ackpack electrofishing, using a 12 V DC batte</w:t>
      </w:r>
      <w:r>
        <w:rPr>
          <w:rFonts w:cs="Arial"/>
          <w:color w:val="000000"/>
        </w:rPr>
        <w:t>ry with a Smith-Root LR-20 unit was undertaken at</w:t>
      </w:r>
      <w:r w:rsidRPr="00890D77">
        <w:rPr>
          <w:rFonts w:cs="Arial"/>
          <w:color w:val="000000"/>
        </w:rPr>
        <w:t xml:space="preserve"> site</w:t>
      </w:r>
      <w:r>
        <w:rPr>
          <w:rFonts w:cs="Arial"/>
          <w:color w:val="000000"/>
        </w:rPr>
        <w:t>s 1, 4 and 5 in Zone 2</w:t>
      </w:r>
      <w:r w:rsidRPr="00890D77">
        <w:rPr>
          <w:rFonts w:cs="Arial"/>
          <w:color w:val="000000"/>
        </w:rPr>
        <w:t xml:space="preserve"> by an operator and one person equipped with a 5 mm mesh dip-net.</w:t>
      </w:r>
      <w:r>
        <w:rPr>
          <w:rFonts w:cs="Arial"/>
          <w:color w:val="000000"/>
        </w:rPr>
        <w:t xml:space="preserve"> </w:t>
      </w:r>
      <w:r w:rsidRPr="00890D77">
        <w:rPr>
          <w:rFonts w:cs="Arial"/>
          <w:color w:val="000000"/>
        </w:rPr>
        <w:t>Each</w:t>
      </w:r>
      <w:r>
        <w:rPr>
          <w:rFonts w:cs="Arial"/>
          <w:color w:val="000000"/>
        </w:rPr>
        <w:t xml:space="preserve"> of these sites </w:t>
      </w:r>
      <w:r w:rsidRPr="00890D77">
        <w:rPr>
          <w:rFonts w:cs="Arial"/>
          <w:color w:val="000000"/>
        </w:rPr>
        <w:t>was sampled for a minimum of 3000 seconds of backpack-on electrofis</w:t>
      </w:r>
      <w:r>
        <w:rPr>
          <w:rFonts w:cs="Arial"/>
          <w:color w:val="000000"/>
        </w:rPr>
        <w:t>hing time</w:t>
      </w:r>
      <w:r w:rsidRPr="00890D77">
        <w:rPr>
          <w:rFonts w:cs="Arial"/>
          <w:color w:val="000000"/>
        </w:rPr>
        <w:t>.</w:t>
      </w:r>
      <w:r>
        <w:rPr>
          <w:rFonts w:cs="Arial"/>
          <w:color w:val="000000"/>
        </w:rPr>
        <w:t xml:space="preserve"> All other sites were sampled using a Smith-Root 2.5 GPP boat-mounted electrofishing unit for a minimum of 1400 seconds of electrofishing time. </w:t>
      </w:r>
      <w:r w:rsidRPr="00890D77">
        <w:rPr>
          <w:rFonts w:cs="Arial"/>
          <w:color w:val="000000"/>
        </w:rPr>
        <w:t>Presence of non-target species was recorded at each site, while total length measurements and counts were made for all individuals of the three target species. Standardised angling</w:t>
      </w:r>
      <w:r w:rsidRPr="00890D77">
        <w:rPr>
          <w:rFonts w:cs="Arial"/>
          <w:i/>
          <w:color w:val="000000"/>
        </w:rPr>
        <w:t xml:space="preserve"> </w:t>
      </w:r>
      <w:r w:rsidRPr="00890D77">
        <w:rPr>
          <w:rFonts w:cs="Arial"/>
          <w:color w:val="000000"/>
        </w:rPr>
        <w:t>was carried out by two anglers with the specific aim of targeting young silver perch and golden perch. Standardised angling at each site consisted of two anglers fishing on the bank for two hours. Angling gear was matched to the specifications commonly used by local fisherman with worms and cheese used as bait</w:t>
      </w:r>
      <w:r>
        <w:rPr>
          <w:rFonts w:cs="Arial"/>
          <w:color w:val="000000"/>
        </w:rPr>
        <w:t xml:space="preserve"> on size 10 circle hooks</w:t>
      </w:r>
      <w:r w:rsidRPr="00890D77">
        <w:rPr>
          <w:rFonts w:cs="Arial"/>
          <w:color w:val="000000"/>
        </w:rPr>
        <w:t>. Species and length were recorded for all individuals caught.</w:t>
      </w:r>
    </w:p>
    <w:p w14:paraId="464C662B" w14:textId="77777777" w:rsidR="00EE7F09" w:rsidRPr="00890D77" w:rsidRDefault="00EE7F09" w:rsidP="00523C98">
      <w:pPr>
        <w:shd w:val="clear" w:color="auto" w:fill="FFFFFF"/>
        <w:spacing w:after="120" w:line="324" w:lineRule="exact"/>
        <w:jc w:val="left"/>
        <w:rPr>
          <w:rFonts w:cs="Arial"/>
          <w:color w:val="000000"/>
        </w:rPr>
      </w:pPr>
      <w:r w:rsidRPr="00890D77">
        <w:t xml:space="preserve">Ten set-lines, each with a 3-10 m (100 lb) monofilament main-line and two 0.5-1.5 m (4 lb) leaders were set at each site. Lines were set, baited with worms and cheese and hauled hourly during day-light hours for 5-7 hours at each site. Hook type and bait matched those in the standardised angling section. </w:t>
      </w:r>
      <w:r w:rsidRPr="00890D77">
        <w:rPr>
          <w:rFonts w:cs="Arial"/>
          <w:color w:val="000000"/>
        </w:rPr>
        <w:t>Species and length were recorded for all individuals caught.</w:t>
      </w:r>
    </w:p>
    <w:p w14:paraId="7BF851F7" w14:textId="77777777" w:rsidR="00EE7F09" w:rsidRDefault="00EE7F09" w:rsidP="00523C98">
      <w:pPr>
        <w:spacing w:after="120" w:line="324" w:lineRule="exact"/>
        <w:jc w:val="left"/>
        <w:rPr>
          <w:rFonts w:eastAsia="Times New Roman" w:cs="Arial"/>
          <w:color w:val="000000"/>
        </w:rPr>
      </w:pPr>
      <w:r w:rsidRPr="00890D77">
        <w:rPr>
          <w:rFonts w:eastAsia="Times New Roman" w:cs="Arial"/>
          <w:color w:val="000000"/>
        </w:rPr>
        <w:t xml:space="preserve">To determine the annual age of 1+ recruits and daily age of YOY, sagittal otoliths were extracted, embedded in a polyester resin and sectioned in the transverse plane to approximately 100 </w:t>
      </w:r>
      <w:r w:rsidRPr="00B1341B">
        <w:rPr>
          <w:rFonts w:eastAsia="Times New Roman" w:cs="Arial"/>
          <w:i/>
          <w:color w:val="000000"/>
        </w:rPr>
        <w:t>µ</w:t>
      </w:r>
      <w:r w:rsidRPr="00890D77">
        <w:rPr>
          <w:rFonts w:eastAsia="Times New Roman" w:cs="Arial"/>
          <w:color w:val="000000"/>
        </w:rPr>
        <w:t>m thick and mounted on a microscope slide. Final age estimates were based on samples with matching age readings from three reads.</w:t>
      </w:r>
    </w:p>
    <w:p w14:paraId="006D627A" w14:textId="77777777" w:rsidR="00EE7F09" w:rsidRDefault="00EE7F09" w:rsidP="00523C98">
      <w:pPr>
        <w:spacing w:after="240" w:line="324" w:lineRule="exact"/>
        <w:jc w:val="left"/>
        <w:rPr>
          <w:rFonts w:eastAsia="Times New Roman" w:cs="Arial"/>
          <w:color w:val="000000"/>
        </w:rPr>
      </w:pPr>
      <w:r w:rsidRPr="00890D77">
        <w:rPr>
          <w:rFonts w:eastAsia="Times New Roman" w:cs="Arial"/>
          <w:color w:val="000000"/>
        </w:rPr>
        <w:t>Recruitment catch per unit effort (CPUE; number of recruits per 10 000 s of sampling) of YOY and 1+ Murray cod and 1+ silver perch were calculated from catch and effort data from backpack electrofishing, set-lines and angling.</w:t>
      </w:r>
    </w:p>
    <w:p w14:paraId="7F678B9A" w14:textId="77777777" w:rsidR="00EE7F09" w:rsidRPr="00B1341B" w:rsidRDefault="00EE7F09" w:rsidP="00523C98">
      <w:pPr>
        <w:spacing w:after="0" w:line="280" w:lineRule="exact"/>
        <w:jc w:val="left"/>
        <w:rPr>
          <w:b/>
          <w:color w:val="006666"/>
          <w:sz w:val="24"/>
          <w:szCs w:val="24"/>
        </w:rPr>
      </w:pPr>
      <w:r w:rsidRPr="00B1341B">
        <w:rPr>
          <w:b/>
          <w:color w:val="006666"/>
          <w:sz w:val="24"/>
          <w:szCs w:val="24"/>
        </w:rPr>
        <w:t xml:space="preserve">8.4.4 </w:t>
      </w:r>
      <w:r w:rsidRPr="00B1341B">
        <w:rPr>
          <w:b/>
          <w:i/>
          <w:color w:val="006666"/>
          <w:sz w:val="24"/>
          <w:szCs w:val="24"/>
        </w:rPr>
        <w:t>Adult fish community</w:t>
      </w:r>
    </w:p>
    <w:p w14:paraId="4263965F" w14:textId="77777777" w:rsidR="00EE7F09" w:rsidRDefault="00EE7F09" w:rsidP="00523C98">
      <w:pPr>
        <w:spacing w:after="240" w:line="324" w:lineRule="exact"/>
        <w:jc w:val="left"/>
      </w:pPr>
      <w:r>
        <w:t>System-wide fish community surveys were undertaken as part of LTIM in year 1 (2014-15) and year 5 (2018-19) of the program (Watts et al. 2014). As part of the continuation of this monitoring in MER, the next system wide fish community survey will take place in 2021-22. In the absence of fish community data for the current monitoring year we present Category 1 fish community standardised survey data from the mid Wakool River - zone 3. Standardised sampling was undertaken in June</w:t>
      </w:r>
      <w:r>
        <w:rPr>
          <w:rFonts w:cs="Calibri"/>
        </w:rPr>
        <w:t>–</w:t>
      </w:r>
      <w:r>
        <w:t>July 2020, and each site was sampled once using a suite of passive and active gears including boat-electrofishing (n=32 operations, each consisting of 90 seconds ‘on-time’), unbaited bait traps (n=10) and small fyke nets (n=10) (Hale et al. 2014). All captures (fish and other non-target taxa) were identified to species level and released onsite. Where large catches of particular species occurred, a sub-sample of individuals was measured and examined for each gear type. The sub-sampling procedure consisted of firstly measuring all individuals in each operation until at least 50 individuals had been measured in total. The remainder of individuals in that operation were also measured, although any individuals of that species from subsequent operations of that gear type were only counted.</w:t>
      </w:r>
    </w:p>
    <w:p w14:paraId="018C9075" w14:textId="77777777" w:rsidR="00EE7F09" w:rsidRDefault="00EE7F09" w:rsidP="00523C98">
      <w:pPr>
        <w:spacing w:after="240" w:line="259" w:lineRule="auto"/>
        <w:rPr>
          <w:b/>
          <w:color w:val="006666"/>
          <w:sz w:val="28"/>
          <w:szCs w:val="28"/>
        </w:rPr>
      </w:pPr>
      <w:r>
        <w:rPr>
          <w:b/>
          <w:color w:val="006666"/>
          <w:sz w:val="28"/>
          <w:szCs w:val="28"/>
        </w:rPr>
        <w:t>8.5 Results</w:t>
      </w:r>
    </w:p>
    <w:p w14:paraId="088E9919" w14:textId="77777777" w:rsidR="00EE7F09" w:rsidRPr="00B1341B" w:rsidRDefault="00EE7F09" w:rsidP="00EE7F09">
      <w:pPr>
        <w:spacing w:after="0"/>
        <w:rPr>
          <w:b/>
          <w:i/>
          <w:color w:val="006666"/>
          <w:sz w:val="24"/>
          <w:szCs w:val="24"/>
          <w:lang w:val="en-US"/>
        </w:rPr>
      </w:pPr>
      <w:r>
        <w:rPr>
          <w:b/>
          <w:color w:val="006666"/>
          <w:sz w:val="24"/>
          <w:szCs w:val="24"/>
          <w:lang w:val="en-US"/>
        </w:rPr>
        <w:t>8.5</w:t>
      </w:r>
      <w:r w:rsidRPr="00B1341B">
        <w:rPr>
          <w:b/>
          <w:color w:val="006666"/>
          <w:sz w:val="24"/>
          <w:szCs w:val="24"/>
          <w:lang w:val="en-US"/>
        </w:rPr>
        <w:t>.1</w:t>
      </w:r>
      <w:r w:rsidRPr="00B1341B">
        <w:rPr>
          <w:b/>
          <w:i/>
          <w:color w:val="006666"/>
          <w:sz w:val="24"/>
          <w:szCs w:val="24"/>
          <w:lang w:val="en-US"/>
        </w:rPr>
        <w:t xml:space="preserve"> Fish movement</w:t>
      </w:r>
    </w:p>
    <w:p w14:paraId="6193F739" w14:textId="77777777" w:rsidR="00EE7F09" w:rsidRPr="00A55B58" w:rsidRDefault="00EE7F09" w:rsidP="00EE7F09">
      <w:pPr>
        <w:spacing w:after="0" w:line="324" w:lineRule="exact"/>
        <w:rPr>
          <w:rFonts w:cstheme="minorHAnsi"/>
          <w:i/>
        </w:rPr>
      </w:pPr>
      <w:r w:rsidRPr="00A55B58">
        <w:rPr>
          <w:rFonts w:cstheme="minorHAnsi"/>
          <w:i/>
        </w:rPr>
        <w:t>General observations</w:t>
      </w:r>
    </w:p>
    <w:p w14:paraId="04803252" w14:textId="77777777" w:rsidR="00EE7F09" w:rsidRDefault="00EE7F09" w:rsidP="00523C98">
      <w:pPr>
        <w:spacing w:after="0" w:line="324" w:lineRule="exact"/>
        <w:jc w:val="left"/>
        <w:rPr>
          <w:rFonts w:cstheme="minorHAnsi"/>
        </w:rPr>
      </w:pPr>
      <w:r>
        <w:rPr>
          <w:rFonts w:cstheme="minorHAnsi"/>
        </w:rPr>
        <w:t xml:space="preserve">A total of 78 golden perch, 21 Murray cod and 42 silver perch contributed movement data from August 2015 until September 2019 (Figure 8.4). Given the mortality and emigration of all three species associated with the flooding and subsequent hypoxia within the system in late 2016, additional tagging of golden perch and silver perch was undertaken in 2017 (Figure 8.4). </w:t>
      </w:r>
    </w:p>
    <w:p w14:paraId="45171F19" w14:textId="77777777" w:rsidR="00EE7F09" w:rsidRDefault="00EE7F09" w:rsidP="00EE7F09">
      <w:pPr>
        <w:spacing w:line="324" w:lineRule="exact"/>
        <w:rPr>
          <w:b/>
          <w:color w:val="006666"/>
          <w:sz w:val="28"/>
          <w:szCs w:val="28"/>
        </w:rPr>
      </w:pPr>
      <w:r>
        <w:rPr>
          <w:rFonts w:cstheme="minorHAnsi"/>
        </w:rPr>
        <w:t xml:space="preserve">Outside of periods of flooding, movements of golden perch and Murray cod were generally over 10’s of kilometres and movements of silver perch over 100’s of kilometres (Figures 8.5-8.7). Emigration was only observed during flooding in 2016, coinciding with maximum daily movements of 50.7 km for golden perch, 33.0 km for Murray cod and 48.1 km for silver perch. Increased movement was generally observed in spring and summer for all three species, including outside of 2016 flooding (Figure 8.8.). </w:t>
      </w:r>
    </w:p>
    <w:p w14:paraId="2310DB79" w14:textId="77777777" w:rsidR="00EE7F09" w:rsidRPr="00E759F2" w:rsidRDefault="00EE7F09" w:rsidP="00523C98">
      <w:pPr>
        <w:spacing w:after="0" w:line="240" w:lineRule="auto"/>
        <w:jc w:val="center"/>
        <w:rPr>
          <w:b/>
          <w:color w:val="006666"/>
        </w:rPr>
      </w:pPr>
      <w:r>
        <w:rPr>
          <w:noProof/>
          <w:lang w:eastAsia="en-AU"/>
        </w:rPr>
        <w:drawing>
          <wp:inline distT="0" distB="0" distL="0" distR="0" wp14:anchorId="2755D981" wp14:editId="2385F95D">
            <wp:extent cx="5183404" cy="324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183404" cy="3240000"/>
                    </a:xfrm>
                    <a:prstGeom prst="rect">
                      <a:avLst/>
                    </a:prstGeom>
                    <a:noFill/>
                    <a:ln>
                      <a:noFill/>
                    </a:ln>
                  </pic:spPr>
                </pic:pic>
              </a:graphicData>
            </a:graphic>
          </wp:inline>
        </w:drawing>
      </w:r>
    </w:p>
    <w:p w14:paraId="58C07F2E" w14:textId="77777777" w:rsidR="00EE7F09" w:rsidRDefault="00EE7F09" w:rsidP="00530743">
      <w:pPr>
        <w:spacing w:after="120" w:line="240" w:lineRule="auto"/>
        <w:ind w:right="-2"/>
        <w:jc w:val="left"/>
        <w:rPr>
          <w:noProof/>
          <w:sz w:val="20"/>
          <w:lang w:eastAsia="en-AU"/>
        </w:rPr>
      </w:pPr>
      <w:r w:rsidRPr="00C468D8">
        <w:rPr>
          <w:rFonts w:cs="Calibri"/>
          <w:b/>
          <w:sz w:val="20"/>
        </w:rPr>
        <w:t xml:space="preserve">Figure </w:t>
      </w:r>
      <w:r>
        <w:rPr>
          <w:rFonts w:cs="Calibri"/>
          <w:b/>
          <w:sz w:val="20"/>
        </w:rPr>
        <w:t>8.4</w:t>
      </w:r>
      <w:r w:rsidRPr="00C468D8">
        <w:rPr>
          <w:rFonts w:cs="Calibri"/>
          <w:b/>
          <w:sz w:val="20"/>
        </w:rPr>
        <w:t xml:space="preserve"> </w:t>
      </w:r>
      <w:r w:rsidRPr="00C468D8">
        <w:rPr>
          <w:noProof/>
          <w:sz w:val="20"/>
          <w:lang w:eastAsia="en-AU"/>
        </w:rPr>
        <w:t>Sample sizes of golden perch, Murray cod and silver perch fitted with acoustic tags and contributing to fish movement data on any given day in the Edward</w:t>
      </w:r>
      <w:r>
        <w:rPr>
          <w:noProof/>
          <w:sz w:val="20"/>
          <w:lang w:eastAsia="en-AU"/>
        </w:rPr>
        <w:t>/Kolety</w:t>
      </w:r>
      <w:r w:rsidRPr="00C468D8">
        <w:rPr>
          <w:noProof/>
          <w:sz w:val="20"/>
          <w:lang w:eastAsia="en-AU"/>
        </w:rPr>
        <w:t>-Wakool system. Note that individual records are truncated to the last valid detection on an acoustic receiver, and after this period individuals may have either left the array, may occupy a position between two receivers, or may be considered a mortality.</w:t>
      </w:r>
    </w:p>
    <w:p w14:paraId="75E61030" w14:textId="77777777" w:rsidR="00523C98" w:rsidRDefault="00523C98" w:rsidP="00EE7F09">
      <w:pPr>
        <w:spacing w:after="120" w:line="240" w:lineRule="auto"/>
        <w:ind w:left="284" w:right="567"/>
        <w:rPr>
          <w:noProof/>
          <w:sz w:val="20"/>
          <w:lang w:eastAsia="en-AU"/>
        </w:rPr>
      </w:pPr>
    </w:p>
    <w:p w14:paraId="710C05FE" w14:textId="77777777" w:rsidR="00EE7F09" w:rsidRDefault="00EE7F09" w:rsidP="00523C98">
      <w:pPr>
        <w:spacing w:after="0" w:line="240" w:lineRule="auto"/>
        <w:jc w:val="center"/>
        <w:rPr>
          <w:b/>
          <w:color w:val="006666"/>
          <w:sz w:val="28"/>
          <w:szCs w:val="28"/>
        </w:rPr>
      </w:pPr>
      <w:r>
        <w:rPr>
          <w:noProof/>
          <w:lang w:eastAsia="en-AU"/>
        </w:rPr>
        <w:drawing>
          <wp:inline distT="0" distB="0" distL="0" distR="0" wp14:anchorId="65BC33E8" wp14:editId="0020444B">
            <wp:extent cx="5052060" cy="3609158"/>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096226" cy="3640710"/>
                    </a:xfrm>
                    <a:prstGeom prst="rect">
                      <a:avLst/>
                    </a:prstGeom>
                    <a:noFill/>
                    <a:ln>
                      <a:noFill/>
                    </a:ln>
                  </pic:spPr>
                </pic:pic>
              </a:graphicData>
            </a:graphic>
          </wp:inline>
        </w:drawing>
      </w:r>
    </w:p>
    <w:p w14:paraId="754EC24D" w14:textId="77777777" w:rsidR="00EE7F09" w:rsidRDefault="00EE7F09" w:rsidP="00530743">
      <w:pPr>
        <w:spacing w:after="240" w:line="240" w:lineRule="auto"/>
        <w:ind w:right="-2"/>
        <w:jc w:val="left"/>
        <w:rPr>
          <w:rFonts w:cs="Calibri"/>
          <w:sz w:val="20"/>
        </w:rPr>
      </w:pPr>
      <w:r w:rsidRPr="00743FE0">
        <w:rPr>
          <w:b/>
          <w:sz w:val="20"/>
        </w:rPr>
        <w:t xml:space="preserve">Figure </w:t>
      </w:r>
      <w:r>
        <w:rPr>
          <w:b/>
          <w:sz w:val="20"/>
        </w:rPr>
        <w:t>8.5</w:t>
      </w:r>
      <w:r w:rsidRPr="00743FE0">
        <w:rPr>
          <w:sz w:val="20"/>
        </w:rPr>
        <w:t xml:space="preserve"> </w:t>
      </w:r>
      <w:r w:rsidRPr="00743FE0">
        <w:rPr>
          <w:rFonts w:cs="Calibri"/>
          <w:sz w:val="20"/>
        </w:rPr>
        <w:t>Cumulative daily distance moved (irrespective of direction) of acoustically tagged golden perch, Murray cod and silver perch in the Edward</w:t>
      </w:r>
      <w:r>
        <w:rPr>
          <w:rFonts w:cs="Calibri"/>
          <w:sz w:val="20"/>
        </w:rPr>
        <w:t>/Kolety</w:t>
      </w:r>
      <w:r w:rsidRPr="00743FE0">
        <w:rPr>
          <w:rFonts w:cs="Calibri"/>
          <w:sz w:val="20"/>
        </w:rPr>
        <w:t>-Wakool system between Aug</w:t>
      </w:r>
      <w:r>
        <w:rPr>
          <w:rFonts w:cs="Calibri"/>
          <w:sz w:val="20"/>
        </w:rPr>
        <w:t>ust</w:t>
      </w:r>
      <w:r w:rsidRPr="00743FE0">
        <w:rPr>
          <w:rFonts w:cs="Calibri"/>
          <w:sz w:val="20"/>
        </w:rPr>
        <w:t xml:space="preserve"> 2015 and </w:t>
      </w:r>
      <w:r>
        <w:rPr>
          <w:rFonts w:cs="Calibri"/>
          <w:sz w:val="20"/>
        </w:rPr>
        <w:t>September</w:t>
      </w:r>
      <w:r w:rsidRPr="00743FE0">
        <w:rPr>
          <w:rFonts w:cs="Calibri"/>
          <w:sz w:val="20"/>
        </w:rPr>
        <w:t xml:space="preserve"> 201</w:t>
      </w:r>
      <w:r>
        <w:rPr>
          <w:rFonts w:cs="Calibri"/>
          <w:sz w:val="20"/>
        </w:rPr>
        <w:t>9</w:t>
      </w:r>
      <w:r w:rsidRPr="00743FE0">
        <w:rPr>
          <w:rFonts w:cs="Calibri"/>
          <w:sz w:val="20"/>
        </w:rPr>
        <w:t>. Different lines represent different tagged individuals and 0 km represents the first detection of an individual fish. Note that when the individual line finishes this represents the last detection of this individual fish within the acoustic array.</w:t>
      </w:r>
    </w:p>
    <w:p w14:paraId="69810CDD" w14:textId="77777777" w:rsidR="00EE7F09" w:rsidRDefault="00EE7F09" w:rsidP="00523C98">
      <w:pPr>
        <w:spacing w:after="0" w:line="240" w:lineRule="auto"/>
        <w:jc w:val="center"/>
        <w:rPr>
          <w:rFonts w:cs="Calibri"/>
          <w:sz w:val="20"/>
        </w:rPr>
      </w:pPr>
      <w:r>
        <w:rPr>
          <w:noProof/>
          <w:lang w:eastAsia="en-AU"/>
        </w:rPr>
        <w:drawing>
          <wp:inline distT="0" distB="0" distL="0" distR="0" wp14:anchorId="70E8B222" wp14:editId="2A06A7BC">
            <wp:extent cx="4777740" cy="3413185"/>
            <wp:effectExtent l="0" t="0" r="381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795722" cy="3426031"/>
                    </a:xfrm>
                    <a:prstGeom prst="rect">
                      <a:avLst/>
                    </a:prstGeom>
                    <a:noFill/>
                    <a:ln>
                      <a:noFill/>
                    </a:ln>
                  </pic:spPr>
                </pic:pic>
              </a:graphicData>
            </a:graphic>
          </wp:inline>
        </w:drawing>
      </w:r>
    </w:p>
    <w:p w14:paraId="16D77518" w14:textId="77777777" w:rsidR="00EE7F09" w:rsidRDefault="00EE7F09" w:rsidP="00530743">
      <w:pPr>
        <w:spacing w:after="0" w:line="240" w:lineRule="auto"/>
        <w:ind w:right="-2"/>
        <w:jc w:val="left"/>
        <w:rPr>
          <w:rFonts w:cs="Calibri"/>
          <w:sz w:val="20"/>
        </w:rPr>
      </w:pPr>
      <w:r w:rsidRPr="00743FE0">
        <w:rPr>
          <w:rFonts w:cs="Calibri"/>
          <w:b/>
          <w:sz w:val="20"/>
        </w:rPr>
        <w:t xml:space="preserve">Figure </w:t>
      </w:r>
      <w:r>
        <w:rPr>
          <w:rFonts w:cs="Calibri"/>
          <w:b/>
          <w:sz w:val="20"/>
        </w:rPr>
        <w:t>8.6</w:t>
      </w:r>
      <w:r w:rsidRPr="00743FE0">
        <w:rPr>
          <w:rFonts w:cs="Calibri"/>
          <w:b/>
          <w:sz w:val="20"/>
        </w:rPr>
        <w:t xml:space="preserve"> </w:t>
      </w:r>
      <w:r w:rsidRPr="00743FE0">
        <w:rPr>
          <w:rFonts w:cs="Calibri"/>
          <w:sz w:val="20"/>
        </w:rPr>
        <w:t>Daily locations of acoustically tagged golden perch, Murray cod and silver perch in the Edward</w:t>
      </w:r>
      <w:r>
        <w:rPr>
          <w:rFonts w:cs="Calibri"/>
          <w:sz w:val="20"/>
        </w:rPr>
        <w:t>/Kolety</w:t>
      </w:r>
      <w:r w:rsidRPr="00743FE0">
        <w:rPr>
          <w:rFonts w:cs="Calibri"/>
          <w:sz w:val="20"/>
        </w:rPr>
        <w:t>-Wakool system from Aug</w:t>
      </w:r>
      <w:r>
        <w:rPr>
          <w:rFonts w:cs="Calibri"/>
          <w:sz w:val="20"/>
        </w:rPr>
        <w:t>ust</w:t>
      </w:r>
      <w:r w:rsidRPr="00743FE0">
        <w:rPr>
          <w:rFonts w:cs="Calibri"/>
          <w:sz w:val="20"/>
        </w:rPr>
        <w:t xml:space="preserve"> 2015 to </w:t>
      </w:r>
      <w:r>
        <w:rPr>
          <w:rFonts w:cs="Calibri"/>
          <w:sz w:val="20"/>
        </w:rPr>
        <w:t>September</w:t>
      </w:r>
      <w:r w:rsidRPr="00743FE0">
        <w:rPr>
          <w:rFonts w:cs="Calibri"/>
          <w:sz w:val="20"/>
        </w:rPr>
        <w:t xml:space="preserve"> 201</w:t>
      </w:r>
      <w:r>
        <w:rPr>
          <w:rFonts w:cs="Calibri"/>
          <w:sz w:val="20"/>
        </w:rPr>
        <w:t>9</w:t>
      </w:r>
      <w:r w:rsidRPr="00743FE0">
        <w:rPr>
          <w:rFonts w:cs="Calibri"/>
          <w:sz w:val="20"/>
        </w:rPr>
        <w:t xml:space="preserve">. Different coloured lines represent different tagged individuals and </w:t>
      </w:r>
      <w:r>
        <w:rPr>
          <w:rFonts w:cs="Calibri"/>
          <w:sz w:val="20"/>
        </w:rPr>
        <w:t>the km value represents the location (distance in km from the junction of the Wakool and Murray rivers)</w:t>
      </w:r>
      <w:r w:rsidRPr="00743FE0">
        <w:rPr>
          <w:rFonts w:cs="Calibri"/>
          <w:sz w:val="20"/>
        </w:rPr>
        <w:t>.</w:t>
      </w:r>
    </w:p>
    <w:p w14:paraId="62B3E864" w14:textId="77777777" w:rsidR="00EE7F09" w:rsidRPr="008F653E" w:rsidRDefault="00EE7F09" w:rsidP="00EE7F09">
      <w:pPr>
        <w:spacing w:after="0" w:line="240" w:lineRule="auto"/>
        <w:ind w:left="426" w:right="282"/>
        <w:rPr>
          <w:rFonts w:cs="Calibri"/>
          <w:sz w:val="20"/>
        </w:rPr>
      </w:pPr>
    </w:p>
    <w:p w14:paraId="2AE739E4" w14:textId="77777777" w:rsidR="00EE7F09" w:rsidRDefault="00EE7F09" w:rsidP="00523C98">
      <w:pPr>
        <w:spacing w:after="0" w:line="240" w:lineRule="auto"/>
        <w:jc w:val="center"/>
      </w:pPr>
      <w:r>
        <w:rPr>
          <w:noProof/>
          <w:lang w:eastAsia="en-AU"/>
        </w:rPr>
        <w:drawing>
          <wp:inline distT="0" distB="0" distL="0" distR="0" wp14:anchorId="5C5D9004" wp14:editId="591686D1">
            <wp:extent cx="5442378" cy="38880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442378" cy="3888000"/>
                    </a:xfrm>
                    <a:prstGeom prst="rect">
                      <a:avLst/>
                    </a:prstGeom>
                    <a:noFill/>
                    <a:ln>
                      <a:noFill/>
                    </a:ln>
                  </pic:spPr>
                </pic:pic>
              </a:graphicData>
            </a:graphic>
          </wp:inline>
        </w:drawing>
      </w:r>
    </w:p>
    <w:p w14:paraId="03A4B972" w14:textId="77777777" w:rsidR="00EE7F09" w:rsidRDefault="00EE7F09" w:rsidP="00530743">
      <w:pPr>
        <w:spacing w:line="240" w:lineRule="auto"/>
        <w:jc w:val="left"/>
        <w:rPr>
          <w:rFonts w:cs="Calibri"/>
          <w:sz w:val="20"/>
        </w:rPr>
      </w:pPr>
      <w:r w:rsidRPr="00743FE0">
        <w:rPr>
          <w:rFonts w:cs="Calibri"/>
          <w:b/>
          <w:sz w:val="20"/>
        </w:rPr>
        <w:t xml:space="preserve">Figure </w:t>
      </w:r>
      <w:r>
        <w:rPr>
          <w:rFonts w:cs="Calibri"/>
          <w:b/>
          <w:sz w:val="20"/>
        </w:rPr>
        <w:t>8.7</w:t>
      </w:r>
      <w:r w:rsidRPr="00743FE0">
        <w:rPr>
          <w:rFonts w:cs="Calibri"/>
          <w:b/>
          <w:sz w:val="20"/>
        </w:rPr>
        <w:t xml:space="preserve"> </w:t>
      </w:r>
      <w:r w:rsidRPr="00743FE0">
        <w:rPr>
          <w:rFonts w:cs="Calibri"/>
          <w:sz w:val="20"/>
        </w:rPr>
        <w:t>Daily locations of acoustically tagged golden perch, Murray cod and silver perch in the Edward</w:t>
      </w:r>
      <w:r>
        <w:rPr>
          <w:rFonts w:cs="Calibri"/>
          <w:sz w:val="20"/>
        </w:rPr>
        <w:t>/Kolety</w:t>
      </w:r>
      <w:r w:rsidRPr="00743FE0">
        <w:rPr>
          <w:rFonts w:cs="Calibri"/>
          <w:sz w:val="20"/>
        </w:rPr>
        <w:t>-Wakool system from Aug</w:t>
      </w:r>
      <w:r>
        <w:rPr>
          <w:rFonts w:cs="Calibri"/>
          <w:sz w:val="20"/>
        </w:rPr>
        <w:t>ust</w:t>
      </w:r>
      <w:r w:rsidRPr="00743FE0">
        <w:rPr>
          <w:rFonts w:cs="Calibri"/>
          <w:sz w:val="20"/>
        </w:rPr>
        <w:t xml:space="preserve"> 2015 to </w:t>
      </w:r>
      <w:r>
        <w:rPr>
          <w:rFonts w:cs="Calibri"/>
          <w:sz w:val="20"/>
        </w:rPr>
        <w:t>September</w:t>
      </w:r>
      <w:r w:rsidRPr="00743FE0">
        <w:rPr>
          <w:rFonts w:cs="Calibri"/>
          <w:sz w:val="20"/>
        </w:rPr>
        <w:t xml:space="preserve"> 201</w:t>
      </w:r>
      <w:r>
        <w:rPr>
          <w:rFonts w:cs="Calibri"/>
          <w:sz w:val="20"/>
        </w:rPr>
        <w:t>9</w:t>
      </w:r>
      <w:r w:rsidRPr="00743FE0">
        <w:rPr>
          <w:rFonts w:cs="Calibri"/>
          <w:sz w:val="20"/>
        </w:rPr>
        <w:t>. Different coloured lines represent different tagged individuals and 0 km represents the initial detection (i.e. first location).</w:t>
      </w:r>
    </w:p>
    <w:p w14:paraId="61FF5576" w14:textId="77777777" w:rsidR="00EE7F09" w:rsidRPr="00523C98" w:rsidRDefault="00EE7F09" w:rsidP="00675B7A">
      <w:pPr>
        <w:spacing w:after="120" w:line="240" w:lineRule="auto"/>
        <w:contextualSpacing/>
        <w:jc w:val="center"/>
        <w:rPr>
          <w:b/>
          <w:color w:val="006666"/>
          <w:szCs w:val="22"/>
        </w:rPr>
      </w:pPr>
      <w:r>
        <w:rPr>
          <w:noProof/>
          <w:lang w:eastAsia="en-AU"/>
        </w:rPr>
        <w:drawing>
          <wp:inline distT="0" distB="0" distL="0" distR="0" wp14:anchorId="79B5A4AE" wp14:editId="70D0A2DF">
            <wp:extent cx="5356183" cy="334800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356183" cy="3348000"/>
                    </a:xfrm>
                    <a:prstGeom prst="rect">
                      <a:avLst/>
                    </a:prstGeom>
                    <a:noFill/>
                    <a:ln>
                      <a:noFill/>
                    </a:ln>
                  </pic:spPr>
                </pic:pic>
              </a:graphicData>
            </a:graphic>
          </wp:inline>
        </w:drawing>
      </w:r>
    </w:p>
    <w:p w14:paraId="1B7E8356" w14:textId="77777777" w:rsidR="00EE7F09" w:rsidRDefault="00EE7F09" w:rsidP="00530743">
      <w:pPr>
        <w:spacing w:line="240" w:lineRule="auto"/>
        <w:ind w:right="-2"/>
        <w:jc w:val="left"/>
        <w:rPr>
          <w:rFonts w:cs="Calibri"/>
          <w:sz w:val="20"/>
        </w:rPr>
      </w:pPr>
      <w:r>
        <w:rPr>
          <w:rFonts w:cs="Calibri"/>
          <w:b/>
          <w:sz w:val="20"/>
        </w:rPr>
        <w:t>Figure 8.8</w:t>
      </w:r>
      <w:r w:rsidRPr="00743FE0">
        <w:rPr>
          <w:rFonts w:cs="Calibri"/>
          <w:sz w:val="20"/>
        </w:rPr>
        <w:t xml:space="preserve"> </w:t>
      </w:r>
      <w:r>
        <w:rPr>
          <w:rFonts w:cs="Calibri"/>
          <w:sz w:val="20"/>
        </w:rPr>
        <w:t xml:space="preserve">Seasonal cumulative movements of golden perch, Murray cod and silver perch in the Edward/Kolety-Wakool system for the duration of the study. </w:t>
      </w:r>
      <w:r w:rsidRPr="00C155E5">
        <w:rPr>
          <w:rFonts w:cs="Calibri"/>
          <w:sz w:val="20"/>
        </w:rPr>
        <w:t>Data are represented as median,</w:t>
      </w:r>
      <w:r>
        <w:rPr>
          <w:rFonts w:cs="Calibri"/>
          <w:sz w:val="20"/>
        </w:rPr>
        <w:t xml:space="preserve"> </w:t>
      </w:r>
      <w:r w:rsidRPr="00C155E5">
        <w:rPr>
          <w:rFonts w:cs="Calibri"/>
          <w:sz w:val="20"/>
        </w:rPr>
        <w:t>25th and 75th percentiles (box) and 5th and 95th percentiles (whisker).</w:t>
      </w:r>
    </w:p>
    <w:p w14:paraId="793CA397" w14:textId="77777777" w:rsidR="00EE7F09" w:rsidRPr="00A55B58" w:rsidRDefault="00EE7F09" w:rsidP="00530743">
      <w:pPr>
        <w:spacing w:after="120" w:line="320" w:lineRule="exact"/>
        <w:rPr>
          <w:rFonts w:cstheme="minorHAnsi"/>
          <w:i/>
        </w:rPr>
      </w:pPr>
      <w:r w:rsidRPr="00A55B58">
        <w:rPr>
          <w:rFonts w:cstheme="minorHAnsi"/>
          <w:i/>
        </w:rPr>
        <w:t>Winter watering action</w:t>
      </w:r>
    </w:p>
    <w:p w14:paraId="265CD97C" w14:textId="77777777" w:rsidR="00EE7F09" w:rsidRDefault="00EE7F09" w:rsidP="00530743">
      <w:pPr>
        <w:spacing w:after="120" w:line="259" w:lineRule="auto"/>
        <w:jc w:val="left"/>
        <w:rPr>
          <w:rFonts w:cstheme="minorHAnsi"/>
        </w:rPr>
      </w:pPr>
      <w:r>
        <w:rPr>
          <w:rFonts w:cstheme="minorHAnsi"/>
        </w:rPr>
        <w:t>From 1 August 2017 to 31 August 2019, a two-year period in which a watering action took place in winter 2019, a total of 28 golden perch and 29 silver perch contributed to movement data (Figure 8.4). Silver perch mostly resided in LTIM zones 3 and 4 in 2018–2019 (between August 2018 and August 2019) including during Action 1 – winter base flow in 2019, switching from all zones in 2017–2018 (between August 2017 and August 2018) (Figure 8.9). Golden perch rather resided predominantly in zones 1, 3 and 4 in 2018–2019 during Action 1, which was an expansion compared to only zones 3 and 4 in 2017–2018 (Figure 8.9). Of the 18 silver perch recorded in 2018–2019, 0 (0%) were in Yallakool Creek (zone 1) and 2 (11%) were in the upper Wakool River (zone 2). In 2017–2018, 5 (17%) and 4 (14%) of the 29 silver perch were detected in zones 1 and 2, respectively. For golden perch, 3 (14%) of 22 individuals were recorded in zones 1 and 2 in 2018–2019, while 2 (7%) of 28 individuals were in zones 1 and 2 in 2017–2018 (Figure 8.9).</w:t>
      </w:r>
    </w:p>
    <w:p w14:paraId="531026D0" w14:textId="1614D17B" w:rsidR="00EE7F09" w:rsidRDefault="00EE7F09" w:rsidP="00530743">
      <w:pPr>
        <w:spacing w:after="120" w:line="259" w:lineRule="auto"/>
        <w:jc w:val="left"/>
        <w:rPr>
          <w:rFonts w:cstheme="minorHAnsi"/>
        </w:rPr>
      </w:pPr>
      <w:r>
        <w:rPr>
          <w:rFonts w:cstheme="minorHAnsi"/>
        </w:rPr>
        <w:t>The proportions of moving fish and the distances moved differed slightly between winter 2019 when Action 1 occurred and the previous winter in 2018 (Figure 8.9). For golden perch, 3</w:t>
      </w:r>
      <w:r w:rsidRPr="0008551B">
        <w:rPr>
          <w:rFonts w:cstheme="minorHAnsi"/>
        </w:rPr>
        <w:t xml:space="preserve"> (</w:t>
      </w:r>
      <w:r>
        <w:rPr>
          <w:rFonts w:cstheme="minorHAnsi"/>
        </w:rPr>
        <w:t>38</w:t>
      </w:r>
      <w:r w:rsidRPr="0008551B">
        <w:rPr>
          <w:rFonts w:cstheme="minorHAnsi"/>
        </w:rPr>
        <w:t xml:space="preserve">%) of 8 individuals moved in winter 2019 compared to </w:t>
      </w:r>
      <w:r>
        <w:rPr>
          <w:rFonts w:cstheme="minorHAnsi"/>
        </w:rPr>
        <w:t>5</w:t>
      </w:r>
      <w:r w:rsidRPr="0008551B">
        <w:rPr>
          <w:rFonts w:cstheme="minorHAnsi"/>
        </w:rPr>
        <w:t xml:space="preserve"> (2</w:t>
      </w:r>
      <w:r>
        <w:rPr>
          <w:rFonts w:cstheme="minorHAnsi"/>
        </w:rPr>
        <w:t>2</w:t>
      </w:r>
      <w:r w:rsidRPr="0008551B">
        <w:rPr>
          <w:rFonts w:cstheme="minorHAnsi"/>
        </w:rPr>
        <w:t xml:space="preserve">%) of 23 individuals in winter 2018 (Figure </w:t>
      </w:r>
      <w:r>
        <w:rPr>
          <w:rFonts w:cstheme="minorHAnsi"/>
        </w:rPr>
        <w:t>8.</w:t>
      </w:r>
      <w:r w:rsidRPr="0008551B">
        <w:rPr>
          <w:rFonts w:cstheme="minorHAnsi"/>
        </w:rPr>
        <w:t>9</w:t>
      </w:r>
      <w:r>
        <w:rPr>
          <w:rFonts w:cstheme="minorHAnsi"/>
        </w:rPr>
        <w:t>). Although, only 1</w:t>
      </w:r>
      <w:r w:rsidRPr="0008551B">
        <w:rPr>
          <w:rFonts w:cstheme="minorHAnsi"/>
        </w:rPr>
        <w:t xml:space="preserve"> (33%) </w:t>
      </w:r>
      <w:r>
        <w:rPr>
          <w:rFonts w:cstheme="minorHAnsi"/>
        </w:rPr>
        <w:t xml:space="preserve">of 3 silver perch moved in winter 2019, whereas </w:t>
      </w:r>
      <w:r w:rsidRPr="0008551B">
        <w:rPr>
          <w:rFonts w:cstheme="minorHAnsi"/>
          <w14:props3d w14:extrusionH="0" w14:contourW="0" w14:prstMaterial="matte"/>
        </w:rPr>
        <w:t>9 (47%)</w:t>
      </w:r>
      <w:r w:rsidRPr="0008551B">
        <w:rPr>
          <w:rFonts w:cstheme="minorHAnsi"/>
        </w:rPr>
        <w:t xml:space="preserve"> </w:t>
      </w:r>
      <w:r>
        <w:rPr>
          <w:rFonts w:cstheme="minorHAnsi"/>
        </w:rPr>
        <w:t>of 19 silver perch moved in winter 2018. The Action 1 - winter base flow in 2019 resulted in silver perch movements (median and 5</w:t>
      </w:r>
      <w:r>
        <w:rPr>
          <w:rFonts w:cstheme="minorHAnsi"/>
          <w:vertAlign w:val="superscript"/>
        </w:rPr>
        <w:t>th</w:t>
      </w:r>
      <w:r>
        <w:rPr>
          <w:rFonts w:cstheme="minorHAnsi"/>
        </w:rPr>
        <w:t xml:space="preserve"> – 95</w:t>
      </w:r>
      <w:r>
        <w:rPr>
          <w:rFonts w:cstheme="minorHAnsi"/>
          <w:vertAlign w:val="superscript"/>
        </w:rPr>
        <w:t>th</w:t>
      </w:r>
      <w:r>
        <w:rPr>
          <w:rFonts w:cstheme="minorHAnsi"/>
        </w:rPr>
        <w:t xml:space="preserve"> percentiles) of 0.0 km (0.0–10.8 km) compared to 0.0 (0.0–5.8) km in winter 2018. In contrast, golden perch moved 0.0 (0.0–15.1) km in winter 2019 relative to 0.0 (0.0–0.0) km in winter 2018 (Figure 8.10). Modelled data indicates a measurable benefit, in terms of fish movement, as a result of previous winter water delivery (2017) compared to no winter water delivery (2018) with silver perch responding more than golden perch and Murray cod to th</w:t>
      </w:r>
      <w:r w:rsidR="00530743">
        <w:rPr>
          <w:rFonts w:cstheme="minorHAnsi"/>
        </w:rPr>
        <w:t xml:space="preserve">e watering action </w:t>
      </w:r>
      <w:r>
        <w:rPr>
          <w:rFonts w:cstheme="minorHAnsi"/>
        </w:rPr>
        <w:t>(Figure 8.11).</w:t>
      </w:r>
    </w:p>
    <w:p w14:paraId="2DADDF51" w14:textId="77777777" w:rsidR="00EE7F09" w:rsidRPr="00261A6D" w:rsidRDefault="00EE7F09" w:rsidP="00675B7A">
      <w:pPr>
        <w:spacing w:after="0" w:line="240" w:lineRule="auto"/>
        <w:jc w:val="center"/>
        <w:rPr>
          <w:b/>
          <w:color w:val="000000" w:themeColor="text1"/>
        </w:rPr>
      </w:pPr>
      <w:r>
        <w:rPr>
          <w:noProof/>
          <w:lang w:eastAsia="en-AU"/>
        </w:rPr>
        <w:drawing>
          <wp:inline distT="0" distB="0" distL="0" distR="0" wp14:anchorId="47432853" wp14:editId="766EE180">
            <wp:extent cx="5357038" cy="3348000"/>
            <wp:effectExtent l="0" t="0" r="0" b="508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357038" cy="3348000"/>
                    </a:xfrm>
                    <a:prstGeom prst="rect">
                      <a:avLst/>
                    </a:prstGeom>
                    <a:noFill/>
                    <a:ln>
                      <a:noFill/>
                    </a:ln>
                  </pic:spPr>
                </pic:pic>
              </a:graphicData>
            </a:graphic>
          </wp:inline>
        </w:drawing>
      </w:r>
    </w:p>
    <w:p w14:paraId="025CF388" w14:textId="77777777" w:rsidR="00EE7F09" w:rsidRDefault="00EE7F09" w:rsidP="00675B7A">
      <w:pPr>
        <w:spacing w:line="240" w:lineRule="auto"/>
        <w:ind w:right="424"/>
        <w:jc w:val="left"/>
        <w:rPr>
          <w:rFonts w:cs="Calibri"/>
          <w:sz w:val="20"/>
        </w:rPr>
      </w:pPr>
      <w:r>
        <w:rPr>
          <w:rFonts w:cs="Calibri"/>
          <w:b/>
          <w:sz w:val="20"/>
        </w:rPr>
        <w:t>Figure 8.9</w:t>
      </w:r>
      <w:r w:rsidRPr="00743FE0">
        <w:rPr>
          <w:rFonts w:cs="Calibri"/>
          <w:sz w:val="20"/>
        </w:rPr>
        <w:t xml:space="preserve"> Proportionate daily location of acoustically tagged </w:t>
      </w:r>
      <w:r>
        <w:rPr>
          <w:rFonts w:cs="Calibri"/>
          <w:sz w:val="20"/>
        </w:rPr>
        <w:t xml:space="preserve">golden perch and </w:t>
      </w:r>
      <w:r w:rsidRPr="00743FE0">
        <w:rPr>
          <w:rFonts w:cs="Calibri"/>
          <w:sz w:val="20"/>
        </w:rPr>
        <w:t xml:space="preserve">silver perch within each LTIM focal zone </w:t>
      </w:r>
      <w:r>
        <w:rPr>
          <w:rFonts w:cs="Calibri"/>
          <w:sz w:val="20"/>
        </w:rPr>
        <w:t>from August 2017 until September 2019. Daily discharge is also plotted (black line) to help explain fish movements between zones. The period between dashed lines represents Action 1 - winter base flow from 15 May – 9 August 2019.</w:t>
      </w:r>
    </w:p>
    <w:p w14:paraId="42F7585C" w14:textId="77777777" w:rsidR="00EE7F09" w:rsidRPr="00261A6D" w:rsidRDefault="00EE7F09" w:rsidP="00530743">
      <w:pPr>
        <w:spacing w:after="0"/>
        <w:jc w:val="left"/>
        <w:rPr>
          <w:b/>
          <w:color w:val="000000" w:themeColor="text1"/>
        </w:rPr>
      </w:pPr>
      <w:r>
        <w:rPr>
          <w:noProof/>
          <w:lang w:eastAsia="en-AU"/>
        </w:rPr>
        <w:drawing>
          <wp:inline distT="0" distB="0" distL="0" distR="0" wp14:anchorId="16CDD42D" wp14:editId="715192BE">
            <wp:extent cx="4082499" cy="29160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082499" cy="2916000"/>
                    </a:xfrm>
                    <a:prstGeom prst="rect">
                      <a:avLst/>
                    </a:prstGeom>
                    <a:noFill/>
                    <a:ln>
                      <a:noFill/>
                    </a:ln>
                  </pic:spPr>
                </pic:pic>
              </a:graphicData>
            </a:graphic>
          </wp:inline>
        </w:drawing>
      </w:r>
    </w:p>
    <w:p w14:paraId="2605A4DB" w14:textId="77777777" w:rsidR="00EE7F09" w:rsidRPr="000F0B9E" w:rsidRDefault="00EE7F09" w:rsidP="00675B7A">
      <w:pPr>
        <w:spacing w:after="240" w:line="240" w:lineRule="auto"/>
        <w:ind w:right="424"/>
        <w:jc w:val="left"/>
        <w:rPr>
          <w:rFonts w:cs="Calibri"/>
          <w:sz w:val="20"/>
        </w:rPr>
      </w:pPr>
      <w:r>
        <w:rPr>
          <w:rFonts w:cs="Calibri"/>
          <w:b/>
          <w:sz w:val="20"/>
        </w:rPr>
        <w:t>Figure 8.10</w:t>
      </w:r>
      <w:r w:rsidRPr="00743FE0">
        <w:rPr>
          <w:rFonts w:cs="Calibri"/>
          <w:sz w:val="20"/>
        </w:rPr>
        <w:t xml:space="preserve"> </w:t>
      </w:r>
      <w:r>
        <w:rPr>
          <w:rFonts w:cs="Calibri"/>
          <w:sz w:val="20"/>
        </w:rPr>
        <w:t xml:space="preserve">Cumulative movements of golden perch and silver perch in the Edward/Kolety-Wakool system in winter 2018 compared to winter 2019 during the Commonwealth environmental watering action. </w:t>
      </w:r>
      <w:r w:rsidRPr="00C155E5">
        <w:rPr>
          <w:rFonts w:cs="Calibri"/>
          <w:sz w:val="20"/>
        </w:rPr>
        <w:t>Data are represented as median,</w:t>
      </w:r>
      <w:r>
        <w:rPr>
          <w:rFonts w:cs="Calibri"/>
          <w:sz w:val="20"/>
        </w:rPr>
        <w:t xml:space="preserve"> </w:t>
      </w:r>
      <w:r w:rsidRPr="00C155E5">
        <w:rPr>
          <w:rFonts w:cs="Calibri"/>
          <w:sz w:val="20"/>
        </w:rPr>
        <w:t>25th and 75th percentiles (box) and 5th and 95th percentiles (whisker).</w:t>
      </w:r>
    </w:p>
    <w:p w14:paraId="41923176" w14:textId="77777777" w:rsidR="00EE7F09" w:rsidRPr="009C1344" w:rsidRDefault="00EE7F09" w:rsidP="00EE7F09">
      <w:pPr>
        <w:spacing w:after="0" w:line="240" w:lineRule="auto"/>
        <w:rPr>
          <w:rFonts w:ascii="Times New Roman" w:hAnsi="Times New Roman"/>
          <w:noProof/>
          <w:sz w:val="24"/>
          <w:szCs w:val="24"/>
          <w:lang w:eastAsia="en-AU"/>
        </w:rPr>
      </w:pPr>
      <w:r>
        <w:rPr>
          <w:rFonts w:ascii="Times New Roman" w:hAnsi="Times New Roman"/>
          <w:noProof/>
          <w:sz w:val="24"/>
          <w:szCs w:val="24"/>
          <w:lang w:eastAsia="en-AU"/>
        </w:rPr>
        <w:drawing>
          <wp:inline distT="0" distB="0" distL="0" distR="0" wp14:anchorId="61777F67" wp14:editId="405F8057">
            <wp:extent cx="5731510" cy="3183890"/>
            <wp:effectExtent l="0" t="0" r="2540" b="0"/>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tal_2017_2018_01.tiff"/>
                    <pic:cNvPicPr/>
                  </pic:nvPicPr>
                  <pic:blipFill>
                    <a:blip r:embed="rId105" cstate="email">
                      <a:extLst>
                        <a:ext uri="{28A0092B-C50C-407E-A947-70E740481C1C}">
                          <a14:useLocalDpi xmlns:a14="http://schemas.microsoft.com/office/drawing/2010/main"/>
                        </a:ext>
                      </a:extLst>
                    </a:blip>
                    <a:stretch>
                      <a:fillRect/>
                    </a:stretch>
                  </pic:blipFill>
                  <pic:spPr>
                    <a:xfrm>
                      <a:off x="0" y="0"/>
                      <a:ext cx="5731510" cy="3183890"/>
                    </a:xfrm>
                    <a:prstGeom prst="rect">
                      <a:avLst/>
                    </a:prstGeom>
                  </pic:spPr>
                </pic:pic>
              </a:graphicData>
            </a:graphic>
          </wp:inline>
        </w:drawing>
      </w:r>
    </w:p>
    <w:p w14:paraId="208055C9" w14:textId="77777777" w:rsidR="00EE7F09" w:rsidRPr="008F653E" w:rsidRDefault="00EE7F09" w:rsidP="00675B7A">
      <w:pPr>
        <w:tabs>
          <w:tab w:val="left" w:pos="0"/>
        </w:tabs>
        <w:spacing w:after="0" w:line="240" w:lineRule="auto"/>
        <w:jc w:val="left"/>
        <w:rPr>
          <w:rFonts w:cstheme="minorHAnsi"/>
          <w:noProof/>
          <w:sz w:val="20"/>
          <w:lang w:eastAsia="en-AU"/>
        </w:rPr>
      </w:pPr>
      <w:r>
        <w:rPr>
          <w:rFonts w:cstheme="minorHAnsi"/>
          <w:b/>
          <w:noProof/>
          <w:sz w:val="20"/>
          <w:lang w:eastAsia="en-AU"/>
        </w:rPr>
        <w:t>Figure 8.11</w:t>
      </w:r>
      <w:r w:rsidRPr="008F653E">
        <w:rPr>
          <w:rFonts w:cstheme="minorHAnsi"/>
          <w:b/>
          <w:noProof/>
          <w:sz w:val="20"/>
          <w:lang w:eastAsia="en-AU"/>
        </w:rPr>
        <w:t>.</w:t>
      </w:r>
      <w:r w:rsidRPr="008F653E">
        <w:rPr>
          <w:rFonts w:cstheme="minorHAnsi"/>
          <w:noProof/>
          <w:sz w:val="20"/>
          <w:lang w:eastAsia="en-AU"/>
        </w:rPr>
        <w:t xml:space="preserve"> Modelled probability of golden perch, silver perch and Murray cod movement, as determined by acoustic tracking, in relation to flow events with and without CEW in 2017 and 2018 in the Edward</w:t>
      </w:r>
      <w:r>
        <w:rPr>
          <w:rFonts w:cstheme="minorHAnsi"/>
          <w:noProof/>
          <w:sz w:val="20"/>
          <w:lang w:eastAsia="en-AU"/>
        </w:rPr>
        <w:t>/Kolety</w:t>
      </w:r>
      <w:r w:rsidRPr="008F653E">
        <w:rPr>
          <w:rFonts w:cstheme="minorHAnsi"/>
          <w:noProof/>
          <w:sz w:val="20"/>
          <w:lang w:eastAsia="en-AU"/>
        </w:rPr>
        <w:t xml:space="preserve">-Wakool river system. </w:t>
      </w:r>
    </w:p>
    <w:p w14:paraId="7667B24B" w14:textId="77777777" w:rsidR="00EE7F09" w:rsidRDefault="00EE7F09" w:rsidP="00EE7F09">
      <w:pPr>
        <w:spacing w:after="0"/>
        <w:rPr>
          <w:b/>
          <w:color w:val="006666"/>
          <w:sz w:val="24"/>
          <w:szCs w:val="24"/>
          <w:lang w:val="en-US"/>
        </w:rPr>
      </w:pPr>
    </w:p>
    <w:p w14:paraId="032FE2E2" w14:textId="77777777" w:rsidR="00EE7F09" w:rsidRDefault="00EE7F09" w:rsidP="00EE7F09">
      <w:pPr>
        <w:spacing w:after="0"/>
        <w:rPr>
          <w:b/>
          <w:i/>
          <w:color w:val="006666"/>
          <w:sz w:val="24"/>
          <w:szCs w:val="24"/>
          <w:lang w:val="en-US"/>
        </w:rPr>
      </w:pPr>
      <w:r>
        <w:rPr>
          <w:b/>
          <w:color w:val="006666"/>
          <w:sz w:val="24"/>
          <w:szCs w:val="24"/>
          <w:lang w:val="en-US"/>
        </w:rPr>
        <w:t>8.5.2</w:t>
      </w:r>
      <w:r w:rsidRPr="00B1341B">
        <w:rPr>
          <w:b/>
          <w:i/>
          <w:color w:val="006666"/>
          <w:sz w:val="24"/>
          <w:szCs w:val="24"/>
          <w:lang w:val="en-US"/>
        </w:rPr>
        <w:t xml:space="preserve"> </w:t>
      </w:r>
      <w:r>
        <w:rPr>
          <w:b/>
          <w:i/>
          <w:color w:val="006666"/>
          <w:sz w:val="24"/>
          <w:szCs w:val="24"/>
          <w:lang w:val="en-US"/>
        </w:rPr>
        <w:t>Fish spawning</w:t>
      </w:r>
    </w:p>
    <w:p w14:paraId="5F1FA07D" w14:textId="77777777" w:rsidR="00EE7F09" w:rsidRDefault="00EE7F09" w:rsidP="00675B7A">
      <w:pPr>
        <w:spacing w:after="120" w:line="324" w:lineRule="exact"/>
        <w:jc w:val="left"/>
      </w:pPr>
      <w:r>
        <w:t>A total of 3,052 fish eggs and larvae, representing nine species, were collected in the 2019-20 monitoring year from a combination of light traps (n=2,744) and drift nets (n=308) (Table 8.4). The total number of larvae collected in 2019-20 compares with previous monitored years characterised by within-channel flows conditions (LTIM: 2014-15= 4249, 2015-16= 3418, 2016-18 = 4428 and 2018-19 = 3,509).</w:t>
      </w:r>
    </w:p>
    <w:p w14:paraId="5B5CB194" w14:textId="77777777" w:rsidR="00EE7F09" w:rsidRPr="00921137" w:rsidRDefault="00EE7F09" w:rsidP="00675B7A">
      <w:pPr>
        <w:spacing w:after="120" w:line="324" w:lineRule="exact"/>
        <w:jc w:val="left"/>
      </w:pPr>
      <w:r>
        <w:t>Overall, eight of the nine fish species collected as larvae in 2019-20 were native. Carp gudgeon larvae were the most numerically abundant and widespread larvae collected (</w:t>
      </w:r>
      <w:r w:rsidRPr="0050104F">
        <w:rPr>
          <w:i/>
        </w:rPr>
        <w:t>Hypseleotris</w:t>
      </w:r>
      <w:r>
        <w:t xml:space="preserve"> spp., n=2,343, 78% of total catch). Found across all four of the focal zones, over half of the carp gudgeon larvae (63%) were collected from the Mid. Wakool River – Zone 3. Murray cod (</w:t>
      </w:r>
      <w:r w:rsidRPr="00F72961">
        <w:rPr>
          <w:rFonts w:cstheme="minorHAnsi"/>
          <w:i/>
          <w:iCs/>
          <w:color w:val="000000"/>
        </w:rPr>
        <w:t>Maccullochella peelii</w:t>
      </w:r>
      <w:r>
        <w:rPr>
          <w:iCs/>
          <w:color w:val="000000"/>
          <w:lang w:val="en-US"/>
        </w:rPr>
        <w:t>, n=440 larvae, n=2 eggs) and Australian smelt (</w:t>
      </w:r>
      <w:r w:rsidRPr="001E009A">
        <w:rPr>
          <w:i/>
          <w:iCs/>
          <w:color w:val="000000"/>
          <w:lang w:val="en-US"/>
        </w:rPr>
        <w:t>Retropinna semoni</w:t>
      </w:r>
      <w:r>
        <w:rPr>
          <w:iCs/>
          <w:color w:val="000000"/>
          <w:lang w:val="en-US"/>
        </w:rPr>
        <w:t>, n=191 larvae, n=8 eggs) larvae were the next most abundant, and detected in each of the four study zones (Table 8.4). Other less commonly collected larvae were those of flathead gudgeon (</w:t>
      </w:r>
      <w:r w:rsidRPr="00470BA5">
        <w:rPr>
          <w:i/>
          <w:iCs/>
          <w:color w:val="000000"/>
          <w:lang w:val="en-US"/>
        </w:rPr>
        <w:t>Philypnodon grandiceps</w:t>
      </w:r>
      <w:r>
        <w:rPr>
          <w:iCs/>
          <w:color w:val="000000"/>
          <w:lang w:val="en-US"/>
        </w:rPr>
        <w:t>, n=20), bony herring (</w:t>
      </w:r>
      <w:r w:rsidRPr="001723C6">
        <w:rPr>
          <w:i/>
          <w:iCs/>
          <w:color w:val="000000"/>
          <w:lang w:val="en-US"/>
        </w:rPr>
        <w:t>Nematalosa erebi</w:t>
      </w:r>
      <w:r>
        <w:rPr>
          <w:iCs/>
          <w:color w:val="000000"/>
          <w:lang w:val="en-US"/>
        </w:rPr>
        <w:t>, n=11), obscure galaxias (</w:t>
      </w:r>
      <w:r w:rsidRPr="00470BA5">
        <w:rPr>
          <w:i/>
          <w:iCs/>
          <w:color w:val="000000"/>
          <w:lang w:val="en-US"/>
        </w:rPr>
        <w:t>Galaxias oliros</w:t>
      </w:r>
      <w:r>
        <w:rPr>
          <w:iCs/>
          <w:color w:val="000000"/>
          <w:lang w:val="en-US"/>
        </w:rPr>
        <w:t>, n=3), river blackfish (</w:t>
      </w:r>
      <w:r w:rsidRPr="00F72961">
        <w:rPr>
          <w:rFonts w:cstheme="minorHAnsi"/>
          <w:i/>
          <w:iCs/>
          <w:color w:val="000000"/>
        </w:rPr>
        <w:t>Gadopsis marmoratus</w:t>
      </w:r>
      <w:r>
        <w:rPr>
          <w:rFonts w:cstheme="minorHAnsi"/>
          <w:i/>
          <w:iCs/>
          <w:color w:val="000000"/>
        </w:rPr>
        <w:t>,</w:t>
      </w:r>
      <w:r>
        <w:rPr>
          <w:iCs/>
          <w:color w:val="000000"/>
          <w:lang w:val="en-US"/>
        </w:rPr>
        <w:t xml:space="preserve"> n=9), and unspecked hardyhead (</w:t>
      </w:r>
      <w:r w:rsidRPr="00C93EDD">
        <w:rPr>
          <w:i/>
          <w:iCs/>
          <w:color w:val="000000"/>
          <w:lang w:val="en-US"/>
        </w:rPr>
        <w:t>Craterocephalus stercumsacarum fulvus</w:t>
      </w:r>
      <w:r>
        <w:rPr>
          <w:iCs/>
          <w:color w:val="000000"/>
          <w:lang w:val="en-US"/>
        </w:rPr>
        <w:t>, n=1). Carp (</w:t>
      </w:r>
      <w:r w:rsidRPr="001723C6">
        <w:rPr>
          <w:i/>
          <w:iCs/>
          <w:color w:val="000000"/>
          <w:lang w:val="en-US"/>
        </w:rPr>
        <w:t>Cyprinus carpio</w:t>
      </w:r>
      <w:r>
        <w:rPr>
          <w:iCs/>
          <w:color w:val="000000"/>
          <w:lang w:val="en-US"/>
        </w:rPr>
        <w:t xml:space="preserve">) was the only introduce species captured as larvae in the 2019-20 spawning period, and similarly to other non-flood years, only collected in very small numbers (n=2). </w:t>
      </w:r>
    </w:p>
    <w:p w14:paraId="0E156744" w14:textId="77777777" w:rsidR="00EE7F09" w:rsidRDefault="00EE7F09" w:rsidP="00EE7F09">
      <w:pPr>
        <w:spacing w:after="0"/>
        <w:rPr>
          <w:i/>
          <w:color w:val="31849B"/>
          <w:sz w:val="24"/>
          <w:szCs w:val="24"/>
          <w:lang w:val="en-US"/>
        </w:rPr>
      </w:pPr>
    </w:p>
    <w:p w14:paraId="66274FC7" w14:textId="77777777" w:rsidR="00EE7F09" w:rsidRDefault="00EE7F09" w:rsidP="00EE7F09">
      <w:pPr>
        <w:rPr>
          <w:b/>
        </w:rPr>
        <w:sectPr w:rsidR="00EE7F09" w:rsidSect="00530743">
          <w:pgSz w:w="11906" w:h="16838"/>
          <w:pgMar w:top="1440" w:right="1418" w:bottom="1440" w:left="1418" w:header="709" w:footer="709" w:gutter="0"/>
          <w:cols w:space="708"/>
          <w:docGrid w:linePitch="360"/>
        </w:sectPr>
      </w:pPr>
    </w:p>
    <w:p w14:paraId="0D2C685A" w14:textId="77777777" w:rsidR="00EE7F09" w:rsidRPr="002771D8" w:rsidRDefault="00EE7F09" w:rsidP="00675B7A">
      <w:pPr>
        <w:spacing w:after="0" w:line="240" w:lineRule="auto"/>
        <w:ind w:right="-1"/>
        <w:contextualSpacing/>
        <w:jc w:val="left"/>
        <w:rPr>
          <w:sz w:val="20"/>
        </w:rPr>
      </w:pPr>
      <w:r>
        <w:rPr>
          <w:b/>
          <w:bCs/>
          <w:sz w:val="20"/>
        </w:rPr>
        <w:t xml:space="preserve">Table 8.4. </w:t>
      </w:r>
      <w:r w:rsidRPr="00AA2460">
        <w:rPr>
          <w:sz w:val="20"/>
        </w:rPr>
        <w:t>Total abundance of fish larvae samp</w:t>
      </w:r>
      <w:r>
        <w:rPr>
          <w:sz w:val="20"/>
        </w:rPr>
        <w:t>led using light traps (LT) and d</w:t>
      </w:r>
      <w:r w:rsidRPr="00AA2460">
        <w:rPr>
          <w:sz w:val="20"/>
        </w:rPr>
        <w:t>rift nets (DN) in the four study zones of the Edward</w:t>
      </w:r>
      <w:r>
        <w:rPr>
          <w:sz w:val="20"/>
        </w:rPr>
        <w:t>/Kolety</w:t>
      </w:r>
      <w:r w:rsidRPr="00AA2460">
        <w:rPr>
          <w:sz w:val="20"/>
        </w:rPr>
        <w:t>-Wakool Ri</w:t>
      </w:r>
      <w:r>
        <w:rPr>
          <w:sz w:val="20"/>
        </w:rPr>
        <w:t>ver system in spring/summer 2019-20</w:t>
      </w:r>
      <w:r w:rsidRPr="00AA2460">
        <w:rPr>
          <w:sz w:val="20"/>
        </w:rPr>
        <w:t xml:space="preserve">. </w:t>
      </w:r>
      <w:r>
        <w:rPr>
          <w:sz w:val="20"/>
        </w:rPr>
        <w:t xml:space="preserve">Eggs are denoted by subscript e. </w:t>
      </w:r>
      <w:r w:rsidRPr="00AA2460">
        <w:rPr>
          <w:sz w:val="20"/>
        </w:rPr>
        <w:t xml:space="preserve">Fish species listed are those known to occur in </w:t>
      </w:r>
      <w:r>
        <w:rPr>
          <w:sz w:val="20"/>
        </w:rPr>
        <w:t>the Edward/Kolety-Wakool river system. To date, trout cod have not been detected in the four study zones, however they are known to be present in the wider Edward/Kolety Wakool Selected Area.</w:t>
      </w:r>
    </w:p>
    <w:tbl>
      <w:tblPr>
        <w:tblW w:w="11482" w:type="dxa"/>
        <w:jc w:val="center"/>
        <w:tblLayout w:type="fixed"/>
        <w:tblLook w:val="04A0" w:firstRow="1" w:lastRow="0" w:firstColumn="1" w:lastColumn="0" w:noHBand="0" w:noVBand="1"/>
      </w:tblPr>
      <w:tblGrid>
        <w:gridCol w:w="2689"/>
        <w:gridCol w:w="835"/>
        <w:gridCol w:w="834"/>
        <w:gridCol w:w="840"/>
        <w:gridCol w:w="765"/>
        <w:gridCol w:w="851"/>
        <w:gridCol w:w="851"/>
        <w:gridCol w:w="898"/>
        <w:gridCol w:w="803"/>
        <w:gridCol w:w="982"/>
        <w:gridCol w:w="1134"/>
      </w:tblGrid>
      <w:tr w:rsidR="00EE7F09" w:rsidRPr="009E2BD1" w14:paraId="33778EBD" w14:textId="77777777" w:rsidTr="00EE7F09">
        <w:trPr>
          <w:trHeight w:val="382"/>
          <w:jc w:val="center"/>
        </w:trPr>
        <w:tc>
          <w:tcPr>
            <w:tcW w:w="2689" w:type="dxa"/>
            <w:tcBorders>
              <w:top w:val="single" w:sz="12" w:space="0" w:color="auto"/>
              <w:bottom w:val="single" w:sz="12" w:space="0" w:color="auto"/>
              <w:right w:val="single" w:sz="24" w:space="0" w:color="FFFFFF" w:themeColor="background1"/>
            </w:tcBorders>
            <w:shd w:val="clear" w:color="auto" w:fill="FFFFFF" w:themeFill="background1"/>
            <w:noWrap/>
            <w:vAlign w:val="bottom"/>
          </w:tcPr>
          <w:p w14:paraId="7BABFD1D" w14:textId="77777777" w:rsidR="00EE7F09" w:rsidRPr="000C3349" w:rsidRDefault="00EE7F09" w:rsidP="00EE7F09">
            <w:pPr>
              <w:spacing w:after="0" w:line="240" w:lineRule="auto"/>
              <w:rPr>
                <w:rFonts w:eastAsia="Times New Roman"/>
                <w:b/>
                <w:iCs/>
                <w:color w:val="000000"/>
                <w:sz w:val="20"/>
                <w:lang w:eastAsia="en-AU"/>
              </w:rPr>
            </w:pPr>
            <w:r w:rsidRPr="000C3349">
              <w:rPr>
                <w:rFonts w:eastAsia="Times New Roman"/>
                <w:b/>
                <w:iCs/>
                <w:color w:val="000000"/>
                <w:sz w:val="20"/>
                <w:lang w:eastAsia="en-AU"/>
              </w:rPr>
              <w:t>Common name</w:t>
            </w:r>
          </w:p>
        </w:tc>
        <w:tc>
          <w:tcPr>
            <w:tcW w:w="1669" w:type="dxa"/>
            <w:gridSpan w:val="2"/>
            <w:tcBorders>
              <w:top w:val="single" w:sz="12" w:space="0" w:color="auto"/>
              <w:left w:val="single" w:sz="24" w:space="0" w:color="FFFFFF" w:themeColor="background1"/>
              <w:bottom w:val="single" w:sz="12" w:space="0" w:color="auto"/>
              <w:right w:val="single" w:sz="24" w:space="0" w:color="FFFFFF" w:themeColor="background1"/>
            </w:tcBorders>
            <w:shd w:val="clear" w:color="auto" w:fill="FFFFFF" w:themeFill="background1"/>
            <w:vAlign w:val="center"/>
          </w:tcPr>
          <w:p w14:paraId="101A3920" w14:textId="77777777" w:rsidR="00EE7F09" w:rsidRPr="000C3349" w:rsidRDefault="00EE7F09" w:rsidP="00EE7F09">
            <w:pPr>
              <w:spacing w:after="0" w:line="240" w:lineRule="auto"/>
              <w:jc w:val="center"/>
              <w:rPr>
                <w:rFonts w:eastAsia="Times New Roman"/>
                <w:b/>
                <w:bCs/>
                <w:color w:val="000000"/>
                <w:sz w:val="20"/>
                <w:lang w:eastAsia="en-AU"/>
              </w:rPr>
            </w:pPr>
            <w:r w:rsidRPr="000C3349">
              <w:rPr>
                <w:rFonts w:eastAsia="Times New Roman"/>
                <w:b/>
                <w:bCs/>
                <w:color w:val="000000"/>
                <w:sz w:val="20"/>
                <w:lang w:eastAsia="en-AU"/>
              </w:rPr>
              <w:t>Yallakool Ck Z1</w:t>
            </w:r>
          </w:p>
        </w:tc>
        <w:tc>
          <w:tcPr>
            <w:tcW w:w="1605" w:type="dxa"/>
            <w:gridSpan w:val="2"/>
            <w:tcBorders>
              <w:top w:val="single" w:sz="12" w:space="0" w:color="auto"/>
              <w:left w:val="single" w:sz="24" w:space="0" w:color="FFFFFF" w:themeColor="background1"/>
              <w:bottom w:val="single" w:sz="12" w:space="0" w:color="auto"/>
              <w:right w:val="single" w:sz="24" w:space="0" w:color="FFFFFF" w:themeColor="background1"/>
            </w:tcBorders>
            <w:shd w:val="clear" w:color="auto" w:fill="FFFFFF" w:themeFill="background1"/>
            <w:vAlign w:val="center"/>
          </w:tcPr>
          <w:p w14:paraId="590E3034" w14:textId="77777777" w:rsidR="00EE7F09" w:rsidRPr="000C3349" w:rsidRDefault="00EE7F09" w:rsidP="00EE7F09">
            <w:pPr>
              <w:spacing w:after="0" w:line="240" w:lineRule="auto"/>
              <w:jc w:val="center"/>
              <w:rPr>
                <w:rFonts w:eastAsia="Times New Roman"/>
                <w:b/>
                <w:bCs/>
                <w:color w:val="000000"/>
                <w:sz w:val="20"/>
                <w:lang w:eastAsia="en-AU"/>
              </w:rPr>
            </w:pPr>
            <w:r w:rsidRPr="000C3349">
              <w:rPr>
                <w:rFonts w:eastAsia="Times New Roman"/>
                <w:b/>
                <w:bCs/>
                <w:color w:val="000000"/>
                <w:sz w:val="20"/>
                <w:lang w:eastAsia="en-AU"/>
              </w:rPr>
              <w:t>Wakool R Z2</w:t>
            </w:r>
          </w:p>
        </w:tc>
        <w:tc>
          <w:tcPr>
            <w:tcW w:w="1702" w:type="dxa"/>
            <w:gridSpan w:val="2"/>
            <w:tcBorders>
              <w:top w:val="single" w:sz="12" w:space="0" w:color="auto"/>
              <w:left w:val="single" w:sz="24" w:space="0" w:color="FFFFFF" w:themeColor="background1"/>
              <w:bottom w:val="single" w:sz="12" w:space="0" w:color="auto"/>
              <w:right w:val="single" w:sz="24" w:space="0" w:color="FFFFFF" w:themeColor="background1"/>
            </w:tcBorders>
            <w:shd w:val="clear" w:color="auto" w:fill="FFFFFF" w:themeFill="background1"/>
            <w:vAlign w:val="center"/>
          </w:tcPr>
          <w:p w14:paraId="105C21D8" w14:textId="77777777" w:rsidR="00EE7F09" w:rsidRPr="000C3349" w:rsidRDefault="00EE7F09" w:rsidP="00EE7F09">
            <w:pPr>
              <w:spacing w:after="0" w:line="240" w:lineRule="auto"/>
              <w:jc w:val="center"/>
              <w:rPr>
                <w:rFonts w:eastAsia="Times New Roman"/>
                <w:b/>
                <w:bCs/>
                <w:color w:val="000000"/>
                <w:sz w:val="20"/>
                <w:lang w:eastAsia="en-AU"/>
              </w:rPr>
            </w:pPr>
            <w:r w:rsidRPr="000C3349">
              <w:rPr>
                <w:rFonts w:eastAsia="Times New Roman"/>
                <w:b/>
                <w:bCs/>
                <w:color w:val="000000"/>
                <w:sz w:val="20"/>
                <w:lang w:eastAsia="en-AU"/>
              </w:rPr>
              <w:t>Wakool R Z3</w:t>
            </w:r>
          </w:p>
        </w:tc>
        <w:tc>
          <w:tcPr>
            <w:tcW w:w="1701" w:type="dxa"/>
            <w:gridSpan w:val="2"/>
            <w:tcBorders>
              <w:top w:val="single" w:sz="12" w:space="0" w:color="auto"/>
              <w:left w:val="single" w:sz="24" w:space="0" w:color="FFFFFF" w:themeColor="background1"/>
              <w:bottom w:val="single" w:sz="12" w:space="0" w:color="auto"/>
              <w:right w:val="single" w:sz="24" w:space="0" w:color="FFFFFF" w:themeColor="background1"/>
            </w:tcBorders>
            <w:shd w:val="clear" w:color="auto" w:fill="FFFFFF" w:themeFill="background1"/>
            <w:vAlign w:val="center"/>
          </w:tcPr>
          <w:p w14:paraId="398B24F9" w14:textId="77777777" w:rsidR="00EE7F09" w:rsidRPr="000C3349" w:rsidRDefault="00EE7F09" w:rsidP="00EE7F09">
            <w:pPr>
              <w:spacing w:after="0" w:line="240" w:lineRule="auto"/>
              <w:jc w:val="center"/>
              <w:rPr>
                <w:rFonts w:eastAsia="Times New Roman"/>
                <w:b/>
                <w:sz w:val="20"/>
                <w:lang w:eastAsia="en-AU"/>
              </w:rPr>
            </w:pPr>
            <w:r w:rsidRPr="000C3349">
              <w:rPr>
                <w:rFonts w:eastAsia="Times New Roman"/>
                <w:b/>
                <w:bCs/>
                <w:color w:val="000000"/>
                <w:sz w:val="20"/>
                <w:lang w:eastAsia="en-AU"/>
              </w:rPr>
              <w:t>Wakool R Z4</w:t>
            </w:r>
          </w:p>
        </w:tc>
        <w:tc>
          <w:tcPr>
            <w:tcW w:w="2116" w:type="dxa"/>
            <w:gridSpan w:val="2"/>
            <w:tcBorders>
              <w:top w:val="single" w:sz="12" w:space="0" w:color="auto"/>
              <w:left w:val="single" w:sz="24" w:space="0" w:color="FFFFFF" w:themeColor="background1"/>
              <w:bottom w:val="single" w:sz="12" w:space="0" w:color="auto"/>
            </w:tcBorders>
            <w:shd w:val="clear" w:color="auto" w:fill="FFFFFF" w:themeFill="background1"/>
            <w:vAlign w:val="center"/>
          </w:tcPr>
          <w:p w14:paraId="2A164591" w14:textId="77777777" w:rsidR="00EE7F09" w:rsidRPr="000C3349" w:rsidRDefault="00EE7F09" w:rsidP="00EE7F09">
            <w:pPr>
              <w:spacing w:after="0" w:line="240" w:lineRule="auto"/>
              <w:jc w:val="center"/>
              <w:rPr>
                <w:rFonts w:eastAsia="Times New Roman"/>
                <w:b/>
                <w:sz w:val="20"/>
                <w:lang w:eastAsia="en-AU"/>
              </w:rPr>
            </w:pPr>
            <w:r w:rsidRPr="000C3349">
              <w:rPr>
                <w:rFonts w:eastAsia="Times New Roman"/>
                <w:b/>
                <w:bCs/>
                <w:color w:val="000000"/>
                <w:sz w:val="20"/>
                <w:lang w:eastAsia="en-AU"/>
              </w:rPr>
              <w:t>Total</w:t>
            </w:r>
          </w:p>
        </w:tc>
      </w:tr>
      <w:tr w:rsidR="00EE7F09" w:rsidRPr="009E2BD1" w14:paraId="09D24387" w14:textId="77777777" w:rsidTr="00EE7F09">
        <w:trPr>
          <w:trHeight w:val="367"/>
          <w:jc w:val="center"/>
        </w:trPr>
        <w:tc>
          <w:tcPr>
            <w:tcW w:w="2689" w:type="dxa"/>
            <w:tcBorders>
              <w:top w:val="single" w:sz="12" w:space="0" w:color="auto"/>
              <w:right w:val="single" w:sz="24" w:space="0" w:color="FFFFFF" w:themeColor="background1"/>
            </w:tcBorders>
            <w:shd w:val="clear" w:color="auto" w:fill="FFFFFF" w:themeFill="background1"/>
            <w:noWrap/>
            <w:vAlign w:val="bottom"/>
          </w:tcPr>
          <w:p w14:paraId="0CABB1F2" w14:textId="77777777" w:rsidR="00EE7F09" w:rsidRPr="000C3349" w:rsidRDefault="00EE7F09" w:rsidP="00EE7F09">
            <w:pPr>
              <w:spacing w:after="0" w:line="240" w:lineRule="auto"/>
              <w:rPr>
                <w:rFonts w:eastAsia="Times New Roman"/>
                <w:i/>
                <w:iCs/>
                <w:color w:val="000000"/>
                <w:sz w:val="20"/>
                <w:lang w:eastAsia="en-AU"/>
              </w:rPr>
            </w:pPr>
          </w:p>
        </w:tc>
        <w:tc>
          <w:tcPr>
            <w:tcW w:w="835" w:type="dxa"/>
            <w:tcBorders>
              <w:top w:val="single" w:sz="12" w:space="0" w:color="auto"/>
              <w:left w:val="single" w:sz="24" w:space="0" w:color="FFFFFF" w:themeColor="background1"/>
            </w:tcBorders>
            <w:shd w:val="clear" w:color="auto" w:fill="auto"/>
            <w:vAlign w:val="center"/>
          </w:tcPr>
          <w:p w14:paraId="31D636C1" w14:textId="77777777" w:rsidR="00EE7F09" w:rsidRPr="000C3349" w:rsidRDefault="00EE7F09" w:rsidP="00EE7F09">
            <w:pPr>
              <w:spacing w:after="0" w:line="240" w:lineRule="auto"/>
              <w:jc w:val="center"/>
              <w:rPr>
                <w:rFonts w:eastAsia="Times New Roman"/>
                <w:i/>
                <w:iCs/>
                <w:color w:val="000000"/>
                <w:sz w:val="20"/>
                <w:lang w:eastAsia="en-AU"/>
              </w:rPr>
            </w:pPr>
            <w:r w:rsidRPr="000C3349">
              <w:rPr>
                <w:rFonts w:eastAsia="Times New Roman"/>
                <w:bCs/>
                <w:color w:val="000000"/>
                <w:sz w:val="20"/>
                <w:lang w:eastAsia="en-AU"/>
              </w:rPr>
              <w:t>LT</w:t>
            </w:r>
          </w:p>
        </w:tc>
        <w:tc>
          <w:tcPr>
            <w:tcW w:w="834" w:type="dxa"/>
            <w:tcBorders>
              <w:top w:val="single" w:sz="12" w:space="0" w:color="auto"/>
              <w:right w:val="single" w:sz="24" w:space="0" w:color="FFFFFF" w:themeColor="background1"/>
            </w:tcBorders>
            <w:shd w:val="clear" w:color="auto" w:fill="auto"/>
            <w:vAlign w:val="center"/>
          </w:tcPr>
          <w:p w14:paraId="01FF598B"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bCs/>
                <w:color w:val="000000"/>
                <w:sz w:val="20"/>
                <w:lang w:eastAsia="en-AU"/>
              </w:rPr>
              <w:t>DN</w:t>
            </w:r>
          </w:p>
        </w:tc>
        <w:tc>
          <w:tcPr>
            <w:tcW w:w="840" w:type="dxa"/>
            <w:tcBorders>
              <w:top w:val="single" w:sz="12" w:space="0" w:color="auto"/>
              <w:left w:val="single" w:sz="24" w:space="0" w:color="FFFFFF" w:themeColor="background1"/>
            </w:tcBorders>
            <w:shd w:val="clear" w:color="auto" w:fill="auto"/>
            <w:vAlign w:val="center"/>
          </w:tcPr>
          <w:p w14:paraId="3C1ACB4A"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bCs/>
                <w:color w:val="000000"/>
                <w:sz w:val="20"/>
                <w:lang w:eastAsia="en-AU"/>
              </w:rPr>
              <w:t>LT</w:t>
            </w:r>
          </w:p>
        </w:tc>
        <w:tc>
          <w:tcPr>
            <w:tcW w:w="765" w:type="dxa"/>
            <w:tcBorders>
              <w:top w:val="single" w:sz="12" w:space="0" w:color="auto"/>
              <w:right w:val="single" w:sz="24" w:space="0" w:color="FFFFFF" w:themeColor="background1"/>
            </w:tcBorders>
            <w:shd w:val="clear" w:color="auto" w:fill="auto"/>
            <w:vAlign w:val="center"/>
          </w:tcPr>
          <w:p w14:paraId="6AF5ACA6"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bCs/>
                <w:color w:val="000000"/>
                <w:sz w:val="20"/>
                <w:lang w:eastAsia="en-AU"/>
              </w:rPr>
              <w:t>DN</w:t>
            </w:r>
          </w:p>
        </w:tc>
        <w:tc>
          <w:tcPr>
            <w:tcW w:w="851" w:type="dxa"/>
            <w:tcBorders>
              <w:top w:val="single" w:sz="12" w:space="0" w:color="auto"/>
              <w:left w:val="single" w:sz="24" w:space="0" w:color="FFFFFF" w:themeColor="background1"/>
            </w:tcBorders>
            <w:shd w:val="clear" w:color="auto" w:fill="auto"/>
            <w:vAlign w:val="center"/>
          </w:tcPr>
          <w:p w14:paraId="6DED5A2F"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LT</w:t>
            </w:r>
          </w:p>
        </w:tc>
        <w:tc>
          <w:tcPr>
            <w:tcW w:w="851" w:type="dxa"/>
            <w:tcBorders>
              <w:top w:val="single" w:sz="12" w:space="0" w:color="auto"/>
              <w:right w:val="single" w:sz="24" w:space="0" w:color="FFFFFF" w:themeColor="background1"/>
            </w:tcBorders>
            <w:shd w:val="clear" w:color="auto" w:fill="auto"/>
            <w:vAlign w:val="center"/>
          </w:tcPr>
          <w:p w14:paraId="45A99CE8"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DN</w:t>
            </w:r>
          </w:p>
        </w:tc>
        <w:tc>
          <w:tcPr>
            <w:tcW w:w="898" w:type="dxa"/>
            <w:tcBorders>
              <w:top w:val="single" w:sz="12" w:space="0" w:color="auto"/>
              <w:left w:val="single" w:sz="24" w:space="0" w:color="FFFFFF" w:themeColor="background1"/>
            </w:tcBorders>
            <w:shd w:val="clear" w:color="auto" w:fill="auto"/>
            <w:vAlign w:val="center"/>
          </w:tcPr>
          <w:p w14:paraId="16F55669"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LT</w:t>
            </w:r>
          </w:p>
        </w:tc>
        <w:tc>
          <w:tcPr>
            <w:tcW w:w="803" w:type="dxa"/>
            <w:tcBorders>
              <w:top w:val="single" w:sz="12" w:space="0" w:color="auto"/>
              <w:right w:val="single" w:sz="24" w:space="0" w:color="FFFFFF" w:themeColor="background1"/>
            </w:tcBorders>
            <w:shd w:val="clear" w:color="auto" w:fill="auto"/>
            <w:vAlign w:val="center"/>
          </w:tcPr>
          <w:p w14:paraId="5D00C3B9"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DN</w:t>
            </w:r>
          </w:p>
        </w:tc>
        <w:tc>
          <w:tcPr>
            <w:tcW w:w="982" w:type="dxa"/>
            <w:tcBorders>
              <w:top w:val="single" w:sz="12" w:space="0" w:color="auto"/>
              <w:left w:val="single" w:sz="24" w:space="0" w:color="FFFFFF" w:themeColor="background1"/>
            </w:tcBorders>
            <w:shd w:val="clear" w:color="auto" w:fill="auto"/>
            <w:vAlign w:val="center"/>
          </w:tcPr>
          <w:p w14:paraId="01617849"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LT</w:t>
            </w:r>
          </w:p>
        </w:tc>
        <w:tc>
          <w:tcPr>
            <w:tcW w:w="1134" w:type="dxa"/>
            <w:tcBorders>
              <w:top w:val="single" w:sz="12" w:space="0" w:color="auto"/>
            </w:tcBorders>
            <w:shd w:val="clear" w:color="auto" w:fill="auto"/>
            <w:vAlign w:val="center"/>
          </w:tcPr>
          <w:p w14:paraId="13504776" w14:textId="77777777" w:rsidR="00EE7F09" w:rsidRPr="000C3349" w:rsidRDefault="00EE7F09" w:rsidP="00EE7F09">
            <w:pPr>
              <w:spacing w:after="0" w:line="240" w:lineRule="auto"/>
              <w:jc w:val="center"/>
              <w:rPr>
                <w:rFonts w:eastAsia="Times New Roman"/>
                <w:sz w:val="20"/>
                <w:lang w:eastAsia="en-AU"/>
              </w:rPr>
            </w:pPr>
            <w:r w:rsidRPr="000C3349">
              <w:rPr>
                <w:rFonts w:eastAsia="Times New Roman"/>
                <w:sz w:val="20"/>
                <w:lang w:eastAsia="en-AU"/>
              </w:rPr>
              <w:t>DN</w:t>
            </w:r>
          </w:p>
        </w:tc>
      </w:tr>
      <w:tr w:rsidR="00EE7F09" w:rsidRPr="009E2BD1" w14:paraId="1D4DF95C" w14:textId="77777777" w:rsidTr="00EE7F09">
        <w:trPr>
          <w:trHeight w:val="309"/>
          <w:jc w:val="center"/>
        </w:trPr>
        <w:tc>
          <w:tcPr>
            <w:tcW w:w="2689" w:type="dxa"/>
            <w:tcBorders>
              <w:right w:val="single" w:sz="24" w:space="0" w:color="FFFFFF" w:themeColor="background1"/>
            </w:tcBorders>
            <w:shd w:val="clear" w:color="auto" w:fill="auto"/>
            <w:noWrap/>
            <w:vAlign w:val="bottom"/>
            <w:hideMark/>
          </w:tcPr>
          <w:p w14:paraId="62753FDC" w14:textId="77777777" w:rsidR="00EE7F09" w:rsidRPr="000C3349" w:rsidRDefault="00EE7F09" w:rsidP="00EE7F09">
            <w:pPr>
              <w:spacing w:after="0" w:line="240" w:lineRule="auto"/>
              <w:rPr>
                <w:rFonts w:eastAsia="Times New Roman"/>
                <w:b/>
                <w:i/>
                <w:iCs/>
                <w:color w:val="000000"/>
                <w:sz w:val="18"/>
                <w:szCs w:val="18"/>
                <w:lang w:eastAsia="en-AU"/>
              </w:rPr>
            </w:pPr>
            <w:r w:rsidRPr="000C3349">
              <w:rPr>
                <w:rFonts w:eastAsia="Times New Roman"/>
                <w:b/>
                <w:i/>
                <w:iCs/>
                <w:sz w:val="18"/>
                <w:szCs w:val="18"/>
                <w:lang w:eastAsia="en-AU"/>
              </w:rPr>
              <w:t>Native</w:t>
            </w:r>
          </w:p>
        </w:tc>
        <w:tc>
          <w:tcPr>
            <w:tcW w:w="835" w:type="dxa"/>
            <w:tcBorders>
              <w:left w:val="single" w:sz="24" w:space="0" w:color="FFFFFF" w:themeColor="background1"/>
            </w:tcBorders>
            <w:shd w:val="clear" w:color="auto" w:fill="auto"/>
            <w:vAlign w:val="center"/>
            <w:hideMark/>
          </w:tcPr>
          <w:p w14:paraId="471FCAC1" w14:textId="77777777" w:rsidR="00EE7F09" w:rsidRPr="000C3349" w:rsidRDefault="00EE7F09" w:rsidP="00EE7F09">
            <w:pPr>
              <w:spacing w:after="0" w:line="240" w:lineRule="auto"/>
              <w:contextualSpacing/>
              <w:rPr>
                <w:rFonts w:eastAsia="Times New Roman"/>
                <w:i/>
                <w:iCs/>
                <w:color w:val="000000"/>
                <w:sz w:val="18"/>
                <w:szCs w:val="18"/>
                <w:lang w:eastAsia="en-AU"/>
              </w:rPr>
            </w:pPr>
          </w:p>
        </w:tc>
        <w:tc>
          <w:tcPr>
            <w:tcW w:w="834" w:type="dxa"/>
            <w:tcBorders>
              <w:right w:val="single" w:sz="24" w:space="0" w:color="FFFFFF" w:themeColor="background1"/>
            </w:tcBorders>
            <w:shd w:val="clear" w:color="auto" w:fill="auto"/>
            <w:vAlign w:val="center"/>
            <w:hideMark/>
          </w:tcPr>
          <w:p w14:paraId="29B21898" w14:textId="77777777" w:rsidR="00EE7F09" w:rsidRPr="000C3349" w:rsidRDefault="00EE7F09" w:rsidP="00EE7F09">
            <w:pPr>
              <w:spacing w:after="0" w:line="240" w:lineRule="auto"/>
              <w:jc w:val="right"/>
              <w:rPr>
                <w:rFonts w:eastAsia="Times New Roman"/>
                <w:sz w:val="18"/>
                <w:szCs w:val="18"/>
                <w:lang w:eastAsia="en-AU"/>
              </w:rPr>
            </w:pPr>
          </w:p>
        </w:tc>
        <w:tc>
          <w:tcPr>
            <w:tcW w:w="840" w:type="dxa"/>
            <w:tcBorders>
              <w:left w:val="single" w:sz="24" w:space="0" w:color="FFFFFF" w:themeColor="background1"/>
            </w:tcBorders>
            <w:shd w:val="clear" w:color="auto" w:fill="auto"/>
            <w:vAlign w:val="center"/>
            <w:hideMark/>
          </w:tcPr>
          <w:p w14:paraId="306647D3" w14:textId="77777777" w:rsidR="00EE7F09" w:rsidRPr="000C3349" w:rsidRDefault="00EE7F09" w:rsidP="00EE7F09">
            <w:pPr>
              <w:spacing w:after="0" w:line="240" w:lineRule="auto"/>
              <w:jc w:val="right"/>
              <w:rPr>
                <w:rFonts w:eastAsia="Times New Roman"/>
                <w:sz w:val="18"/>
                <w:szCs w:val="18"/>
                <w:lang w:eastAsia="en-AU"/>
              </w:rPr>
            </w:pPr>
          </w:p>
        </w:tc>
        <w:tc>
          <w:tcPr>
            <w:tcW w:w="765" w:type="dxa"/>
            <w:tcBorders>
              <w:right w:val="single" w:sz="24" w:space="0" w:color="FFFFFF" w:themeColor="background1"/>
            </w:tcBorders>
            <w:shd w:val="clear" w:color="auto" w:fill="auto"/>
            <w:vAlign w:val="center"/>
            <w:hideMark/>
          </w:tcPr>
          <w:p w14:paraId="5EDE43DD" w14:textId="77777777" w:rsidR="00EE7F09" w:rsidRPr="000C3349" w:rsidRDefault="00EE7F09" w:rsidP="00EE7F09">
            <w:pPr>
              <w:spacing w:after="0" w:line="240" w:lineRule="auto"/>
              <w:jc w:val="right"/>
              <w:rPr>
                <w:rFonts w:eastAsia="Times New Roman"/>
                <w:sz w:val="18"/>
                <w:szCs w:val="18"/>
                <w:lang w:eastAsia="en-AU"/>
              </w:rPr>
            </w:pPr>
          </w:p>
        </w:tc>
        <w:tc>
          <w:tcPr>
            <w:tcW w:w="851" w:type="dxa"/>
            <w:tcBorders>
              <w:left w:val="single" w:sz="24" w:space="0" w:color="FFFFFF" w:themeColor="background1"/>
            </w:tcBorders>
            <w:shd w:val="clear" w:color="auto" w:fill="auto"/>
            <w:vAlign w:val="center"/>
            <w:hideMark/>
          </w:tcPr>
          <w:p w14:paraId="0FDE69CD" w14:textId="77777777" w:rsidR="00EE7F09" w:rsidRPr="000C3349" w:rsidRDefault="00EE7F09" w:rsidP="00EE7F09">
            <w:pPr>
              <w:spacing w:after="0" w:line="240" w:lineRule="auto"/>
              <w:jc w:val="right"/>
              <w:rPr>
                <w:rFonts w:eastAsia="Times New Roman"/>
                <w:sz w:val="18"/>
                <w:szCs w:val="18"/>
                <w:lang w:eastAsia="en-AU"/>
              </w:rPr>
            </w:pPr>
          </w:p>
        </w:tc>
        <w:tc>
          <w:tcPr>
            <w:tcW w:w="851" w:type="dxa"/>
            <w:tcBorders>
              <w:right w:val="single" w:sz="24" w:space="0" w:color="FFFFFF" w:themeColor="background1"/>
            </w:tcBorders>
            <w:shd w:val="clear" w:color="auto" w:fill="auto"/>
            <w:vAlign w:val="center"/>
            <w:hideMark/>
          </w:tcPr>
          <w:p w14:paraId="628DA241" w14:textId="77777777" w:rsidR="00EE7F09" w:rsidRPr="000C3349" w:rsidRDefault="00EE7F09" w:rsidP="00EE7F09">
            <w:pPr>
              <w:spacing w:after="0" w:line="240" w:lineRule="auto"/>
              <w:jc w:val="right"/>
              <w:rPr>
                <w:rFonts w:eastAsia="Times New Roman"/>
                <w:sz w:val="18"/>
                <w:szCs w:val="18"/>
                <w:lang w:eastAsia="en-AU"/>
              </w:rPr>
            </w:pPr>
          </w:p>
        </w:tc>
        <w:tc>
          <w:tcPr>
            <w:tcW w:w="898" w:type="dxa"/>
            <w:tcBorders>
              <w:left w:val="single" w:sz="24" w:space="0" w:color="FFFFFF" w:themeColor="background1"/>
            </w:tcBorders>
            <w:shd w:val="clear" w:color="auto" w:fill="auto"/>
            <w:vAlign w:val="center"/>
            <w:hideMark/>
          </w:tcPr>
          <w:p w14:paraId="6E968E13" w14:textId="77777777" w:rsidR="00EE7F09" w:rsidRPr="000C3349" w:rsidRDefault="00EE7F09" w:rsidP="00EE7F09">
            <w:pPr>
              <w:spacing w:after="0" w:line="240" w:lineRule="auto"/>
              <w:jc w:val="right"/>
              <w:rPr>
                <w:rFonts w:eastAsia="Times New Roman"/>
                <w:sz w:val="18"/>
                <w:szCs w:val="18"/>
                <w:lang w:eastAsia="en-AU"/>
              </w:rPr>
            </w:pPr>
          </w:p>
        </w:tc>
        <w:tc>
          <w:tcPr>
            <w:tcW w:w="803" w:type="dxa"/>
            <w:tcBorders>
              <w:right w:val="single" w:sz="24" w:space="0" w:color="FFFFFF" w:themeColor="background1"/>
            </w:tcBorders>
            <w:shd w:val="clear" w:color="auto" w:fill="auto"/>
            <w:vAlign w:val="center"/>
            <w:hideMark/>
          </w:tcPr>
          <w:p w14:paraId="20D54F6A" w14:textId="77777777" w:rsidR="00EE7F09" w:rsidRPr="000C3349" w:rsidRDefault="00EE7F09" w:rsidP="00EE7F09">
            <w:pPr>
              <w:spacing w:after="0" w:line="240" w:lineRule="auto"/>
              <w:jc w:val="right"/>
              <w:rPr>
                <w:rFonts w:eastAsia="Times New Roman"/>
                <w:sz w:val="18"/>
                <w:szCs w:val="18"/>
                <w:lang w:eastAsia="en-AU"/>
              </w:rPr>
            </w:pPr>
          </w:p>
        </w:tc>
        <w:tc>
          <w:tcPr>
            <w:tcW w:w="982" w:type="dxa"/>
            <w:tcBorders>
              <w:left w:val="single" w:sz="24" w:space="0" w:color="FFFFFF" w:themeColor="background1"/>
            </w:tcBorders>
            <w:shd w:val="clear" w:color="auto" w:fill="auto"/>
            <w:vAlign w:val="center"/>
            <w:hideMark/>
          </w:tcPr>
          <w:p w14:paraId="32544730" w14:textId="77777777" w:rsidR="00EE7F09" w:rsidRPr="000C3349" w:rsidRDefault="00EE7F09" w:rsidP="00EE7F09">
            <w:pPr>
              <w:spacing w:after="0" w:line="240" w:lineRule="auto"/>
              <w:jc w:val="right"/>
              <w:rPr>
                <w:rFonts w:eastAsia="Times New Roman"/>
                <w:sz w:val="18"/>
                <w:szCs w:val="18"/>
                <w:lang w:eastAsia="en-AU"/>
              </w:rPr>
            </w:pPr>
          </w:p>
        </w:tc>
        <w:tc>
          <w:tcPr>
            <w:tcW w:w="1134" w:type="dxa"/>
            <w:shd w:val="clear" w:color="auto" w:fill="auto"/>
            <w:vAlign w:val="center"/>
            <w:hideMark/>
          </w:tcPr>
          <w:p w14:paraId="663BC052" w14:textId="77777777" w:rsidR="00EE7F09" w:rsidRPr="000C3349" w:rsidRDefault="00EE7F09" w:rsidP="00EE7F09">
            <w:pPr>
              <w:spacing w:after="0" w:line="240" w:lineRule="auto"/>
              <w:jc w:val="center"/>
              <w:rPr>
                <w:rFonts w:eastAsia="Times New Roman"/>
                <w:sz w:val="18"/>
                <w:szCs w:val="18"/>
                <w:lang w:eastAsia="en-AU"/>
              </w:rPr>
            </w:pPr>
          </w:p>
        </w:tc>
      </w:tr>
      <w:tr w:rsidR="00EE7F09" w:rsidRPr="009E2BD1" w14:paraId="0B1A5411"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536403A8"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Australian smelt</w:t>
            </w:r>
          </w:p>
        </w:tc>
        <w:tc>
          <w:tcPr>
            <w:tcW w:w="835" w:type="dxa"/>
            <w:tcBorders>
              <w:left w:val="single" w:sz="24" w:space="0" w:color="FFFFFF" w:themeColor="background1"/>
            </w:tcBorders>
            <w:shd w:val="clear" w:color="auto" w:fill="auto"/>
            <w:noWrap/>
            <w:vAlign w:val="bottom"/>
          </w:tcPr>
          <w:p w14:paraId="3EED1794"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72</w:t>
            </w:r>
          </w:p>
        </w:tc>
        <w:tc>
          <w:tcPr>
            <w:tcW w:w="834" w:type="dxa"/>
            <w:tcBorders>
              <w:right w:val="single" w:sz="24" w:space="0" w:color="FFFFFF" w:themeColor="background1"/>
            </w:tcBorders>
            <w:shd w:val="clear" w:color="auto" w:fill="auto"/>
            <w:vAlign w:val="bottom"/>
          </w:tcPr>
          <w:p w14:paraId="28AE508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4254E52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w:t>
            </w:r>
          </w:p>
        </w:tc>
        <w:tc>
          <w:tcPr>
            <w:tcW w:w="765" w:type="dxa"/>
            <w:tcBorders>
              <w:right w:val="single" w:sz="24" w:space="0" w:color="FFFFFF" w:themeColor="background1"/>
            </w:tcBorders>
            <w:shd w:val="clear" w:color="auto" w:fill="auto"/>
            <w:vAlign w:val="bottom"/>
          </w:tcPr>
          <w:p w14:paraId="4DE7B7EC"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8</w:t>
            </w:r>
            <w:r w:rsidRPr="00921137">
              <w:rPr>
                <w:rFonts w:eastAsia="Times New Roman"/>
                <w:color w:val="000000"/>
                <w:sz w:val="18"/>
                <w:szCs w:val="18"/>
                <w:vertAlign w:val="subscript"/>
                <w:lang w:eastAsia="en-AU"/>
              </w:rPr>
              <w:t>e</w:t>
            </w:r>
          </w:p>
        </w:tc>
        <w:tc>
          <w:tcPr>
            <w:tcW w:w="851" w:type="dxa"/>
            <w:tcBorders>
              <w:left w:val="single" w:sz="24" w:space="0" w:color="FFFFFF" w:themeColor="background1"/>
            </w:tcBorders>
            <w:shd w:val="clear" w:color="auto" w:fill="auto"/>
            <w:vAlign w:val="bottom"/>
          </w:tcPr>
          <w:p w14:paraId="4D87BFC3"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96</w:t>
            </w:r>
          </w:p>
        </w:tc>
        <w:tc>
          <w:tcPr>
            <w:tcW w:w="851" w:type="dxa"/>
            <w:tcBorders>
              <w:right w:val="single" w:sz="24" w:space="0" w:color="FFFFFF" w:themeColor="background1"/>
            </w:tcBorders>
            <w:shd w:val="clear" w:color="auto" w:fill="auto"/>
            <w:vAlign w:val="bottom"/>
          </w:tcPr>
          <w:p w14:paraId="6BD46C4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4F4C160C"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44</w:t>
            </w:r>
          </w:p>
        </w:tc>
        <w:tc>
          <w:tcPr>
            <w:tcW w:w="803" w:type="dxa"/>
            <w:tcBorders>
              <w:right w:val="single" w:sz="24" w:space="0" w:color="FFFFFF" w:themeColor="background1"/>
            </w:tcBorders>
            <w:shd w:val="clear" w:color="auto" w:fill="auto"/>
            <w:vAlign w:val="bottom"/>
          </w:tcPr>
          <w:p w14:paraId="34F6B43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776D2E85" w14:textId="77777777" w:rsidR="00EE7F09" w:rsidRPr="000C3349" w:rsidRDefault="00EE7F09" w:rsidP="00EE7F09">
            <w:pPr>
              <w:spacing w:after="0" w:line="240" w:lineRule="auto"/>
              <w:ind w:right="170"/>
              <w:jc w:val="right"/>
              <w:rPr>
                <w:rFonts w:eastAsia="Times New Roman"/>
                <w:color w:val="000000"/>
                <w:sz w:val="18"/>
                <w:szCs w:val="18"/>
                <w:lang w:eastAsia="en-AU"/>
              </w:rPr>
            </w:pPr>
            <w:r>
              <w:rPr>
                <w:rFonts w:eastAsia="Times New Roman"/>
                <w:color w:val="000000"/>
                <w:sz w:val="18"/>
                <w:szCs w:val="18"/>
                <w:lang w:eastAsia="en-AU"/>
              </w:rPr>
              <w:t>214</w:t>
            </w:r>
          </w:p>
        </w:tc>
        <w:tc>
          <w:tcPr>
            <w:tcW w:w="1134" w:type="dxa"/>
            <w:shd w:val="clear" w:color="auto" w:fill="auto"/>
            <w:noWrap/>
            <w:vAlign w:val="bottom"/>
          </w:tcPr>
          <w:p w14:paraId="329EA485"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(8</w:t>
            </w:r>
            <w:r w:rsidRPr="00921137">
              <w:rPr>
                <w:rFonts w:eastAsia="Times New Roman"/>
                <w:color w:val="000000"/>
                <w:sz w:val="18"/>
                <w:szCs w:val="18"/>
                <w:vertAlign w:val="subscript"/>
                <w:lang w:eastAsia="en-AU"/>
              </w:rPr>
              <w:t>e</w:t>
            </w:r>
            <w:r w:rsidRPr="00921137">
              <w:rPr>
                <w:rFonts w:eastAsia="Times New Roman"/>
                <w:color w:val="000000"/>
                <w:sz w:val="18"/>
                <w:szCs w:val="18"/>
                <w:lang w:eastAsia="en-AU"/>
              </w:rPr>
              <w:t>)</w:t>
            </w:r>
          </w:p>
        </w:tc>
      </w:tr>
      <w:tr w:rsidR="00EE7F09" w:rsidRPr="009E2BD1" w14:paraId="22DB9906"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0C17CA2C"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carp gudgeon</w:t>
            </w:r>
          </w:p>
        </w:tc>
        <w:tc>
          <w:tcPr>
            <w:tcW w:w="835" w:type="dxa"/>
            <w:tcBorders>
              <w:left w:val="single" w:sz="24" w:space="0" w:color="FFFFFF" w:themeColor="background1"/>
            </w:tcBorders>
            <w:shd w:val="clear" w:color="auto" w:fill="auto"/>
            <w:noWrap/>
            <w:vAlign w:val="bottom"/>
          </w:tcPr>
          <w:p w14:paraId="07B3C41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34</w:t>
            </w:r>
          </w:p>
        </w:tc>
        <w:tc>
          <w:tcPr>
            <w:tcW w:w="834" w:type="dxa"/>
            <w:tcBorders>
              <w:right w:val="single" w:sz="24" w:space="0" w:color="FFFFFF" w:themeColor="background1"/>
            </w:tcBorders>
            <w:shd w:val="clear" w:color="auto" w:fill="auto"/>
            <w:noWrap/>
            <w:vAlign w:val="bottom"/>
          </w:tcPr>
          <w:p w14:paraId="1676727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5912C78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503</w:t>
            </w:r>
          </w:p>
        </w:tc>
        <w:tc>
          <w:tcPr>
            <w:tcW w:w="765" w:type="dxa"/>
            <w:tcBorders>
              <w:right w:val="single" w:sz="24" w:space="0" w:color="FFFFFF" w:themeColor="background1"/>
            </w:tcBorders>
            <w:shd w:val="clear" w:color="auto" w:fill="auto"/>
            <w:vAlign w:val="bottom"/>
          </w:tcPr>
          <w:p w14:paraId="407C6C24"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60</w:t>
            </w:r>
          </w:p>
        </w:tc>
        <w:tc>
          <w:tcPr>
            <w:tcW w:w="851" w:type="dxa"/>
            <w:tcBorders>
              <w:left w:val="single" w:sz="24" w:space="0" w:color="FFFFFF" w:themeColor="background1"/>
            </w:tcBorders>
            <w:shd w:val="clear" w:color="auto" w:fill="auto"/>
            <w:vAlign w:val="bottom"/>
          </w:tcPr>
          <w:p w14:paraId="004D777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1495</w:t>
            </w:r>
          </w:p>
        </w:tc>
        <w:tc>
          <w:tcPr>
            <w:tcW w:w="851" w:type="dxa"/>
            <w:tcBorders>
              <w:right w:val="single" w:sz="24" w:space="0" w:color="FFFFFF" w:themeColor="background1"/>
            </w:tcBorders>
            <w:shd w:val="clear" w:color="auto" w:fill="auto"/>
            <w:noWrap/>
            <w:vAlign w:val="bottom"/>
          </w:tcPr>
          <w:p w14:paraId="36ED20F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4217876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251</w:t>
            </w:r>
          </w:p>
        </w:tc>
        <w:tc>
          <w:tcPr>
            <w:tcW w:w="803" w:type="dxa"/>
            <w:tcBorders>
              <w:right w:val="single" w:sz="24" w:space="0" w:color="FFFFFF" w:themeColor="background1"/>
            </w:tcBorders>
            <w:shd w:val="clear" w:color="auto" w:fill="auto"/>
            <w:noWrap/>
            <w:vAlign w:val="bottom"/>
          </w:tcPr>
          <w:p w14:paraId="1BB2DF4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382B69C0"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2283</w:t>
            </w:r>
          </w:p>
        </w:tc>
        <w:tc>
          <w:tcPr>
            <w:tcW w:w="1134" w:type="dxa"/>
            <w:shd w:val="clear" w:color="auto" w:fill="auto"/>
            <w:noWrap/>
            <w:vAlign w:val="bottom"/>
          </w:tcPr>
          <w:p w14:paraId="7484B9DF"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60</w:t>
            </w:r>
          </w:p>
        </w:tc>
      </w:tr>
      <w:tr w:rsidR="00EE7F09" w:rsidRPr="009E2BD1" w14:paraId="4F99B6BD"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5D8A3C24"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flathead gudgeon</w:t>
            </w:r>
          </w:p>
        </w:tc>
        <w:tc>
          <w:tcPr>
            <w:tcW w:w="835" w:type="dxa"/>
            <w:tcBorders>
              <w:left w:val="single" w:sz="24" w:space="0" w:color="FFFFFF" w:themeColor="background1"/>
            </w:tcBorders>
            <w:shd w:val="clear" w:color="auto" w:fill="auto"/>
            <w:noWrap/>
            <w:vAlign w:val="bottom"/>
          </w:tcPr>
          <w:p w14:paraId="1B321D6D"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6C9FAB1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4473C96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29016C4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36A391B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3C19327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2DB16F5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18</w:t>
            </w:r>
          </w:p>
        </w:tc>
        <w:tc>
          <w:tcPr>
            <w:tcW w:w="803" w:type="dxa"/>
            <w:tcBorders>
              <w:right w:val="single" w:sz="24" w:space="0" w:color="FFFFFF" w:themeColor="background1"/>
            </w:tcBorders>
            <w:shd w:val="clear" w:color="auto" w:fill="auto"/>
            <w:noWrap/>
            <w:vAlign w:val="bottom"/>
          </w:tcPr>
          <w:p w14:paraId="0B096FB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040EA249" w14:textId="77777777" w:rsidR="00EE7F09" w:rsidRPr="000C3349" w:rsidRDefault="00EE7F09" w:rsidP="00EE7F09">
            <w:pPr>
              <w:spacing w:after="0" w:line="240" w:lineRule="auto"/>
              <w:ind w:right="170"/>
              <w:jc w:val="right"/>
              <w:rPr>
                <w:rFonts w:eastAsia="Times New Roman"/>
                <w:color w:val="000000"/>
                <w:sz w:val="18"/>
                <w:szCs w:val="18"/>
                <w:lang w:eastAsia="en-AU"/>
              </w:rPr>
            </w:pPr>
            <w:r>
              <w:rPr>
                <w:rFonts w:eastAsia="Times New Roman"/>
                <w:color w:val="000000"/>
                <w:sz w:val="18"/>
                <w:szCs w:val="18"/>
                <w:lang w:eastAsia="en-AU"/>
              </w:rPr>
              <w:t>18</w:t>
            </w:r>
          </w:p>
        </w:tc>
        <w:tc>
          <w:tcPr>
            <w:tcW w:w="1134" w:type="dxa"/>
            <w:shd w:val="clear" w:color="auto" w:fill="auto"/>
            <w:noWrap/>
            <w:vAlign w:val="bottom"/>
          </w:tcPr>
          <w:p w14:paraId="40747AD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4A8A6912" w14:textId="77777777" w:rsidTr="00EE7F09">
        <w:trPr>
          <w:trHeight w:val="300"/>
          <w:jc w:val="center"/>
        </w:trPr>
        <w:tc>
          <w:tcPr>
            <w:tcW w:w="2689" w:type="dxa"/>
            <w:tcBorders>
              <w:right w:val="single" w:sz="24" w:space="0" w:color="FFFFFF" w:themeColor="background1"/>
            </w:tcBorders>
            <w:shd w:val="clear" w:color="auto" w:fill="auto"/>
            <w:noWrap/>
            <w:vAlign w:val="bottom"/>
          </w:tcPr>
          <w:p w14:paraId="57045DAE"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dwarf flathead gudgeon*</w:t>
            </w:r>
          </w:p>
        </w:tc>
        <w:tc>
          <w:tcPr>
            <w:tcW w:w="835" w:type="dxa"/>
            <w:tcBorders>
              <w:left w:val="single" w:sz="24" w:space="0" w:color="FFFFFF" w:themeColor="background1"/>
            </w:tcBorders>
            <w:shd w:val="clear" w:color="auto" w:fill="auto"/>
            <w:noWrap/>
            <w:vAlign w:val="bottom"/>
          </w:tcPr>
          <w:p w14:paraId="5D8AC11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2F1D6F6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1746E40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15A5FFA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1C4DD58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7106764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1FF4B63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09FF6B2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26BF2EE2"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noWrap/>
            <w:vAlign w:val="bottom"/>
          </w:tcPr>
          <w:p w14:paraId="0F765AE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225397AE"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3AEDBBDE"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unspecked hardyhead</w:t>
            </w:r>
          </w:p>
        </w:tc>
        <w:tc>
          <w:tcPr>
            <w:tcW w:w="835" w:type="dxa"/>
            <w:tcBorders>
              <w:left w:val="single" w:sz="24" w:space="0" w:color="FFFFFF" w:themeColor="background1"/>
            </w:tcBorders>
            <w:shd w:val="clear" w:color="auto" w:fill="auto"/>
            <w:noWrap/>
            <w:vAlign w:val="bottom"/>
          </w:tcPr>
          <w:p w14:paraId="4D4D15C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214A57B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3C1456E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7355ED8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4286FEB5"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w:t>
            </w:r>
          </w:p>
        </w:tc>
        <w:tc>
          <w:tcPr>
            <w:tcW w:w="851" w:type="dxa"/>
            <w:tcBorders>
              <w:right w:val="single" w:sz="24" w:space="0" w:color="FFFFFF" w:themeColor="background1"/>
            </w:tcBorders>
            <w:shd w:val="clear" w:color="auto" w:fill="auto"/>
            <w:vAlign w:val="bottom"/>
          </w:tcPr>
          <w:p w14:paraId="4FE6407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4F44FA5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2444A9E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7936FC00"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1</w:t>
            </w:r>
          </w:p>
        </w:tc>
        <w:tc>
          <w:tcPr>
            <w:tcW w:w="1134" w:type="dxa"/>
            <w:shd w:val="clear" w:color="auto" w:fill="auto"/>
            <w:noWrap/>
            <w:vAlign w:val="bottom"/>
          </w:tcPr>
          <w:p w14:paraId="4D6E7A3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5375DD55" w14:textId="77777777" w:rsidTr="00EE7F09">
        <w:trPr>
          <w:trHeight w:val="357"/>
          <w:jc w:val="center"/>
        </w:trPr>
        <w:tc>
          <w:tcPr>
            <w:tcW w:w="2689" w:type="dxa"/>
            <w:tcBorders>
              <w:right w:val="single" w:sz="24" w:space="0" w:color="FFFFFF" w:themeColor="background1"/>
            </w:tcBorders>
            <w:shd w:val="clear" w:color="auto" w:fill="auto"/>
            <w:noWrap/>
            <w:vAlign w:val="bottom"/>
            <w:hideMark/>
          </w:tcPr>
          <w:p w14:paraId="7BEE9FCF"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Murray River rainbowfish</w:t>
            </w:r>
          </w:p>
        </w:tc>
        <w:tc>
          <w:tcPr>
            <w:tcW w:w="835" w:type="dxa"/>
            <w:tcBorders>
              <w:left w:val="single" w:sz="24" w:space="0" w:color="FFFFFF" w:themeColor="background1"/>
            </w:tcBorders>
            <w:shd w:val="clear" w:color="auto" w:fill="auto"/>
            <w:noWrap/>
            <w:vAlign w:val="bottom"/>
          </w:tcPr>
          <w:p w14:paraId="0C75D1D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1F0018D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61C6EED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27C5810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5EF4AC7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6B89E5F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244720A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57BD435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12CC7CA7"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49D6E0A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118FDB9F"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6BB8DE38"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obscure galaxias</w:t>
            </w:r>
          </w:p>
        </w:tc>
        <w:tc>
          <w:tcPr>
            <w:tcW w:w="835" w:type="dxa"/>
            <w:tcBorders>
              <w:left w:val="single" w:sz="24" w:space="0" w:color="FFFFFF" w:themeColor="background1"/>
            </w:tcBorders>
            <w:shd w:val="clear" w:color="auto" w:fill="auto"/>
            <w:noWrap/>
            <w:vAlign w:val="bottom"/>
          </w:tcPr>
          <w:p w14:paraId="2E31EA1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w:t>
            </w:r>
          </w:p>
        </w:tc>
        <w:tc>
          <w:tcPr>
            <w:tcW w:w="834" w:type="dxa"/>
            <w:tcBorders>
              <w:right w:val="single" w:sz="24" w:space="0" w:color="FFFFFF" w:themeColor="background1"/>
            </w:tcBorders>
            <w:shd w:val="clear" w:color="auto" w:fill="auto"/>
            <w:vAlign w:val="bottom"/>
          </w:tcPr>
          <w:p w14:paraId="4BEEC6A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2248D5E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5F41FC5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017998A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30E10CD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w:t>
            </w:r>
          </w:p>
        </w:tc>
        <w:tc>
          <w:tcPr>
            <w:tcW w:w="898" w:type="dxa"/>
            <w:tcBorders>
              <w:left w:val="single" w:sz="24" w:space="0" w:color="FFFFFF" w:themeColor="background1"/>
            </w:tcBorders>
            <w:shd w:val="clear" w:color="auto" w:fill="auto"/>
            <w:vAlign w:val="bottom"/>
          </w:tcPr>
          <w:p w14:paraId="44B752D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47F24EF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35CD6E0B"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2</w:t>
            </w:r>
          </w:p>
        </w:tc>
        <w:tc>
          <w:tcPr>
            <w:tcW w:w="1134" w:type="dxa"/>
            <w:shd w:val="clear" w:color="auto" w:fill="auto"/>
            <w:noWrap/>
            <w:vAlign w:val="bottom"/>
          </w:tcPr>
          <w:p w14:paraId="25037AE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w:t>
            </w:r>
          </w:p>
        </w:tc>
      </w:tr>
      <w:tr w:rsidR="00EE7F09" w:rsidRPr="009E2BD1" w14:paraId="7AA37881"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56E93076"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bony herring</w:t>
            </w:r>
          </w:p>
        </w:tc>
        <w:tc>
          <w:tcPr>
            <w:tcW w:w="835" w:type="dxa"/>
            <w:tcBorders>
              <w:left w:val="single" w:sz="24" w:space="0" w:color="FFFFFF" w:themeColor="background1"/>
            </w:tcBorders>
            <w:shd w:val="clear" w:color="auto" w:fill="auto"/>
            <w:noWrap/>
            <w:vAlign w:val="bottom"/>
          </w:tcPr>
          <w:p w14:paraId="4AF5069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3509D18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54B6F9C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0A9874A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15BFD0B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w:t>
            </w:r>
          </w:p>
        </w:tc>
        <w:tc>
          <w:tcPr>
            <w:tcW w:w="851" w:type="dxa"/>
            <w:tcBorders>
              <w:right w:val="single" w:sz="24" w:space="0" w:color="FFFFFF" w:themeColor="background1"/>
            </w:tcBorders>
            <w:shd w:val="clear" w:color="auto" w:fill="auto"/>
            <w:vAlign w:val="bottom"/>
          </w:tcPr>
          <w:p w14:paraId="7AB77A4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6BDA3E7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9</w:t>
            </w:r>
          </w:p>
        </w:tc>
        <w:tc>
          <w:tcPr>
            <w:tcW w:w="803" w:type="dxa"/>
            <w:tcBorders>
              <w:right w:val="single" w:sz="24" w:space="0" w:color="FFFFFF" w:themeColor="background1"/>
            </w:tcBorders>
            <w:shd w:val="clear" w:color="auto" w:fill="auto"/>
            <w:vAlign w:val="bottom"/>
          </w:tcPr>
          <w:p w14:paraId="2E9C662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4108B6AC"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11</w:t>
            </w:r>
          </w:p>
        </w:tc>
        <w:tc>
          <w:tcPr>
            <w:tcW w:w="1134" w:type="dxa"/>
            <w:shd w:val="clear" w:color="auto" w:fill="auto"/>
            <w:vAlign w:val="bottom"/>
          </w:tcPr>
          <w:p w14:paraId="0654B4A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378C3E38"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6C52E725"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 xml:space="preserve">silver perch </w:t>
            </w:r>
          </w:p>
        </w:tc>
        <w:tc>
          <w:tcPr>
            <w:tcW w:w="835" w:type="dxa"/>
            <w:tcBorders>
              <w:left w:val="single" w:sz="24" w:space="0" w:color="FFFFFF" w:themeColor="background1"/>
            </w:tcBorders>
            <w:shd w:val="clear" w:color="auto" w:fill="auto"/>
            <w:noWrap/>
            <w:vAlign w:val="bottom"/>
          </w:tcPr>
          <w:p w14:paraId="437A611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48EA8EE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697A44C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12ADA452"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2A85945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61988A1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33F5C4C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768B0A3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4F14C157"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6A4A181F"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w:t>
            </w:r>
          </w:p>
        </w:tc>
      </w:tr>
      <w:tr w:rsidR="00EE7F09" w:rsidRPr="009E2BD1" w14:paraId="1082519D"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1A3BC5D5"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golden perch</w:t>
            </w:r>
          </w:p>
        </w:tc>
        <w:tc>
          <w:tcPr>
            <w:tcW w:w="835" w:type="dxa"/>
            <w:tcBorders>
              <w:left w:val="single" w:sz="24" w:space="0" w:color="FFFFFF" w:themeColor="background1"/>
            </w:tcBorders>
            <w:shd w:val="clear" w:color="auto" w:fill="auto"/>
            <w:noWrap/>
            <w:vAlign w:val="bottom"/>
          </w:tcPr>
          <w:p w14:paraId="02214DE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52B6625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39E8ACF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2E40FB3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0DF150C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7DB3E0A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78BED0D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4B5DD3E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6996B64E"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55DCBE6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11B4AD34" w14:textId="77777777" w:rsidTr="00EE7F09">
        <w:trPr>
          <w:trHeight w:val="300"/>
          <w:jc w:val="center"/>
        </w:trPr>
        <w:tc>
          <w:tcPr>
            <w:tcW w:w="2689" w:type="dxa"/>
            <w:tcBorders>
              <w:right w:val="single" w:sz="24" w:space="0" w:color="FFFFFF" w:themeColor="background1"/>
            </w:tcBorders>
            <w:shd w:val="clear" w:color="auto" w:fill="auto"/>
            <w:noWrap/>
            <w:vAlign w:val="bottom"/>
          </w:tcPr>
          <w:p w14:paraId="7281AABB"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freshwater catfish</w:t>
            </w:r>
          </w:p>
        </w:tc>
        <w:tc>
          <w:tcPr>
            <w:tcW w:w="835" w:type="dxa"/>
            <w:tcBorders>
              <w:left w:val="single" w:sz="24" w:space="0" w:color="FFFFFF" w:themeColor="background1"/>
            </w:tcBorders>
            <w:shd w:val="clear" w:color="auto" w:fill="auto"/>
            <w:noWrap/>
            <w:vAlign w:val="bottom"/>
          </w:tcPr>
          <w:p w14:paraId="737FB8B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05DD931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206131D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4BC13C4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4F32345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540F424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686D7E1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4B8C422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5ED3AD29"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79A6DE8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7FB6FED5"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5B655F9B"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river blackfish</w:t>
            </w:r>
          </w:p>
        </w:tc>
        <w:tc>
          <w:tcPr>
            <w:tcW w:w="835" w:type="dxa"/>
            <w:tcBorders>
              <w:left w:val="single" w:sz="24" w:space="0" w:color="FFFFFF" w:themeColor="background1"/>
            </w:tcBorders>
            <w:shd w:val="clear" w:color="auto" w:fill="auto"/>
            <w:noWrap/>
            <w:vAlign w:val="bottom"/>
          </w:tcPr>
          <w:p w14:paraId="5B11B49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514A0BA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20ADD6B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4</w:t>
            </w:r>
          </w:p>
        </w:tc>
        <w:tc>
          <w:tcPr>
            <w:tcW w:w="765" w:type="dxa"/>
            <w:tcBorders>
              <w:right w:val="single" w:sz="24" w:space="0" w:color="FFFFFF" w:themeColor="background1"/>
            </w:tcBorders>
            <w:shd w:val="clear" w:color="auto" w:fill="auto"/>
            <w:vAlign w:val="bottom"/>
          </w:tcPr>
          <w:p w14:paraId="4813FF0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4</w:t>
            </w:r>
          </w:p>
        </w:tc>
        <w:tc>
          <w:tcPr>
            <w:tcW w:w="851" w:type="dxa"/>
            <w:tcBorders>
              <w:left w:val="single" w:sz="24" w:space="0" w:color="FFFFFF" w:themeColor="background1"/>
            </w:tcBorders>
            <w:shd w:val="clear" w:color="auto" w:fill="auto"/>
            <w:vAlign w:val="bottom"/>
          </w:tcPr>
          <w:p w14:paraId="422B9EB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w:t>
            </w:r>
          </w:p>
        </w:tc>
        <w:tc>
          <w:tcPr>
            <w:tcW w:w="851" w:type="dxa"/>
            <w:tcBorders>
              <w:right w:val="single" w:sz="24" w:space="0" w:color="FFFFFF" w:themeColor="background1"/>
            </w:tcBorders>
            <w:shd w:val="clear" w:color="auto" w:fill="auto"/>
            <w:vAlign w:val="bottom"/>
          </w:tcPr>
          <w:p w14:paraId="1E75816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1CF2A7A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2416C44E"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1875A9DF"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5</w:t>
            </w:r>
          </w:p>
        </w:tc>
        <w:tc>
          <w:tcPr>
            <w:tcW w:w="1134" w:type="dxa"/>
            <w:shd w:val="clear" w:color="auto" w:fill="auto"/>
            <w:vAlign w:val="bottom"/>
          </w:tcPr>
          <w:p w14:paraId="7502991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4</w:t>
            </w:r>
          </w:p>
        </w:tc>
      </w:tr>
      <w:tr w:rsidR="00EE7F09" w:rsidRPr="009E2BD1" w14:paraId="5746FAC6"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2A5B33AE"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Murray cod</w:t>
            </w:r>
          </w:p>
        </w:tc>
        <w:tc>
          <w:tcPr>
            <w:tcW w:w="835" w:type="dxa"/>
            <w:tcBorders>
              <w:left w:val="single" w:sz="24" w:space="0" w:color="FFFFFF" w:themeColor="background1"/>
            </w:tcBorders>
            <w:shd w:val="clear" w:color="auto" w:fill="auto"/>
            <w:noWrap/>
            <w:vAlign w:val="bottom"/>
          </w:tcPr>
          <w:p w14:paraId="07DA6F4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25</w:t>
            </w:r>
          </w:p>
        </w:tc>
        <w:tc>
          <w:tcPr>
            <w:tcW w:w="834" w:type="dxa"/>
            <w:tcBorders>
              <w:right w:val="single" w:sz="24" w:space="0" w:color="FFFFFF" w:themeColor="background1"/>
            </w:tcBorders>
            <w:shd w:val="clear" w:color="auto" w:fill="auto"/>
            <w:noWrap/>
            <w:vAlign w:val="bottom"/>
          </w:tcPr>
          <w:p w14:paraId="61EAF0AB"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2 +</w:t>
            </w:r>
            <w:r w:rsidRPr="000C3349">
              <w:rPr>
                <w:rFonts w:eastAsia="Times New Roman"/>
                <w:color w:val="000000"/>
                <w:sz w:val="18"/>
                <w:szCs w:val="18"/>
                <w:lang w:eastAsia="en-AU"/>
              </w:rPr>
              <w:t>2</w:t>
            </w:r>
            <w:r w:rsidRPr="00921137">
              <w:rPr>
                <w:rFonts w:eastAsia="Times New Roman"/>
                <w:color w:val="000000"/>
                <w:sz w:val="18"/>
                <w:szCs w:val="18"/>
                <w:vertAlign w:val="subscript"/>
                <w:lang w:eastAsia="en-AU"/>
              </w:rPr>
              <w:t>e</w:t>
            </w:r>
          </w:p>
        </w:tc>
        <w:tc>
          <w:tcPr>
            <w:tcW w:w="840" w:type="dxa"/>
            <w:tcBorders>
              <w:left w:val="single" w:sz="24" w:space="0" w:color="FFFFFF" w:themeColor="background1"/>
            </w:tcBorders>
            <w:shd w:val="clear" w:color="auto" w:fill="auto"/>
            <w:vAlign w:val="bottom"/>
          </w:tcPr>
          <w:p w14:paraId="0D1FCB15"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117</w:t>
            </w:r>
          </w:p>
        </w:tc>
        <w:tc>
          <w:tcPr>
            <w:tcW w:w="765" w:type="dxa"/>
            <w:tcBorders>
              <w:right w:val="single" w:sz="24" w:space="0" w:color="FFFFFF" w:themeColor="background1"/>
            </w:tcBorders>
            <w:shd w:val="clear" w:color="auto" w:fill="auto"/>
            <w:noWrap/>
            <w:vAlign w:val="bottom"/>
          </w:tcPr>
          <w:p w14:paraId="17BE9AE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231</w:t>
            </w:r>
          </w:p>
        </w:tc>
        <w:tc>
          <w:tcPr>
            <w:tcW w:w="851" w:type="dxa"/>
            <w:tcBorders>
              <w:left w:val="single" w:sz="24" w:space="0" w:color="FFFFFF" w:themeColor="background1"/>
            </w:tcBorders>
            <w:shd w:val="clear" w:color="auto" w:fill="auto"/>
            <w:vAlign w:val="bottom"/>
          </w:tcPr>
          <w:p w14:paraId="064870B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56</w:t>
            </w:r>
          </w:p>
        </w:tc>
        <w:tc>
          <w:tcPr>
            <w:tcW w:w="851" w:type="dxa"/>
            <w:tcBorders>
              <w:right w:val="single" w:sz="24" w:space="0" w:color="FFFFFF" w:themeColor="background1"/>
            </w:tcBorders>
            <w:shd w:val="clear" w:color="auto" w:fill="auto"/>
            <w:noWrap/>
            <w:vAlign w:val="bottom"/>
          </w:tcPr>
          <w:p w14:paraId="24183708"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5003E3A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8</w:t>
            </w:r>
          </w:p>
        </w:tc>
        <w:tc>
          <w:tcPr>
            <w:tcW w:w="803" w:type="dxa"/>
            <w:tcBorders>
              <w:right w:val="single" w:sz="24" w:space="0" w:color="FFFFFF" w:themeColor="background1"/>
            </w:tcBorders>
            <w:shd w:val="clear" w:color="auto" w:fill="auto"/>
            <w:noWrap/>
            <w:vAlign w:val="bottom"/>
          </w:tcPr>
          <w:p w14:paraId="40407A65"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1</w:t>
            </w:r>
          </w:p>
        </w:tc>
        <w:tc>
          <w:tcPr>
            <w:tcW w:w="982" w:type="dxa"/>
            <w:tcBorders>
              <w:left w:val="single" w:sz="24" w:space="0" w:color="FFFFFF" w:themeColor="background1"/>
            </w:tcBorders>
            <w:shd w:val="clear" w:color="auto" w:fill="auto"/>
            <w:vAlign w:val="bottom"/>
          </w:tcPr>
          <w:p w14:paraId="04A4458B"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206</w:t>
            </w:r>
          </w:p>
        </w:tc>
        <w:tc>
          <w:tcPr>
            <w:tcW w:w="1134" w:type="dxa"/>
            <w:shd w:val="clear" w:color="auto" w:fill="auto"/>
            <w:noWrap/>
            <w:vAlign w:val="bottom"/>
          </w:tcPr>
          <w:p w14:paraId="2D0C989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234</w:t>
            </w:r>
            <w:r>
              <w:rPr>
                <w:rFonts w:eastAsia="Times New Roman"/>
                <w:color w:val="000000"/>
                <w:sz w:val="18"/>
                <w:szCs w:val="18"/>
                <w:lang w:eastAsia="en-AU"/>
              </w:rPr>
              <w:t xml:space="preserve"> (2</w:t>
            </w:r>
            <w:r w:rsidRPr="00921137">
              <w:rPr>
                <w:rFonts w:eastAsia="Times New Roman"/>
                <w:color w:val="000000"/>
                <w:sz w:val="18"/>
                <w:szCs w:val="18"/>
                <w:vertAlign w:val="subscript"/>
                <w:lang w:eastAsia="en-AU"/>
              </w:rPr>
              <w:t>e</w:t>
            </w:r>
            <w:r w:rsidRPr="00921137">
              <w:rPr>
                <w:rFonts w:eastAsia="Times New Roman"/>
                <w:color w:val="000000"/>
                <w:sz w:val="18"/>
                <w:szCs w:val="18"/>
                <w:lang w:eastAsia="en-AU"/>
              </w:rPr>
              <w:t>)</w:t>
            </w:r>
          </w:p>
        </w:tc>
      </w:tr>
      <w:tr w:rsidR="00EE7F09" w:rsidRPr="009E2BD1" w14:paraId="26858452" w14:textId="77777777" w:rsidTr="00EE7F09">
        <w:trPr>
          <w:trHeight w:val="443"/>
          <w:jc w:val="center"/>
        </w:trPr>
        <w:tc>
          <w:tcPr>
            <w:tcW w:w="2689" w:type="dxa"/>
            <w:tcBorders>
              <w:right w:val="single" w:sz="24" w:space="0" w:color="FFFFFF" w:themeColor="background1"/>
            </w:tcBorders>
            <w:shd w:val="clear" w:color="auto" w:fill="auto"/>
            <w:noWrap/>
            <w:vAlign w:val="bottom"/>
            <w:hideMark/>
          </w:tcPr>
          <w:p w14:paraId="590F6BEC" w14:textId="77777777" w:rsidR="00EE7F09" w:rsidRPr="000C3349" w:rsidRDefault="00EE7F09" w:rsidP="00EE7F09">
            <w:pPr>
              <w:spacing w:after="0" w:line="240" w:lineRule="auto"/>
              <w:rPr>
                <w:rFonts w:eastAsia="Times New Roman"/>
                <w:b/>
                <w:i/>
                <w:iCs/>
                <w:color w:val="000000"/>
                <w:sz w:val="18"/>
                <w:szCs w:val="18"/>
                <w:lang w:eastAsia="en-AU"/>
              </w:rPr>
            </w:pPr>
            <w:r w:rsidRPr="000C3349">
              <w:rPr>
                <w:rFonts w:eastAsia="Times New Roman"/>
                <w:b/>
                <w:i/>
                <w:iCs/>
                <w:sz w:val="18"/>
                <w:szCs w:val="18"/>
                <w:lang w:eastAsia="en-AU"/>
              </w:rPr>
              <w:t>Introduced</w:t>
            </w:r>
          </w:p>
        </w:tc>
        <w:tc>
          <w:tcPr>
            <w:tcW w:w="835" w:type="dxa"/>
            <w:tcBorders>
              <w:left w:val="single" w:sz="24" w:space="0" w:color="FFFFFF" w:themeColor="background1"/>
            </w:tcBorders>
            <w:shd w:val="clear" w:color="auto" w:fill="auto"/>
            <w:noWrap/>
            <w:vAlign w:val="bottom"/>
          </w:tcPr>
          <w:p w14:paraId="3FAC2F73" w14:textId="77777777" w:rsidR="00EE7F09" w:rsidRPr="000C3349" w:rsidRDefault="00EE7F09" w:rsidP="00EE7F09">
            <w:pPr>
              <w:spacing w:after="0" w:line="240" w:lineRule="auto"/>
              <w:ind w:right="227"/>
              <w:jc w:val="right"/>
              <w:rPr>
                <w:rFonts w:eastAsia="Times New Roman"/>
                <w:i/>
                <w:iCs/>
                <w:color w:val="000000"/>
                <w:sz w:val="18"/>
                <w:szCs w:val="18"/>
                <w:lang w:eastAsia="en-AU"/>
              </w:rPr>
            </w:pPr>
          </w:p>
        </w:tc>
        <w:tc>
          <w:tcPr>
            <w:tcW w:w="834" w:type="dxa"/>
            <w:tcBorders>
              <w:right w:val="single" w:sz="24" w:space="0" w:color="FFFFFF" w:themeColor="background1"/>
            </w:tcBorders>
            <w:shd w:val="clear" w:color="auto" w:fill="auto"/>
            <w:vAlign w:val="bottom"/>
          </w:tcPr>
          <w:p w14:paraId="4BA52C23" w14:textId="77777777" w:rsidR="00EE7F09" w:rsidRPr="000C3349" w:rsidRDefault="00EE7F09" w:rsidP="00EE7F09">
            <w:pPr>
              <w:spacing w:after="0" w:line="240" w:lineRule="auto"/>
              <w:ind w:right="227"/>
              <w:jc w:val="right"/>
              <w:rPr>
                <w:rFonts w:eastAsia="Times New Roman"/>
                <w:sz w:val="18"/>
                <w:szCs w:val="18"/>
                <w:lang w:eastAsia="en-AU"/>
              </w:rPr>
            </w:pPr>
          </w:p>
        </w:tc>
        <w:tc>
          <w:tcPr>
            <w:tcW w:w="840" w:type="dxa"/>
            <w:tcBorders>
              <w:left w:val="single" w:sz="24" w:space="0" w:color="FFFFFF" w:themeColor="background1"/>
            </w:tcBorders>
            <w:shd w:val="clear" w:color="auto" w:fill="auto"/>
            <w:vAlign w:val="bottom"/>
          </w:tcPr>
          <w:p w14:paraId="1A9B20FF" w14:textId="77777777" w:rsidR="00EE7F09" w:rsidRPr="000C3349" w:rsidRDefault="00EE7F09" w:rsidP="00EE7F09">
            <w:pPr>
              <w:spacing w:after="0" w:line="240" w:lineRule="auto"/>
              <w:ind w:right="227"/>
              <w:jc w:val="right"/>
              <w:rPr>
                <w:rFonts w:eastAsia="Times New Roman"/>
                <w:sz w:val="18"/>
                <w:szCs w:val="18"/>
                <w:lang w:eastAsia="en-AU"/>
              </w:rPr>
            </w:pPr>
          </w:p>
        </w:tc>
        <w:tc>
          <w:tcPr>
            <w:tcW w:w="765" w:type="dxa"/>
            <w:tcBorders>
              <w:right w:val="single" w:sz="24" w:space="0" w:color="FFFFFF" w:themeColor="background1"/>
            </w:tcBorders>
            <w:shd w:val="clear" w:color="auto" w:fill="auto"/>
            <w:vAlign w:val="bottom"/>
          </w:tcPr>
          <w:p w14:paraId="4C4D87CA" w14:textId="77777777" w:rsidR="00EE7F09" w:rsidRPr="000C3349" w:rsidRDefault="00EE7F09" w:rsidP="00EE7F09">
            <w:pPr>
              <w:spacing w:after="0" w:line="240" w:lineRule="auto"/>
              <w:ind w:right="227"/>
              <w:jc w:val="right"/>
              <w:rPr>
                <w:rFonts w:eastAsia="Times New Roman"/>
                <w:sz w:val="18"/>
                <w:szCs w:val="18"/>
                <w:lang w:eastAsia="en-AU"/>
              </w:rPr>
            </w:pPr>
          </w:p>
        </w:tc>
        <w:tc>
          <w:tcPr>
            <w:tcW w:w="851" w:type="dxa"/>
            <w:tcBorders>
              <w:left w:val="single" w:sz="24" w:space="0" w:color="FFFFFF" w:themeColor="background1"/>
            </w:tcBorders>
            <w:shd w:val="clear" w:color="auto" w:fill="auto"/>
            <w:vAlign w:val="bottom"/>
          </w:tcPr>
          <w:p w14:paraId="555F3037" w14:textId="77777777" w:rsidR="00EE7F09" w:rsidRPr="000C3349" w:rsidRDefault="00EE7F09" w:rsidP="00EE7F09">
            <w:pPr>
              <w:spacing w:after="0" w:line="240" w:lineRule="auto"/>
              <w:ind w:right="227"/>
              <w:jc w:val="right"/>
              <w:rPr>
                <w:rFonts w:eastAsia="Times New Roman"/>
                <w:sz w:val="18"/>
                <w:szCs w:val="18"/>
                <w:lang w:eastAsia="en-AU"/>
              </w:rPr>
            </w:pPr>
          </w:p>
        </w:tc>
        <w:tc>
          <w:tcPr>
            <w:tcW w:w="851" w:type="dxa"/>
            <w:tcBorders>
              <w:right w:val="single" w:sz="24" w:space="0" w:color="FFFFFF" w:themeColor="background1"/>
            </w:tcBorders>
            <w:shd w:val="clear" w:color="auto" w:fill="auto"/>
            <w:vAlign w:val="bottom"/>
          </w:tcPr>
          <w:p w14:paraId="3FC99408" w14:textId="77777777" w:rsidR="00EE7F09" w:rsidRPr="000C3349" w:rsidRDefault="00EE7F09" w:rsidP="00EE7F09">
            <w:pPr>
              <w:spacing w:after="0" w:line="240" w:lineRule="auto"/>
              <w:ind w:right="227"/>
              <w:jc w:val="right"/>
              <w:rPr>
                <w:rFonts w:eastAsia="Times New Roman"/>
                <w:sz w:val="18"/>
                <w:szCs w:val="18"/>
                <w:lang w:eastAsia="en-AU"/>
              </w:rPr>
            </w:pPr>
          </w:p>
        </w:tc>
        <w:tc>
          <w:tcPr>
            <w:tcW w:w="898" w:type="dxa"/>
            <w:tcBorders>
              <w:left w:val="single" w:sz="24" w:space="0" w:color="FFFFFF" w:themeColor="background1"/>
            </w:tcBorders>
            <w:shd w:val="clear" w:color="auto" w:fill="auto"/>
            <w:vAlign w:val="bottom"/>
          </w:tcPr>
          <w:p w14:paraId="3340DFE2" w14:textId="77777777" w:rsidR="00EE7F09" w:rsidRPr="000C3349" w:rsidRDefault="00EE7F09" w:rsidP="00EE7F09">
            <w:pPr>
              <w:spacing w:after="0" w:line="240" w:lineRule="auto"/>
              <w:ind w:right="227"/>
              <w:jc w:val="right"/>
              <w:rPr>
                <w:rFonts w:eastAsia="Times New Roman"/>
                <w:sz w:val="18"/>
                <w:szCs w:val="18"/>
                <w:lang w:eastAsia="en-AU"/>
              </w:rPr>
            </w:pPr>
          </w:p>
        </w:tc>
        <w:tc>
          <w:tcPr>
            <w:tcW w:w="803" w:type="dxa"/>
            <w:tcBorders>
              <w:right w:val="single" w:sz="24" w:space="0" w:color="FFFFFF" w:themeColor="background1"/>
            </w:tcBorders>
            <w:shd w:val="clear" w:color="auto" w:fill="auto"/>
            <w:vAlign w:val="bottom"/>
          </w:tcPr>
          <w:p w14:paraId="5AD9A6EF" w14:textId="77777777" w:rsidR="00EE7F09" w:rsidRPr="000C3349" w:rsidRDefault="00EE7F09" w:rsidP="00EE7F09">
            <w:pPr>
              <w:spacing w:after="0" w:line="240" w:lineRule="auto"/>
              <w:ind w:right="227"/>
              <w:jc w:val="right"/>
              <w:rPr>
                <w:rFonts w:eastAsia="Times New Roman"/>
                <w:sz w:val="18"/>
                <w:szCs w:val="18"/>
                <w:lang w:eastAsia="en-AU"/>
              </w:rPr>
            </w:pPr>
          </w:p>
        </w:tc>
        <w:tc>
          <w:tcPr>
            <w:tcW w:w="982" w:type="dxa"/>
            <w:tcBorders>
              <w:left w:val="single" w:sz="24" w:space="0" w:color="FFFFFF" w:themeColor="background1"/>
            </w:tcBorders>
            <w:shd w:val="clear" w:color="auto" w:fill="auto"/>
            <w:vAlign w:val="bottom"/>
          </w:tcPr>
          <w:p w14:paraId="6AE603C0" w14:textId="77777777" w:rsidR="00EE7F09" w:rsidRPr="000C3349" w:rsidRDefault="00EE7F09" w:rsidP="00EE7F09">
            <w:pPr>
              <w:spacing w:after="0" w:line="240" w:lineRule="auto"/>
              <w:ind w:right="170"/>
              <w:jc w:val="right"/>
              <w:rPr>
                <w:rFonts w:eastAsia="Times New Roman"/>
                <w:sz w:val="18"/>
                <w:szCs w:val="18"/>
                <w:lang w:eastAsia="en-AU"/>
              </w:rPr>
            </w:pPr>
          </w:p>
        </w:tc>
        <w:tc>
          <w:tcPr>
            <w:tcW w:w="1134" w:type="dxa"/>
            <w:shd w:val="clear" w:color="auto" w:fill="auto"/>
            <w:noWrap/>
            <w:vAlign w:val="bottom"/>
          </w:tcPr>
          <w:p w14:paraId="152AD04B" w14:textId="77777777" w:rsidR="00EE7F09" w:rsidRPr="000C3349" w:rsidRDefault="00EE7F09" w:rsidP="00EE7F09">
            <w:pPr>
              <w:spacing w:after="0" w:line="240" w:lineRule="auto"/>
              <w:ind w:right="227"/>
              <w:jc w:val="right"/>
              <w:rPr>
                <w:rFonts w:eastAsia="Times New Roman"/>
                <w:sz w:val="18"/>
                <w:szCs w:val="18"/>
                <w:lang w:eastAsia="en-AU"/>
              </w:rPr>
            </w:pPr>
          </w:p>
        </w:tc>
      </w:tr>
      <w:tr w:rsidR="00EE7F09" w:rsidRPr="009E2BD1" w14:paraId="1D314CA1"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6B3204AB"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 xml:space="preserve">gambusia </w:t>
            </w:r>
          </w:p>
        </w:tc>
        <w:tc>
          <w:tcPr>
            <w:tcW w:w="835" w:type="dxa"/>
            <w:tcBorders>
              <w:left w:val="single" w:sz="24" w:space="0" w:color="FFFFFF" w:themeColor="background1"/>
            </w:tcBorders>
            <w:shd w:val="clear" w:color="auto" w:fill="auto"/>
            <w:noWrap/>
            <w:vAlign w:val="bottom"/>
          </w:tcPr>
          <w:p w14:paraId="78EA0DE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46235105"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53E8166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09AFD18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3906ABD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4FFA677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5460015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022060E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2F31CF17"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24E26B0B"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5DE39262"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075588D8"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oriental weatherloach</w:t>
            </w:r>
          </w:p>
        </w:tc>
        <w:tc>
          <w:tcPr>
            <w:tcW w:w="835" w:type="dxa"/>
            <w:tcBorders>
              <w:left w:val="single" w:sz="24" w:space="0" w:color="FFFFFF" w:themeColor="background1"/>
            </w:tcBorders>
            <w:shd w:val="clear" w:color="auto" w:fill="auto"/>
            <w:noWrap/>
            <w:vAlign w:val="bottom"/>
          </w:tcPr>
          <w:p w14:paraId="776F7D7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0B2D248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5DDE66D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381B46B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09752F8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6FAC2AD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3AF4AF8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57FDDEA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41527625"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138B310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2BC35C0C"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7E739B14"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redfin perch</w:t>
            </w:r>
          </w:p>
        </w:tc>
        <w:tc>
          <w:tcPr>
            <w:tcW w:w="835" w:type="dxa"/>
            <w:tcBorders>
              <w:left w:val="single" w:sz="24" w:space="0" w:color="FFFFFF" w:themeColor="background1"/>
            </w:tcBorders>
            <w:shd w:val="clear" w:color="auto" w:fill="auto"/>
            <w:noWrap/>
            <w:vAlign w:val="bottom"/>
          </w:tcPr>
          <w:p w14:paraId="34115A8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18CAEE72"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3C2A597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3FB7F49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0F2F191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right w:val="single" w:sz="24" w:space="0" w:color="FFFFFF" w:themeColor="background1"/>
            </w:tcBorders>
            <w:shd w:val="clear" w:color="auto" w:fill="auto"/>
            <w:vAlign w:val="bottom"/>
          </w:tcPr>
          <w:p w14:paraId="1CE1CE0A"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1DAA0AD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right w:val="single" w:sz="24" w:space="0" w:color="FFFFFF" w:themeColor="background1"/>
            </w:tcBorders>
            <w:shd w:val="clear" w:color="auto" w:fill="auto"/>
            <w:vAlign w:val="bottom"/>
          </w:tcPr>
          <w:p w14:paraId="1F6E65D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6946E357"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shd w:val="clear" w:color="auto" w:fill="auto"/>
            <w:vAlign w:val="bottom"/>
          </w:tcPr>
          <w:p w14:paraId="5F8C7DC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6A34A2AB" w14:textId="77777777" w:rsidTr="00EE7F09">
        <w:trPr>
          <w:trHeight w:val="300"/>
          <w:jc w:val="center"/>
        </w:trPr>
        <w:tc>
          <w:tcPr>
            <w:tcW w:w="2689" w:type="dxa"/>
            <w:tcBorders>
              <w:right w:val="single" w:sz="24" w:space="0" w:color="FFFFFF" w:themeColor="background1"/>
            </w:tcBorders>
            <w:shd w:val="clear" w:color="auto" w:fill="auto"/>
            <w:noWrap/>
            <w:vAlign w:val="bottom"/>
            <w:hideMark/>
          </w:tcPr>
          <w:p w14:paraId="00AEF6C7"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carp</w:t>
            </w:r>
          </w:p>
        </w:tc>
        <w:tc>
          <w:tcPr>
            <w:tcW w:w="835" w:type="dxa"/>
            <w:tcBorders>
              <w:left w:val="single" w:sz="24" w:space="0" w:color="FFFFFF" w:themeColor="background1"/>
            </w:tcBorders>
            <w:shd w:val="clear" w:color="auto" w:fill="auto"/>
            <w:noWrap/>
            <w:vAlign w:val="bottom"/>
          </w:tcPr>
          <w:p w14:paraId="533DEF8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right w:val="single" w:sz="24" w:space="0" w:color="FFFFFF" w:themeColor="background1"/>
            </w:tcBorders>
            <w:shd w:val="clear" w:color="auto" w:fill="auto"/>
            <w:vAlign w:val="bottom"/>
          </w:tcPr>
          <w:p w14:paraId="0A1B19F0"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tcBorders>
            <w:shd w:val="clear" w:color="auto" w:fill="auto"/>
            <w:vAlign w:val="bottom"/>
          </w:tcPr>
          <w:p w14:paraId="4CBECFD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right w:val="single" w:sz="24" w:space="0" w:color="FFFFFF" w:themeColor="background1"/>
            </w:tcBorders>
            <w:shd w:val="clear" w:color="auto" w:fill="auto"/>
            <w:vAlign w:val="bottom"/>
          </w:tcPr>
          <w:p w14:paraId="4F38927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tcBorders>
            <w:shd w:val="clear" w:color="auto" w:fill="auto"/>
            <w:vAlign w:val="bottom"/>
          </w:tcPr>
          <w:p w14:paraId="4858E3BC"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1</w:t>
            </w:r>
          </w:p>
        </w:tc>
        <w:tc>
          <w:tcPr>
            <w:tcW w:w="851" w:type="dxa"/>
            <w:tcBorders>
              <w:right w:val="single" w:sz="24" w:space="0" w:color="FFFFFF" w:themeColor="background1"/>
            </w:tcBorders>
            <w:shd w:val="clear" w:color="auto" w:fill="auto"/>
            <w:vAlign w:val="bottom"/>
          </w:tcPr>
          <w:p w14:paraId="152575B9"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tcBorders>
            <w:shd w:val="clear" w:color="auto" w:fill="auto"/>
            <w:vAlign w:val="bottom"/>
          </w:tcPr>
          <w:p w14:paraId="5921E630" w14:textId="77777777" w:rsidR="00EE7F09" w:rsidRPr="000C3349" w:rsidRDefault="00EE7F09" w:rsidP="00EE7F09">
            <w:pPr>
              <w:spacing w:after="0" w:line="240" w:lineRule="auto"/>
              <w:ind w:right="227"/>
              <w:jc w:val="right"/>
              <w:rPr>
                <w:rFonts w:eastAsia="Times New Roman"/>
                <w:color w:val="000000"/>
                <w:sz w:val="18"/>
                <w:szCs w:val="18"/>
                <w:lang w:eastAsia="en-AU"/>
              </w:rPr>
            </w:pPr>
            <w:r>
              <w:rPr>
                <w:rFonts w:eastAsia="Times New Roman"/>
                <w:color w:val="000000"/>
                <w:sz w:val="18"/>
                <w:szCs w:val="18"/>
                <w:lang w:eastAsia="en-AU"/>
              </w:rPr>
              <w:t>1</w:t>
            </w:r>
          </w:p>
        </w:tc>
        <w:tc>
          <w:tcPr>
            <w:tcW w:w="803" w:type="dxa"/>
            <w:tcBorders>
              <w:right w:val="single" w:sz="24" w:space="0" w:color="FFFFFF" w:themeColor="background1"/>
            </w:tcBorders>
            <w:shd w:val="clear" w:color="auto" w:fill="auto"/>
            <w:vAlign w:val="bottom"/>
          </w:tcPr>
          <w:p w14:paraId="0488B12F"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tcBorders>
            <w:shd w:val="clear" w:color="auto" w:fill="auto"/>
            <w:vAlign w:val="bottom"/>
          </w:tcPr>
          <w:p w14:paraId="0B020137" w14:textId="77777777" w:rsidR="00EE7F09" w:rsidRPr="000C3349" w:rsidRDefault="00EE7F09" w:rsidP="00EE7F09">
            <w:pPr>
              <w:spacing w:after="0" w:line="240" w:lineRule="auto"/>
              <w:ind w:right="170"/>
              <w:jc w:val="right"/>
              <w:rPr>
                <w:rFonts w:eastAsia="Times New Roman"/>
                <w:color w:val="000000"/>
                <w:sz w:val="18"/>
                <w:szCs w:val="18"/>
                <w:lang w:eastAsia="en-AU"/>
              </w:rPr>
            </w:pPr>
            <w:r>
              <w:rPr>
                <w:rFonts w:eastAsia="Times New Roman"/>
                <w:color w:val="000000"/>
                <w:sz w:val="18"/>
                <w:szCs w:val="18"/>
                <w:lang w:eastAsia="en-AU"/>
              </w:rPr>
              <w:t>2</w:t>
            </w:r>
          </w:p>
        </w:tc>
        <w:tc>
          <w:tcPr>
            <w:tcW w:w="1134" w:type="dxa"/>
            <w:shd w:val="clear" w:color="auto" w:fill="auto"/>
            <w:vAlign w:val="bottom"/>
          </w:tcPr>
          <w:p w14:paraId="66F543BD"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r w:rsidR="00EE7F09" w:rsidRPr="009E2BD1" w14:paraId="12529D65" w14:textId="77777777" w:rsidTr="00EE7F09">
        <w:trPr>
          <w:trHeight w:val="300"/>
          <w:jc w:val="center"/>
        </w:trPr>
        <w:tc>
          <w:tcPr>
            <w:tcW w:w="2689" w:type="dxa"/>
            <w:tcBorders>
              <w:bottom w:val="single" w:sz="12" w:space="0" w:color="auto"/>
              <w:right w:val="single" w:sz="24" w:space="0" w:color="FFFFFF" w:themeColor="background1"/>
            </w:tcBorders>
            <w:shd w:val="clear" w:color="auto" w:fill="auto"/>
            <w:noWrap/>
            <w:vAlign w:val="bottom"/>
            <w:hideMark/>
          </w:tcPr>
          <w:p w14:paraId="00516160" w14:textId="77777777" w:rsidR="00EE7F09" w:rsidRPr="000C3349" w:rsidRDefault="00EE7F09" w:rsidP="00EE7F09">
            <w:pPr>
              <w:spacing w:after="0" w:line="240" w:lineRule="auto"/>
              <w:rPr>
                <w:rFonts w:eastAsia="Times New Roman"/>
                <w:color w:val="000000"/>
                <w:sz w:val="18"/>
                <w:szCs w:val="18"/>
                <w:lang w:eastAsia="en-AU"/>
              </w:rPr>
            </w:pPr>
            <w:r w:rsidRPr="000C3349">
              <w:rPr>
                <w:rFonts w:eastAsia="Times New Roman"/>
                <w:color w:val="000000"/>
                <w:sz w:val="18"/>
                <w:szCs w:val="18"/>
                <w:lang w:eastAsia="en-AU"/>
              </w:rPr>
              <w:t>goldfish</w:t>
            </w:r>
          </w:p>
        </w:tc>
        <w:tc>
          <w:tcPr>
            <w:tcW w:w="835" w:type="dxa"/>
            <w:tcBorders>
              <w:left w:val="single" w:sz="24" w:space="0" w:color="FFFFFF" w:themeColor="background1"/>
              <w:bottom w:val="single" w:sz="12" w:space="0" w:color="auto"/>
            </w:tcBorders>
            <w:shd w:val="clear" w:color="auto" w:fill="auto"/>
            <w:noWrap/>
            <w:vAlign w:val="bottom"/>
          </w:tcPr>
          <w:p w14:paraId="4D115EE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34" w:type="dxa"/>
            <w:tcBorders>
              <w:bottom w:val="single" w:sz="12" w:space="0" w:color="auto"/>
              <w:right w:val="single" w:sz="24" w:space="0" w:color="FFFFFF" w:themeColor="background1"/>
            </w:tcBorders>
            <w:shd w:val="clear" w:color="auto" w:fill="auto"/>
            <w:vAlign w:val="bottom"/>
          </w:tcPr>
          <w:p w14:paraId="2E722174"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40" w:type="dxa"/>
            <w:tcBorders>
              <w:left w:val="single" w:sz="24" w:space="0" w:color="FFFFFF" w:themeColor="background1"/>
              <w:bottom w:val="single" w:sz="12" w:space="0" w:color="auto"/>
            </w:tcBorders>
            <w:shd w:val="clear" w:color="auto" w:fill="auto"/>
            <w:vAlign w:val="bottom"/>
          </w:tcPr>
          <w:p w14:paraId="6B7A3215"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765" w:type="dxa"/>
            <w:tcBorders>
              <w:bottom w:val="single" w:sz="12" w:space="0" w:color="auto"/>
              <w:right w:val="single" w:sz="24" w:space="0" w:color="FFFFFF" w:themeColor="background1"/>
            </w:tcBorders>
            <w:shd w:val="clear" w:color="auto" w:fill="auto"/>
            <w:vAlign w:val="bottom"/>
          </w:tcPr>
          <w:p w14:paraId="49E052C1"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left w:val="single" w:sz="24" w:space="0" w:color="FFFFFF" w:themeColor="background1"/>
              <w:bottom w:val="single" w:sz="12" w:space="0" w:color="auto"/>
            </w:tcBorders>
            <w:shd w:val="clear" w:color="auto" w:fill="auto"/>
            <w:vAlign w:val="bottom"/>
          </w:tcPr>
          <w:p w14:paraId="3DD38B28"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51" w:type="dxa"/>
            <w:tcBorders>
              <w:bottom w:val="single" w:sz="12" w:space="0" w:color="auto"/>
              <w:right w:val="single" w:sz="24" w:space="0" w:color="FFFFFF" w:themeColor="background1"/>
            </w:tcBorders>
            <w:shd w:val="clear" w:color="auto" w:fill="auto"/>
            <w:vAlign w:val="bottom"/>
          </w:tcPr>
          <w:p w14:paraId="778E5D96"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98" w:type="dxa"/>
            <w:tcBorders>
              <w:left w:val="single" w:sz="24" w:space="0" w:color="FFFFFF" w:themeColor="background1"/>
              <w:bottom w:val="single" w:sz="12" w:space="0" w:color="auto"/>
            </w:tcBorders>
            <w:shd w:val="clear" w:color="auto" w:fill="auto"/>
            <w:vAlign w:val="bottom"/>
          </w:tcPr>
          <w:p w14:paraId="2BA93E73"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803" w:type="dxa"/>
            <w:tcBorders>
              <w:bottom w:val="single" w:sz="12" w:space="0" w:color="auto"/>
              <w:right w:val="single" w:sz="24" w:space="0" w:color="FFFFFF" w:themeColor="background1"/>
            </w:tcBorders>
            <w:shd w:val="clear" w:color="auto" w:fill="auto"/>
            <w:vAlign w:val="bottom"/>
          </w:tcPr>
          <w:p w14:paraId="16CD9E7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982" w:type="dxa"/>
            <w:tcBorders>
              <w:left w:val="single" w:sz="24" w:space="0" w:color="FFFFFF" w:themeColor="background1"/>
              <w:bottom w:val="single" w:sz="12" w:space="0" w:color="auto"/>
            </w:tcBorders>
            <w:shd w:val="clear" w:color="auto" w:fill="auto"/>
            <w:vAlign w:val="bottom"/>
          </w:tcPr>
          <w:p w14:paraId="69450927" w14:textId="77777777" w:rsidR="00EE7F09" w:rsidRPr="000C3349" w:rsidRDefault="00EE7F09" w:rsidP="00EE7F09">
            <w:pPr>
              <w:spacing w:after="0" w:line="240" w:lineRule="auto"/>
              <w:ind w:right="170"/>
              <w:jc w:val="right"/>
              <w:rPr>
                <w:rFonts w:eastAsia="Times New Roman"/>
                <w:color w:val="000000"/>
                <w:sz w:val="18"/>
                <w:szCs w:val="18"/>
                <w:lang w:eastAsia="en-AU"/>
              </w:rPr>
            </w:pPr>
            <w:r w:rsidRPr="000C3349">
              <w:rPr>
                <w:rFonts w:eastAsia="Times New Roman"/>
                <w:color w:val="000000"/>
                <w:sz w:val="18"/>
                <w:szCs w:val="18"/>
                <w:lang w:eastAsia="en-AU"/>
              </w:rPr>
              <w:t>-</w:t>
            </w:r>
          </w:p>
        </w:tc>
        <w:tc>
          <w:tcPr>
            <w:tcW w:w="1134" w:type="dxa"/>
            <w:tcBorders>
              <w:bottom w:val="single" w:sz="12" w:space="0" w:color="auto"/>
            </w:tcBorders>
            <w:shd w:val="clear" w:color="auto" w:fill="auto"/>
            <w:vAlign w:val="bottom"/>
          </w:tcPr>
          <w:p w14:paraId="187D19C7" w14:textId="77777777" w:rsidR="00EE7F09" w:rsidRPr="000C3349" w:rsidRDefault="00EE7F09" w:rsidP="00EE7F09">
            <w:pPr>
              <w:spacing w:after="0" w:line="240" w:lineRule="auto"/>
              <w:ind w:right="227"/>
              <w:jc w:val="right"/>
              <w:rPr>
                <w:rFonts w:eastAsia="Times New Roman"/>
                <w:color w:val="000000"/>
                <w:sz w:val="18"/>
                <w:szCs w:val="18"/>
                <w:lang w:eastAsia="en-AU"/>
              </w:rPr>
            </w:pPr>
            <w:r w:rsidRPr="000C3349">
              <w:rPr>
                <w:rFonts w:eastAsia="Times New Roman"/>
                <w:color w:val="000000"/>
                <w:sz w:val="18"/>
                <w:szCs w:val="18"/>
                <w:lang w:eastAsia="en-AU"/>
              </w:rPr>
              <w:t>-</w:t>
            </w:r>
          </w:p>
        </w:tc>
      </w:tr>
    </w:tbl>
    <w:p w14:paraId="066CE4B7" w14:textId="77777777" w:rsidR="00EE7F09" w:rsidRDefault="00EE7F09" w:rsidP="00EE7F09">
      <w:pPr>
        <w:pStyle w:val="BodyText"/>
        <w:spacing w:line="240" w:lineRule="auto"/>
        <w:ind w:left="142"/>
        <w:jc w:val="left"/>
        <w:rPr>
          <w:rFonts w:asciiTheme="minorHAnsi" w:hAnsiTheme="minorHAnsi"/>
          <w:b/>
          <w:color w:val="000000" w:themeColor="text1"/>
          <w:sz w:val="20"/>
          <w:szCs w:val="20"/>
        </w:rPr>
      </w:pPr>
    </w:p>
    <w:p w14:paraId="1A8EFCBA" w14:textId="77777777" w:rsidR="00EE7F09" w:rsidRDefault="00EE7F09" w:rsidP="00EE7F09">
      <w:pPr>
        <w:pStyle w:val="BodyText"/>
        <w:spacing w:line="240" w:lineRule="auto"/>
        <w:ind w:left="142"/>
        <w:jc w:val="left"/>
        <w:rPr>
          <w:rFonts w:asciiTheme="minorHAnsi" w:hAnsiTheme="minorHAnsi"/>
          <w:b/>
          <w:color w:val="000000" w:themeColor="text1"/>
          <w:sz w:val="20"/>
          <w:szCs w:val="20"/>
        </w:rPr>
        <w:sectPr w:rsidR="00EE7F09" w:rsidSect="00EE7F09">
          <w:pgSz w:w="16838" w:h="11906" w:orient="landscape"/>
          <w:pgMar w:top="1440" w:right="1440" w:bottom="1440" w:left="1440" w:header="709" w:footer="709" w:gutter="0"/>
          <w:cols w:space="708"/>
          <w:docGrid w:linePitch="360"/>
        </w:sectPr>
      </w:pPr>
    </w:p>
    <w:p w14:paraId="7A82208B" w14:textId="77777777" w:rsidR="00EE7F09" w:rsidRPr="00E759F2" w:rsidRDefault="00EE7F09" w:rsidP="00675B7A">
      <w:pPr>
        <w:spacing w:after="120" w:line="320" w:lineRule="exact"/>
        <w:rPr>
          <w:color w:val="006666"/>
          <w:lang w:val="en-US"/>
        </w:rPr>
      </w:pPr>
      <w:r w:rsidRPr="00E759F2">
        <w:rPr>
          <w:color w:val="006666"/>
          <w:lang w:val="en-US"/>
        </w:rPr>
        <w:t>Periodic ‘flow-cued’ species</w:t>
      </w:r>
    </w:p>
    <w:p w14:paraId="6D275E71" w14:textId="77777777" w:rsidR="00EE7F09" w:rsidRDefault="00EE7F09" w:rsidP="00675B7A">
      <w:pPr>
        <w:spacing w:after="120" w:line="259" w:lineRule="auto"/>
        <w:jc w:val="left"/>
      </w:pPr>
      <w:r>
        <w:t xml:space="preserve">Drift net sampling, aimed at detecting a response of golden and silver perch spawning to CEW environmental water delivery, commenced early October. The first sampling event coincided with the start of Watering Action 3c (late spring fresh). </w:t>
      </w:r>
      <w:r w:rsidRPr="00590B1A">
        <w:t>The</w:t>
      </w:r>
      <w:r>
        <w:t xml:space="preserve"> late spring fresh watering action, aimed at promoting silver perch spawning (CEWO 2019), </w:t>
      </w:r>
      <w:r w:rsidRPr="00590B1A">
        <w:t xml:space="preserve">saw local discharge </w:t>
      </w:r>
      <w:r>
        <w:t>increase from 350 ML/day to 410 ML/day</w:t>
      </w:r>
      <w:r w:rsidRPr="00590B1A">
        <w:t xml:space="preserve"> in </w:t>
      </w:r>
      <w:r>
        <w:t xml:space="preserve">the Mid Wakool </w:t>
      </w:r>
      <w:r w:rsidRPr="00590B1A">
        <w:t>zone 3, and returning to back 350</w:t>
      </w:r>
      <w:r>
        <w:t xml:space="preserve"> ML/day by early October</w:t>
      </w:r>
      <w:r w:rsidRPr="00590B1A">
        <w:t>. The water temperature at this time had reached 17</w:t>
      </w:r>
      <w:r w:rsidRPr="00590B1A">
        <w:rPr>
          <w:rFonts w:cstheme="minorHAnsi"/>
        </w:rPr>
        <w:t>°</w:t>
      </w:r>
      <w:r w:rsidRPr="00590B1A">
        <w:t>C for the fi</w:t>
      </w:r>
      <w:r>
        <w:t>rst time in the season. Neither silver perch or golden perch eggs or larvae were detected; the water temperature may have not been warm enough at the time of the environmental water delivery to illicit a spawning response in silver perch.</w:t>
      </w:r>
    </w:p>
    <w:p w14:paraId="1A5F0F43" w14:textId="77777777" w:rsidR="00EE7F09" w:rsidRDefault="00EE7F09" w:rsidP="00675B7A">
      <w:pPr>
        <w:spacing w:after="120" w:line="259" w:lineRule="auto"/>
        <w:jc w:val="left"/>
      </w:pPr>
      <w:r>
        <w:rPr>
          <w:rFonts w:cstheme="minorHAnsi"/>
          <w:color w:val="000000" w:themeColor="text1"/>
        </w:rPr>
        <w:t>In contrast, bony herring larvae were collected in 2019-20 for the fourth consecutive year. Appearing between Jan-Feb, bony herring larvae were found in the lower Wakool River in zones 3 and 4. The spatial appearance of bony herring larvae in Zones 3 and 4 is consistent with previous years monitoring, where they have not been found in either Yallakool Creek (zone 1) or the upper Wakool River (zone 2) (Figure 8.12, Figure 8.13).</w:t>
      </w:r>
    </w:p>
    <w:p w14:paraId="4BD93AB5" w14:textId="77777777" w:rsidR="00EE7F09" w:rsidRPr="00531D7D" w:rsidRDefault="00EE7F09" w:rsidP="00675B7A">
      <w:pPr>
        <w:spacing w:after="120" w:line="259" w:lineRule="auto"/>
        <w:jc w:val="left"/>
      </w:pPr>
      <w:r>
        <w:rPr>
          <w:rFonts w:cstheme="minorHAnsi"/>
          <w:color w:val="000000" w:themeColor="text1"/>
        </w:rPr>
        <w:t>There was limited evidence of carp spawning in the Edward/Kolety-Wakool focal zones in 2019-20 (n=2). The low levels of carp spawning in this current monitoring year are similar to trends observed in previous years when flows have remained in channel, including 2014-15, 215-16, 2017-18 and 2018-19 (Figure 12, Figure 8.13a).</w:t>
      </w:r>
    </w:p>
    <w:p w14:paraId="67AE0286" w14:textId="77777777" w:rsidR="00EE7F09" w:rsidRPr="00E759F2" w:rsidRDefault="00EE7F09" w:rsidP="00675B7A">
      <w:pPr>
        <w:spacing w:after="120" w:line="320" w:lineRule="exact"/>
        <w:rPr>
          <w:color w:val="006666"/>
          <w:lang w:val="en-US"/>
        </w:rPr>
      </w:pPr>
      <w:r w:rsidRPr="00E759F2">
        <w:rPr>
          <w:color w:val="006666"/>
          <w:lang w:val="en-US"/>
        </w:rPr>
        <w:t xml:space="preserve">Equilibrium species </w:t>
      </w:r>
    </w:p>
    <w:p w14:paraId="19A3C78B" w14:textId="77777777" w:rsidR="00EE7F09" w:rsidRDefault="00EE7F09" w:rsidP="00675B7A">
      <w:pPr>
        <w:spacing w:after="120" w:line="320" w:lineRule="exact"/>
        <w:jc w:val="left"/>
      </w:pPr>
      <w:r>
        <w:t xml:space="preserve">Late-staged Murray cod larvae appeared throughout the Edward/Kolety-Wakool Selected Area from 4 Nov - 19 Dec 2019. Numbers of Murray cod larvae were the lowest detected since 2016-17 (Figure 8.13). Murray cod larvae were most abundant in the upper Wakool River (zone 2) compared to zones 1 (Yallakool Creek), zone 3 (Wakool River us Thule Creek) and zone 4 (Wakool River us Barbers Creek), despite the fact that discharge was lowest in this zone (50-60 ML/day during spawning and nesting period) (Figure 8.12). In the 6 years of monitoring, the abundance of Murray cod larval was greatest in 2018-19, with the majority of larvae coming from upper Wakool River (zone 2).  </w:t>
      </w:r>
      <w:r w:rsidRPr="00CF54EA">
        <w:t>Discharge in the upper Wakool River is typically operated at low base flows of 50</w:t>
      </w:r>
      <w:r>
        <w:t>-100</w:t>
      </w:r>
      <w:r w:rsidRPr="00CF54EA">
        <w:t xml:space="preserve"> ML/d, however in 2018-19 </w:t>
      </w:r>
      <w:r>
        <w:t xml:space="preserve">zone 2 </w:t>
      </w:r>
      <w:r w:rsidRPr="00CF54EA">
        <w:t xml:space="preserve">received flows up 200 ML/day from October 2018 through to January 2019. Zone </w:t>
      </w:r>
      <w:r>
        <w:t xml:space="preserve">2 is structurally complex, </w:t>
      </w:r>
      <w:r w:rsidRPr="00CF54EA">
        <w:t>woody-</w:t>
      </w:r>
      <w:r>
        <w:t xml:space="preserve">containing high loads of wood </w:t>
      </w:r>
      <w:r w:rsidRPr="00CF54EA">
        <w:t>debris. We have previously hypothesised that spring flows that allow the recolonization and nesting in zone 2 by Murray cod would be beneficial for spawning.</w:t>
      </w:r>
      <w:r>
        <w:t xml:space="preserve"> The lower catch of Murray cod larvae in this current watering year, when flows in the zone 2 were characterised by a return to baseflows, provides further evidence that delivery of environmental water during spring/summer will have a positive and disproportionate effect to Murray cod nesting and spawning when delivered to the upper Wakool River compared to Yallakool Creek. River blackfish larvae were detected in the Edward/Kolety-Wakool Selected area from 21 Oct – 22 Nov 2019 (Figure 8.12). Typically only detected in the upper Wakool River (zone 2), river blackfish larvae were recorded for the first time in 2018-19 in the Yallkaool River (zone 1). Of note, was that in 2019-20 we have detected river blackfish larvae in the Wakool River upstream of Thule Creek (zone 3) for the first time, an indication that the distribution and range of river blackfish may be slowly expanding throughout the study zones.</w:t>
      </w:r>
    </w:p>
    <w:p w14:paraId="0188F886" w14:textId="77777777" w:rsidR="00530743" w:rsidRDefault="00530743" w:rsidP="00675B7A">
      <w:pPr>
        <w:spacing w:after="120" w:line="320" w:lineRule="exact"/>
        <w:jc w:val="left"/>
      </w:pPr>
    </w:p>
    <w:p w14:paraId="7EB2DBA8" w14:textId="77777777" w:rsidR="00530743" w:rsidRDefault="00530743" w:rsidP="00675B7A">
      <w:pPr>
        <w:spacing w:after="120" w:line="320" w:lineRule="exact"/>
        <w:jc w:val="left"/>
      </w:pPr>
    </w:p>
    <w:p w14:paraId="74D84D08" w14:textId="77777777" w:rsidR="00EE7F09" w:rsidRPr="00E759F2" w:rsidRDefault="00EE7F09" w:rsidP="00675B7A">
      <w:pPr>
        <w:spacing w:after="120" w:line="259" w:lineRule="auto"/>
        <w:rPr>
          <w:color w:val="006666"/>
          <w:lang w:val="en-US"/>
        </w:rPr>
      </w:pPr>
      <w:r w:rsidRPr="00E759F2">
        <w:rPr>
          <w:color w:val="006666"/>
          <w:lang w:val="en-US"/>
        </w:rPr>
        <w:t xml:space="preserve">Opportunistic species </w:t>
      </w:r>
    </w:p>
    <w:p w14:paraId="29102225" w14:textId="77777777" w:rsidR="00EE7F09" w:rsidRDefault="00EE7F09" w:rsidP="00675B7A">
      <w:pPr>
        <w:spacing w:after="120" w:line="259" w:lineRule="auto"/>
        <w:jc w:val="left"/>
      </w:pPr>
      <w:r>
        <w:t>Larval abundance of small-bodied opportunistic species was numerically dominated by carp gudgeon and Australian smelt in 2019-20. Carp gudgeon larvae were present throughout much of the study period, and all study zones, appearing from early September 2019 through to early March 2020 (Figure 8.12). Australian smelt, also found in all study zones, appeared from early September to early December 2019. Flathead gudgeon larvae, were detected in zone 4 and zone 1 between mid –December 2019 and 9 January 2020 and obscure galaxias larvae was detected only in Yallakool Creek (zone 1) in late September 2019 (Figure 8.12).</w:t>
      </w:r>
    </w:p>
    <w:p w14:paraId="6AFAB131" w14:textId="77777777" w:rsidR="00EE7F09" w:rsidRPr="00E759F2" w:rsidRDefault="00EE7F09" w:rsidP="00675B7A">
      <w:pPr>
        <w:spacing w:after="120" w:line="259" w:lineRule="auto"/>
        <w:jc w:val="left"/>
        <w:rPr>
          <w:color w:val="006666"/>
          <w:lang w:val="en-US"/>
        </w:rPr>
      </w:pPr>
      <w:r w:rsidRPr="00E759F2">
        <w:rPr>
          <w:color w:val="006666"/>
          <w:lang w:val="en-US"/>
        </w:rPr>
        <w:t>Targeted watering actions for spawning outcomes in 2019-20</w:t>
      </w:r>
    </w:p>
    <w:p w14:paraId="2E6C9725" w14:textId="77777777" w:rsidR="00EE7F09" w:rsidRDefault="00EE7F09" w:rsidP="00675B7A">
      <w:pPr>
        <w:spacing w:after="120" w:line="259" w:lineRule="auto"/>
        <w:jc w:val="left"/>
      </w:pPr>
      <w:r>
        <w:t>It was hypothesised that the abundance of fish larvae across the 2019-20 spawning season would be significantly higher in the study zones that received an environmental watering action (zones 1, 3 and 4) compared to zone 2 which did not receive any environmental water. Statistical analyses revealed variation in individual fish species responses to environmental water delivery. For bony herring, a ‘periodic’ flow dependent species, a significant difference in abundance of fish larvae/eggs across zones was detected. We observed significantly more larvae collected in zones 3 and 4 than zone 2, although no difference in larval abundance was observed between zones 1 and 2 (Table 8.5, Figure 8.13a).</w:t>
      </w:r>
    </w:p>
    <w:p w14:paraId="16EF211D" w14:textId="77777777" w:rsidR="00EE7F09" w:rsidRDefault="00EE7F09" w:rsidP="00675B7A">
      <w:pPr>
        <w:spacing w:after="120" w:line="259" w:lineRule="auto"/>
        <w:jc w:val="left"/>
      </w:pPr>
      <w:r>
        <w:t xml:space="preserve">Trends in larval abundance across zones the equilibrium species whose spawning is less reliant on flow-patterns. Watering action 3b delivered an early spring elevated based flow from 5-22 September 2019 in Yallakool Creek (zone1) and mid Wakool River (zones 3 and 4) ‘to maintain nesting habitat for Murray cod’. While we detected a significant difference in larval abundance across zones for both Murray cod and River blackfish, there were significantly more larvae for both species found in Upper Wakool (Zone 2), which did not receive environmental water, compare to the zones that did. (Table 8.5, Figure 8.13b). This is consistent with previous years where greater numbers of Murray cod larvae are associated with the structurally complex Upper Wakool River (Zone 2). In 2018-2019 the greatest number of Murray cod larvae were collected to date from the Edward/Kolety-Wakool River system (Figure 8.13b). 2018-19 was the first year that the Upper Wakool River had been a target for environmental flow delivery, and the resultant record numbers of Murray cod larvae recorded indicate the watering action had significant outcomes for Murray cod nesting and spawning. Based on the results from this current year, there is little evidence to suggest that Watering action 3b had a measurable impact on Murray cod nesting and spawning, and we continue to advocate for the delivery of environmental water in the Upper Wakool for future years. </w:t>
      </w:r>
    </w:p>
    <w:p w14:paraId="6ED611A0" w14:textId="77777777" w:rsidR="00EE7F09" w:rsidRDefault="00EE7F09" w:rsidP="00675B7A">
      <w:pPr>
        <w:spacing w:after="120" w:line="259" w:lineRule="auto"/>
        <w:jc w:val="left"/>
      </w:pPr>
      <w:r>
        <w:t xml:space="preserve">Small-bodied opportunistic fish showed a diversity of responses to environmental watering actions (Table 8.5, Figure 8.13c). Watering action 3a was an early spring fresh delivered 28 Aug – 4 September, aimed at contributing to spawning in early spawning native fish. Australian smelt, which is a pelagic, early spawning species, was found to respond positively towards to the conditions provided by environmental flows: with significantly more larvae found in all zones (zones 1,3 and 4) that received environmental watering actions compared those that did not (zone 2). There was no other outcomes detected in other opportunistic fish. For flathead gudgeon, only zone 4 had greater numbers of larvae than zone 2, and for carp gudgeon, none of the zones that received environmental water had greater numbers of larvae than zone 2.  Numbers of obscure galaxias and Murray River Rainbowfish were too low for any statistical comparisons across zones for 2019-20. </w:t>
      </w:r>
    </w:p>
    <w:p w14:paraId="256F1AE4" w14:textId="77777777" w:rsidR="00EE7F09" w:rsidRDefault="00EE7F09" w:rsidP="00EE7F09">
      <w:pPr>
        <w:spacing w:after="120"/>
      </w:pPr>
    </w:p>
    <w:p w14:paraId="326768BB" w14:textId="77777777" w:rsidR="00EE7F09" w:rsidRDefault="00EE7F09" w:rsidP="00EE7F09">
      <w:pPr>
        <w:spacing w:after="120"/>
        <w:rPr>
          <w:color w:val="006666"/>
          <w:lang w:val="en-US"/>
        </w:rPr>
        <w:sectPr w:rsidR="00EE7F09" w:rsidSect="00530743">
          <w:pgSz w:w="11906" w:h="16838"/>
          <w:pgMar w:top="1440" w:right="1418" w:bottom="1440" w:left="1418" w:header="709" w:footer="709" w:gutter="0"/>
          <w:cols w:space="720"/>
        </w:sectPr>
      </w:pPr>
    </w:p>
    <w:p w14:paraId="0D19087A" w14:textId="77777777" w:rsidR="00EE7F09" w:rsidRDefault="00EE7F09" w:rsidP="00EE7F09">
      <w:pPr>
        <w:spacing w:after="120"/>
        <w:rPr>
          <w:color w:val="006666"/>
          <w:lang w:val="en-US"/>
        </w:rPr>
      </w:pPr>
      <w:r>
        <w:rPr>
          <w:noProof/>
          <w:lang w:eastAsia="en-AU"/>
        </w:rPr>
        <w:drawing>
          <wp:inline distT="0" distB="0" distL="0" distR="0" wp14:anchorId="2ACB4EFE" wp14:editId="54A22164">
            <wp:extent cx="9167160" cy="4284000"/>
            <wp:effectExtent l="0" t="0" r="0" b="25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email">
                      <a:extLst>
                        <a:ext uri="{28A0092B-C50C-407E-A947-70E740481C1C}">
                          <a14:useLocalDpi xmlns:a14="http://schemas.microsoft.com/office/drawing/2010/main"/>
                        </a:ext>
                      </a:extLst>
                    </a:blip>
                    <a:srcRect b="-607"/>
                    <a:stretch/>
                  </pic:blipFill>
                  <pic:spPr bwMode="auto">
                    <a:xfrm>
                      <a:off x="0" y="0"/>
                      <a:ext cx="9167160" cy="4284000"/>
                    </a:xfrm>
                    <a:prstGeom prst="rect">
                      <a:avLst/>
                    </a:prstGeom>
                    <a:ln>
                      <a:noFill/>
                    </a:ln>
                    <a:extLst>
                      <a:ext uri="{53640926-AAD7-44D8-BBD7-CCE9431645EC}">
                        <a14:shadowObscured xmlns:a14="http://schemas.microsoft.com/office/drawing/2010/main"/>
                      </a:ext>
                    </a:extLst>
                  </pic:spPr>
                </pic:pic>
              </a:graphicData>
            </a:graphic>
          </wp:inline>
        </w:drawing>
      </w:r>
    </w:p>
    <w:p w14:paraId="498E82AB" w14:textId="77777777" w:rsidR="00EE7F09" w:rsidRPr="00B8762C" w:rsidRDefault="00EE7F09" w:rsidP="00EE7F09">
      <w:pPr>
        <w:tabs>
          <w:tab w:val="left" w:pos="0"/>
        </w:tabs>
        <w:spacing w:after="0" w:line="240" w:lineRule="auto"/>
        <w:rPr>
          <w:rFonts w:cstheme="minorHAnsi"/>
          <w:noProof/>
          <w:sz w:val="20"/>
          <w:lang w:eastAsia="en-AU"/>
        </w:rPr>
        <w:sectPr w:rsidR="00EE7F09" w:rsidRPr="00B8762C" w:rsidSect="00EE7F09">
          <w:pgSz w:w="16838" w:h="11906" w:orient="landscape"/>
          <w:pgMar w:top="1701" w:right="1440" w:bottom="1701" w:left="1440" w:header="709" w:footer="709" w:gutter="0"/>
          <w:cols w:space="720"/>
        </w:sectPr>
      </w:pPr>
      <w:r>
        <w:rPr>
          <w:rFonts w:cstheme="minorHAnsi"/>
          <w:b/>
          <w:noProof/>
          <w:sz w:val="20"/>
          <w:lang w:eastAsia="en-AU"/>
        </w:rPr>
        <w:t>Figure 8.12</w:t>
      </w:r>
      <w:r w:rsidRPr="008F653E">
        <w:rPr>
          <w:rFonts w:cstheme="minorHAnsi"/>
          <w:b/>
          <w:noProof/>
          <w:sz w:val="20"/>
          <w:lang w:eastAsia="en-AU"/>
        </w:rPr>
        <w:t>.</w:t>
      </w:r>
      <w:r w:rsidRPr="008F653E">
        <w:rPr>
          <w:rFonts w:cstheme="minorHAnsi"/>
          <w:noProof/>
          <w:sz w:val="20"/>
          <w:lang w:eastAsia="en-AU"/>
        </w:rPr>
        <w:t xml:space="preserve"> </w:t>
      </w:r>
      <w:r>
        <w:rPr>
          <w:rFonts w:cstheme="minorHAnsi"/>
          <w:noProof/>
          <w:sz w:val="20"/>
          <w:lang w:eastAsia="en-AU"/>
        </w:rPr>
        <w:t xml:space="preserve"> a) Discharge and b) Bubble plots depictings temporal occurrence of larval fish in the four study zones (from top row to bottom): Yallakool Creek – zone 1, Wakool River - zone 2, Wakool River - zone 3, and Wakool River - zone 4 during the 2019-20 spawning period.  Bubble size (count) represents relative abundance of larvae collected in light traps (n=3) at each study site. Blue bars indicate the timing of watering actions 2  and 3.</w:t>
      </w:r>
    </w:p>
    <w:p w14:paraId="7B37C8B6" w14:textId="77777777" w:rsidR="00EE7F09" w:rsidRDefault="00EE7F09" w:rsidP="00675B7A">
      <w:pPr>
        <w:spacing w:after="0" w:line="240" w:lineRule="auto"/>
        <w:rPr>
          <w:i/>
          <w:noProof/>
          <w:lang w:eastAsia="en-AU"/>
        </w:rPr>
      </w:pPr>
      <w:r w:rsidRPr="005B1982">
        <w:rPr>
          <w:i/>
          <w:noProof/>
          <w:lang w:eastAsia="en-AU"/>
        </w:rPr>
        <w:t>a) Period</w:t>
      </w:r>
      <w:r>
        <w:rPr>
          <w:i/>
          <w:noProof/>
          <w:lang w:eastAsia="en-AU"/>
        </w:rPr>
        <w:t>ic</w:t>
      </w:r>
      <w:r w:rsidRPr="005B1982">
        <w:rPr>
          <w:i/>
          <w:noProof/>
          <w:lang w:eastAsia="en-AU"/>
        </w:rPr>
        <w:t xml:space="preserve"> species</w:t>
      </w:r>
    </w:p>
    <w:p w14:paraId="261BF238" w14:textId="77777777" w:rsidR="00EE7F09" w:rsidRPr="00DB2226" w:rsidRDefault="00EE7F09" w:rsidP="00675B7A">
      <w:pPr>
        <w:spacing w:after="0" w:line="240" w:lineRule="auto"/>
        <w:rPr>
          <w:noProof/>
          <w:lang w:eastAsia="en-AU"/>
        </w:rPr>
      </w:pPr>
      <w:r w:rsidRPr="00921137">
        <w:rPr>
          <w:noProof/>
          <w:lang w:eastAsia="en-AU"/>
        </w:rPr>
        <w:drawing>
          <wp:inline distT="0" distB="0" distL="0" distR="0" wp14:anchorId="6AE7DF3A" wp14:editId="5C6BB578">
            <wp:extent cx="5664200" cy="1473744"/>
            <wp:effectExtent l="0" t="0" r="0" b="0"/>
            <wp:docPr id="20" name="Picture 20" descr="D:\Users\nmccaske\Dropbox\AAA_LTIM_TEMP\2019-20\Data\Larval fish\R_output\figures\all_periodic_species_across_years_by_zone_lts_dns_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nmccaske\Dropbox\AAA_LTIM_TEMP\2019-20\Data\Larval fish\R_output\figures\all_periodic_species_across_years_by_zone_lts_dns_combined.pn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687065" cy="1479693"/>
                    </a:xfrm>
                    <a:prstGeom prst="rect">
                      <a:avLst/>
                    </a:prstGeom>
                    <a:noFill/>
                    <a:ln>
                      <a:noFill/>
                    </a:ln>
                  </pic:spPr>
                </pic:pic>
              </a:graphicData>
            </a:graphic>
          </wp:inline>
        </w:drawing>
      </w:r>
    </w:p>
    <w:p w14:paraId="19280AD0" w14:textId="77777777" w:rsidR="00EE7F09" w:rsidRDefault="00EE7F09" w:rsidP="00675B7A">
      <w:pPr>
        <w:spacing w:after="0" w:line="240" w:lineRule="auto"/>
        <w:ind w:left="567" w:hanging="567"/>
        <w:rPr>
          <w:i/>
          <w:noProof/>
          <w:lang w:eastAsia="en-AU"/>
        </w:rPr>
      </w:pPr>
      <w:r w:rsidRPr="005B1982">
        <w:rPr>
          <w:i/>
          <w:noProof/>
          <w:lang w:eastAsia="en-AU"/>
        </w:rPr>
        <w:t>b) Equilibruim species</w:t>
      </w:r>
    </w:p>
    <w:p w14:paraId="30339771" w14:textId="77777777" w:rsidR="00EE7F09" w:rsidRDefault="00EE7F09" w:rsidP="00675B7A">
      <w:pPr>
        <w:spacing w:after="0" w:line="240" w:lineRule="auto"/>
        <w:ind w:left="567" w:hanging="567"/>
        <w:rPr>
          <w:b/>
          <w:noProof/>
          <w:lang w:eastAsia="en-AU"/>
        </w:rPr>
      </w:pPr>
      <w:r>
        <w:rPr>
          <w:b/>
          <w:noProof/>
          <w:lang w:eastAsia="en-AU"/>
        </w:rPr>
        <w:drawing>
          <wp:inline distT="0" distB="0" distL="0" distR="0" wp14:anchorId="2B1DB11C" wp14:editId="2D2043F5">
            <wp:extent cx="5630334" cy="1466234"/>
            <wp:effectExtent l="0" t="0" r="8890" b="635"/>
            <wp:docPr id="454" name="Picture 454" descr="all_equilibrium_species__across_years_by_zone_lts_dn_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l_equilibrium_species__across_years_by_zone_lts_dn_combined"/>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657854" cy="1473401"/>
                    </a:xfrm>
                    <a:prstGeom prst="rect">
                      <a:avLst/>
                    </a:prstGeom>
                    <a:noFill/>
                    <a:ln>
                      <a:noFill/>
                    </a:ln>
                  </pic:spPr>
                </pic:pic>
              </a:graphicData>
            </a:graphic>
          </wp:inline>
        </w:drawing>
      </w:r>
    </w:p>
    <w:p w14:paraId="4645A7A3" w14:textId="77777777" w:rsidR="00EE7F09" w:rsidRPr="005B1982" w:rsidRDefault="00EE7F09" w:rsidP="00675B7A">
      <w:pPr>
        <w:spacing w:after="0" w:line="240" w:lineRule="auto"/>
        <w:ind w:left="567" w:hanging="567"/>
        <w:rPr>
          <w:i/>
          <w:noProof/>
          <w:lang w:eastAsia="en-AU"/>
        </w:rPr>
      </w:pPr>
      <w:r w:rsidRPr="005B1982">
        <w:rPr>
          <w:i/>
          <w:noProof/>
          <w:lang w:eastAsia="en-AU"/>
        </w:rPr>
        <w:t>c)  Opportunistic species</w:t>
      </w:r>
    </w:p>
    <w:p w14:paraId="793CED08" w14:textId="77777777" w:rsidR="00EE7F09" w:rsidRDefault="00EE7F09" w:rsidP="00675B7A">
      <w:pPr>
        <w:spacing w:after="120" w:line="240" w:lineRule="auto"/>
        <w:rPr>
          <w:b/>
          <w:noProof/>
          <w:lang w:eastAsia="en-AU"/>
        </w:rPr>
      </w:pPr>
      <w:r>
        <w:rPr>
          <w:b/>
          <w:noProof/>
          <w:lang w:eastAsia="en-AU"/>
        </w:rPr>
        <w:drawing>
          <wp:inline distT="0" distB="0" distL="0" distR="0" wp14:anchorId="49DBDE1A" wp14:editId="46C0053F">
            <wp:extent cx="5623175" cy="4500000"/>
            <wp:effectExtent l="0" t="0" r="0" b="0"/>
            <wp:docPr id="455" name="Picture 455" descr="all_opportunistic_species__across_years_by_zone_lt_dns_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_opportunistic_species__across_years_by_zone_lt_dns_combined"/>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623175" cy="4500000"/>
                    </a:xfrm>
                    <a:prstGeom prst="rect">
                      <a:avLst/>
                    </a:prstGeom>
                    <a:noFill/>
                    <a:ln>
                      <a:noFill/>
                    </a:ln>
                  </pic:spPr>
                </pic:pic>
              </a:graphicData>
            </a:graphic>
          </wp:inline>
        </w:drawing>
      </w:r>
    </w:p>
    <w:p w14:paraId="315E3D6D" w14:textId="77777777" w:rsidR="00EE7F09" w:rsidRPr="000209D7" w:rsidRDefault="00EE7F09" w:rsidP="00675B7A">
      <w:pPr>
        <w:spacing w:after="120" w:line="240" w:lineRule="auto"/>
        <w:jc w:val="left"/>
        <w:rPr>
          <w:sz w:val="20"/>
        </w:rPr>
      </w:pPr>
      <w:r w:rsidRPr="000209D7">
        <w:rPr>
          <w:b/>
          <w:sz w:val="20"/>
        </w:rPr>
        <w:t>Figure</w:t>
      </w:r>
      <w:r>
        <w:rPr>
          <w:b/>
          <w:sz w:val="20"/>
        </w:rPr>
        <w:t xml:space="preserve"> 8.13</w:t>
      </w:r>
      <w:r w:rsidRPr="000209D7">
        <w:rPr>
          <w:b/>
          <w:sz w:val="20"/>
        </w:rPr>
        <w:t xml:space="preserve"> </w:t>
      </w:r>
      <w:r w:rsidRPr="000209D7">
        <w:rPr>
          <w:sz w:val="20"/>
        </w:rPr>
        <w:t xml:space="preserve">Abundance of larval fish collected across years and the four MER study zones for </w:t>
      </w:r>
      <w:r w:rsidRPr="000209D7">
        <w:rPr>
          <w:i/>
          <w:sz w:val="20"/>
        </w:rPr>
        <w:t>a)</w:t>
      </w:r>
      <w:r w:rsidRPr="000209D7">
        <w:rPr>
          <w:sz w:val="20"/>
        </w:rPr>
        <w:t xml:space="preserve"> Periodic, </w:t>
      </w:r>
      <w:r w:rsidRPr="000209D7">
        <w:rPr>
          <w:i/>
          <w:sz w:val="20"/>
        </w:rPr>
        <w:t>b)</w:t>
      </w:r>
      <w:r w:rsidRPr="000209D7">
        <w:rPr>
          <w:sz w:val="20"/>
        </w:rPr>
        <w:t xml:space="preserve"> Equilibrium and </w:t>
      </w:r>
      <w:r w:rsidRPr="000209D7">
        <w:rPr>
          <w:i/>
          <w:sz w:val="20"/>
        </w:rPr>
        <w:t>c)</w:t>
      </w:r>
      <w:r w:rsidRPr="000209D7">
        <w:rPr>
          <w:sz w:val="20"/>
        </w:rPr>
        <w:t xml:space="preserve"> Opportunistic fish</w:t>
      </w:r>
      <w:r>
        <w:rPr>
          <w:sz w:val="20"/>
        </w:rPr>
        <w:t xml:space="preserve"> species in the Edward/Kolety-</w:t>
      </w:r>
      <w:r w:rsidRPr="000209D7">
        <w:rPr>
          <w:sz w:val="20"/>
        </w:rPr>
        <w:t>Wakool Selected Area, 2014-2019. Dashed vertical line denotes 2019-20 data, for which statistical comparisons of larval abundance bet</w:t>
      </w:r>
      <w:r>
        <w:rPr>
          <w:sz w:val="20"/>
        </w:rPr>
        <w:t xml:space="preserve">ween zones were </w:t>
      </w:r>
      <w:r w:rsidRPr="000209D7">
        <w:rPr>
          <w:sz w:val="20"/>
        </w:rPr>
        <w:t>made</w:t>
      </w:r>
      <w:r>
        <w:rPr>
          <w:sz w:val="20"/>
        </w:rPr>
        <w:t xml:space="preserve"> (Table 5</w:t>
      </w:r>
      <w:r w:rsidRPr="000209D7">
        <w:rPr>
          <w:sz w:val="20"/>
        </w:rPr>
        <w:t>).</w:t>
      </w:r>
    </w:p>
    <w:p w14:paraId="07673945" w14:textId="77777777" w:rsidR="00EE7F09" w:rsidRDefault="00EE7F09" w:rsidP="00675B7A">
      <w:pPr>
        <w:spacing w:after="0" w:line="240" w:lineRule="auto"/>
        <w:jc w:val="left"/>
        <w:rPr>
          <w:sz w:val="20"/>
        </w:rPr>
      </w:pPr>
      <w:r>
        <w:rPr>
          <w:b/>
          <w:sz w:val="20"/>
        </w:rPr>
        <w:t>Table 8.5</w:t>
      </w:r>
      <w:r w:rsidRPr="00DF2E81">
        <w:rPr>
          <w:sz w:val="20"/>
        </w:rPr>
        <w:t xml:space="preserve"> </w:t>
      </w:r>
      <w:r>
        <w:rPr>
          <w:sz w:val="20"/>
        </w:rPr>
        <w:t xml:space="preserve">Results of GLMs that tested the effect of zone on mean annual catch of fish larvae (light traps and drift net catch combined) in 2019-20.  Models were run only on species with n&gt;50. </w:t>
      </w:r>
      <w:r w:rsidRPr="00DF2E81">
        <w:rPr>
          <w:i/>
          <w:sz w:val="20"/>
        </w:rPr>
        <w:t xml:space="preserve">P </w:t>
      </w:r>
      <w:r>
        <w:rPr>
          <w:sz w:val="20"/>
        </w:rPr>
        <w:t xml:space="preserve">values &lt;0.05 used to determine </w:t>
      </w:r>
      <w:r w:rsidRPr="00DF2E81">
        <w:rPr>
          <w:sz w:val="20"/>
        </w:rPr>
        <w:t xml:space="preserve">significance. </w:t>
      </w:r>
      <w:r>
        <w:rPr>
          <w:sz w:val="20"/>
        </w:rPr>
        <w:t>Significance codes: ***&lt;0.001, **&lt;0.01, *&lt;0.05. CEW prediction: ‘yes’ all zones that received CEW (zones 1,3 and 4) had higher abundances of fish eggs/larvae than zones that did not (zone 2), ‘partial’, some but not all zones that received CEW had higher larvae/egg abundances than zone 2, and ‘no’, none of the zones that received CEW had higher larvae/egg abundances than zone 2.</w:t>
      </w:r>
    </w:p>
    <w:tbl>
      <w:tblPr>
        <w:tblW w:w="8362" w:type="dxa"/>
        <w:tblLook w:val="04A0" w:firstRow="1" w:lastRow="0" w:firstColumn="1" w:lastColumn="0" w:noHBand="0" w:noVBand="1"/>
      </w:tblPr>
      <w:tblGrid>
        <w:gridCol w:w="2267"/>
        <w:gridCol w:w="891"/>
        <w:gridCol w:w="951"/>
        <w:gridCol w:w="1175"/>
        <w:gridCol w:w="1196"/>
        <w:gridCol w:w="1882"/>
      </w:tblGrid>
      <w:tr w:rsidR="00EE7F09" w:rsidRPr="00CE2445" w14:paraId="6FC8C8ED" w14:textId="77777777" w:rsidTr="00530743">
        <w:trPr>
          <w:trHeight w:val="354"/>
        </w:trPr>
        <w:tc>
          <w:tcPr>
            <w:tcW w:w="2267" w:type="dxa"/>
            <w:tcBorders>
              <w:top w:val="single" w:sz="4" w:space="0" w:color="auto"/>
              <w:left w:val="nil"/>
              <w:bottom w:val="single" w:sz="4" w:space="0" w:color="auto"/>
              <w:right w:val="nil"/>
            </w:tcBorders>
            <w:shd w:val="clear" w:color="auto" w:fill="B6DDE8"/>
            <w:noWrap/>
            <w:vAlign w:val="center"/>
          </w:tcPr>
          <w:p w14:paraId="1E0CC829" w14:textId="77777777" w:rsidR="00EE7F09" w:rsidRPr="00CE2445" w:rsidRDefault="00EE7F09" w:rsidP="00EE7F09">
            <w:pPr>
              <w:spacing w:after="0" w:line="240" w:lineRule="auto"/>
              <w:ind w:left="-108" w:firstLine="142"/>
              <w:jc w:val="center"/>
              <w:rPr>
                <w:rFonts w:eastAsia="Times New Roman"/>
                <w:color w:val="000000"/>
                <w:sz w:val="20"/>
                <w:lang w:eastAsia="en-AU"/>
              </w:rPr>
            </w:pPr>
            <w:r w:rsidRPr="00CE2445">
              <w:rPr>
                <w:rFonts w:eastAsia="Times New Roman"/>
                <w:color w:val="000000"/>
                <w:sz w:val="20"/>
                <w:lang w:eastAsia="en-AU"/>
              </w:rPr>
              <w:t>Fish species</w:t>
            </w:r>
          </w:p>
        </w:tc>
        <w:tc>
          <w:tcPr>
            <w:tcW w:w="891" w:type="dxa"/>
            <w:tcBorders>
              <w:top w:val="single" w:sz="4" w:space="0" w:color="auto"/>
              <w:left w:val="nil"/>
              <w:bottom w:val="single" w:sz="4" w:space="0" w:color="auto"/>
              <w:right w:val="nil"/>
            </w:tcBorders>
            <w:shd w:val="clear" w:color="auto" w:fill="B6DDE8"/>
            <w:noWrap/>
            <w:vAlign w:val="center"/>
          </w:tcPr>
          <w:p w14:paraId="6B679A4B" w14:textId="77777777" w:rsidR="00EE7F09" w:rsidRPr="00CE2445" w:rsidRDefault="00EE7F09" w:rsidP="00EE7F09">
            <w:pPr>
              <w:spacing w:after="0" w:line="240" w:lineRule="auto"/>
              <w:ind w:left="-108" w:firstLine="142"/>
              <w:jc w:val="center"/>
              <w:rPr>
                <w:rFonts w:eastAsia="Times New Roman"/>
                <w:color w:val="000000"/>
                <w:sz w:val="20"/>
                <w:lang w:eastAsia="en-AU"/>
              </w:rPr>
            </w:pPr>
            <w:r w:rsidRPr="00CE2445">
              <w:rPr>
                <w:rFonts w:eastAsia="Times New Roman"/>
                <w:color w:val="000000"/>
                <w:sz w:val="20"/>
                <w:lang w:eastAsia="en-AU"/>
              </w:rPr>
              <w:t>d.f</w:t>
            </w:r>
          </w:p>
        </w:tc>
        <w:tc>
          <w:tcPr>
            <w:tcW w:w="951" w:type="dxa"/>
            <w:tcBorders>
              <w:top w:val="single" w:sz="4" w:space="0" w:color="auto"/>
              <w:left w:val="nil"/>
              <w:bottom w:val="single" w:sz="4" w:space="0" w:color="auto"/>
              <w:right w:val="nil"/>
            </w:tcBorders>
            <w:shd w:val="clear" w:color="auto" w:fill="B6DDE8"/>
            <w:noWrap/>
            <w:vAlign w:val="center"/>
          </w:tcPr>
          <w:p w14:paraId="00972171" w14:textId="77777777" w:rsidR="00EE7F09" w:rsidRPr="00CE2445" w:rsidRDefault="00EE7F09" w:rsidP="00EE7F09">
            <w:pPr>
              <w:spacing w:after="0" w:line="240" w:lineRule="auto"/>
              <w:ind w:left="-108" w:firstLine="142"/>
              <w:jc w:val="center"/>
              <w:rPr>
                <w:rFonts w:eastAsia="Times New Roman"/>
                <w:color w:val="000000"/>
                <w:sz w:val="20"/>
                <w:lang w:eastAsia="en-AU"/>
              </w:rPr>
            </w:pPr>
            <w:r>
              <w:rPr>
                <w:rFonts w:eastAsia="Times New Roman"/>
                <w:color w:val="000000"/>
                <w:sz w:val="20"/>
                <w:lang w:eastAsia="en-AU"/>
              </w:rPr>
              <w:t xml:space="preserve">F </w:t>
            </w:r>
            <w:r w:rsidRPr="00CE2445">
              <w:rPr>
                <w:rFonts w:eastAsia="Times New Roman"/>
                <w:color w:val="000000"/>
                <w:sz w:val="20"/>
                <w:lang w:eastAsia="en-AU"/>
              </w:rPr>
              <w:t>statistic</w:t>
            </w:r>
          </w:p>
        </w:tc>
        <w:tc>
          <w:tcPr>
            <w:tcW w:w="1175" w:type="dxa"/>
            <w:tcBorders>
              <w:top w:val="single" w:sz="4" w:space="0" w:color="auto"/>
              <w:left w:val="nil"/>
              <w:bottom w:val="single" w:sz="4" w:space="0" w:color="auto"/>
              <w:right w:val="nil"/>
            </w:tcBorders>
            <w:shd w:val="clear" w:color="auto" w:fill="B6DDE8"/>
            <w:noWrap/>
            <w:vAlign w:val="center"/>
          </w:tcPr>
          <w:p w14:paraId="40EA98A2" w14:textId="77777777" w:rsidR="00EE7F09" w:rsidRPr="00CE2445" w:rsidRDefault="00EE7F09" w:rsidP="00EE7F09">
            <w:pPr>
              <w:spacing w:after="0" w:line="240" w:lineRule="auto"/>
              <w:ind w:left="-108" w:firstLine="142"/>
              <w:jc w:val="center"/>
              <w:rPr>
                <w:rFonts w:eastAsia="Times New Roman"/>
                <w:color w:val="000000"/>
                <w:sz w:val="20"/>
                <w:lang w:eastAsia="en-AU"/>
              </w:rPr>
            </w:pPr>
            <w:r w:rsidRPr="00CE2445">
              <w:rPr>
                <w:rFonts w:eastAsia="Times New Roman"/>
                <w:i/>
                <w:color w:val="000000"/>
                <w:sz w:val="20"/>
                <w:lang w:eastAsia="en-AU"/>
              </w:rPr>
              <w:t>P</w:t>
            </w:r>
            <w:r w:rsidRPr="00CE2445">
              <w:rPr>
                <w:rFonts w:eastAsia="Times New Roman"/>
                <w:color w:val="000000"/>
                <w:sz w:val="20"/>
                <w:lang w:eastAsia="en-AU"/>
              </w:rPr>
              <w:t xml:space="preserve"> value</w:t>
            </w:r>
          </w:p>
        </w:tc>
        <w:tc>
          <w:tcPr>
            <w:tcW w:w="1196" w:type="dxa"/>
            <w:tcBorders>
              <w:top w:val="single" w:sz="4" w:space="0" w:color="auto"/>
              <w:left w:val="nil"/>
              <w:bottom w:val="single" w:sz="4" w:space="0" w:color="auto"/>
              <w:right w:val="nil"/>
            </w:tcBorders>
            <w:shd w:val="clear" w:color="auto" w:fill="B6DDE8"/>
            <w:vAlign w:val="center"/>
          </w:tcPr>
          <w:p w14:paraId="02EE5B9E" w14:textId="77777777" w:rsidR="00EE7F09" w:rsidRPr="00CE2445" w:rsidRDefault="00EE7F09" w:rsidP="00EE7F09">
            <w:pPr>
              <w:spacing w:after="0" w:line="240" w:lineRule="auto"/>
              <w:ind w:left="-108" w:firstLine="142"/>
              <w:jc w:val="center"/>
              <w:rPr>
                <w:rFonts w:eastAsia="Times New Roman"/>
                <w:color w:val="000000"/>
                <w:sz w:val="20"/>
                <w:lang w:eastAsia="en-AU"/>
              </w:rPr>
            </w:pPr>
            <w:r w:rsidRPr="00CE2445">
              <w:rPr>
                <w:rFonts w:eastAsia="Times New Roman"/>
                <w:color w:val="000000"/>
                <w:sz w:val="20"/>
                <w:lang w:eastAsia="en-AU"/>
              </w:rPr>
              <w:t>significance</w:t>
            </w:r>
          </w:p>
        </w:tc>
        <w:tc>
          <w:tcPr>
            <w:tcW w:w="1882" w:type="dxa"/>
            <w:tcBorders>
              <w:top w:val="single" w:sz="4" w:space="0" w:color="auto"/>
              <w:left w:val="nil"/>
              <w:bottom w:val="single" w:sz="4" w:space="0" w:color="auto"/>
              <w:right w:val="nil"/>
            </w:tcBorders>
            <w:shd w:val="clear" w:color="auto" w:fill="B6DDE8"/>
          </w:tcPr>
          <w:p w14:paraId="0D3D7665" w14:textId="77777777" w:rsidR="00EE7F09" w:rsidRDefault="00EE7F09" w:rsidP="00EE7F09">
            <w:pPr>
              <w:spacing w:after="0" w:line="240" w:lineRule="auto"/>
              <w:ind w:left="-108" w:firstLine="142"/>
              <w:jc w:val="center"/>
              <w:rPr>
                <w:rFonts w:eastAsia="Times New Roman"/>
                <w:color w:val="000000"/>
                <w:sz w:val="20"/>
                <w:lang w:eastAsia="en-AU"/>
              </w:rPr>
            </w:pPr>
            <w:r>
              <w:rPr>
                <w:rFonts w:eastAsia="Times New Roman"/>
                <w:color w:val="000000"/>
                <w:sz w:val="20"/>
                <w:lang w:eastAsia="en-AU"/>
              </w:rPr>
              <w:t>CEWO</w:t>
            </w:r>
          </w:p>
          <w:p w14:paraId="09F3CACD" w14:textId="77777777" w:rsidR="00EE7F09" w:rsidRDefault="00EE7F09" w:rsidP="00EE7F09">
            <w:pPr>
              <w:spacing w:after="0" w:line="240" w:lineRule="auto"/>
              <w:ind w:left="-108" w:firstLine="142"/>
              <w:jc w:val="center"/>
              <w:rPr>
                <w:rFonts w:eastAsia="Times New Roman"/>
                <w:color w:val="000000"/>
                <w:sz w:val="20"/>
                <w:lang w:eastAsia="en-AU"/>
              </w:rPr>
            </w:pPr>
            <w:r>
              <w:rPr>
                <w:rFonts w:eastAsia="Times New Roman"/>
                <w:color w:val="000000"/>
                <w:sz w:val="20"/>
                <w:lang w:eastAsia="en-AU"/>
              </w:rPr>
              <w:t>prediction</w:t>
            </w:r>
          </w:p>
          <w:p w14:paraId="68B7D73A" w14:textId="77777777" w:rsidR="00EE7F09" w:rsidRPr="00CE2445" w:rsidRDefault="00EE7F09" w:rsidP="00EE7F09">
            <w:pPr>
              <w:spacing w:after="0" w:line="240" w:lineRule="auto"/>
              <w:ind w:left="-108" w:firstLine="142"/>
              <w:jc w:val="center"/>
              <w:rPr>
                <w:rFonts w:eastAsia="Times New Roman"/>
                <w:color w:val="000000"/>
                <w:sz w:val="20"/>
                <w:lang w:eastAsia="en-AU"/>
              </w:rPr>
            </w:pPr>
            <w:r>
              <w:rPr>
                <w:rFonts w:eastAsia="Times New Roman"/>
                <w:color w:val="000000"/>
                <w:sz w:val="20"/>
                <w:lang w:eastAsia="en-AU"/>
              </w:rPr>
              <w:t>(zone 2 &lt; zone 1,3,4)</w:t>
            </w:r>
          </w:p>
        </w:tc>
      </w:tr>
      <w:tr w:rsidR="00EE7F09" w:rsidRPr="00CE2445" w14:paraId="4D80065D" w14:textId="77777777" w:rsidTr="00530743">
        <w:trPr>
          <w:trHeight w:hRule="exact" w:val="244"/>
        </w:trPr>
        <w:tc>
          <w:tcPr>
            <w:tcW w:w="2267" w:type="dxa"/>
            <w:tcBorders>
              <w:left w:val="nil"/>
              <w:right w:val="nil"/>
            </w:tcBorders>
            <w:shd w:val="clear" w:color="auto" w:fill="auto"/>
            <w:noWrap/>
            <w:vAlign w:val="center"/>
          </w:tcPr>
          <w:p w14:paraId="04D124E3" w14:textId="77777777" w:rsidR="00EE7F09" w:rsidRPr="00261A6D" w:rsidRDefault="00EE7F09" w:rsidP="00EE7F09">
            <w:pPr>
              <w:spacing w:after="120" w:line="240" w:lineRule="auto"/>
              <w:ind w:left="-108" w:firstLine="142"/>
              <w:rPr>
                <w:i/>
                <w:color w:val="006666"/>
                <w:lang w:val="en-US"/>
              </w:rPr>
            </w:pPr>
            <w:r w:rsidRPr="00261A6D">
              <w:rPr>
                <w:i/>
                <w:color w:val="006666"/>
                <w:lang w:val="en-US"/>
              </w:rPr>
              <w:t>periodic species</w:t>
            </w:r>
          </w:p>
        </w:tc>
        <w:tc>
          <w:tcPr>
            <w:tcW w:w="891" w:type="dxa"/>
            <w:tcBorders>
              <w:left w:val="nil"/>
              <w:right w:val="nil"/>
            </w:tcBorders>
            <w:shd w:val="clear" w:color="auto" w:fill="auto"/>
            <w:noWrap/>
            <w:vAlign w:val="center"/>
          </w:tcPr>
          <w:p w14:paraId="6680C472"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951" w:type="dxa"/>
            <w:tcBorders>
              <w:left w:val="nil"/>
              <w:right w:val="nil"/>
            </w:tcBorders>
            <w:shd w:val="clear" w:color="auto" w:fill="auto"/>
            <w:noWrap/>
            <w:vAlign w:val="bottom"/>
          </w:tcPr>
          <w:p w14:paraId="74FD3B27" w14:textId="77777777" w:rsidR="00EE7F09" w:rsidRPr="00CE2445" w:rsidRDefault="00EE7F09" w:rsidP="00EE7F09">
            <w:pPr>
              <w:spacing w:after="120" w:line="240" w:lineRule="auto"/>
              <w:ind w:left="-108" w:firstLine="142"/>
              <w:jc w:val="right"/>
              <w:rPr>
                <w:rFonts w:eastAsia="Times New Roman"/>
                <w:color w:val="000000"/>
                <w:sz w:val="20"/>
                <w:lang w:eastAsia="en-AU"/>
              </w:rPr>
            </w:pPr>
          </w:p>
        </w:tc>
        <w:tc>
          <w:tcPr>
            <w:tcW w:w="1175" w:type="dxa"/>
            <w:tcBorders>
              <w:left w:val="nil"/>
              <w:right w:val="nil"/>
            </w:tcBorders>
            <w:shd w:val="clear" w:color="auto" w:fill="auto"/>
            <w:noWrap/>
            <w:vAlign w:val="bottom"/>
          </w:tcPr>
          <w:p w14:paraId="31D33D08" w14:textId="77777777" w:rsidR="00EE7F09" w:rsidRPr="00CE2445" w:rsidRDefault="00EE7F09" w:rsidP="00EE7F09">
            <w:pPr>
              <w:spacing w:after="120" w:line="240" w:lineRule="auto"/>
              <w:ind w:left="-108" w:firstLine="142"/>
              <w:jc w:val="right"/>
              <w:rPr>
                <w:rFonts w:eastAsia="Times New Roman"/>
                <w:color w:val="000000"/>
                <w:sz w:val="20"/>
                <w:lang w:eastAsia="en-AU"/>
              </w:rPr>
            </w:pPr>
          </w:p>
        </w:tc>
        <w:tc>
          <w:tcPr>
            <w:tcW w:w="1196" w:type="dxa"/>
            <w:tcBorders>
              <w:left w:val="nil"/>
              <w:right w:val="nil"/>
            </w:tcBorders>
            <w:vAlign w:val="bottom"/>
          </w:tcPr>
          <w:p w14:paraId="0FD92B1C"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1882" w:type="dxa"/>
            <w:tcBorders>
              <w:left w:val="nil"/>
              <w:right w:val="nil"/>
            </w:tcBorders>
          </w:tcPr>
          <w:p w14:paraId="1957846D"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r>
      <w:tr w:rsidR="00EE7F09" w:rsidRPr="00CE2445" w14:paraId="12E6F953" w14:textId="77777777" w:rsidTr="00530743">
        <w:trPr>
          <w:trHeight w:hRule="exact" w:val="244"/>
        </w:trPr>
        <w:tc>
          <w:tcPr>
            <w:tcW w:w="2267" w:type="dxa"/>
            <w:tcBorders>
              <w:left w:val="nil"/>
              <w:right w:val="nil"/>
            </w:tcBorders>
            <w:shd w:val="clear" w:color="auto" w:fill="auto"/>
            <w:noWrap/>
            <w:vAlign w:val="center"/>
          </w:tcPr>
          <w:p w14:paraId="4381038A" w14:textId="77777777" w:rsidR="00EE7F09" w:rsidRPr="00261A6D" w:rsidRDefault="00EE7F09" w:rsidP="00EE7F09">
            <w:pPr>
              <w:spacing w:after="120" w:line="240" w:lineRule="auto"/>
              <w:ind w:left="-108" w:firstLine="142"/>
              <w:rPr>
                <w:color w:val="006666"/>
                <w:lang w:val="en-US"/>
              </w:rPr>
            </w:pPr>
            <w:r w:rsidRPr="00261A6D">
              <w:rPr>
                <w:rFonts w:eastAsia="Times New Roman"/>
                <w:color w:val="000000"/>
                <w:sz w:val="20"/>
                <w:lang w:eastAsia="en-AU"/>
              </w:rPr>
              <w:t>bony herring</w:t>
            </w:r>
          </w:p>
        </w:tc>
        <w:tc>
          <w:tcPr>
            <w:tcW w:w="891" w:type="dxa"/>
            <w:tcBorders>
              <w:left w:val="nil"/>
              <w:right w:val="nil"/>
            </w:tcBorders>
            <w:shd w:val="clear" w:color="auto" w:fill="auto"/>
            <w:noWrap/>
            <w:vAlign w:val="center"/>
          </w:tcPr>
          <w:p w14:paraId="4771923C"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3,16</w:t>
            </w:r>
          </w:p>
        </w:tc>
        <w:tc>
          <w:tcPr>
            <w:tcW w:w="951" w:type="dxa"/>
            <w:tcBorders>
              <w:left w:val="nil"/>
              <w:right w:val="nil"/>
            </w:tcBorders>
            <w:shd w:val="clear" w:color="auto" w:fill="auto"/>
            <w:noWrap/>
          </w:tcPr>
          <w:p w14:paraId="6B03DE1D" w14:textId="77777777" w:rsidR="00EE7F09" w:rsidRPr="00CE2445"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10.267</w:t>
            </w:r>
          </w:p>
        </w:tc>
        <w:tc>
          <w:tcPr>
            <w:tcW w:w="1175" w:type="dxa"/>
            <w:tcBorders>
              <w:left w:val="nil"/>
              <w:right w:val="nil"/>
            </w:tcBorders>
            <w:shd w:val="clear" w:color="auto" w:fill="auto"/>
            <w:noWrap/>
            <w:vAlign w:val="bottom"/>
          </w:tcPr>
          <w:p w14:paraId="0E6CE1F8" w14:textId="77777777" w:rsidR="00EE7F09" w:rsidRPr="00CE2445"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&lt;0.001</w:t>
            </w:r>
          </w:p>
        </w:tc>
        <w:tc>
          <w:tcPr>
            <w:tcW w:w="1196" w:type="dxa"/>
            <w:tcBorders>
              <w:left w:val="nil"/>
              <w:right w:val="nil"/>
            </w:tcBorders>
          </w:tcPr>
          <w:p w14:paraId="02259C12" w14:textId="77777777" w:rsidR="00EE7F09" w:rsidRPr="00CE2445"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right w:val="nil"/>
            </w:tcBorders>
          </w:tcPr>
          <w:p w14:paraId="77E1221F" w14:textId="77777777" w:rsidR="00EE7F09" w:rsidRPr="00CE2445"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partial</w:t>
            </w:r>
          </w:p>
        </w:tc>
      </w:tr>
      <w:tr w:rsidR="00EE7F09" w:rsidRPr="00CE2445" w14:paraId="0915E6E5" w14:textId="77777777" w:rsidTr="00530743">
        <w:trPr>
          <w:trHeight w:hRule="exact" w:val="244"/>
        </w:trPr>
        <w:tc>
          <w:tcPr>
            <w:tcW w:w="2267" w:type="dxa"/>
            <w:tcBorders>
              <w:left w:val="nil"/>
              <w:right w:val="nil"/>
            </w:tcBorders>
            <w:shd w:val="clear" w:color="auto" w:fill="auto"/>
            <w:noWrap/>
            <w:vAlign w:val="center"/>
          </w:tcPr>
          <w:p w14:paraId="41F7AB83" w14:textId="77777777" w:rsidR="00EE7F09" w:rsidRPr="00CE2445" w:rsidRDefault="00EE7F09" w:rsidP="00EE7F09">
            <w:pPr>
              <w:spacing w:after="120" w:line="240" w:lineRule="auto"/>
              <w:ind w:left="-108" w:firstLine="142"/>
              <w:rPr>
                <w:rFonts w:eastAsia="Times New Roman"/>
                <w:i/>
                <w:color w:val="000000"/>
                <w:sz w:val="20"/>
                <w:lang w:eastAsia="en-AU"/>
              </w:rPr>
            </w:pPr>
            <w:r w:rsidRPr="00261A6D">
              <w:rPr>
                <w:i/>
                <w:color w:val="006666"/>
                <w:lang w:val="en-US"/>
              </w:rPr>
              <w:t>equilibrium species</w:t>
            </w:r>
          </w:p>
        </w:tc>
        <w:tc>
          <w:tcPr>
            <w:tcW w:w="891" w:type="dxa"/>
            <w:tcBorders>
              <w:left w:val="nil"/>
              <w:right w:val="nil"/>
            </w:tcBorders>
            <w:shd w:val="clear" w:color="auto" w:fill="auto"/>
            <w:noWrap/>
            <w:vAlign w:val="center"/>
          </w:tcPr>
          <w:p w14:paraId="557B8992"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951" w:type="dxa"/>
            <w:tcBorders>
              <w:left w:val="nil"/>
              <w:right w:val="nil"/>
            </w:tcBorders>
            <w:shd w:val="clear" w:color="auto" w:fill="auto"/>
            <w:noWrap/>
            <w:vAlign w:val="bottom"/>
          </w:tcPr>
          <w:p w14:paraId="7F597CBA" w14:textId="77777777" w:rsidR="00EE7F09" w:rsidRPr="00CE2445" w:rsidRDefault="00EE7F09" w:rsidP="00EE7F09">
            <w:pPr>
              <w:spacing w:after="120" w:line="240" w:lineRule="auto"/>
              <w:ind w:left="-108" w:firstLine="142"/>
              <w:jc w:val="right"/>
              <w:rPr>
                <w:rFonts w:eastAsia="Times New Roman"/>
                <w:color w:val="000000"/>
                <w:sz w:val="20"/>
                <w:lang w:eastAsia="en-AU"/>
              </w:rPr>
            </w:pPr>
          </w:p>
        </w:tc>
        <w:tc>
          <w:tcPr>
            <w:tcW w:w="1175" w:type="dxa"/>
            <w:tcBorders>
              <w:left w:val="nil"/>
              <w:right w:val="nil"/>
            </w:tcBorders>
            <w:shd w:val="clear" w:color="auto" w:fill="auto"/>
            <w:noWrap/>
            <w:vAlign w:val="bottom"/>
          </w:tcPr>
          <w:p w14:paraId="2712F1D8" w14:textId="77777777" w:rsidR="00EE7F09" w:rsidRPr="00CE2445" w:rsidRDefault="00EE7F09" w:rsidP="00EE7F09">
            <w:pPr>
              <w:tabs>
                <w:tab w:val="left" w:pos="793"/>
              </w:tabs>
              <w:spacing w:after="120" w:line="240" w:lineRule="auto"/>
              <w:ind w:left="-108" w:right="150" w:firstLine="142"/>
              <w:jc w:val="right"/>
              <w:rPr>
                <w:rFonts w:eastAsia="Times New Roman"/>
                <w:color w:val="000000"/>
                <w:sz w:val="20"/>
                <w:lang w:eastAsia="en-AU"/>
              </w:rPr>
            </w:pPr>
          </w:p>
        </w:tc>
        <w:tc>
          <w:tcPr>
            <w:tcW w:w="1196" w:type="dxa"/>
            <w:tcBorders>
              <w:left w:val="nil"/>
              <w:right w:val="nil"/>
            </w:tcBorders>
          </w:tcPr>
          <w:p w14:paraId="1CD4B221"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1882" w:type="dxa"/>
            <w:tcBorders>
              <w:left w:val="nil"/>
              <w:right w:val="nil"/>
            </w:tcBorders>
          </w:tcPr>
          <w:p w14:paraId="26C25A7B"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r>
      <w:tr w:rsidR="00EE7F09" w:rsidRPr="00CE2445" w14:paraId="48021A8B" w14:textId="77777777" w:rsidTr="00530743">
        <w:trPr>
          <w:trHeight w:hRule="exact" w:val="244"/>
        </w:trPr>
        <w:tc>
          <w:tcPr>
            <w:tcW w:w="2267" w:type="dxa"/>
            <w:tcBorders>
              <w:left w:val="nil"/>
              <w:right w:val="nil"/>
            </w:tcBorders>
            <w:shd w:val="clear" w:color="auto" w:fill="auto"/>
            <w:noWrap/>
            <w:vAlign w:val="center"/>
          </w:tcPr>
          <w:p w14:paraId="28479A3D" w14:textId="77777777" w:rsidR="00EE7F09" w:rsidRPr="00CE2445" w:rsidRDefault="00EE7F09" w:rsidP="00EE7F09">
            <w:pPr>
              <w:spacing w:after="120" w:line="240" w:lineRule="auto"/>
              <w:ind w:left="-108" w:firstLine="142"/>
              <w:rPr>
                <w:rFonts w:eastAsia="Times New Roman"/>
                <w:color w:val="000000"/>
                <w:sz w:val="20"/>
                <w:lang w:eastAsia="en-AU"/>
              </w:rPr>
            </w:pPr>
            <w:r w:rsidRPr="00CE2445">
              <w:rPr>
                <w:rFonts w:eastAsia="Times New Roman"/>
                <w:color w:val="000000"/>
                <w:sz w:val="20"/>
                <w:lang w:eastAsia="en-AU"/>
              </w:rPr>
              <w:t>Murray cod</w:t>
            </w:r>
            <w:r>
              <w:rPr>
                <w:rFonts w:eastAsia="Times New Roman"/>
                <w:color w:val="000000"/>
                <w:sz w:val="20"/>
                <w:lang w:eastAsia="en-AU"/>
              </w:rPr>
              <w:t xml:space="preserve"> (n=3,866)</w:t>
            </w:r>
          </w:p>
        </w:tc>
        <w:tc>
          <w:tcPr>
            <w:tcW w:w="891" w:type="dxa"/>
            <w:tcBorders>
              <w:left w:val="nil"/>
              <w:right w:val="nil"/>
            </w:tcBorders>
            <w:shd w:val="clear" w:color="auto" w:fill="auto"/>
            <w:noWrap/>
            <w:vAlign w:val="center"/>
          </w:tcPr>
          <w:p w14:paraId="5DF4CEBB" w14:textId="77777777" w:rsidR="00EE7F09" w:rsidRPr="00CE2445"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w:t>
            </w:r>
          </w:p>
        </w:tc>
        <w:tc>
          <w:tcPr>
            <w:tcW w:w="951" w:type="dxa"/>
            <w:tcBorders>
              <w:left w:val="nil"/>
              <w:right w:val="nil"/>
            </w:tcBorders>
            <w:shd w:val="clear" w:color="auto" w:fill="auto"/>
            <w:noWrap/>
            <w:vAlign w:val="bottom"/>
          </w:tcPr>
          <w:p w14:paraId="13ABBB18" w14:textId="77777777" w:rsidR="00EE7F09" w:rsidRPr="00CE2445"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11.767</w:t>
            </w:r>
          </w:p>
        </w:tc>
        <w:tc>
          <w:tcPr>
            <w:tcW w:w="1175" w:type="dxa"/>
            <w:tcBorders>
              <w:left w:val="nil"/>
              <w:right w:val="nil"/>
            </w:tcBorders>
            <w:shd w:val="clear" w:color="auto" w:fill="auto"/>
            <w:noWrap/>
            <w:vAlign w:val="bottom"/>
          </w:tcPr>
          <w:p w14:paraId="3E35556B" w14:textId="77777777" w:rsidR="00EE7F09" w:rsidRPr="00CE2445"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&lt;0.001</w:t>
            </w:r>
          </w:p>
        </w:tc>
        <w:tc>
          <w:tcPr>
            <w:tcW w:w="1196" w:type="dxa"/>
            <w:tcBorders>
              <w:left w:val="nil"/>
              <w:right w:val="nil"/>
            </w:tcBorders>
          </w:tcPr>
          <w:p w14:paraId="1F1AD193"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right w:val="nil"/>
            </w:tcBorders>
          </w:tcPr>
          <w:p w14:paraId="62E6B6DD"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no</w:t>
            </w:r>
          </w:p>
        </w:tc>
      </w:tr>
      <w:tr w:rsidR="00EE7F09" w:rsidRPr="00CE2445" w14:paraId="66D908B2" w14:textId="77777777" w:rsidTr="00530743">
        <w:trPr>
          <w:trHeight w:hRule="exact" w:val="244"/>
        </w:trPr>
        <w:tc>
          <w:tcPr>
            <w:tcW w:w="2267" w:type="dxa"/>
            <w:tcBorders>
              <w:left w:val="nil"/>
              <w:right w:val="nil"/>
            </w:tcBorders>
            <w:shd w:val="clear" w:color="auto" w:fill="auto"/>
            <w:noWrap/>
            <w:vAlign w:val="center"/>
          </w:tcPr>
          <w:p w14:paraId="13C133AB" w14:textId="77777777" w:rsidR="00EE7F09" w:rsidRPr="00CE2445" w:rsidRDefault="00EE7F09" w:rsidP="00EE7F09">
            <w:pPr>
              <w:spacing w:after="120" w:line="240" w:lineRule="auto"/>
              <w:ind w:left="-108" w:firstLine="142"/>
              <w:rPr>
                <w:rFonts w:eastAsia="Times New Roman"/>
                <w:color w:val="000000"/>
                <w:sz w:val="20"/>
                <w:lang w:eastAsia="en-AU"/>
              </w:rPr>
            </w:pPr>
            <w:r>
              <w:rPr>
                <w:rFonts w:eastAsia="Times New Roman"/>
                <w:color w:val="000000"/>
                <w:sz w:val="20"/>
                <w:lang w:eastAsia="en-AU"/>
              </w:rPr>
              <w:t>river blackfish</w:t>
            </w:r>
          </w:p>
        </w:tc>
        <w:tc>
          <w:tcPr>
            <w:tcW w:w="891" w:type="dxa"/>
            <w:tcBorders>
              <w:left w:val="nil"/>
              <w:right w:val="nil"/>
            </w:tcBorders>
            <w:shd w:val="clear" w:color="auto" w:fill="auto"/>
            <w:noWrap/>
            <w:vAlign w:val="center"/>
          </w:tcPr>
          <w:p w14:paraId="75E7F38C"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3,16</w:t>
            </w:r>
          </w:p>
        </w:tc>
        <w:tc>
          <w:tcPr>
            <w:tcW w:w="951" w:type="dxa"/>
            <w:tcBorders>
              <w:left w:val="nil"/>
              <w:right w:val="nil"/>
            </w:tcBorders>
            <w:shd w:val="clear" w:color="auto" w:fill="auto"/>
            <w:noWrap/>
            <w:vAlign w:val="bottom"/>
          </w:tcPr>
          <w:p w14:paraId="5E772630" w14:textId="77777777" w:rsidR="00EE7F09"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12.063</w:t>
            </w:r>
          </w:p>
        </w:tc>
        <w:tc>
          <w:tcPr>
            <w:tcW w:w="1175" w:type="dxa"/>
            <w:tcBorders>
              <w:left w:val="nil"/>
              <w:right w:val="nil"/>
            </w:tcBorders>
            <w:shd w:val="clear" w:color="auto" w:fill="auto"/>
            <w:noWrap/>
            <w:vAlign w:val="bottom"/>
          </w:tcPr>
          <w:p w14:paraId="1C00E1AC" w14:textId="77777777" w:rsidR="00EE7F09"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&lt;0.001</w:t>
            </w:r>
          </w:p>
        </w:tc>
        <w:tc>
          <w:tcPr>
            <w:tcW w:w="1196" w:type="dxa"/>
            <w:tcBorders>
              <w:left w:val="nil"/>
              <w:right w:val="nil"/>
            </w:tcBorders>
          </w:tcPr>
          <w:p w14:paraId="68DE3BFA"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right w:val="nil"/>
            </w:tcBorders>
          </w:tcPr>
          <w:p w14:paraId="30AFE460"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no</w:t>
            </w:r>
          </w:p>
        </w:tc>
      </w:tr>
      <w:tr w:rsidR="00EE7F09" w:rsidRPr="00CE2445" w14:paraId="10D9BEA6" w14:textId="77777777" w:rsidTr="00530743">
        <w:trPr>
          <w:trHeight w:hRule="exact" w:val="244"/>
        </w:trPr>
        <w:tc>
          <w:tcPr>
            <w:tcW w:w="2267" w:type="dxa"/>
            <w:tcBorders>
              <w:left w:val="nil"/>
              <w:right w:val="nil"/>
            </w:tcBorders>
            <w:shd w:val="clear" w:color="auto" w:fill="auto"/>
            <w:noWrap/>
            <w:vAlign w:val="center"/>
          </w:tcPr>
          <w:p w14:paraId="2F2F7BFE" w14:textId="77777777" w:rsidR="00EE7F09" w:rsidRPr="00CE2445" w:rsidRDefault="00EE7F09" w:rsidP="00EE7F09">
            <w:pPr>
              <w:spacing w:after="120" w:line="240" w:lineRule="auto"/>
              <w:ind w:left="-108" w:firstLine="142"/>
              <w:rPr>
                <w:rFonts w:eastAsia="Times New Roman"/>
                <w:i/>
                <w:color w:val="000000"/>
                <w:sz w:val="20"/>
                <w:lang w:eastAsia="en-AU"/>
              </w:rPr>
            </w:pPr>
            <w:r w:rsidRPr="00261A6D">
              <w:rPr>
                <w:i/>
                <w:color w:val="006666"/>
                <w:lang w:val="en-US"/>
              </w:rPr>
              <w:t>opportunistic species</w:t>
            </w:r>
          </w:p>
        </w:tc>
        <w:tc>
          <w:tcPr>
            <w:tcW w:w="891" w:type="dxa"/>
            <w:tcBorders>
              <w:left w:val="nil"/>
              <w:right w:val="nil"/>
            </w:tcBorders>
            <w:shd w:val="clear" w:color="auto" w:fill="auto"/>
            <w:noWrap/>
            <w:vAlign w:val="center"/>
          </w:tcPr>
          <w:p w14:paraId="4BB48542"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951" w:type="dxa"/>
            <w:tcBorders>
              <w:left w:val="nil"/>
              <w:right w:val="nil"/>
            </w:tcBorders>
            <w:shd w:val="clear" w:color="auto" w:fill="auto"/>
            <w:noWrap/>
            <w:vAlign w:val="bottom"/>
          </w:tcPr>
          <w:p w14:paraId="6769017A" w14:textId="77777777" w:rsidR="00EE7F09" w:rsidRPr="00CE2445" w:rsidRDefault="00EE7F09" w:rsidP="00EE7F09">
            <w:pPr>
              <w:spacing w:after="120" w:line="240" w:lineRule="auto"/>
              <w:ind w:left="-108" w:firstLine="142"/>
              <w:jc w:val="right"/>
              <w:rPr>
                <w:rFonts w:eastAsia="Times New Roman"/>
                <w:color w:val="000000"/>
                <w:sz w:val="20"/>
                <w:lang w:eastAsia="en-AU"/>
              </w:rPr>
            </w:pPr>
          </w:p>
        </w:tc>
        <w:tc>
          <w:tcPr>
            <w:tcW w:w="1175" w:type="dxa"/>
            <w:tcBorders>
              <w:left w:val="nil"/>
              <w:right w:val="nil"/>
            </w:tcBorders>
            <w:shd w:val="clear" w:color="auto" w:fill="auto"/>
            <w:noWrap/>
            <w:vAlign w:val="bottom"/>
          </w:tcPr>
          <w:p w14:paraId="426A909E" w14:textId="77777777" w:rsidR="00EE7F09" w:rsidRPr="00CE2445" w:rsidRDefault="00EE7F09" w:rsidP="00EE7F09">
            <w:pPr>
              <w:tabs>
                <w:tab w:val="left" w:pos="793"/>
              </w:tabs>
              <w:spacing w:after="120" w:line="240" w:lineRule="auto"/>
              <w:ind w:left="-108" w:right="150" w:firstLine="142"/>
              <w:jc w:val="right"/>
              <w:rPr>
                <w:rFonts w:eastAsia="Times New Roman"/>
                <w:color w:val="000000"/>
                <w:sz w:val="20"/>
                <w:lang w:eastAsia="en-AU"/>
              </w:rPr>
            </w:pPr>
          </w:p>
        </w:tc>
        <w:tc>
          <w:tcPr>
            <w:tcW w:w="1196" w:type="dxa"/>
            <w:tcBorders>
              <w:left w:val="nil"/>
              <w:right w:val="nil"/>
            </w:tcBorders>
          </w:tcPr>
          <w:p w14:paraId="0D3ADB70"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c>
          <w:tcPr>
            <w:tcW w:w="1882" w:type="dxa"/>
            <w:tcBorders>
              <w:left w:val="nil"/>
              <w:right w:val="nil"/>
            </w:tcBorders>
          </w:tcPr>
          <w:p w14:paraId="26010997" w14:textId="77777777" w:rsidR="00EE7F09" w:rsidRPr="00CE2445" w:rsidRDefault="00EE7F09" w:rsidP="00EE7F09">
            <w:pPr>
              <w:spacing w:after="120" w:line="240" w:lineRule="auto"/>
              <w:ind w:left="-108" w:firstLine="142"/>
              <w:jc w:val="center"/>
              <w:rPr>
                <w:rFonts w:eastAsia="Times New Roman"/>
                <w:color w:val="000000"/>
                <w:sz w:val="20"/>
                <w:lang w:eastAsia="en-AU"/>
              </w:rPr>
            </w:pPr>
          </w:p>
        </w:tc>
      </w:tr>
      <w:tr w:rsidR="00EE7F09" w:rsidRPr="00CE2445" w14:paraId="1C5FC9FA" w14:textId="77777777" w:rsidTr="00530743">
        <w:trPr>
          <w:trHeight w:hRule="exact" w:val="244"/>
        </w:trPr>
        <w:tc>
          <w:tcPr>
            <w:tcW w:w="2267" w:type="dxa"/>
            <w:tcBorders>
              <w:left w:val="nil"/>
              <w:right w:val="nil"/>
            </w:tcBorders>
            <w:shd w:val="clear" w:color="auto" w:fill="auto"/>
            <w:noWrap/>
            <w:vAlign w:val="center"/>
          </w:tcPr>
          <w:p w14:paraId="0C73A326" w14:textId="77777777" w:rsidR="00EE7F09" w:rsidRPr="00CE2445" w:rsidRDefault="00EE7F09" w:rsidP="00EE7F09">
            <w:pPr>
              <w:spacing w:after="120" w:line="240" w:lineRule="auto"/>
              <w:ind w:left="-108" w:firstLine="142"/>
              <w:rPr>
                <w:rFonts w:eastAsia="Times New Roman"/>
                <w:color w:val="000000"/>
                <w:sz w:val="20"/>
                <w:lang w:eastAsia="en-AU"/>
              </w:rPr>
            </w:pPr>
            <w:r w:rsidRPr="00CE2445">
              <w:rPr>
                <w:rFonts w:eastAsia="Times New Roman"/>
                <w:color w:val="000000"/>
                <w:sz w:val="20"/>
                <w:lang w:eastAsia="en-AU"/>
              </w:rPr>
              <w:t>Australian smelt</w:t>
            </w:r>
            <w:r>
              <w:rPr>
                <w:rFonts w:eastAsia="Times New Roman"/>
                <w:color w:val="000000"/>
                <w:sz w:val="20"/>
                <w:lang w:eastAsia="en-AU"/>
              </w:rPr>
              <w:t xml:space="preserve"> (n=1738)</w:t>
            </w:r>
          </w:p>
        </w:tc>
        <w:tc>
          <w:tcPr>
            <w:tcW w:w="891" w:type="dxa"/>
            <w:tcBorders>
              <w:left w:val="nil"/>
              <w:right w:val="nil"/>
            </w:tcBorders>
            <w:shd w:val="clear" w:color="auto" w:fill="auto"/>
            <w:noWrap/>
            <w:vAlign w:val="center"/>
          </w:tcPr>
          <w:p w14:paraId="4B46AF29"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3,16</w:t>
            </w:r>
          </w:p>
        </w:tc>
        <w:tc>
          <w:tcPr>
            <w:tcW w:w="951" w:type="dxa"/>
            <w:tcBorders>
              <w:left w:val="nil"/>
              <w:right w:val="nil"/>
            </w:tcBorders>
            <w:shd w:val="clear" w:color="auto" w:fill="auto"/>
            <w:noWrap/>
            <w:vAlign w:val="bottom"/>
          </w:tcPr>
          <w:p w14:paraId="71BAA73C" w14:textId="77777777" w:rsidR="00EE7F09"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3.810</w:t>
            </w:r>
          </w:p>
        </w:tc>
        <w:tc>
          <w:tcPr>
            <w:tcW w:w="1175" w:type="dxa"/>
            <w:tcBorders>
              <w:left w:val="nil"/>
              <w:right w:val="nil"/>
            </w:tcBorders>
            <w:shd w:val="clear" w:color="auto" w:fill="auto"/>
            <w:noWrap/>
            <w:vAlign w:val="bottom"/>
          </w:tcPr>
          <w:p w14:paraId="20AEA5DB" w14:textId="77777777" w:rsidR="00EE7F09"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&lt;0.030</w:t>
            </w:r>
          </w:p>
        </w:tc>
        <w:tc>
          <w:tcPr>
            <w:tcW w:w="1196" w:type="dxa"/>
            <w:tcBorders>
              <w:left w:val="nil"/>
              <w:right w:val="nil"/>
            </w:tcBorders>
          </w:tcPr>
          <w:p w14:paraId="671D7C2D"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right w:val="nil"/>
            </w:tcBorders>
          </w:tcPr>
          <w:p w14:paraId="7131BE55"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yes</w:t>
            </w:r>
          </w:p>
        </w:tc>
      </w:tr>
      <w:tr w:rsidR="00EE7F09" w:rsidRPr="00CE2445" w14:paraId="17358E5C" w14:textId="77777777" w:rsidTr="00530743">
        <w:trPr>
          <w:trHeight w:hRule="exact" w:val="244"/>
        </w:trPr>
        <w:tc>
          <w:tcPr>
            <w:tcW w:w="2267" w:type="dxa"/>
            <w:tcBorders>
              <w:left w:val="nil"/>
              <w:right w:val="nil"/>
            </w:tcBorders>
            <w:shd w:val="clear" w:color="auto" w:fill="auto"/>
            <w:noWrap/>
            <w:vAlign w:val="center"/>
          </w:tcPr>
          <w:p w14:paraId="21D4427B" w14:textId="77777777" w:rsidR="00EE7F09" w:rsidRPr="00CE2445" w:rsidRDefault="00EE7F09" w:rsidP="00EE7F09">
            <w:pPr>
              <w:spacing w:after="120" w:line="240" w:lineRule="auto"/>
              <w:ind w:left="-108" w:firstLine="142"/>
              <w:rPr>
                <w:rFonts w:eastAsia="Times New Roman"/>
                <w:color w:val="000000"/>
                <w:sz w:val="20"/>
                <w:lang w:eastAsia="en-AU"/>
              </w:rPr>
            </w:pPr>
            <w:r w:rsidRPr="00CE2445">
              <w:rPr>
                <w:rFonts w:eastAsia="Times New Roman"/>
                <w:color w:val="000000"/>
                <w:sz w:val="20"/>
                <w:lang w:eastAsia="en-AU"/>
              </w:rPr>
              <w:t>carp gudgeon</w:t>
            </w:r>
            <w:r>
              <w:rPr>
                <w:rFonts w:eastAsia="Times New Roman"/>
                <w:color w:val="000000"/>
                <w:sz w:val="20"/>
                <w:lang w:eastAsia="en-AU"/>
              </w:rPr>
              <w:t xml:space="preserve"> (n=22,212)</w:t>
            </w:r>
          </w:p>
        </w:tc>
        <w:tc>
          <w:tcPr>
            <w:tcW w:w="891" w:type="dxa"/>
            <w:tcBorders>
              <w:left w:val="nil"/>
              <w:right w:val="nil"/>
            </w:tcBorders>
            <w:shd w:val="clear" w:color="auto" w:fill="auto"/>
            <w:noWrap/>
            <w:vAlign w:val="center"/>
          </w:tcPr>
          <w:p w14:paraId="6707272C" w14:textId="77777777" w:rsidR="00EE7F09" w:rsidRPr="00CE2445"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3,16</w:t>
            </w:r>
          </w:p>
        </w:tc>
        <w:tc>
          <w:tcPr>
            <w:tcW w:w="951" w:type="dxa"/>
            <w:tcBorders>
              <w:left w:val="nil"/>
              <w:right w:val="nil"/>
            </w:tcBorders>
            <w:shd w:val="clear" w:color="auto" w:fill="auto"/>
            <w:noWrap/>
            <w:vAlign w:val="bottom"/>
          </w:tcPr>
          <w:p w14:paraId="1876AF8F" w14:textId="77777777" w:rsidR="00EE7F09" w:rsidRPr="00CE2445"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9.774</w:t>
            </w:r>
          </w:p>
        </w:tc>
        <w:tc>
          <w:tcPr>
            <w:tcW w:w="1175" w:type="dxa"/>
            <w:tcBorders>
              <w:left w:val="nil"/>
              <w:right w:val="nil"/>
            </w:tcBorders>
            <w:shd w:val="clear" w:color="auto" w:fill="auto"/>
            <w:noWrap/>
            <w:vAlign w:val="bottom"/>
          </w:tcPr>
          <w:p w14:paraId="1C39BBFF" w14:textId="77777777" w:rsidR="00EE7F09" w:rsidRPr="00CE2445"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&lt;0.0001</w:t>
            </w:r>
          </w:p>
        </w:tc>
        <w:tc>
          <w:tcPr>
            <w:tcW w:w="1196" w:type="dxa"/>
            <w:tcBorders>
              <w:left w:val="nil"/>
              <w:right w:val="nil"/>
            </w:tcBorders>
          </w:tcPr>
          <w:p w14:paraId="6DEDDE35"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right w:val="nil"/>
            </w:tcBorders>
          </w:tcPr>
          <w:p w14:paraId="59727669"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no</w:t>
            </w:r>
          </w:p>
        </w:tc>
      </w:tr>
      <w:tr w:rsidR="00EE7F09" w:rsidRPr="00CE2445" w14:paraId="564C1161" w14:textId="77777777" w:rsidTr="00530743">
        <w:trPr>
          <w:trHeight w:hRule="exact" w:val="244"/>
        </w:trPr>
        <w:tc>
          <w:tcPr>
            <w:tcW w:w="2267" w:type="dxa"/>
            <w:tcBorders>
              <w:left w:val="nil"/>
              <w:bottom w:val="single" w:sz="4" w:space="0" w:color="auto"/>
              <w:right w:val="nil"/>
            </w:tcBorders>
            <w:shd w:val="clear" w:color="auto" w:fill="auto"/>
            <w:noWrap/>
            <w:vAlign w:val="center"/>
          </w:tcPr>
          <w:p w14:paraId="7CA32EB1" w14:textId="77777777" w:rsidR="00EE7F09" w:rsidRPr="00CE2445" w:rsidRDefault="00EE7F09" w:rsidP="00EE7F09">
            <w:pPr>
              <w:spacing w:after="120" w:line="240" w:lineRule="auto"/>
              <w:ind w:left="-108" w:firstLine="142"/>
              <w:rPr>
                <w:rFonts w:eastAsia="Times New Roman"/>
                <w:color w:val="000000"/>
                <w:sz w:val="20"/>
                <w:lang w:eastAsia="en-AU"/>
              </w:rPr>
            </w:pPr>
            <w:r w:rsidRPr="00CE2445">
              <w:rPr>
                <w:rFonts w:eastAsia="Times New Roman"/>
                <w:color w:val="000000"/>
                <w:sz w:val="20"/>
                <w:lang w:eastAsia="en-AU"/>
              </w:rPr>
              <w:t>flathead gudgeon</w:t>
            </w:r>
            <w:r>
              <w:rPr>
                <w:rFonts w:eastAsia="Times New Roman"/>
                <w:color w:val="000000"/>
                <w:sz w:val="20"/>
                <w:lang w:eastAsia="en-AU"/>
              </w:rPr>
              <w:t xml:space="preserve"> (n=615)</w:t>
            </w:r>
          </w:p>
        </w:tc>
        <w:tc>
          <w:tcPr>
            <w:tcW w:w="891" w:type="dxa"/>
            <w:tcBorders>
              <w:left w:val="nil"/>
              <w:bottom w:val="single" w:sz="4" w:space="0" w:color="auto"/>
              <w:right w:val="nil"/>
            </w:tcBorders>
            <w:shd w:val="clear" w:color="auto" w:fill="auto"/>
            <w:noWrap/>
            <w:vAlign w:val="center"/>
          </w:tcPr>
          <w:p w14:paraId="1B434340"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3,16</w:t>
            </w:r>
          </w:p>
        </w:tc>
        <w:tc>
          <w:tcPr>
            <w:tcW w:w="951" w:type="dxa"/>
            <w:tcBorders>
              <w:left w:val="nil"/>
              <w:bottom w:val="single" w:sz="4" w:space="0" w:color="auto"/>
              <w:right w:val="nil"/>
            </w:tcBorders>
            <w:shd w:val="clear" w:color="auto" w:fill="auto"/>
            <w:noWrap/>
            <w:vAlign w:val="bottom"/>
          </w:tcPr>
          <w:p w14:paraId="7E77A6F8" w14:textId="77777777" w:rsidR="00EE7F09" w:rsidRDefault="00EE7F09" w:rsidP="00EE7F09">
            <w:pPr>
              <w:spacing w:after="120" w:line="240" w:lineRule="auto"/>
              <w:ind w:left="-108" w:firstLine="142"/>
              <w:jc w:val="right"/>
              <w:rPr>
                <w:rFonts w:eastAsia="Times New Roman"/>
                <w:color w:val="000000"/>
                <w:sz w:val="20"/>
                <w:lang w:eastAsia="en-AU"/>
              </w:rPr>
            </w:pPr>
            <w:r>
              <w:rPr>
                <w:rFonts w:eastAsia="Times New Roman"/>
                <w:color w:val="000000"/>
                <w:sz w:val="20"/>
                <w:lang w:eastAsia="en-AU"/>
              </w:rPr>
              <w:t>20.944</w:t>
            </w:r>
          </w:p>
        </w:tc>
        <w:tc>
          <w:tcPr>
            <w:tcW w:w="1175" w:type="dxa"/>
            <w:tcBorders>
              <w:left w:val="nil"/>
              <w:bottom w:val="single" w:sz="4" w:space="0" w:color="auto"/>
              <w:right w:val="nil"/>
            </w:tcBorders>
            <w:shd w:val="clear" w:color="auto" w:fill="auto"/>
            <w:noWrap/>
            <w:vAlign w:val="bottom"/>
          </w:tcPr>
          <w:p w14:paraId="4F4D6530" w14:textId="77777777" w:rsidR="00EE7F09" w:rsidRDefault="00EE7F09" w:rsidP="00EE7F09">
            <w:pPr>
              <w:tabs>
                <w:tab w:val="left" w:pos="793"/>
              </w:tabs>
              <w:spacing w:after="120" w:line="240" w:lineRule="auto"/>
              <w:ind w:left="-108" w:right="150" w:firstLine="142"/>
              <w:jc w:val="right"/>
              <w:rPr>
                <w:rFonts w:eastAsia="Times New Roman"/>
                <w:color w:val="000000"/>
                <w:sz w:val="20"/>
                <w:lang w:eastAsia="en-AU"/>
              </w:rPr>
            </w:pPr>
            <w:r>
              <w:rPr>
                <w:rFonts w:eastAsia="Times New Roman"/>
                <w:color w:val="000000"/>
                <w:sz w:val="20"/>
                <w:lang w:eastAsia="en-AU"/>
              </w:rPr>
              <w:t>&lt;0.001</w:t>
            </w:r>
          </w:p>
        </w:tc>
        <w:tc>
          <w:tcPr>
            <w:tcW w:w="1196" w:type="dxa"/>
            <w:tcBorders>
              <w:left w:val="nil"/>
              <w:bottom w:val="single" w:sz="4" w:space="0" w:color="auto"/>
              <w:right w:val="nil"/>
            </w:tcBorders>
          </w:tcPr>
          <w:p w14:paraId="672FCE42"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w:t>
            </w:r>
          </w:p>
        </w:tc>
        <w:tc>
          <w:tcPr>
            <w:tcW w:w="1882" w:type="dxa"/>
            <w:tcBorders>
              <w:left w:val="nil"/>
              <w:bottom w:val="single" w:sz="4" w:space="0" w:color="auto"/>
              <w:right w:val="nil"/>
            </w:tcBorders>
          </w:tcPr>
          <w:p w14:paraId="3008A26E" w14:textId="77777777" w:rsidR="00EE7F09" w:rsidRDefault="00EE7F09" w:rsidP="00EE7F09">
            <w:pPr>
              <w:spacing w:after="120" w:line="240" w:lineRule="auto"/>
              <w:ind w:left="-108" w:firstLine="142"/>
              <w:jc w:val="center"/>
              <w:rPr>
                <w:rFonts w:eastAsia="Times New Roman"/>
                <w:color w:val="000000"/>
                <w:sz w:val="20"/>
                <w:lang w:eastAsia="en-AU"/>
              </w:rPr>
            </w:pPr>
            <w:r>
              <w:rPr>
                <w:rFonts w:eastAsia="Times New Roman"/>
                <w:color w:val="000000"/>
                <w:sz w:val="20"/>
                <w:lang w:eastAsia="en-AU"/>
              </w:rPr>
              <w:t>partial</w:t>
            </w:r>
          </w:p>
        </w:tc>
      </w:tr>
    </w:tbl>
    <w:p w14:paraId="3F4391A7" w14:textId="77777777" w:rsidR="00EE7F09" w:rsidRDefault="00EE7F09" w:rsidP="00675B7A">
      <w:pPr>
        <w:spacing w:after="240" w:line="320" w:lineRule="exact"/>
        <w:jc w:val="left"/>
      </w:pPr>
    </w:p>
    <w:p w14:paraId="1E377E39" w14:textId="77777777" w:rsidR="00EE7F09" w:rsidRDefault="00EE7F09" w:rsidP="00EE7F09">
      <w:pPr>
        <w:spacing w:after="0"/>
        <w:rPr>
          <w:b/>
          <w:i/>
          <w:color w:val="006666"/>
          <w:sz w:val="24"/>
          <w:szCs w:val="24"/>
          <w:lang w:val="en-US"/>
        </w:rPr>
      </w:pPr>
      <w:r>
        <w:rPr>
          <w:b/>
          <w:color w:val="006666"/>
          <w:sz w:val="24"/>
          <w:szCs w:val="24"/>
          <w:lang w:val="en-US"/>
        </w:rPr>
        <w:t>8.5.3</w:t>
      </w:r>
      <w:r w:rsidRPr="00B1341B">
        <w:rPr>
          <w:b/>
          <w:i/>
          <w:color w:val="006666"/>
          <w:sz w:val="24"/>
          <w:szCs w:val="24"/>
          <w:lang w:val="en-US"/>
        </w:rPr>
        <w:t xml:space="preserve"> </w:t>
      </w:r>
      <w:r>
        <w:rPr>
          <w:b/>
          <w:i/>
          <w:color w:val="006666"/>
          <w:sz w:val="24"/>
          <w:szCs w:val="24"/>
          <w:lang w:val="en-US"/>
        </w:rPr>
        <w:t>Fish recruitment</w:t>
      </w:r>
    </w:p>
    <w:p w14:paraId="51F22048" w14:textId="77777777" w:rsidR="00EE7F09" w:rsidRDefault="00EE7F09" w:rsidP="00530743">
      <w:pPr>
        <w:spacing w:after="240" w:line="324" w:lineRule="exact"/>
        <w:jc w:val="left"/>
        <w:rPr>
          <w:rFonts w:cs="Arial"/>
          <w:color w:val="000000"/>
        </w:rPr>
      </w:pPr>
      <w:r w:rsidRPr="00300C9B">
        <w:rPr>
          <w:rFonts w:cs="Arial"/>
          <w:color w:val="000000"/>
        </w:rPr>
        <w:t>A total of nine native fish species and five alien species were sampled between 2014-</w:t>
      </w:r>
      <w:r>
        <w:rPr>
          <w:rFonts w:cs="Arial"/>
          <w:color w:val="000000"/>
        </w:rPr>
        <w:t>15 and 2019-20</w:t>
      </w:r>
      <w:r w:rsidRPr="00300C9B">
        <w:rPr>
          <w:rFonts w:cs="Arial"/>
          <w:color w:val="000000"/>
        </w:rPr>
        <w:t xml:space="preserve"> as part of fish recruitment monitoring</w:t>
      </w:r>
      <w:r>
        <w:rPr>
          <w:rFonts w:cs="Arial"/>
          <w:color w:val="000000"/>
        </w:rPr>
        <w:t>. Murray cod (</w:t>
      </w:r>
      <w:r w:rsidRPr="00910144">
        <w:rPr>
          <w:rFonts w:cs="Arial"/>
          <w:i/>
          <w:color w:val="000000"/>
        </w:rPr>
        <w:t>Maccullochella peelii</w:t>
      </w:r>
      <w:r>
        <w:rPr>
          <w:rFonts w:cs="Arial"/>
          <w:color w:val="000000"/>
        </w:rPr>
        <w:t>) young-of-year (YOY) and 1+ recruits were detected in all zones for the first time since 2015-16 (Table 8.6). One silver perch (</w:t>
      </w:r>
      <w:r>
        <w:rPr>
          <w:rFonts w:cs="Arial"/>
          <w:i/>
          <w:color w:val="000000"/>
        </w:rPr>
        <w:t>Bidyanus bidyanus</w:t>
      </w:r>
      <w:r>
        <w:rPr>
          <w:rFonts w:cs="Arial"/>
          <w:color w:val="000000"/>
        </w:rPr>
        <w:t>) age-class 1 (1+) recruit was in detected in zone 4 (Table 8.6). Golden perch (</w:t>
      </w:r>
      <w:r>
        <w:rPr>
          <w:rFonts w:cs="Arial"/>
          <w:i/>
          <w:color w:val="000000"/>
        </w:rPr>
        <w:t>Macquaria ambigua</w:t>
      </w:r>
      <w:r>
        <w:rPr>
          <w:rFonts w:cs="Arial"/>
          <w:color w:val="000000"/>
        </w:rPr>
        <w:t>) recruits have not been detected during any year since surveys began.</w:t>
      </w:r>
    </w:p>
    <w:p w14:paraId="50CD4040" w14:textId="77777777" w:rsidR="00EE7F09" w:rsidRPr="00530743" w:rsidRDefault="00EE7F09" w:rsidP="00530743">
      <w:pPr>
        <w:spacing w:after="120" w:line="240" w:lineRule="auto"/>
        <w:jc w:val="left"/>
        <w:rPr>
          <w:b/>
          <w:sz w:val="20"/>
        </w:rPr>
      </w:pPr>
      <w:r w:rsidRPr="00530743">
        <w:rPr>
          <w:b/>
          <w:sz w:val="20"/>
        </w:rPr>
        <w:t xml:space="preserve">Table 8.6 </w:t>
      </w:r>
      <w:r w:rsidRPr="00530743">
        <w:rPr>
          <w:sz w:val="20"/>
        </w:rPr>
        <w:t>Number of young-of-year (YOY), age class 1 (1+) recruits and older juveniles or adults (JA) of the three target species sampled in recruitment and growth monitoring in the Edward/Kolety-Wakool system for 2014-15 through 2019-20.</w:t>
      </w:r>
    </w:p>
    <w:tbl>
      <w:tblPr>
        <w:tblW w:w="9812" w:type="dxa"/>
        <w:jc w:val="center"/>
        <w:tblLayout w:type="fixed"/>
        <w:tblLook w:val="04A0" w:firstRow="1" w:lastRow="0" w:firstColumn="1" w:lastColumn="0" w:noHBand="0" w:noVBand="1"/>
      </w:tblPr>
      <w:tblGrid>
        <w:gridCol w:w="733"/>
        <w:gridCol w:w="576"/>
        <w:gridCol w:w="534"/>
        <w:gridCol w:w="525"/>
        <w:gridCol w:w="576"/>
        <w:gridCol w:w="458"/>
        <w:gridCol w:w="498"/>
        <w:gridCol w:w="575"/>
        <w:gridCol w:w="487"/>
        <w:gridCol w:w="473"/>
        <w:gridCol w:w="519"/>
        <w:gridCol w:w="511"/>
        <w:gridCol w:w="449"/>
        <w:gridCol w:w="575"/>
        <w:gridCol w:w="449"/>
        <w:gridCol w:w="425"/>
        <w:gridCol w:w="483"/>
        <w:gridCol w:w="483"/>
        <w:gridCol w:w="483"/>
      </w:tblGrid>
      <w:tr w:rsidR="00EE7F09" w:rsidRPr="00D06787" w14:paraId="020AE82F" w14:textId="77777777" w:rsidTr="00EE7F09">
        <w:trPr>
          <w:trHeight w:val="241"/>
          <w:jc w:val="center"/>
        </w:trPr>
        <w:tc>
          <w:tcPr>
            <w:tcW w:w="733" w:type="dxa"/>
            <w:tcBorders>
              <w:top w:val="single" w:sz="4" w:space="0" w:color="auto"/>
            </w:tcBorders>
            <w:shd w:val="clear" w:color="auto" w:fill="B6DDE8"/>
            <w:noWrap/>
            <w:vAlign w:val="bottom"/>
            <w:hideMark/>
          </w:tcPr>
          <w:p w14:paraId="6D26A5C6" w14:textId="77777777" w:rsidR="00EE7F09" w:rsidRPr="00D06787" w:rsidRDefault="00EE7F09" w:rsidP="00EE7F09">
            <w:pPr>
              <w:spacing w:after="0" w:line="200" w:lineRule="exact"/>
              <w:rPr>
                <w:rFonts w:eastAsia="Times New Roman"/>
                <w:color w:val="000000"/>
                <w:sz w:val="10"/>
                <w:szCs w:val="10"/>
                <w:lang w:eastAsia="en-AU"/>
              </w:rPr>
            </w:pPr>
            <w:r w:rsidRPr="00D06787">
              <w:rPr>
                <w:rFonts w:eastAsia="Times New Roman"/>
                <w:color w:val="000000"/>
                <w:sz w:val="10"/>
                <w:szCs w:val="10"/>
                <w:lang w:eastAsia="en-AU"/>
              </w:rPr>
              <w:t> </w:t>
            </w:r>
          </w:p>
        </w:tc>
        <w:tc>
          <w:tcPr>
            <w:tcW w:w="1635" w:type="dxa"/>
            <w:gridSpan w:val="3"/>
            <w:tcBorders>
              <w:top w:val="single" w:sz="4" w:space="0" w:color="auto"/>
              <w:bottom w:val="single" w:sz="4" w:space="0" w:color="auto"/>
            </w:tcBorders>
            <w:shd w:val="clear" w:color="auto" w:fill="B6DDE8"/>
            <w:noWrap/>
            <w:hideMark/>
          </w:tcPr>
          <w:p w14:paraId="7EB2848D" w14:textId="77777777" w:rsidR="00EE7F09" w:rsidRPr="00D06787" w:rsidRDefault="00EE7F09" w:rsidP="00EE7F09">
            <w:pPr>
              <w:spacing w:after="0" w:line="200" w:lineRule="exact"/>
              <w:jc w:val="center"/>
              <w:rPr>
                <w:rFonts w:eastAsia="Times New Roman"/>
                <w:color w:val="000000"/>
                <w:lang w:eastAsia="en-AU"/>
              </w:rPr>
            </w:pPr>
            <w:r w:rsidRPr="00D06787">
              <w:rPr>
                <w:rFonts w:eastAsia="Times New Roman"/>
                <w:color w:val="000000"/>
                <w:lang w:eastAsia="en-AU"/>
              </w:rPr>
              <w:t>2014-15</w:t>
            </w:r>
          </w:p>
        </w:tc>
        <w:tc>
          <w:tcPr>
            <w:tcW w:w="1532" w:type="dxa"/>
            <w:gridSpan w:val="3"/>
            <w:tcBorders>
              <w:top w:val="single" w:sz="4" w:space="0" w:color="auto"/>
              <w:bottom w:val="single" w:sz="4" w:space="0" w:color="auto"/>
            </w:tcBorders>
            <w:shd w:val="clear" w:color="auto" w:fill="B6DDE8"/>
          </w:tcPr>
          <w:p w14:paraId="21941D85" w14:textId="77777777" w:rsidR="00EE7F09" w:rsidRPr="00D06787" w:rsidRDefault="00EE7F09" w:rsidP="00EE7F09">
            <w:pPr>
              <w:spacing w:after="0" w:line="200" w:lineRule="exact"/>
              <w:jc w:val="center"/>
              <w:rPr>
                <w:rFonts w:eastAsia="Times New Roman"/>
                <w:color w:val="000000"/>
                <w:lang w:eastAsia="en-AU"/>
              </w:rPr>
            </w:pPr>
            <w:r w:rsidRPr="00D06787">
              <w:rPr>
                <w:rFonts w:eastAsia="Times New Roman"/>
                <w:color w:val="000000"/>
                <w:lang w:eastAsia="en-AU"/>
              </w:rPr>
              <w:t>2015-16</w:t>
            </w:r>
          </w:p>
        </w:tc>
        <w:tc>
          <w:tcPr>
            <w:tcW w:w="1535" w:type="dxa"/>
            <w:gridSpan w:val="3"/>
            <w:tcBorders>
              <w:top w:val="single" w:sz="4" w:space="0" w:color="auto"/>
              <w:bottom w:val="single" w:sz="4" w:space="0" w:color="auto"/>
            </w:tcBorders>
            <w:shd w:val="clear" w:color="auto" w:fill="B6DDE8"/>
          </w:tcPr>
          <w:p w14:paraId="4A3D3A60" w14:textId="77777777" w:rsidR="00EE7F09" w:rsidRPr="00D06787" w:rsidRDefault="00EE7F09" w:rsidP="00EE7F09">
            <w:pPr>
              <w:spacing w:after="0" w:line="200" w:lineRule="exact"/>
              <w:jc w:val="center"/>
              <w:rPr>
                <w:rFonts w:eastAsia="Times New Roman"/>
                <w:color w:val="000000"/>
                <w:lang w:eastAsia="en-AU"/>
              </w:rPr>
            </w:pPr>
            <w:r w:rsidRPr="00D06787">
              <w:rPr>
                <w:rFonts w:eastAsia="Times New Roman"/>
                <w:color w:val="000000"/>
                <w:lang w:eastAsia="en-AU"/>
              </w:rPr>
              <w:t>2016-17</w:t>
            </w:r>
          </w:p>
        </w:tc>
        <w:tc>
          <w:tcPr>
            <w:tcW w:w="1479" w:type="dxa"/>
            <w:gridSpan w:val="3"/>
            <w:tcBorders>
              <w:top w:val="single" w:sz="4" w:space="0" w:color="auto"/>
              <w:bottom w:val="single" w:sz="4" w:space="0" w:color="auto"/>
            </w:tcBorders>
            <w:shd w:val="clear" w:color="auto" w:fill="B6DDE8"/>
          </w:tcPr>
          <w:p w14:paraId="29F56485" w14:textId="77777777" w:rsidR="00EE7F09" w:rsidRPr="00D06787" w:rsidRDefault="00EE7F09" w:rsidP="00EE7F09">
            <w:pPr>
              <w:spacing w:after="0" w:line="200" w:lineRule="exact"/>
              <w:jc w:val="center"/>
              <w:rPr>
                <w:rFonts w:eastAsia="Times New Roman"/>
                <w:color w:val="000000"/>
                <w:lang w:eastAsia="en-AU"/>
              </w:rPr>
            </w:pPr>
            <w:r w:rsidRPr="00D06787">
              <w:rPr>
                <w:rFonts w:eastAsia="Times New Roman"/>
                <w:color w:val="000000"/>
                <w:lang w:eastAsia="en-AU"/>
              </w:rPr>
              <w:t>2017-18</w:t>
            </w:r>
          </w:p>
        </w:tc>
        <w:tc>
          <w:tcPr>
            <w:tcW w:w="1449" w:type="dxa"/>
            <w:gridSpan w:val="3"/>
            <w:tcBorders>
              <w:top w:val="single" w:sz="4" w:space="0" w:color="auto"/>
              <w:bottom w:val="single" w:sz="4" w:space="0" w:color="auto"/>
            </w:tcBorders>
            <w:shd w:val="clear" w:color="auto" w:fill="B6DDE8"/>
          </w:tcPr>
          <w:p w14:paraId="461E0E85" w14:textId="77777777" w:rsidR="00EE7F09" w:rsidRPr="00D06787" w:rsidRDefault="00EE7F09" w:rsidP="00EE7F09">
            <w:pPr>
              <w:spacing w:after="0" w:line="200" w:lineRule="exact"/>
              <w:jc w:val="center"/>
              <w:rPr>
                <w:rFonts w:eastAsia="Times New Roman"/>
                <w:color w:val="000000"/>
                <w:lang w:eastAsia="en-AU"/>
              </w:rPr>
            </w:pPr>
            <w:r w:rsidRPr="00D06787">
              <w:rPr>
                <w:rFonts w:eastAsia="Times New Roman"/>
                <w:color w:val="000000"/>
                <w:lang w:eastAsia="en-AU"/>
              </w:rPr>
              <w:t>2018-19</w:t>
            </w:r>
          </w:p>
        </w:tc>
        <w:tc>
          <w:tcPr>
            <w:tcW w:w="1449" w:type="dxa"/>
            <w:gridSpan w:val="3"/>
            <w:tcBorders>
              <w:top w:val="single" w:sz="4" w:space="0" w:color="auto"/>
              <w:bottom w:val="single" w:sz="4" w:space="0" w:color="auto"/>
            </w:tcBorders>
            <w:shd w:val="clear" w:color="auto" w:fill="B6DDE8"/>
          </w:tcPr>
          <w:p w14:paraId="0A1FD3BE" w14:textId="77777777" w:rsidR="00EE7F09" w:rsidRPr="00D06787" w:rsidRDefault="00EE7F09" w:rsidP="00EE7F09">
            <w:pPr>
              <w:spacing w:after="0" w:line="200" w:lineRule="exact"/>
              <w:jc w:val="center"/>
              <w:rPr>
                <w:rFonts w:eastAsia="Times New Roman"/>
                <w:color w:val="000000"/>
                <w:lang w:eastAsia="en-AU"/>
              </w:rPr>
            </w:pPr>
            <w:r>
              <w:rPr>
                <w:rFonts w:eastAsia="Times New Roman"/>
                <w:color w:val="000000"/>
                <w:lang w:eastAsia="en-AU"/>
              </w:rPr>
              <w:t>2019-20</w:t>
            </w:r>
          </w:p>
        </w:tc>
      </w:tr>
      <w:tr w:rsidR="00EE7F09" w:rsidRPr="00D06787" w14:paraId="2FB5B988" w14:textId="77777777" w:rsidTr="00EE7F09">
        <w:trPr>
          <w:trHeight w:val="172"/>
          <w:jc w:val="center"/>
        </w:trPr>
        <w:tc>
          <w:tcPr>
            <w:tcW w:w="733" w:type="dxa"/>
            <w:tcBorders>
              <w:bottom w:val="single" w:sz="4" w:space="0" w:color="auto"/>
            </w:tcBorders>
            <w:shd w:val="clear" w:color="auto" w:fill="B6DDE8"/>
            <w:noWrap/>
            <w:vAlign w:val="bottom"/>
            <w:hideMark/>
          </w:tcPr>
          <w:p w14:paraId="777A037A" w14:textId="77777777" w:rsidR="00EE7F09" w:rsidRPr="00D06787" w:rsidRDefault="00EE7F09" w:rsidP="00EE7F09">
            <w:pPr>
              <w:spacing w:after="0" w:line="200" w:lineRule="exact"/>
              <w:rPr>
                <w:rFonts w:eastAsia="Times New Roman"/>
                <w:color w:val="000000"/>
                <w:sz w:val="20"/>
                <w:lang w:eastAsia="en-AU"/>
              </w:rPr>
            </w:pPr>
            <w:r w:rsidRPr="00D06787">
              <w:rPr>
                <w:rFonts w:eastAsia="Times New Roman"/>
                <w:color w:val="000000"/>
                <w:sz w:val="20"/>
                <w:lang w:eastAsia="en-AU"/>
              </w:rPr>
              <w:t xml:space="preserve">Zone </w:t>
            </w:r>
          </w:p>
        </w:tc>
        <w:tc>
          <w:tcPr>
            <w:tcW w:w="576" w:type="dxa"/>
            <w:tcBorders>
              <w:top w:val="single" w:sz="4" w:space="0" w:color="auto"/>
              <w:bottom w:val="single" w:sz="4" w:space="0" w:color="auto"/>
            </w:tcBorders>
            <w:shd w:val="clear" w:color="auto" w:fill="B6DDE8"/>
            <w:vAlign w:val="bottom"/>
            <w:hideMark/>
          </w:tcPr>
          <w:p w14:paraId="1EE44634"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 xml:space="preserve">YOY </w:t>
            </w:r>
          </w:p>
        </w:tc>
        <w:tc>
          <w:tcPr>
            <w:tcW w:w="534" w:type="dxa"/>
            <w:tcBorders>
              <w:top w:val="single" w:sz="4" w:space="0" w:color="auto"/>
              <w:bottom w:val="single" w:sz="4" w:space="0" w:color="auto"/>
            </w:tcBorders>
            <w:shd w:val="clear" w:color="auto" w:fill="B6DDE8"/>
            <w:vAlign w:val="bottom"/>
            <w:hideMark/>
          </w:tcPr>
          <w:p w14:paraId="3665EC11"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1+</w:t>
            </w:r>
          </w:p>
        </w:tc>
        <w:tc>
          <w:tcPr>
            <w:tcW w:w="525" w:type="dxa"/>
            <w:tcBorders>
              <w:top w:val="single" w:sz="4" w:space="0" w:color="auto"/>
              <w:bottom w:val="single" w:sz="4" w:space="0" w:color="auto"/>
            </w:tcBorders>
            <w:shd w:val="clear" w:color="auto" w:fill="B6DDE8"/>
            <w:vAlign w:val="bottom"/>
            <w:hideMark/>
          </w:tcPr>
          <w:p w14:paraId="7F1E2456"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JA</w:t>
            </w:r>
          </w:p>
        </w:tc>
        <w:tc>
          <w:tcPr>
            <w:tcW w:w="576" w:type="dxa"/>
            <w:tcBorders>
              <w:top w:val="single" w:sz="4" w:space="0" w:color="auto"/>
              <w:bottom w:val="single" w:sz="4" w:space="0" w:color="auto"/>
            </w:tcBorders>
            <w:shd w:val="clear" w:color="auto" w:fill="B6DDE8"/>
            <w:vAlign w:val="bottom"/>
          </w:tcPr>
          <w:p w14:paraId="4264E11E"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 xml:space="preserve">YOY </w:t>
            </w:r>
          </w:p>
        </w:tc>
        <w:tc>
          <w:tcPr>
            <w:tcW w:w="458" w:type="dxa"/>
            <w:tcBorders>
              <w:top w:val="single" w:sz="4" w:space="0" w:color="auto"/>
              <w:bottom w:val="single" w:sz="4" w:space="0" w:color="auto"/>
            </w:tcBorders>
            <w:shd w:val="clear" w:color="auto" w:fill="B6DDE8"/>
            <w:vAlign w:val="bottom"/>
          </w:tcPr>
          <w:p w14:paraId="331D08B3"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1+</w:t>
            </w:r>
          </w:p>
        </w:tc>
        <w:tc>
          <w:tcPr>
            <w:tcW w:w="498" w:type="dxa"/>
            <w:tcBorders>
              <w:top w:val="single" w:sz="4" w:space="0" w:color="auto"/>
              <w:bottom w:val="single" w:sz="4" w:space="0" w:color="auto"/>
            </w:tcBorders>
            <w:shd w:val="clear" w:color="auto" w:fill="B6DDE8"/>
            <w:vAlign w:val="bottom"/>
          </w:tcPr>
          <w:p w14:paraId="7BE39BD5"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JA</w:t>
            </w:r>
          </w:p>
        </w:tc>
        <w:tc>
          <w:tcPr>
            <w:tcW w:w="575" w:type="dxa"/>
            <w:tcBorders>
              <w:top w:val="single" w:sz="4" w:space="0" w:color="auto"/>
              <w:bottom w:val="single" w:sz="4" w:space="0" w:color="auto"/>
            </w:tcBorders>
            <w:shd w:val="clear" w:color="auto" w:fill="B6DDE8"/>
            <w:vAlign w:val="bottom"/>
          </w:tcPr>
          <w:p w14:paraId="65DE2E4A"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 xml:space="preserve">YOY </w:t>
            </w:r>
          </w:p>
        </w:tc>
        <w:tc>
          <w:tcPr>
            <w:tcW w:w="487" w:type="dxa"/>
            <w:tcBorders>
              <w:top w:val="single" w:sz="4" w:space="0" w:color="auto"/>
              <w:bottom w:val="single" w:sz="4" w:space="0" w:color="auto"/>
            </w:tcBorders>
            <w:shd w:val="clear" w:color="auto" w:fill="B6DDE8"/>
            <w:vAlign w:val="bottom"/>
          </w:tcPr>
          <w:p w14:paraId="17A2CD17"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1+</w:t>
            </w:r>
          </w:p>
        </w:tc>
        <w:tc>
          <w:tcPr>
            <w:tcW w:w="473" w:type="dxa"/>
            <w:tcBorders>
              <w:top w:val="single" w:sz="4" w:space="0" w:color="auto"/>
              <w:bottom w:val="single" w:sz="4" w:space="0" w:color="auto"/>
            </w:tcBorders>
            <w:shd w:val="clear" w:color="auto" w:fill="B6DDE8"/>
            <w:vAlign w:val="bottom"/>
          </w:tcPr>
          <w:p w14:paraId="5BA296AA"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JA</w:t>
            </w:r>
          </w:p>
        </w:tc>
        <w:tc>
          <w:tcPr>
            <w:tcW w:w="519" w:type="dxa"/>
            <w:tcBorders>
              <w:top w:val="single" w:sz="4" w:space="0" w:color="auto"/>
              <w:bottom w:val="single" w:sz="4" w:space="0" w:color="auto"/>
            </w:tcBorders>
            <w:shd w:val="clear" w:color="auto" w:fill="B6DDE8"/>
            <w:vAlign w:val="bottom"/>
          </w:tcPr>
          <w:p w14:paraId="077AD127"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 xml:space="preserve">YOY </w:t>
            </w:r>
          </w:p>
        </w:tc>
        <w:tc>
          <w:tcPr>
            <w:tcW w:w="511" w:type="dxa"/>
            <w:tcBorders>
              <w:top w:val="single" w:sz="4" w:space="0" w:color="auto"/>
              <w:bottom w:val="single" w:sz="4" w:space="0" w:color="auto"/>
            </w:tcBorders>
            <w:shd w:val="clear" w:color="auto" w:fill="B6DDE8"/>
            <w:vAlign w:val="bottom"/>
          </w:tcPr>
          <w:p w14:paraId="0DB66D09"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1+</w:t>
            </w:r>
          </w:p>
        </w:tc>
        <w:tc>
          <w:tcPr>
            <w:tcW w:w="449" w:type="dxa"/>
            <w:tcBorders>
              <w:top w:val="single" w:sz="4" w:space="0" w:color="auto"/>
              <w:bottom w:val="single" w:sz="4" w:space="0" w:color="auto"/>
            </w:tcBorders>
            <w:shd w:val="clear" w:color="auto" w:fill="B6DDE8"/>
            <w:vAlign w:val="bottom"/>
          </w:tcPr>
          <w:p w14:paraId="2A8197A9"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JA</w:t>
            </w:r>
          </w:p>
        </w:tc>
        <w:tc>
          <w:tcPr>
            <w:tcW w:w="575" w:type="dxa"/>
            <w:tcBorders>
              <w:top w:val="single" w:sz="4" w:space="0" w:color="auto"/>
              <w:bottom w:val="single" w:sz="4" w:space="0" w:color="auto"/>
            </w:tcBorders>
            <w:shd w:val="clear" w:color="auto" w:fill="B6DDE8"/>
            <w:vAlign w:val="bottom"/>
          </w:tcPr>
          <w:p w14:paraId="48A3FA5F"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 xml:space="preserve">YOY </w:t>
            </w:r>
          </w:p>
        </w:tc>
        <w:tc>
          <w:tcPr>
            <w:tcW w:w="449" w:type="dxa"/>
            <w:tcBorders>
              <w:top w:val="single" w:sz="4" w:space="0" w:color="auto"/>
              <w:bottom w:val="single" w:sz="4" w:space="0" w:color="auto"/>
            </w:tcBorders>
            <w:shd w:val="clear" w:color="auto" w:fill="B6DDE8"/>
            <w:vAlign w:val="bottom"/>
          </w:tcPr>
          <w:p w14:paraId="55C8EF65"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1+</w:t>
            </w:r>
          </w:p>
        </w:tc>
        <w:tc>
          <w:tcPr>
            <w:tcW w:w="425" w:type="dxa"/>
            <w:tcBorders>
              <w:top w:val="single" w:sz="4" w:space="0" w:color="auto"/>
              <w:bottom w:val="single" w:sz="4" w:space="0" w:color="auto"/>
            </w:tcBorders>
            <w:shd w:val="clear" w:color="auto" w:fill="B6DDE8"/>
            <w:vAlign w:val="bottom"/>
          </w:tcPr>
          <w:p w14:paraId="1894CA37" w14:textId="77777777" w:rsidR="00EE7F09" w:rsidRPr="00D06787" w:rsidRDefault="00EE7F09" w:rsidP="00EE7F09">
            <w:pPr>
              <w:spacing w:after="0" w:line="200" w:lineRule="exact"/>
              <w:jc w:val="center"/>
              <w:rPr>
                <w:rFonts w:eastAsia="Times New Roman"/>
                <w:color w:val="000000"/>
                <w:sz w:val="16"/>
                <w:szCs w:val="16"/>
                <w:lang w:eastAsia="en-AU"/>
              </w:rPr>
            </w:pPr>
            <w:r w:rsidRPr="00D06787">
              <w:rPr>
                <w:rFonts w:eastAsia="Times New Roman"/>
                <w:color w:val="000000"/>
                <w:sz w:val="16"/>
                <w:szCs w:val="16"/>
                <w:lang w:eastAsia="en-AU"/>
              </w:rPr>
              <w:t>JA</w:t>
            </w:r>
          </w:p>
        </w:tc>
        <w:tc>
          <w:tcPr>
            <w:tcW w:w="483" w:type="dxa"/>
            <w:tcBorders>
              <w:top w:val="single" w:sz="4" w:space="0" w:color="auto"/>
              <w:bottom w:val="single" w:sz="4" w:space="0" w:color="auto"/>
            </w:tcBorders>
            <w:shd w:val="clear" w:color="auto" w:fill="B6DDE8"/>
          </w:tcPr>
          <w:p w14:paraId="1F1E4F43" w14:textId="77777777" w:rsidR="00EE7F09" w:rsidRPr="00D06787" w:rsidRDefault="00EE7F09" w:rsidP="00EE7F09">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YOY</w:t>
            </w:r>
          </w:p>
        </w:tc>
        <w:tc>
          <w:tcPr>
            <w:tcW w:w="483" w:type="dxa"/>
            <w:tcBorders>
              <w:top w:val="single" w:sz="4" w:space="0" w:color="auto"/>
              <w:bottom w:val="single" w:sz="4" w:space="0" w:color="auto"/>
            </w:tcBorders>
            <w:shd w:val="clear" w:color="auto" w:fill="B6DDE8"/>
          </w:tcPr>
          <w:p w14:paraId="68D3886A" w14:textId="77777777" w:rsidR="00EE7F09" w:rsidRPr="00D06787" w:rsidRDefault="00EE7F09" w:rsidP="00EE7F09">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1+</w:t>
            </w:r>
          </w:p>
        </w:tc>
        <w:tc>
          <w:tcPr>
            <w:tcW w:w="483" w:type="dxa"/>
            <w:tcBorders>
              <w:top w:val="single" w:sz="4" w:space="0" w:color="auto"/>
              <w:bottom w:val="single" w:sz="4" w:space="0" w:color="auto"/>
            </w:tcBorders>
            <w:shd w:val="clear" w:color="auto" w:fill="B6DDE8"/>
          </w:tcPr>
          <w:p w14:paraId="16254ADD" w14:textId="77777777" w:rsidR="00EE7F09" w:rsidRPr="00D06787" w:rsidRDefault="00EE7F09" w:rsidP="00EE7F09">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JA</w:t>
            </w:r>
          </w:p>
        </w:tc>
      </w:tr>
      <w:tr w:rsidR="00EE7F09" w:rsidRPr="00D06787" w14:paraId="04D73607" w14:textId="77777777" w:rsidTr="00EE7F09">
        <w:trPr>
          <w:trHeight w:val="300"/>
          <w:jc w:val="center"/>
        </w:trPr>
        <w:tc>
          <w:tcPr>
            <w:tcW w:w="8363" w:type="dxa"/>
            <w:gridSpan w:val="16"/>
            <w:tcBorders>
              <w:top w:val="single" w:sz="4" w:space="0" w:color="auto"/>
            </w:tcBorders>
            <w:shd w:val="clear" w:color="auto" w:fill="auto"/>
            <w:noWrap/>
            <w:vAlign w:val="bottom"/>
          </w:tcPr>
          <w:p w14:paraId="699B678D" w14:textId="77777777" w:rsidR="00EE7F09" w:rsidRPr="00D06787" w:rsidRDefault="00EE7F09" w:rsidP="00EE7F09">
            <w:pPr>
              <w:spacing w:after="0" w:line="200" w:lineRule="exact"/>
              <w:rPr>
                <w:rFonts w:eastAsia="Times New Roman"/>
                <w:color w:val="000000"/>
                <w:sz w:val="16"/>
                <w:szCs w:val="16"/>
                <w:lang w:eastAsia="en-AU"/>
              </w:rPr>
            </w:pPr>
            <w:r w:rsidRPr="00D06787">
              <w:rPr>
                <w:rFonts w:eastAsia="Times New Roman"/>
                <w:i/>
                <w:color w:val="31849B"/>
                <w:sz w:val="20"/>
                <w:lang w:eastAsia="en-AU"/>
              </w:rPr>
              <w:t>Murray cod</w:t>
            </w:r>
          </w:p>
        </w:tc>
        <w:tc>
          <w:tcPr>
            <w:tcW w:w="1449" w:type="dxa"/>
            <w:gridSpan w:val="3"/>
            <w:tcBorders>
              <w:top w:val="single" w:sz="4" w:space="0" w:color="auto"/>
            </w:tcBorders>
          </w:tcPr>
          <w:p w14:paraId="09E08190" w14:textId="77777777" w:rsidR="00EE7F09" w:rsidRPr="00D06787" w:rsidRDefault="00EE7F09" w:rsidP="00EE7F09">
            <w:pPr>
              <w:spacing w:after="0" w:line="200" w:lineRule="exact"/>
              <w:rPr>
                <w:rFonts w:eastAsia="Times New Roman"/>
                <w:i/>
                <w:color w:val="31849B"/>
                <w:sz w:val="20"/>
                <w:lang w:eastAsia="en-AU"/>
              </w:rPr>
            </w:pPr>
          </w:p>
        </w:tc>
      </w:tr>
      <w:tr w:rsidR="00EE7F09" w:rsidRPr="00D06787" w14:paraId="056B3812" w14:textId="77777777" w:rsidTr="00EE7F09">
        <w:trPr>
          <w:trHeight w:val="300"/>
          <w:jc w:val="center"/>
        </w:trPr>
        <w:tc>
          <w:tcPr>
            <w:tcW w:w="733" w:type="dxa"/>
            <w:shd w:val="clear" w:color="auto" w:fill="auto"/>
            <w:noWrap/>
            <w:vAlign w:val="center"/>
          </w:tcPr>
          <w:p w14:paraId="4F404D4F"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1</w:t>
            </w:r>
          </w:p>
        </w:tc>
        <w:tc>
          <w:tcPr>
            <w:tcW w:w="576" w:type="dxa"/>
            <w:shd w:val="clear" w:color="auto" w:fill="F2F2F2"/>
            <w:noWrap/>
            <w:vAlign w:val="center"/>
            <w:hideMark/>
          </w:tcPr>
          <w:p w14:paraId="70E2B45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534" w:type="dxa"/>
            <w:shd w:val="clear" w:color="auto" w:fill="F2F2F2"/>
            <w:noWrap/>
            <w:vAlign w:val="center"/>
            <w:hideMark/>
          </w:tcPr>
          <w:p w14:paraId="442CD22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15</w:t>
            </w:r>
          </w:p>
        </w:tc>
        <w:tc>
          <w:tcPr>
            <w:tcW w:w="525" w:type="dxa"/>
            <w:shd w:val="clear" w:color="auto" w:fill="F2F2F2"/>
            <w:noWrap/>
            <w:vAlign w:val="center"/>
            <w:hideMark/>
          </w:tcPr>
          <w:p w14:paraId="06881CA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17</w:t>
            </w:r>
          </w:p>
        </w:tc>
        <w:tc>
          <w:tcPr>
            <w:tcW w:w="576" w:type="dxa"/>
            <w:vAlign w:val="center"/>
          </w:tcPr>
          <w:p w14:paraId="2EBF383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458" w:type="dxa"/>
            <w:vAlign w:val="center"/>
          </w:tcPr>
          <w:p w14:paraId="78DD374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8</w:t>
            </w:r>
          </w:p>
        </w:tc>
        <w:tc>
          <w:tcPr>
            <w:tcW w:w="498" w:type="dxa"/>
            <w:vAlign w:val="center"/>
          </w:tcPr>
          <w:p w14:paraId="599E84B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75" w:type="dxa"/>
            <w:shd w:val="clear" w:color="auto" w:fill="F2F2F2"/>
            <w:vAlign w:val="center"/>
          </w:tcPr>
          <w:p w14:paraId="31557BB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3777767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7D08976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4DA56B5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511" w:type="dxa"/>
            <w:vAlign w:val="center"/>
          </w:tcPr>
          <w:p w14:paraId="5E14AEE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5A8748E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4</w:t>
            </w:r>
          </w:p>
        </w:tc>
        <w:tc>
          <w:tcPr>
            <w:tcW w:w="575" w:type="dxa"/>
            <w:shd w:val="clear" w:color="auto" w:fill="F2F2F2"/>
            <w:vAlign w:val="center"/>
          </w:tcPr>
          <w:p w14:paraId="1305D15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449" w:type="dxa"/>
            <w:shd w:val="clear" w:color="auto" w:fill="F2F2F2"/>
            <w:vAlign w:val="center"/>
          </w:tcPr>
          <w:p w14:paraId="613BD7C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425" w:type="dxa"/>
            <w:shd w:val="clear" w:color="auto" w:fill="F2F2F2"/>
            <w:vAlign w:val="center"/>
          </w:tcPr>
          <w:p w14:paraId="4FD1045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483" w:type="dxa"/>
            <w:vAlign w:val="center"/>
          </w:tcPr>
          <w:p w14:paraId="209F8546"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w:t>
            </w:r>
          </w:p>
        </w:tc>
        <w:tc>
          <w:tcPr>
            <w:tcW w:w="483" w:type="dxa"/>
            <w:vAlign w:val="center"/>
          </w:tcPr>
          <w:p w14:paraId="22C88CD9"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15</w:t>
            </w:r>
          </w:p>
        </w:tc>
        <w:tc>
          <w:tcPr>
            <w:tcW w:w="483" w:type="dxa"/>
            <w:vAlign w:val="center"/>
          </w:tcPr>
          <w:p w14:paraId="02D02013"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8</w:t>
            </w:r>
          </w:p>
        </w:tc>
      </w:tr>
      <w:tr w:rsidR="00EE7F09" w:rsidRPr="00D06787" w14:paraId="21856468" w14:textId="77777777" w:rsidTr="00EE7F09">
        <w:trPr>
          <w:trHeight w:val="300"/>
          <w:jc w:val="center"/>
        </w:trPr>
        <w:tc>
          <w:tcPr>
            <w:tcW w:w="733" w:type="dxa"/>
            <w:shd w:val="clear" w:color="auto" w:fill="auto"/>
            <w:noWrap/>
            <w:vAlign w:val="bottom"/>
          </w:tcPr>
          <w:p w14:paraId="7D52C2BC" w14:textId="77777777" w:rsidR="00EE7F09" w:rsidRPr="00D06787" w:rsidRDefault="00EE7F09" w:rsidP="00EE7F09">
            <w:pPr>
              <w:spacing w:after="0" w:line="200" w:lineRule="exact"/>
              <w:ind w:right="-250"/>
              <w:rPr>
                <w:rFonts w:eastAsia="Times New Roman"/>
                <w:color w:val="000000"/>
                <w:sz w:val="18"/>
                <w:szCs w:val="18"/>
                <w:lang w:eastAsia="en-AU"/>
              </w:rPr>
            </w:pPr>
            <w:r w:rsidRPr="00D06787">
              <w:rPr>
                <w:rFonts w:eastAsia="Times New Roman"/>
                <w:color w:val="000000"/>
                <w:sz w:val="18"/>
                <w:szCs w:val="18"/>
                <w:lang w:eastAsia="en-AU"/>
              </w:rPr>
              <w:t>Zone 2</w:t>
            </w:r>
          </w:p>
        </w:tc>
        <w:tc>
          <w:tcPr>
            <w:tcW w:w="576" w:type="dxa"/>
            <w:shd w:val="clear" w:color="auto" w:fill="F2F2F2"/>
            <w:noWrap/>
            <w:vAlign w:val="center"/>
          </w:tcPr>
          <w:p w14:paraId="6B059FF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534" w:type="dxa"/>
            <w:shd w:val="clear" w:color="auto" w:fill="F2F2F2"/>
            <w:noWrap/>
            <w:vAlign w:val="center"/>
          </w:tcPr>
          <w:p w14:paraId="51D6DD8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11</w:t>
            </w:r>
          </w:p>
        </w:tc>
        <w:tc>
          <w:tcPr>
            <w:tcW w:w="525" w:type="dxa"/>
            <w:shd w:val="clear" w:color="auto" w:fill="F2F2F2"/>
            <w:noWrap/>
            <w:vAlign w:val="center"/>
          </w:tcPr>
          <w:p w14:paraId="3AFEA9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11</w:t>
            </w:r>
          </w:p>
        </w:tc>
        <w:tc>
          <w:tcPr>
            <w:tcW w:w="576" w:type="dxa"/>
            <w:vAlign w:val="center"/>
          </w:tcPr>
          <w:p w14:paraId="56B9FC6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9</w:t>
            </w:r>
          </w:p>
        </w:tc>
        <w:tc>
          <w:tcPr>
            <w:tcW w:w="458" w:type="dxa"/>
            <w:vAlign w:val="center"/>
          </w:tcPr>
          <w:p w14:paraId="3813DD6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16</w:t>
            </w:r>
          </w:p>
        </w:tc>
        <w:tc>
          <w:tcPr>
            <w:tcW w:w="498" w:type="dxa"/>
            <w:vAlign w:val="center"/>
          </w:tcPr>
          <w:p w14:paraId="6D21427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19</w:t>
            </w:r>
          </w:p>
        </w:tc>
        <w:tc>
          <w:tcPr>
            <w:tcW w:w="575" w:type="dxa"/>
            <w:shd w:val="clear" w:color="auto" w:fill="F2F2F2"/>
            <w:vAlign w:val="center"/>
          </w:tcPr>
          <w:p w14:paraId="2FFF696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747A973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1E07DED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2EFBB67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6</w:t>
            </w:r>
          </w:p>
        </w:tc>
        <w:tc>
          <w:tcPr>
            <w:tcW w:w="511" w:type="dxa"/>
            <w:vAlign w:val="center"/>
          </w:tcPr>
          <w:p w14:paraId="0994CCF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449" w:type="dxa"/>
            <w:vAlign w:val="center"/>
          </w:tcPr>
          <w:p w14:paraId="2C87639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575" w:type="dxa"/>
            <w:shd w:val="clear" w:color="auto" w:fill="F2F2F2"/>
            <w:vAlign w:val="center"/>
          </w:tcPr>
          <w:p w14:paraId="61036A9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449" w:type="dxa"/>
            <w:shd w:val="clear" w:color="auto" w:fill="F2F2F2"/>
            <w:vAlign w:val="center"/>
          </w:tcPr>
          <w:p w14:paraId="5B1E316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6</w:t>
            </w:r>
          </w:p>
        </w:tc>
        <w:tc>
          <w:tcPr>
            <w:tcW w:w="425" w:type="dxa"/>
            <w:shd w:val="clear" w:color="auto" w:fill="F2F2F2"/>
            <w:vAlign w:val="center"/>
          </w:tcPr>
          <w:p w14:paraId="3059F5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4</w:t>
            </w:r>
          </w:p>
        </w:tc>
        <w:tc>
          <w:tcPr>
            <w:tcW w:w="483" w:type="dxa"/>
            <w:vAlign w:val="center"/>
          </w:tcPr>
          <w:p w14:paraId="062C8C2B"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w:t>
            </w:r>
          </w:p>
        </w:tc>
        <w:tc>
          <w:tcPr>
            <w:tcW w:w="483" w:type="dxa"/>
            <w:vAlign w:val="center"/>
          </w:tcPr>
          <w:p w14:paraId="7609FE7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r>
              <w:rPr>
                <w:rFonts w:eastAsia="Times New Roman"/>
                <w:color w:val="000000"/>
                <w:sz w:val="18"/>
                <w:szCs w:val="18"/>
                <w:lang w:eastAsia="en-AU"/>
              </w:rPr>
              <w:t>1</w:t>
            </w:r>
          </w:p>
        </w:tc>
        <w:tc>
          <w:tcPr>
            <w:tcW w:w="483" w:type="dxa"/>
            <w:vAlign w:val="center"/>
          </w:tcPr>
          <w:p w14:paraId="78745247"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8</w:t>
            </w:r>
          </w:p>
        </w:tc>
      </w:tr>
      <w:tr w:rsidR="00EE7F09" w:rsidRPr="00D06787" w14:paraId="3049574C" w14:textId="77777777" w:rsidTr="00EE7F09">
        <w:trPr>
          <w:trHeight w:val="300"/>
          <w:jc w:val="center"/>
        </w:trPr>
        <w:tc>
          <w:tcPr>
            <w:tcW w:w="733" w:type="dxa"/>
            <w:shd w:val="clear" w:color="auto" w:fill="auto"/>
            <w:noWrap/>
            <w:vAlign w:val="bottom"/>
            <w:hideMark/>
          </w:tcPr>
          <w:p w14:paraId="1569B1F1"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3</w:t>
            </w:r>
          </w:p>
        </w:tc>
        <w:tc>
          <w:tcPr>
            <w:tcW w:w="576" w:type="dxa"/>
            <w:shd w:val="clear" w:color="auto" w:fill="F2F2F2"/>
            <w:noWrap/>
            <w:vAlign w:val="center"/>
            <w:hideMark/>
          </w:tcPr>
          <w:p w14:paraId="12DC1AF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3</w:t>
            </w:r>
          </w:p>
        </w:tc>
        <w:tc>
          <w:tcPr>
            <w:tcW w:w="534" w:type="dxa"/>
            <w:shd w:val="clear" w:color="auto" w:fill="F2F2F2"/>
            <w:noWrap/>
            <w:vAlign w:val="center"/>
            <w:hideMark/>
          </w:tcPr>
          <w:p w14:paraId="2102E98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14</w:t>
            </w:r>
          </w:p>
        </w:tc>
        <w:tc>
          <w:tcPr>
            <w:tcW w:w="525" w:type="dxa"/>
            <w:shd w:val="clear" w:color="auto" w:fill="F2F2F2"/>
            <w:noWrap/>
            <w:vAlign w:val="center"/>
            <w:hideMark/>
          </w:tcPr>
          <w:p w14:paraId="07C555D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13</w:t>
            </w:r>
          </w:p>
        </w:tc>
        <w:tc>
          <w:tcPr>
            <w:tcW w:w="576" w:type="dxa"/>
            <w:vAlign w:val="center"/>
          </w:tcPr>
          <w:p w14:paraId="387B716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8</w:t>
            </w:r>
          </w:p>
        </w:tc>
        <w:tc>
          <w:tcPr>
            <w:tcW w:w="458" w:type="dxa"/>
            <w:vAlign w:val="center"/>
          </w:tcPr>
          <w:p w14:paraId="72BB254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9</w:t>
            </w:r>
          </w:p>
        </w:tc>
        <w:tc>
          <w:tcPr>
            <w:tcW w:w="498" w:type="dxa"/>
            <w:vAlign w:val="center"/>
          </w:tcPr>
          <w:p w14:paraId="10922E5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16</w:t>
            </w:r>
          </w:p>
        </w:tc>
        <w:tc>
          <w:tcPr>
            <w:tcW w:w="575" w:type="dxa"/>
            <w:shd w:val="clear" w:color="auto" w:fill="F2F2F2"/>
            <w:vAlign w:val="center"/>
          </w:tcPr>
          <w:p w14:paraId="5307E0A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7042FB0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54A42B0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3912B6E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1DFEB6B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4FB3A62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39F9F7B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45A00CC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425" w:type="dxa"/>
            <w:shd w:val="clear" w:color="auto" w:fill="F2F2F2"/>
            <w:vAlign w:val="center"/>
          </w:tcPr>
          <w:p w14:paraId="28161E9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73A00521"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w:t>
            </w:r>
          </w:p>
        </w:tc>
        <w:tc>
          <w:tcPr>
            <w:tcW w:w="483" w:type="dxa"/>
            <w:vAlign w:val="center"/>
          </w:tcPr>
          <w:p w14:paraId="5CF1BC5F"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12</w:t>
            </w:r>
          </w:p>
        </w:tc>
        <w:tc>
          <w:tcPr>
            <w:tcW w:w="483" w:type="dxa"/>
            <w:vAlign w:val="center"/>
          </w:tcPr>
          <w:p w14:paraId="40D46C3E"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17</w:t>
            </w:r>
          </w:p>
        </w:tc>
      </w:tr>
      <w:tr w:rsidR="00EE7F09" w:rsidRPr="00D06787" w14:paraId="08B8263C" w14:textId="77777777" w:rsidTr="00EE7F09">
        <w:trPr>
          <w:trHeight w:val="300"/>
          <w:jc w:val="center"/>
        </w:trPr>
        <w:tc>
          <w:tcPr>
            <w:tcW w:w="733" w:type="dxa"/>
            <w:shd w:val="clear" w:color="auto" w:fill="auto"/>
            <w:noWrap/>
            <w:vAlign w:val="bottom"/>
            <w:hideMark/>
          </w:tcPr>
          <w:p w14:paraId="08A6D11C"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4</w:t>
            </w:r>
          </w:p>
        </w:tc>
        <w:tc>
          <w:tcPr>
            <w:tcW w:w="576" w:type="dxa"/>
            <w:shd w:val="clear" w:color="auto" w:fill="F2F2F2"/>
            <w:noWrap/>
            <w:vAlign w:val="center"/>
            <w:hideMark/>
          </w:tcPr>
          <w:p w14:paraId="02B0D22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7</w:t>
            </w:r>
          </w:p>
        </w:tc>
        <w:tc>
          <w:tcPr>
            <w:tcW w:w="534" w:type="dxa"/>
            <w:shd w:val="clear" w:color="auto" w:fill="F2F2F2"/>
            <w:noWrap/>
            <w:vAlign w:val="center"/>
            <w:hideMark/>
          </w:tcPr>
          <w:p w14:paraId="5479DCE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6</w:t>
            </w:r>
          </w:p>
        </w:tc>
        <w:tc>
          <w:tcPr>
            <w:tcW w:w="525" w:type="dxa"/>
            <w:shd w:val="clear" w:color="auto" w:fill="F2F2F2"/>
            <w:noWrap/>
            <w:vAlign w:val="center"/>
            <w:hideMark/>
          </w:tcPr>
          <w:p w14:paraId="621B99F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14</w:t>
            </w:r>
          </w:p>
        </w:tc>
        <w:tc>
          <w:tcPr>
            <w:tcW w:w="576" w:type="dxa"/>
            <w:vAlign w:val="center"/>
          </w:tcPr>
          <w:p w14:paraId="57EEEE6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458" w:type="dxa"/>
            <w:vAlign w:val="center"/>
          </w:tcPr>
          <w:p w14:paraId="043DA6F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17</w:t>
            </w:r>
          </w:p>
        </w:tc>
        <w:tc>
          <w:tcPr>
            <w:tcW w:w="498" w:type="dxa"/>
            <w:vAlign w:val="center"/>
          </w:tcPr>
          <w:p w14:paraId="4C3A08C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11</w:t>
            </w:r>
          </w:p>
        </w:tc>
        <w:tc>
          <w:tcPr>
            <w:tcW w:w="575" w:type="dxa"/>
            <w:shd w:val="clear" w:color="auto" w:fill="F2F2F2"/>
            <w:vAlign w:val="center"/>
          </w:tcPr>
          <w:p w14:paraId="696F679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71E73AD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4EC942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1A0997E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7D15132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2C8C3BF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1AE4941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4E124D1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2F2516B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3CE4773E"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w:t>
            </w:r>
          </w:p>
        </w:tc>
        <w:tc>
          <w:tcPr>
            <w:tcW w:w="483" w:type="dxa"/>
            <w:vAlign w:val="center"/>
          </w:tcPr>
          <w:p w14:paraId="23BF516E"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10</w:t>
            </w:r>
          </w:p>
        </w:tc>
        <w:tc>
          <w:tcPr>
            <w:tcW w:w="483" w:type="dxa"/>
            <w:vAlign w:val="center"/>
          </w:tcPr>
          <w:p w14:paraId="7DA39C82"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w:t>
            </w:r>
          </w:p>
        </w:tc>
      </w:tr>
      <w:tr w:rsidR="00EE7F09" w:rsidRPr="00D06787" w14:paraId="41BF5765" w14:textId="77777777" w:rsidTr="00EE7F09">
        <w:trPr>
          <w:trHeight w:val="300"/>
          <w:jc w:val="center"/>
        </w:trPr>
        <w:tc>
          <w:tcPr>
            <w:tcW w:w="8363" w:type="dxa"/>
            <w:gridSpan w:val="16"/>
            <w:shd w:val="clear" w:color="auto" w:fill="auto"/>
            <w:noWrap/>
            <w:vAlign w:val="bottom"/>
          </w:tcPr>
          <w:p w14:paraId="1B9F7AC8"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i/>
                <w:color w:val="31849B"/>
                <w:sz w:val="18"/>
                <w:szCs w:val="18"/>
                <w:lang w:eastAsia="en-AU"/>
              </w:rPr>
              <w:t>Silver perch</w:t>
            </w:r>
          </w:p>
        </w:tc>
        <w:tc>
          <w:tcPr>
            <w:tcW w:w="1449" w:type="dxa"/>
            <w:gridSpan w:val="3"/>
          </w:tcPr>
          <w:p w14:paraId="5035F9DC" w14:textId="77777777" w:rsidR="00EE7F09" w:rsidRPr="00D06787" w:rsidRDefault="00EE7F09" w:rsidP="00EE7F09">
            <w:pPr>
              <w:spacing w:after="0" w:line="200" w:lineRule="exact"/>
              <w:rPr>
                <w:rFonts w:eastAsia="Times New Roman"/>
                <w:i/>
                <w:color w:val="31849B"/>
                <w:sz w:val="18"/>
                <w:szCs w:val="18"/>
                <w:lang w:eastAsia="en-AU"/>
              </w:rPr>
            </w:pPr>
          </w:p>
        </w:tc>
      </w:tr>
      <w:tr w:rsidR="00EE7F09" w:rsidRPr="00D06787" w14:paraId="08F77F56" w14:textId="77777777" w:rsidTr="00EE7F09">
        <w:trPr>
          <w:trHeight w:val="300"/>
          <w:jc w:val="center"/>
        </w:trPr>
        <w:tc>
          <w:tcPr>
            <w:tcW w:w="733" w:type="dxa"/>
            <w:shd w:val="clear" w:color="auto" w:fill="auto"/>
            <w:noWrap/>
            <w:vAlign w:val="bottom"/>
            <w:hideMark/>
          </w:tcPr>
          <w:p w14:paraId="64889BCD" w14:textId="77777777" w:rsidR="00EE7F09" w:rsidRPr="00D06787" w:rsidRDefault="00EE7F09" w:rsidP="00EE7F09">
            <w:pPr>
              <w:spacing w:after="0" w:line="200" w:lineRule="exact"/>
              <w:ind w:left="-256" w:firstLine="256"/>
              <w:rPr>
                <w:rFonts w:eastAsia="Times New Roman"/>
                <w:color w:val="000000"/>
                <w:sz w:val="18"/>
                <w:szCs w:val="18"/>
                <w:lang w:eastAsia="en-AU"/>
              </w:rPr>
            </w:pPr>
            <w:r w:rsidRPr="00D06787">
              <w:rPr>
                <w:rFonts w:eastAsia="Times New Roman"/>
                <w:color w:val="000000"/>
                <w:sz w:val="18"/>
                <w:szCs w:val="18"/>
                <w:lang w:eastAsia="en-AU"/>
              </w:rPr>
              <w:t>Zone 1</w:t>
            </w:r>
          </w:p>
        </w:tc>
        <w:tc>
          <w:tcPr>
            <w:tcW w:w="576" w:type="dxa"/>
            <w:shd w:val="clear" w:color="auto" w:fill="F2F2F2"/>
            <w:noWrap/>
            <w:vAlign w:val="center"/>
            <w:hideMark/>
          </w:tcPr>
          <w:p w14:paraId="67CDE6B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hideMark/>
          </w:tcPr>
          <w:p w14:paraId="6118826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hideMark/>
          </w:tcPr>
          <w:p w14:paraId="04504CD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7</w:t>
            </w:r>
          </w:p>
        </w:tc>
        <w:tc>
          <w:tcPr>
            <w:tcW w:w="576" w:type="dxa"/>
            <w:vAlign w:val="center"/>
          </w:tcPr>
          <w:p w14:paraId="179FB0C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644D039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498" w:type="dxa"/>
            <w:vAlign w:val="center"/>
          </w:tcPr>
          <w:p w14:paraId="798F1D5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575" w:type="dxa"/>
            <w:shd w:val="clear" w:color="auto" w:fill="F2F2F2"/>
            <w:vAlign w:val="center"/>
          </w:tcPr>
          <w:p w14:paraId="0265142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7AC3FB8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4B94790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12</w:t>
            </w:r>
          </w:p>
        </w:tc>
        <w:tc>
          <w:tcPr>
            <w:tcW w:w="519" w:type="dxa"/>
            <w:vAlign w:val="center"/>
          </w:tcPr>
          <w:p w14:paraId="19F4DBF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61A6557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4529707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575" w:type="dxa"/>
            <w:shd w:val="clear" w:color="auto" w:fill="F2F2F2"/>
            <w:vAlign w:val="center"/>
          </w:tcPr>
          <w:p w14:paraId="61CBCAC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622F672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4F94E66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483" w:type="dxa"/>
            <w:vAlign w:val="center"/>
          </w:tcPr>
          <w:p w14:paraId="1E5725A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104D4327"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3" w:type="dxa"/>
            <w:vAlign w:val="center"/>
          </w:tcPr>
          <w:p w14:paraId="7F15F8D2"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w:t>
            </w:r>
          </w:p>
        </w:tc>
      </w:tr>
      <w:tr w:rsidR="00EE7F09" w:rsidRPr="00D06787" w14:paraId="649082B3" w14:textId="77777777" w:rsidTr="00EE7F09">
        <w:trPr>
          <w:trHeight w:val="300"/>
          <w:jc w:val="center"/>
        </w:trPr>
        <w:tc>
          <w:tcPr>
            <w:tcW w:w="733" w:type="dxa"/>
            <w:shd w:val="clear" w:color="auto" w:fill="auto"/>
            <w:noWrap/>
            <w:vAlign w:val="bottom"/>
          </w:tcPr>
          <w:p w14:paraId="19DCC137"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2</w:t>
            </w:r>
          </w:p>
        </w:tc>
        <w:tc>
          <w:tcPr>
            <w:tcW w:w="576" w:type="dxa"/>
            <w:shd w:val="clear" w:color="auto" w:fill="F2F2F2"/>
            <w:noWrap/>
            <w:vAlign w:val="center"/>
          </w:tcPr>
          <w:p w14:paraId="44ED0C9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tcPr>
          <w:p w14:paraId="5508936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tcPr>
          <w:p w14:paraId="450BF07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576" w:type="dxa"/>
            <w:vAlign w:val="center"/>
          </w:tcPr>
          <w:p w14:paraId="761516D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221926F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98" w:type="dxa"/>
            <w:vAlign w:val="center"/>
          </w:tcPr>
          <w:p w14:paraId="39F9BAD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3</w:t>
            </w:r>
          </w:p>
        </w:tc>
        <w:tc>
          <w:tcPr>
            <w:tcW w:w="575" w:type="dxa"/>
            <w:shd w:val="clear" w:color="auto" w:fill="F2F2F2"/>
            <w:vAlign w:val="center"/>
          </w:tcPr>
          <w:p w14:paraId="3C807D8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285D68B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2286C37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3</w:t>
            </w:r>
          </w:p>
        </w:tc>
        <w:tc>
          <w:tcPr>
            <w:tcW w:w="519" w:type="dxa"/>
            <w:vAlign w:val="center"/>
          </w:tcPr>
          <w:p w14:paraId="270592A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1BD81C7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4CC998A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75" w:type="dxa"/>
            <w:shd w:val="clear" w:color="auto" w:fill="F2F2F2"/>
            <w:vAlign w:val="center"/>
          </w:tcPr>
          <w:p w14:paraId="6CF18C0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0995576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4146340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3D46B9D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5D539FD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6C2863FB"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w:t>
            </w:r>
          </w:p>
        </w:tc>
      </w:tr>
      <w:tr w:rsidR="00EE7F09" w:rsidRPr="00D06787" w14:paraId="012CA918" w14:textId="77777777" w:rsidTr="00EE7F09">
        <w:trPr>
          <w:trHeight w:val="300"/>
          <w:jc w:val="center"/>
        </w:trPr>
        <w:tc>
          <w:tcPr>
            <w:tcW w:w="733" w:type="dxa"/>
            <w:shd w:val="clear" w:color="auto" w:fill="auto"/>
            <w:noWrap/>
            <w:vAlign w:val="bottom"/>
            <w:hideMark/>
          </w:tcPr>
          <w:p w14:paraId="16F30A3C"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3</w:t>
            </w:r>
          </w:p>
        </w:tc>
        <w:tc>
          <w:tcPr>
            <w:tcW w:w="576" w:type="dxa"/>
            <w:shd w:val="clear" w:color="auto" w:fill="F2F2F2"/>
            <w:noWrap/>
            <w:vAlign w:val="center"/>
            <w:hideMark/>
          </w:tcPr>
          <w:p w14:paraId="04DC674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hideMark/>
          </w:tcPr>
          <w:p w14:paraId="1672F39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hideMark/>
          </w:tcPr>
          <w:p w14:paraId="52F70DA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6</w:t>
            </w:r>
          </w:p>
        </w:tc>
        <w:tc>
          <w:tcPr>
            <w:tcW w:w="576" w:type="dxa"/>
            <w:vAlign w:val="center"/>
          </w:tcPr>
          <w:p w14:paraId="6AD3321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4336145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4</w:t>
            </w:r>
          </w:p>
        </w:tc>
        <w:tc>
          <w:tcPr>
            <w:tcW w:w="498" w:type="dxa"/>
            <w:vAlign w:val="center"/>
          </w:tcPr>
          <w:p w14:paraId="0CB83CF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9</w:t>
            </w:r>
          </w:p>
        </w:tc>
        <w:tc>
          <w:tcPr>
            <w:tcW w:w="575" w:type="dxa"/>
            <w:shd w:val="clear" w:color="auto" w:fill="F2F2F2"/>
            <w:vAlign w:val="center"/>
          </w:tcPr>
          <w:p w14:paraId="1308331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3C9BCA6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3FB07FE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13</w:t>
            </w:r>
          </w:p>
        </w:tc>
        <w:tc>
          <w:tcPr>
            <w:tcW w:w="519" w:type="dxa"/>
            <w:vAlign w:val="center"/>
          </w:tcPr>
          <w:p w14:paraId="71267F8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6CF73EF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6438BEA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9</w:t>
            </w:r>
          </w:p>
        </w:tc>
        <w:tc>
          <w:tcPr>
            <w:tcW w:w="575" w:type="dxa"/>
            <w:shd w:val="clear" w:color="auto" w:fill="F2F2F2"/>
            <w:vAlign w:val="center"/>
          </w:tcPr>
          <w:p w14:paraId="6FF652B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57D159E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7</w:t>
            </w:r>
          </w:p>
        </w:tc>
        <w:tc>
          <w:tcPr>
            <w:tcW w:w="425" w:type="dxa"/>
            <w:shd w:val="clear" w:color="auto" w:fill="F2F2F2"/>
            <w:vAlign w:val="center"/>
          </w:tcPr>
          <w:p w14:paraId="1573D2B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483" w:type="dxa"/>
            <w:vAlign w:val="center"/>
          </w:tcPr>
          <w:p w14:paraId="17673C0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6E769CF3"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3" w:type="dxa"/>
            <w:vAlign w:val="center"/>
          </w:tcPr>
          <w:p w14:paraId="57701042"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6</w:t>
            </w:r>
          </w:p>
        </w:tc>
      </w:tr>
      <w:tr w:rsidR="00EE7F09" w:rsidRPr="00D06787" w14:paraId="65B954B9" w14:textId="77777777" w:rsidTr="00EE7F09">
        <w:trPr>
          <w:trHeight w:val="300"/>
          <w:jc w:val="center"/>
        </w:trPr>
        <w:tc>
          <w:tcPr>
            <w:tcW w:w="733" w:type="dxa"/>
            <w:shd w:val="clear" w:color="auto" w:fill="auto"/>
            <w:noWrap/>
            <w:vAlign w:val="bottom"/>
            <w:hideMark/>
          </w:tcPr>
          <w:p w14:paraId="295FAD86"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4</w:t>
            </w:r>
          </w:p>
        </w:tc>
        <w:tc>
          <w:tcPr>
            <w:tcW w:w="576" w:type="dxa"/>
            <w:shd w:val="clear" w:color="auto" w:fill="F2F2F2"/>
            <w:noWrap/>
            <w:vAlign w:val="center"/>
            <w:hideMark/>
          </w:tcPr>
          <w:p w14:paraId="5690C32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hideMark/>
          </w:tcPr>
          <w:p w14:paraId="0A9C5DF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25" w:type="dxa"/>
            <w:shd w:val="clear" w:color="auto" w:fill="F2F2F2"/>
            <w:noWrap/>
            <w:vAlign w:val="center"/>
            <w:hideMark/>
          </w:tcPr>
          <w:p w14:paraId="2BCEA3C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76" w:type="dxa"/>
            <w:vAlign w:val="center"/>
          </w:tcPr>
          <w:p w14:paraId="316CEBB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5</w:t>
            </w:r>
          </w:p>
        </w:tc>
        <w:tc>
          <w:tcPr>
            <w:tcW w:w="458" w:type="dxa"/>
            <w:vAlign w:val="center"/>
          </w:tcPr>
          <w:p w14:paraId="3A9BCC0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15</w:t>
            </w:r>
          </w:p>
        </w:tc>
        <w:tc>
          <w:tcPr>
            <w:tcW w:w="498" w:type="dxa"/>
            <w:vAlign w:val="center"/>
          </w:tcPr>
          <w:p w14:paraId="05F0299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14</w:t>
            </w:r>
          </w:p>
        </w:tc>
        <w:tc>
          <w:tcPr>
            <w:tcW w:w="575" w:type="dxa"/>
            <w:shd w:val="clear" w:color="auto" w:fill="F2F2F2"/>
            <w:vAlign w:val="center"/>
          </w:tcPr>
          <w:p w14:paraId="6978BDB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58137F0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7EFD366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7</w:t>
            </w:r>
          </w:p>
        </w:tc>
        <w:tc>
          <w:tcPr>
            <w:tcW w:w="519" w:type="dxa"/>
            <w:vAlign w:val="center"/>
          </w:tcPr>
          <w:p w14:paraId="531D588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27DADD2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1264244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14</w:t>
            </w:r>
          </w:p>
        </w:tc>
        <w:tc>
          <w:tcPr>
            <w:tcW w:w="575" w:type="dxa"/>
            <w:shd w:val="clear" w:color="auto" w:fill="F2F2F2"/>
            <w:vAlign w:val="center"/>
          </w:tcPr>
          <w:p w14:paraId="26CF6C5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7E7CFFB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3</w:t>
            </w:r>
          </w:p>
        </w:tc>
        <w:tc>
          <w:tcPr>
            <w:tcW w:w="425" w:type="dxa"/>
            <w:shd w:val="clear" w:color="auto" w:fill="F2F2F2"/>
            <w:vAlign w:val="center"/>
          </w:tcPr>
          <w:p w14:paraId="1C6A870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4</w:t>
            </w:r>
          </w:p>
        </w:tc>
        <w:tc>
          <w:tcPr>
            <w:tcW w:w="483" w:type="dxa"/>
            <w:vAlign w:val="center"/>
          </w:tcPr>
          <w:p w14:paraId="3DCA6A36"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w:t>
            </w:r>
          </w:p>
        </w:tc>
        <w:tc>
          <w:tcPr>
            <w:tcW w:w="483" w:type="dxa"/>
            <w:vAlign w:val="center"/>
          </w:tcPr>
          <w:p w14:paraId="19597794" w14:textId="77777777" w:rsidR="00EE7F09" w:rsidRPr="00D06787" w:rsidRDefault="00EE7F09" w:rsidP="00EE7F09">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w:t>
            </w:r>
          </w:p>
        </w:tc>
        <w:tc>
          <w:tcPr>
            <w:tcW w:w="483" w:type="dxa"/>
            <w:vAlign w:val="center"/>
          </w:tcPr>
          <w:p w14:paraId="184D3A1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14</w:t>
            </w:r>
          </w:p>
        </w:tc>
      </w:tr>
      <w:tr w:rsidR="00EE7F09" w:rsidRPr="00D06787" w14:paraId="4274242D" w14:textId="77777777" w:rsidTr="00EE7F09">
        <w:trPr>
          <w:trHeight w:val="300"/>
          <w:jc w:val="center"/>
        </w:trPr>
        <w:tc>
          <w:tcPr>
            <w:tcW w:w="8363" w:type="dxa"/>
            <w:gridSpan w:val="16"/>
            <w:shd w:val="clear" w:color="auto" w:fill="auto"/>
            <w:noWrap/>
            <w:vAlign w:val="bottom"/>
          </w:tcPr>
          <w:p w14:paraId="11F4200A"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i/>
                <w:color w:val="31849B"/>
                <w:sz w:val="18"/>
                <w:szCs w:val="18"/>
                <w:lang w:eastAsia="en-AU"/>
              </w:rPr>
              <w:t>Golden perch</w:t>
            </w:r>
          </w:p>
        </w:tc>
        <w:tc>
          <w:tcPr>
            <w:tcW w:w="1449" w:type="dxa"/>
            <w:gridSpan w:val="3"/>
          </w:tcPr>
          <w:p w14:paraId="5D7DE983" w14:textId="77777777" w:rsidR="00EE7F09" w:rsidRPr="00D06787" w:rsidRDefault="00EE7F09" w:rsidP="00EE7F09">
            <w:pPr>
              <w:spacing w:after="0" w:line="200" w:lineRule="exact"/>
              <w:rPr>
                <w:rFonts w:eastAsia="Times New Roman"/>
                <w:i/>
                <w:color w:val="31849B"/>
                <w:sz w:val="18"/>
                <w:szCs w:val="18"/>
                <w:lang w:eastAsia="en-AU"/>
              </w:rPr>
            </w:pPr>
          </w:p>
        </w:tc>
      </w:tr>
      <w:tr w:rsidR="00EE7F09" w:rsidRPr="00D06787" w14:paraId="26B90F75" w14:textId="77777777" w:rsidTr="00EE7F09">
        <w:trPr>
          <w:trHeight w:val="300"/>
          <w:jc w:val="center"/>
        </w:trPr>
        <w:tc>
          <w:tcPr>
            <w:tcW w:w="733" w:type="dxa"/>
            <w:shd w:val="clear" w:color="auto" w:fill="auto"/>
            <w:noWrap/>
            <w:vAlign w:val="bottom"/>
            <w:hideMark/>
          </w:tcPr>
          <w:p w14:paraId="7C9CA72A" w14:textId="77777777" w:rsidR="00EE7F09" w:rsidRPr="00D06787" w:rsidRDefault="00EE7F09" w:rsidP="00EE7F09">
            <w:pPr>
              <w:spacing w:after="0" w:line="200" w:lineRule="exact"/>
              <w:ind w:left="-256" w:firstLine="256"/>
              <w:rPr>
                <w:rFonts w:eastAsia="Times New Roman"/>
                <w:color w:val="000000"/>
                <w:sz w:val="18"/>
                <w:szCs w:val="18"/>
                <w:lang w:eastAsia="en-AU"/>
              </w:rPr>
            </w:pPr>
            <w:r w:rsidRPr="00D06787">
              <w:rPr>
                <w:rFonts w:eastAsia="Times New Roman"/>
                <w:color w:val="000000"/>
                <w:sz w:val="18"/>
                <w:szCs w:val="18"/>
                <w:lang w:eastAsia="en-AU"/>
              </w:rPr>
              <w:t>Zone 1</w:t>
            </w:r>
          </w:p>
        </w:tc>
        <w:tc>
          <w:tcPr>
            <w:tcW w:w="576" w:type="dxa"/>
            <w:shd w:val="clear" w:color="auto" w:fill="F2F2F2"/>
            <w:noWrap/>
            <w:vAlign w:val="center"/>
            <w:hideMark/>
          </w:tcPr>
          <w:p w14:paraId="20C5E7C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hideMark/>
          </w:tcPr>
          <w:p w14:paraId="635977F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hideMark/>
          </w:tcPr>
          <w:p w14:paraId="7A5BFAD2"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6" w:type="dxa"/>
            <w:vAlign w:val="center"/>
          </w:tcPr>
          <w:p w14:paraId="35B23E0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12036AF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98" w:type="dxa"/>
            <w:vAlign w:val="center"/>
          </w:tcPr>
          <w:p w14:paraId="282C45D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457F884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489C7A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3614E88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5B2A57D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0277CAA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48A6982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3A27D31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24D99EF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4BB4A83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6CA57C0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2393E7A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7C2B5DC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r>
      <w:tr w:rsidR="00EE7F09" w:rsidRPr="00D06787" w14:paraId="15456A83" w14:textId="77777777" w:rsidTr="00EE7F09">
        <w:trPr>
          <w:trHeight w:val="300"/>
          <w:jc w:val="center"/>
        </w:trPr>
        <w:tc>
          <w:tcPr>
            <w:tcW w:w="733" w:type="dxa"/>
            <w:shd w:val="clear" w:color="auto" w:fill="auto"/>
            <w:noWrap/>
            <w:vAlign w:val="bottom"/>
          </w:tcPr>
          <w:p w14:paraId="2492BAAC"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2</w:t>
            </w:r>
          </w:p>
        </w:tc>
        <w:tc>
          <w:tcPr>
            <w:tcW w:w="576" w:type="dxa"/>
            <w:shd w:val="clear" w:color="auto" w:fill="F2F2F2"/>
            <w:noWrap/>
            <w:vAlign w:val="center"/>
          </w:tcPr>
          <w:p w14:paraId="2C1010A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tcPr>
          <w:p w14:paraId="7F5CC5E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tcPr>
          <w:p w14:paraId="25209E2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6" w:type="dxa"/>
            <w:vAlign w:val="center"/>
          </w:tcPr>
          <w:p w14:paraId="6F5F642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39930CC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98" w:type="dxa"/>
            <w:vAlign w:val="center"/>
          </w:tcPr>
          <w:p w14:paraId="595E270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0C0B1CB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215A748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263507C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5B793C7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551221E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33ACB33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0363A2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205E668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608F912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7EC0254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2C6444F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1DB71FA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r>
      <w:tr w:rsidR="00EE7F09" w:rsidRPr="00D06787" w14:paraId="648877FB" w14:textId="77777777" w:rsidTr="00EE7F09">
        <w:trPr>
          <w:trHeight w:val="300"/>
          <w:jc w:val="center"/>
        </w:trPr>
        <w:tc>
          <w:tcPr>
            <w:tcW w:w="733" w:type="dxa"/>
            <w:shd w:val="clear" w:color="auto" w:fill="auto"/>
            <w:noWrap/>
            <w:vAlign w:val="bottom"/>
            <w:hideMark/>
          </w:tcPr>
          <w:p w14:paraId="2313E335"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3</w:t>
            </w:r>
          </w:p>
        </w:tc>
        <w:tc>
          <w:tcPr>
            <w:tcW w:w="576" w:type="dxa"/>
            <w:shd w:val="clear" w:color="auto" w:fill="F2F2F2"/>
            <w:noWrap/>
            <w:vAlign w:val="center"/>
            <w:hideMark/>
          </w:tcPr>
          <w:p w14:paraId="4D0023E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shd w:val="clear" w:color="auto" w:fill="F2F2F2"/>
            <w:noWrap/>
            <w:vAlign w:val="center"/>
            <w:hideMark/>
          </w:tcPr>
          <w:p w14:paraId="196DF88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shd w:val="clear" w:color="auto" w:fill="F2F2F2"/>
            <w:noWrap/>
            <w:vAlign w:val="center"/>
            <w:hideMark/>
          </w:tcPr>
          <w:p w14:paraId="2AE377C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76" w:type="dxa"/>
            <w:vAlign w:val="center"/>
          </w:tcPr>
          <w:p w14:paraId="7377045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vAlign w:val="center"/>
          </w:tcPr>
          <w:p w14:paraId="37EEE29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98" w:type="dxa"/>
            <w:vAlign w:val="center"/>
          </w:tcPr>
          <w:p w14:paraId="627771E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3</w:t>
            </w:r>
          </w:p>
        </w:tc>
        <w:tc>
          <w:tcPr>
            <w:tcW w:w="575" w:type="dxa"/>
            <w:shd w:val="clear" w:color="auto" w:fill="F2F2F2"/>
            <w:vAlign w:val="center"/>
          </w:tcPr>
          <w:p w14:paraId="1B5A7E58"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shd w:val="clear" w:color="auto" w:fill="F2F2F2"/>
            <w:vAlign w:val="center"/>
          </w:tcPr>
          <w:p w14:paraId="79ADC95C"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shd w:val="clear" w:color="auto" w:fill="F2F2F2"/>
            <w:vAlign w:val="center"/>
          </w:tcPr>
          <w:p w14:paraId="1B12D4F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vAlign w:val="center"/>
          </w:tcPr>
          <w:p w14:paraId="3C81F6C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vAlign w:val="center"/>
          </w:tcPr>
          <w:p w14:paraId="60E6113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vAlign w:val="center"/>
          </w:tcPr>
          <w:p w14:paraId="752EE5F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shd w:val="clear" w:color="auto" w:fill="F2F2F2"/>
            <w:vAlign w:val="center"/>
          </w:tcPr>
          <w:p w14:paraId="2338E1B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shd w:val="clear" w:color="auto" w:fill="F2F2F2"/>
            <w:vAlign w:val="center"/>
          </w:tcPr>
          <w:p w14:paraId="5836F62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shd w:val="clear" w:color="auto" w:fill="F2F2F2"/>
            <w:vAlign w:val="center"/>
          </w:tcPr>
          <w:p w14:paraId="4F8F030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3C72EAFF"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1FAE03D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vAlign w:val="center"/>
          </w:tcPr>
          <w:p w14:paraId="71D71D3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r>
      <w:tr w:rsidR="00EE7F09" w:rsidRPr="00D06787" w14:paraId="781DCB65" w14:textId="77777777" w:rsidTr="00EE7F09">
        <w:trPr>
          <w:trHeight w:val="300"/>
          <w:jc w:val="center"/>
        </w:trPr>
        <w:tc>
          <w:tcPr>
            <w:tcW w:w="733" w:type="dxa"/>
            <w:tcBorders>
              <w:bottom w:val="single" w:sz="4" w:space="0" w:color="auto"/>
            </w:tcBorders>
            <w:shd w:val="clear" w:color="auto" w:fill="auto"/>
            <w:noWrap/>
            <w:vAlign w:val="bottom"/>
            <w:hideMark/>
          </w:tcPr>
          <w:p w14:paraId="626FD097" w14:textId="77777777" w:rsidR="00EE7F09" w:rsidRPr="00D06787" w:rsidRDefault="00EE7F09" w:rsidP="00EE7F09">
            <w:pPr>
              <w:spacing w:after="0" w:line="200" w:lineRule="exact"/>
              <w:rPr>
                <w:rFonts w:eastAsia="Times New Roman"/>
                <w:color w:val="000000"/>
                <w:sz w:val="18"/>
                <w:szCs w:val="18"/>
                <w:lang w:eastAsia="en-AU"/>
              </w:rPr>
            </w:pPr>
            <w:r w:rsidRPr="00D06787">
              <w:rPr>
                <w:rFonts w:eastAsia="Times New Roman"/>
                <w:color w:val="000000"/>
                <w:sz w:val="18"/>
                <w:szCs w:val="18"/>
                <w:lang w:eastAsia="en-AU"/>
              </w:rPr>
              <w:t>Zone 4</w:t>
            </w:r>
          </w:p>
        </w:tc>
        <w:tc>
          <w:tcPr>
            <w:tcW w:w="576" w:type="dxa"/>
            <w:tcBorders>
              <w:bottom w:val="single" w:sz="4" w:space="0" w:color="auto"/>
            </w:tcBorders>
            <w:shd w:val="clear" w:color="auto" w:fill="F2F2F2"/>
            <w:noWrap/>
            <w:vAlign w:val="center"/>
            <w:hideMark/>
          </w:tcPr>
          <w:p w14:paraId="76A22D1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34" w:type="dxa"/>
            <w:tcBorders>
              <w:bottom w:val="single" w:sz="4" w:space="0" w:color="auto"/>
            </w:tcBorders>
            <w:shd w:val="clear" w:color="auto" w:fill="F2F2F2"/>
            <w:noWrap/>
            <w:vAlign w:val="center"/>
            <w:hideMark/>
          </w:tcPr>
          <w:p w14:paraId="46A884F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25" w:type="dxa"/>
            <w:tcBorders>
              <w:bottom w:val="single" w:sz="4" w:space="0" w:color="auto"/>
            </w:tcBorders>
            <w:shd w:val="clear" w:color="auto" w:fill="F2F2F2"/>
            <w:noWrap/>
            <w:vAlign w:val="center"/>
            <w:hideMark/>
          </w:tcPr>
          <w:p w14:paraId="4A023885"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2</w:t>
            </w:r>
          </w:p>
        </w:tc>
        <w:tc>
          <w:tcPr>
            <w:tcW w:w="576" w:type="dxa"/>
            <w:tcBorders>
              <w:bottom w:val="single" w:sz="4" w:space="0" w:color="auto"/>
            </w:tcBorders>
            <w:vAlign w:val="center"/>
          </w:tcPr>
          <w:p w14:paraId="523F2E04"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58" w:type="dxa"/>
            <w:tcBorders>
              <w:bottom w:val="single" w:sz="4" w:space="0" w:color="auto"/>
            </w:tcBorders>
            <w:vAlign w:val="center"/>
          </w:tcPr>
          <w:p w14:paraId="5CD53847"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98" w:type="dxa"/>
            <w:tcBorders>
              <w:bottom w:val="single" w:sz="4" w:space="0" w:color="auto"/>
            </w:tcBorders>
            <w:vAlign w:val="center"/>
          </w:tcPr>
          <w:p w14:paraId="7ADCDA0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1</w:t>
            </w:r>
          </w:p>
        </w:tc>
        <w:tc>
          <w:tcPr>
            <w:tcW w:w="575" w:type="dxa"/>
            <w:tcBorders>
              <w:bottom w:val="single" w:sz="4" w:space="0" w:color="auto"/>
            </w:tcBorders>
            <w:shd w:val="clear" w:color="auto" w:fill="F2F2F2"/>
            <w:vAlign w:val="center"/>
          </w:tcPr>
          <w:p w14:paraId="05A611E6"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7" w:type="dxa"/>
            <w:tcBorders>
              <w:bottom w:val="single" w:sz="4" w:space="0" w:color="auto"/>
            </w:tcBorders>
            <w:shd w:val="clear" w:color="auto" w:fill="F2F2F2"/>
            <w:vAlign w:val="center"/>
          </w:tcPr>
          <w:p w14:paraId="4F094AB1"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73" w:type="dxa"/>
            <w:tcBorders>
              <w:bottom w:val="single" w:sz="4" w:space="0" w:color="auto"/>
            </w:tcBorders>
            <w:shd w:val="clear" w:color="auto" w:fill="F2F2F2"/>
            <w:vAlign w:val="center"/>
          </w:tcPr>
          <w:p w14:paraId="3283539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9" w:type="dxa"/>
            <w:tcBorders>
              <w:bottom w:val="single" w:sz="4" w:space="0" w:color="auto"/>
            </w:tcBorders>
            <w:vAlign w:val="center"/>
          </w:tcPr>
          <w:p w14:paraId="732AF29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11" w:type="dxa"/>
            <w:tcBorders>
              <w:bottom w:val="single" w:sz="4" w:space="0" w:color="auto"/>
            </w:tcBorders>
            <w:vAlign w:val="center"/>
          </w:tcPr>
          <w:p w14:paraId="51AA6FAA"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tcBorders>
              <w:bottom w:val="single" w:sz="4" w:space="0" w:color="auto"/>
            </w:tcBorders>
            <w:vAlign w:val="center"/>
          </w:tcPr>
          <w:p w14:paraId="128AA5B3"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575" w:type="dxa"/>
            <w:tcBorders>
              <w:bottom w:val="single" w:sz="4" w:space="0" w:color="auto"/>
            </w:tcBorders>
            <w:shd w:val="clear" w:color="auto" w:fill="F2F2F2"/>
            <w:vAlign w:val="center"/>
          </w:tcPr>
          <w:p w14:paraId="6C038ECE"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49" w:type="dxa"/>
            <w:tcBorders>
              <w:bottom w:val="single" w:sz="4" w:space="0" w:color="auto"/>
            </w:tcBorders>
            <w:shd w:val="clear" w:color="auto" w:fill="F2F2F2"/>
            <w:vAlign w:val="center"/>
          </w:tcPr>
          <w:p w14:paraId="5F8A5950"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25" w:type="dxa"/>
            <w:tcBorders>
              <w:bottom w:val="single" w:sz="4" w:space="0" w:color="auto"/>
            </w:tcBorders>
            <w:shd w:val="clear" w:color="auto" w:fill="F2F2F2"/>
            <w:vAlign w:val="center"/>
          </w:tcPr>
          <w:p w14:paraId="5991423B"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tcBorders>
              <w:bottom w:val="single" w:sz="4" w:space="0" w:color="auto"/>
            </w:tcBorders>
            <w:vAlign w:val="center"/>
          </w:tcPr>
          <w:p w14:paraId="34A6A80D"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tcBorders>
              <w:bottom w:val="single" w:sz="4" w:space="0" w:color="auto"/>
            </w:tcBorders>
            <w:vAlign w:val="center"/>
          </w:tcPr>
          <w:p w14:paraId="7889D3A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c>
          <w:tcPr>
            <w:tcW w:w="483" w:type="dxa"/>
            <w:tcBorders>
              <w:bottom w:val="single" w:sz="4" w:space="0" w:color="auto"/>
            </w:tcBorders>
            <w:vAlign w:val="center"/>
          </w:tcPr>
          <w:p w14:paraId="5A89EB89" w14:textId="77777777" w:rsidR="00EE7F09" w:rsidRPr="00D06787" w:rsidRDefault="00EE7F09" w:rsidP="00EE7F09">
            <w:pPr>
              <w:spacing w:after="0" w:line="200" w:lineRule="exact"/>
              <w:jc w:val="center"/>
              <w:rPr>
                <w:rFonts w:eastAsia="Times New Roman"/>
                <w:color w:val="000000"/>
                <w:sz w:val="18"/>
                <w:szCs w:val="18"/>
                <w:lang w:eastAsia="en-AU"/>
              </w:rPr>
            </w:pPr>
            <w:r w:rsidRPr="00D06787">
              <w:rPr>
                <w:rFonts w:eastAsia="Times New Roman"/>
                <w:color w:val="000000"/>
                <w:sz w:val="18"/>
                <w:szCs w:val="18"/>
                <w:lang w:eastAsia="en-AU"/>
              </w:rPr>
              <w:t>-</w:t>
            </w:r>
          </w:p>
        </w:tc>
      </w:tr>
    </w:tbl>
    <w:p w14:paraId="2A10DFB9" w14:textId="77777777" w:rsidR="00EE7F09" w:rsidRDefault="00EE7F09" w:rsidP="00EE7F09">
      <w:pPr>
        <w:rPr>
          <w:color w:val="006666"/>
          <w:lang w:val="en-US"/>
        </w:rPr>
      </w:pPr>
      <w:r>
        <w:rPr>
          <w:color w:val="006666"/>
          <w:lang w:val="en-US"/>
        </w:rPr>
        <w:br w:type="page"/>
      </w:r>
    </w:p>
    <w:p w14:paraId="646383C3" w14:textId="77777777" w:rsidR="00EE7F09" w:rsidRPr="00E759F2" w:rsidRDefault="00EE7F09" w:rsidP="00EE7F09">
      <w:pPr>
        <w:spacing w:after="120" w:line="324" w:lineRule="exact"/>
        <w:rPr>
          <w:color w:val="006666"/>
          <w:lang w:val="en-US"/>
        </w:rPr>
      </w:pPr>
      <w:r w:rsidRPr="00E759F2">
        <w:rPr>
          <w:color w:val="006666"/>
          <w:lang w:val="en-US"/>
        </w:rPr>
        <w:t>Murray cod</w:t>
      </w:r>
    </w:p>
    <w:p w14:paraId="58C2BB96" w14:textId="77777777" w:rsidR="00EE7F09" w:rsidRDefault="00EE7F09" w:rsidP="00530743">
      <w:pPr>
        <w:spacing w:after="120" w:line="324" w:lineRule="exact"/>
        <w:jc w:val="left"/>
        <w:rPr>
          <w:rFonts w:eastAsia="Times New Roman" w:cs="Arial"/>
          <w:color w:val="000000"/>
        </w:rPr>
      </w:pPr>
      <w:r>
        <w:rPr>
          <w:rFonts w:eastAsia="Times New Roman" w:cs="Arial"/>
          <w:color w:val="000000"/>
        </w:rPr>
        <w:t>A total of 14 YOY and 48 1+ Murray cod recruits were detected in 2019-20 sampling (Table 8.6). This represents the highest number of both classes of recruits since 2015-16 prior to the blackwater event in 2016 (Figures 8.14 and 8.15). Some of the apparent increased abundance of 1+ recruits may be attributable to the change in methods to from backpack electrofishing to boat electrofishing at most sites, however the CPUE in zone two where three out of the 4 sites where sampled with backpack electrofishing was comparable to 2015-16 (Figure 8.15).</w:t>
      </w:r>
    </w:p>
    <w:p w14:paraId="41A34AF9" w14:textId="77777777" w:rsidR="00EE7F09" w:rsidRPr="00D64A61" w:rsidRDefault="00EE7F09" w:rsidP="00530743">
      <w:pPr>
        <w:spacing w:after="120" w:line="324" w:lineRule="exact"/>
        <w:jc w:val="left"/>
        <w:rPr>
          <w:rFonts w:eastAsia="Times New Roman" w:cs="Arial"/>
          <w:color w:val="000000"/>
        </w:rPr>
      </w:pPr>
      <w:r>
        <w:rPr>
          <w:rFonts w:eastAsia="Times New Roman" w:cs="Arial"/>
          <w:color w:val="000000"/>
        </w:rPr>
        <w:t>Boat electrofishing resulted in an increase in the capture older juvenile and adult Murray cod (Table 8.6), which provided an overall snapshot of the current population structure in the system. It is clear from Figure 8.16 that the population is currently dominated by recent year classes less than 400 mm in length.</w:t>
      </w:r>
    </w:p>
    <w:p w14:paraId="3080185C" w14:textId="77777777" w:rsidR="00EE7F09" w:rsidRDefault="00EE7F09" w:rsidP="00530743">
      <w:pPr>
        <w:spacing w:after="0" w:line="240" w:lineRule="auto"/>
        <w:rPr>
          <w:rFonts w:eastAsia="Times New Roman" w:cs="Arial"/>
          <w:color w:val="000000"/>
        </w:rPr>
      </w:pPr>
      <w:r>
        <w:rPr>
          <w:noProof/>
          <w:lang w:eastAsia="en-AU"/>
        </w:rPr>
        <w:drawing>
          <wp:inline distT="0" distB="0" distL="0" distR="0" wp14:anchorId="600E47AE" wp14:editId="1F9A6C8E">
            <wp:extent cx="4176267" cy="2664000"/>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CYOYcpue.png"/>
                    <pic:cNvPicPr/>
                  </pic:nvPicPr>
                  <pic:blipFill rotWithShape="1">
                    <a:blip r:embed="rId110" cstate="email">
                      <a:extLst>
                        <a:ext uri="{28A0092B-C50C-407E-A947-70E740481C1C}">
                          <a14:useLocalDpi xmlns:a14="http://schemas.microsoft.com/office/drawing/2010/main"/>
                        </a:ext>
                      </a:extLst>
                    </a:blip>
                    <a:srcRect t="646"/>
                    <a:stretch/>
                  </pic:blipFill>
                  <pic:spPr bwMode="auto">
                    <a:xfrm>
                      <a:off x="0" y="0"/>
                      <a:ext cx="4176267" cy="2664000"/>
                    </a:xfrm>
                    <a:prstGeom prst="rect">
                      <a:avLst/>
                    </a:prstGeom>
                    <a:ln>
                      <a:noFill/>
                    </a:ln>
                    <a:extLst>
                      <a:ext uri="{53640926-AAD7-44D8-BBD7-CCE9431645EC}">
                        <a14:shadowObscured xmlns:a14="http://schemas.microsoft.com/office/drawing/2010/main"/>
                      </a:ext>
                    </a:extLst>
                  </pic:spPr>
                </pic:pic>
              </a:graphicData>
            </a:graphic>
          </wp:inline>
        </w:drawing>
      </w:r>
    </w:p>
    <w:p w14:paraId="3D335C76" w14:textId="77777777" w:rsidR="00EE7F09" w:rsidRPr="00530743" w:rsidRDefault="00EE7F09" w:rsidP="00530743">
      <w:pPr>
        <w:spacing w:after="0" w:line="240" w:lineRule="auto"/>
        <w:rPr>
          <w:sz w:val="20"/>
        </w:rPr>
      </w:pPr>
      <w:r w:rsidRPr="00530743">
        <w:rPr>
          <w:b/>
          <w:color w:val="000000" w:themeColor="text1"/>
          <w:sz w:val="20"/>
        </w:rPr>
        <w:t>Figure 8.14</w:t>
      </w:r>
      <w:r w:rsidRPr="00530743">
        <w:rPr>
          <w:color w:val="000000" w:themeColor="text1"/>
          <w:sz w:val="20"/>
        </w:rPr>
        <w:t xml:space="preserve"> </w:t>
      </w:r>
      <w:r w:rsidRPr="00530743">
        <w:rPr>
          <w:sz w:val="20"/>
        </w:rPr>
        <w:t>Mean (+SE) catch per unit effort (CPUE; number of fish caught per 10 000 seconds of electrofishing) of YOY Murray cod in the Edward/Kolety-Wakool LTIM/MER zones from 2019-20.</w:t>
      </w:r>
    </w:p>
    <w:p w14:paraId="02BDE364" w14:textId="77777777" w:rsidR="00530743" w:rsidRPr="00385001" w:rsidRDefault="00530743" w:rsidP="00530743">
      <w:pPr>
        <w:spacing w:after="0" w:line="240" w:lineRule="auto"/>
        <w:rPr>
          <w:rFonts w:eastAsia="Times New Roman"/>
          <w:i/>
          <w:color w:val="000000"/>
        </w:rPr>
      </w:pPr>
    </w:p>
    <w:p w14:paraId="766EE8F1" w14:textId="77777777" w:rsidR="00EE7F09" w:rsidRDefault="00EE7F09" w:rsidP="00530743">
      <w:pPr>
        <w:spacing w:after="0" w:line="240" w:lineRule="auto"/>
      </w:pPr>
      <w:r>
        <w:rPr>
          <w:rFonts w:cs="Arial"/>
          <w:noProof/>
          <w:color w:val="000000"/>
          <w:lang w:eastAsia="en-AU"/>
        </w:rPr>
        <w:drawing>
          <wp:inline distT="0" distB="0" distL="0" distR="0" wp14:anchorId="30772013" wp14:editId="6A9ADCBA">
            <wp:extent cx="4146110" cy="2628000"/>
            <wp:effectExtent l="0" t="0" r="6985" b="127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C1CPUE.png"/>
                    <pic:cNvPicPr/>
                  </pic:nvPicPr>
                  <pic:blipFill rotWithShape="1">
                    <a:blip r:embed="rId111" cstate="email">
                      <a:extLst>
                        <a:ext uri="{28A0092B-C50C-407E-A947-70E740481C1C}">
                          <a14:useLocalDpi xmlns:a14="http://schemas.microsoft.com/office/drawing/2010/main"/>
                        </a:ext>
                      </a:extLst>
                    </a:blip>
                    <a:srcRect t="1276"/>
                    <a:stretch/>
                  </pic:blipFill>
                  <pic:spPr bwMode="auto">
                    <a:xfrm>
                      <a:off x="0" y="0"/>
                      <a:ext cx="4146110" cy="2628000"/>
                    </a:xfrm>
                    <a:prstGeom prst="rect">
                      <a:avLst/>
                    </a:prstGeom>
                    <a:ln>
                      <a:noFill/>
                    </a:ln>
                    <a:extLst>
                      <a:ext uri="{53640926-AAD7-44D8-BBD7-CCE9431645EC}">
                        <a14:shadowObscured xmlns:a14="http://schemas.microsoft.com/office/drawing/2010/main"/>
                      </a:ext>
                    </a:extLst>
                  </pic:spPr>
                </pic:pic>
              </a:graphicData>
            </a:graphic>
          </wp:inline>
        </w:drawing>
      </w:r>
    </w:p>
    <w:p w14:paraId="17EB49BC" w14:textId="77777777" w:rsidR="00EE7F09" w:rsidRPr="00530743" w:rsidRDefault="00EE7F09" w:rsidP="00530743">
      <w:pPr>
        <w:spacing w:after="0" w:line="240" w:lineRule="auto"/>
        <w:rPr>
          <w:b/>
          <w:color w:val="000000" w:themeColor="text1"/>
          <w:sz w:val="20"/>
        </w:rPr>
      </w:pPr>
      <w:bookmarkStart w:id="30" w:name="_Ref50559798"/>
      <w:r w:rsidRPr="00530743">
        <w:rPr>
          <w:b/>
          <w:color w:val="000000" w:themeColor="text1"/>
          <w:sz w:val="20"/>
        </w:rPr>
        <w:t xml:space="preserve">Figure </w:t>
      </w:r>
      <w:bookmarkEnd w:id="30"/>
      <w:r w:rsidRPr="00530743">
        <w:rPr>
          <w:b/>
          <w:color w:val="000000" w:themeColor="text1"/>
          <w:sz w:val="20"/>
        </w:rPr>
        <w:t xml:space="preserve">8.15 </w:t>
      </w:r>
      <w:r w:rsidRPr="00530743">
        <w:rPr>
          <w:color w:val="000000" w:themeColor="text1"/>
          <w:sz w:val="20"/>
        </w:rPr>
        <w:t>Mean (+SE) catch per unit effort (CPUE; number of fish caught per 10 000 seconds of sampling time) of Murray cod among the Edward/Kolety-Wakool LTIM/MER zones using electrofishing, setlines and angling form 2014-15 to 2019-20.</w:t>
      </w:r>
    </w:p>
    <w:p w14:paraId="38785F3B" w14:textId="77777777" w:rsidR="00EE7F09" w:rsidRDefault="00EE7F09" w:rsidP="00EE7F09">
      <w:pPr>
        <w:spacing w:after="0"/>
      </w:pPr>
      <w:r>
        <w:rPr>
          <w:noProof/>
          <w:lang w:eastAsia="en-AU"/>
        </w:rPr>
        <w:drawing>
          <wp:inline distT="0" distB="0" distL="0" distR="0" wp14:anchorId="215A9843" wp14:editId="2B900A1F">
            <wp:extent cx="4615200" cy="2962800"/>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 MC LenFreq.png"/>
                    <pic:cNvPicPr/>
                  </pic:nvPicPr>
                  <pic:blipFill>
                    <a:blip r:embed="rId112" cstate="email">
                      <a:extLst>
                        <a:ext uri="{28A0092B-C50C-407E-A947-70E740481C1C}">
                          <a14:useLocalDpi xmlns:a14="http://schemas.microsoft.com/office/drawing/2010/main"/>
                        </a:ext>
                      </a:extLst>
                    </a:blip>
                    <a:stretch>
                      <a:fillRect/>
                    </a:stretch>
                  </pic:blipFill>
                  <pic:spPr>
                    <a:xfrm>
                      <a:off x="0" y="0"/>
                      <a:ext cx="4615200" cy="2962800"/>
                    </a:xfrm>
                    <a:prstGeom prst="rect">
                      <a:avLst/>
                    </a:prstGeom>
                  </pic:spPr>
                </pic:pic>
              </a:graphicData>
            </a:graphic>
          </wp:inline>
        </w:drawing>
      </w:r>
    </w:p>
    <w:p w14:paraId="7CEA1B2B" w14:textId="77777777" w:rsidR="00EE7F09" w:rsidRPr="00530743" w:rsidRDefault="00EE7F09" w:rsidP="00530743">
      <w:pPr>
        <w:spacing w:after="0" w:line="240" w:lineRule="auto"/>
        <w:rPr>
          <w:b/>
          <w:color w:val="000000" w:themeColor="text1"/>
          <w:sz w:val="20"/>
        </w:rPr>
      </w:pPr>
      <w:r w:rsidRPr="00530743">
        <w:rPr>
          <w:b/>
          <w:color w:val="000000" w:themeColor="text1"/>
          <w:sz w:val="20"/>
        </w:rPr>
        <w:t xml:space="preserve">Figure 8.16 </w:t>
      </w:r>
      <w:r w:rsidRPr="00530743">
        <w:rPr>
          <w:color w:val="000000" w:themeColor="text1"/>
          <w:sz w:val="20"/>
        </w:rPr>
        <w:t>Length frequencies of Murray cod captured using backpack and boat electrofishing, angling and setlines in 2019-20.</w:t>
      </w:r>
    </w:p>
    <w:p w14:paraId="3C213E6D" w14:textId="77777777" w:rsidR="00EE7F09" w:rsidRDefault="00EE7F09" w:rsidP="00EE7F09">
      <w:pPr>
        <w:spacing w:after="0" w:line="320" w:lineRule="exact"/>
        <w:rPr>
          <w:i/>
          <w:color w:val="006666"/>
        </w:rPr>
      </w:pPr>
    </w:p>
    <w:p w14:paraId="6264B489" w14:textId="77777777" w:rsidR="00EE7F09" w:rsidRPr="00E759F2" w:rsidRDefault="00EE7F09" w:rsidP="00EE7F09">
      <w:pPr>
        <w:spacing w:after="0" w:line="324" w:lineRule="exact"/>
        <w:rPr>
          <w:color w:val="006666"/>
          <w:lang w:val="en-US"/>
        </w:rPr>
      </w:pPr>
      <w:r w:rsidRPr="00E759F2">
        <w:rPr>
          <w:color w:val="006666"/>
          <w:lang w:val="en-US"/>
        </w:rPr>
        <w:t>Growth of Murray cod</w:t>
      </w:r>
    </w:p>
    <w:p w14:paraId="4C6EDCE9" w14:textId="77777777" w:rsidR="00EE7F09" w:rsidRDefault="00EE7F09" w:rsidP="00530743">
      <w:pPr>
        <w:spacing w:line="324" w:lineRule="exact"/>
        <w:jc w:val="left"/>
      </w:pPr>
      <w:r>
        <w:t>Growth per day (mm) of YOY Murray cod was similar to previous years except for 2017-18 which were the first cohort following the flood in 2016 (Figure 8.17). This trend is followed by the 1+ recruits in 2019-20 generally growing slower than in 2018-19 (the cohort spawned in 2017-18), with the exception of recruits in zone 4 that displayed similar growth rates to those in 2018-19 from other zones (Figure 8.18).</w:t>
      </w:r>
    </w:p>
    <w:p w14:paraId="541DBB1F" w14:textId="77777777" w:rsidR="00EE7F09" w:rsidRPr="00477F98" w:rsidRDefault="00EE7F09" w:rsidP="00EE7F09">
      <w:pPr>
        <w:spacing w:line="320" w:lineRule="exact"/>
      </w:pPr>
      <w:r>
        <w:rPr>
          <w:noProof/>
          <w:lang w:eastAsia="en-AU"/>
        </w:rPr>
        <w:drawing>
          <wp:anchor distT="0" distB="0" distL="114300" distR="114300" simplePos="0" relativeHeight="251658240" behindDoc="0" locked="0" layoutInCell="1" allowOverlap="1" wp14:anchorId="4FE1218D" wp14:editId="0AD0F358">
            <wp:simplePos x="0" y="0"/>
            <wp:positionH relativeFrom="column">
              <wp:posOffset>502920</wp:posOffset>
            </wp:positionH>
            <wp:positionV relativeFrom="paragraph">
              <wp:posOffset>236220</wp:posOffset>
            </wp:positionV>
            <wp:extent cx="4449445" cy="2858135"/>
            <wp:effectExtent l="0" t="0" r="8255" b="0"/>
            <wp:wrapTopAndBottom/>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CYOYGR2020.png"/>
                    <pic:cNvPicPr/>
                  </pic:nvPicPr>
                  <pic:blipFill>
                    <a:blip r:embed="rId113" cstate="email">
                      <a:extLst>
                        <a:ext uri="{28A0092B-C50C-407E-A947-70E740481C1C}">
                          <a14:useLocalDpi xmlns:a14="http://schemas.microsoft.com/office/drawing/2010/main"/>
                        </a:ext>
                      </a:extLst>
                    </a:blip>
                    <a:stretch>
                      <a:fillRect/>
                    </a:stretch>
                  </pic:blipFill>
                  <pic:spPr>
                    <a:xfrm>
                      <a:off x="0" y="0"/>
                      <a:ext cx="4449445" cy="2858135"/>
                    </a:xfrm>
                    <a:prstGeom prst="rect">
                      <a:avLst/>
                    </a:prstGeom>
                  </pic:spPr>
                </pic:pic>
              </a:graphicData>
            </a:graphic>
            <wp14:sizeRelH relativeFrom="margin">
              <wp14:pctWidth>0</wp14:pctWidth>
            </wp14:sizeRelH>
            <wp14:sizeRelV relativeFrom="margin">
              <wp14:pctHeight>0</wp14:pctHeight>
            </wp14:sizeRelV>
          </wp:anchor>
        </w:drawing>
      </w:r>
    </w:p>
    <w:p w14:paraId="13A0845C" w14:textId="37088037" w:rsidR="00EE7F09" w:rsidRPr="00530743" w:rsidRDefault="00EE7F09" w:rsidP="00530743">
      <w:pPr>
        <w:spacing w:after="0" w:line="240" w:lineRule="auto"/>
        <w:rPr>
          <w:b/>
          <w:color w:val="000000" w:themeColor="text1"/>
          <w:sz w:val="20"/>
        </w:rPr>
      </w:pPr>
      <w:r w:rsidRPr="00530743">
        <w:rPr>
          <w:b/>
          <w:color w:val="000000" w:themeColor="text1"/>
          <w:sz w:val="20"/>
        </w:rPr>
        <w:t xml:space="preserve">Figure 8.17 </w:t>
      </w:r>
      <w:r w:rsidRPr="00530743">
        <w:rPr>
          <w:color w:val="000000" w:themeColor="text1"/>
          <w:sz w:val="20"/>
        </w:rPr>
        <w:t>Boxplots of the annual growth rates (mm per year) of YOY Murray cod in each zone between 2014-15 and 2018-19. Number of individuals (n) per zone: 2014-15 n = 5, 5, 3, 7; 2015-16 n = 20, 9, 8, 5; 2016-17 n = 0, 0, 0, 0; 2017-18 n = 2, 6, 0, 0; 2018-19 n = 5, 2, 0, 0; 2019-20 n = 4, 5, 4, 1.</w:t>
      </w:r>
    </w:p>
    <w:p w14:paraId="100266B6" w14:textId="77777777" w:rsidR="00EE7F09" w:rsidRPr="00477F98" w:rsidRDefault="00EE7F09" w:rsidP="00EE7F09">
      <w:pPr>
        <w:spacing w:after="0" w:line="240" w:lineRule="auto"/>
        <w:jc w:val="center"/>
        <w:rPr>
          <w:lang w:val="en-US"/>
        </w:rPr>
      </w:pPr>
      <w:r>
        <w:rPr>
          <w:noProof/>
          <w:lang w:eastAsia="en-AU"/>
        </w:rPr>
        <w:drawing>
          <wp:inline distT="0" distB="0" distL="0" distR="0" wp14:anchorId="0D1437A3" wp14:editId="5BA71253">
            <wp:extent cx="4879450" cy="313200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C1GR2020.png"/>
                    <pic:cNvPicPr/>
                  </pic:nvPicPr>
                  <pic:blipFill>
                    <a:blip r:embed="rId114" cstate="email">
                      <a:extLst>
                        <a:ext uri="{28A0092B-C50C-407E-A947-70E740481C1C}">
                          <a14:useLocalDpi xmlns:a14="http://schemas.microsoft.com/office/drawing/2010/main"/>
                        </a:ext>
                      </a:extLst>
                    </a:blip>
                    <a:stretch>
                      <a:fillRect/>
                    </a:stretch>
                  </pic:blipFill>
                  <pic:spPr>
                    <a:xfrm>
                      <a:off x="0" y="0"/>
                      <a:ext cx="4879450" cy="3132000"/>
                    </a:xfrm>
                    <a:prstGeom prst="rect">
                      <a:avLst/>
                    </a:prstGeom>
                  </pic:spPr>
                </pic:pic>
              </a:graphicData>
            </a:graphic>
          </wp:inline>
        </w:drawing>
      </w:r>
    </w:p>
    <w:p w14:paraId="472B0AD1" w14:textId="77777777" w:rsidR="00EE7F09" w:rsidRDefault="00EE7F09" w:rsidP="00530743">
      <w:pPr>
        <w:spacing w:after="0" w:line="240" w:lineRule="auto"/>
        <w:rPr>
          <w:color w:val="000000" w:themeColor="text1"/>
          <w:sz w:val="20"/>
        </w:rPr>
      </w:pPr>
      <w:r w:rsidRPr="00530743">
        <w:rPr>
          <w:b/>
          <w:color w:val="000000" w:themeColor="text1"/>
          <w:sz w:val="20"/>
        </w:rPr>
        <w:t xml:space="preserve">Figure 8.18 </w:t>
      </w:r>
      <w:r w:rsidRPr="00530743">
        <w:rPr>
          <w:color w:val="000000" w:themeColor="text1"/>
          <w:sz w:val="20"/>
        </w:rPr>
        <w:t>Boxplots of the annual length-at-age (mm) for 1+ Murray cod in each zone between 2014-15 and 2018-19. Number of individuals (n) per zone: 2014-15 n = 15, 11, 14, 6; 2015-16 n = 8, 16, 9, 17; 2016-17 n = 0, 0, 0, 0; 2017-18 n = 0, 1, 0, 0; 2018-19 n = 2, 6, 2, 0; 2019-20 n = 15, 11, 12, 10.</w:t>
      </w:r>
    </w:p>
    <w:p w14:paraId="5C2B9C50" w14:textId="77777777" w:rsidR="00530743" w:rsidRPr="00530743" w:rsidRDefault="00530743" w:rsidP="00530743">
      <w:pPr>
        <w:spacing w:after="0" w:line="240" w:lineRule="auto"/>
        <w:rPr>
          <w:b/>
          <w:color w:val="000000" w:themeColor="text1"/>
          <w:sz w:val="20"/>
        </w:rPr>
      </w:pPr>
    </w:p>
    <w:p w14:paraId="594ABE54" w14:textId="77777777" w:rsidR="00EE7F09" w:rsidRPr="00E759F2" w:rsidRDefault="00EE7F09" w:rsidP="00EE7F09">
      <w:pPr>
        <w:spacing w:after="0" w:line="324" w:lineRule="exact"/>
        <w:rPr>
          <w:color w:val="006666"/>
          <w:lang w:val="en-US"/>
        </w:rPr>
      </w:pPr>
      <w:r w:rsidRPr="00E759F2">
        <w:rPr>
          <w:color w:val="006666"/>
          <w:lang w:val="en-US"/>
        </w:rPr>
        <w:t>Silver perch</w:t>
      </w:r>
    </w:p>
    <w:p w14:paraId="23748485" w14:textId="77777777" w:rsidR="00EE7F09" w:rsidRDefault="00EE7F09" w:rsidP="00530743">
      <w:pPr>
        <w:spacing w:after="120" w:line="324" w:lineRule="exact"/>
        <w:jc w:val="left"/>
      </w:pPr>
      <w:r>
        <w:t>Twenty-six silver perch were captured using setlines and angling in 2019-20, ranging from 101 mm to 370 mm. No silver perch were retained for ageing in 2019-20 due to concerns over threatened species survival during drought conditions. Determination of age class recruits was done using length data from fish previously aged on this project.</w:t>
      </w:r>
    </w:p>
    <w:p w14:paraId="480C9A4A" w14:textId="77777777" w:rsidR="00EE7F09" w:rsidRDefault="00EE7F09" w:rsidP="00530743">
      <w:pPr>
        <w:spacing w:line="324" w:lineRule="exact"/>
        <w:jc w:val="left"/>
      </w:pPr>
      <w:r>
        <w:t xml:space="preserve">Only one fish was a likely 1+ recruit captured in zone 4 (Figure 8.19), with all other fish either other juveniles or adults. Figure 8.20 shows the current population structure in system dominated by fish between 200 and 300 mm. </w:t>
      </w:r>
    </w:p>
    <w:p w14:paraId="2687D6A9" w14:textId="77777777" w:rsidR="00EE7F09" w:rsidRDefault="00EE7F09" w:rsidP="00EE7F09">
      <w:pPr>
        <w:spacing w:after="0" w:line="240" w:lineRule="auto"/>
        <w:jc w:val="center"/>
      </w:pPr>
      <w:r>
        <w:rPr>
          <w:noProof/>
          <w:lang w:eastAsia="en-AU"/>
        </w:rPr>
        <w:drawing>
          <wp:inline distT="0" distB="0" distL="0" distR="0" wp14:anchorId="3376D724" wp14:editId="0B0FC436">
            <wp:extent cx="4205383" cy="2700000"/>
            <wp:effectExtent l="0" t="0" r="508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1.png"/>
                    <pic:cNvPicPr/>
                  </pic:nvPicPr>
                  <pic:blipFill>
                    <a:blip r:embed="rId115" cstate="email">
                      <a:extLst>
                        <a:ext uri="{28A0092B-C50C-407E-A947-70E740481C1C}">
                          <a14:useLocalDpi xmlns:a14="http://schemas.microsoft.com/office/drawing/2010/main"/>
                        </a:ext>
                      </a:extLst>
                    </a:blip>
                    <a:stretch>
                      <a:fillRect/>
                    </a:stretch>
                  </pic:blipFill>
                  <pic:spPr>
                    <a:xfrm>
                      <a:off x="0" y="0"/>
                      <a:ext cx="4205383" cy="2700000"/>
                    </a:xfrm>
                    <a:prstGeom prst="rect">
                      <a:avLst/>
                    </a:prstGeom>
                  </pic:spPr>
                </pic:pic>
              </a:graphicData>
            </a:graphic>
          </wp:inline>
        </w:drawing>
      </w:r>
    </w:p>
    <w:p w14:paraId="4442D9B3" w14:textId="77777777" w:rsidR="00EE7F09" w:rsidRPr="00530743" w:rsidRDefault="00EE7F09" w:rsidP="00530743">
      <w:pPr>
        <w:spacing w:after="0" w:line="240" w:lineRule="auto"/>
        <w:rPr>
          <w:b/>
          <w:color w:val="000000" w:themeColor="text1"/>
          <w:sz w:val="20"/>
        </w:rPr>
      </w:pPr>
      <w:r w:rsidRPr="00530743">
        <w:rPr>
          <w:b/>
          <w:color w:val="000000" w:themeColor="text1"/>
          <w:sz w:val="20"/>
        </w:rPr>
        <w:t xml:space="preserve">Figure 8.19 </w:t>
      </w:r>
      <w:r w:rsidRPr="00530743">
        <w:rPr>
          <w:color w:val="000000" w:themeColor="text1"/>
          <w:sz w:val="20"/>
        </w:rPr>
        <w:t>Mean (+ SE) CPUE of 1+ silver perch in the Edward/Kolety-Wakool LTIM zones using setlines and angling (number of fish per 10 000 seconds of sampling) between 2014-15 and 2019-20.</w:t>
      </w:r>
    </w:p>
    <w:p w14:paraId="53A68CBB" w14:textId="77777777" w:rsidR="00EE7F09" w:rsidRDefault="00EE7F09" w:rsidP="00EE7F09">
      <w:pPr>
        <w:spacing w:after="0"/>
        <w:jc w:val="center"/>
      </w:pPr>
      <w:r>
        <w:rPr>
          <w:noProof/>
          <w:lang w:eastAsia="en-AU"/>
        </w:rPr>
        <w:drawing>
          <wp:inline distT="0" distB="0" distL="0" distR="0" wp14:anchorId="30B2E4B6" wp14:editId="59FCF827">
            <wp:extent cx="4372605" cy="2808000"/>
            <wp:effectExtent l="0" t="0" r="952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PLF.png"/>
                    <pic:cNvPicPr/>
                  </pic:nvPicPr>
                  <pic:blipFill>
                    <a:blip r:embed="rId116" cstate="email">
                      <a:extLst>
                        <a:ext uri="{28A0092B-C50C-407E-A947-70E740481C1C}">
                          <a14:useLocalDpi xmlns:a14="http://schemas.microsoft.com/office/drawing/2010/main"/>
                        </a:ext>
                      </a:extLst>
                    </a:blip>
                    <a:stretch>
                      <a:fillRect/>
                    </a:stretch>
                  </pic:blipFill>
                  <pic:spPr>
                    <a:xfrm>
                      <a:off x="0" y="0"/>
                      <a:ext cx="4372605" cy="2808000"/>
                    </a:xfrm>
                    <a:prstGeom prst="rect">
                      <a:avLst/>
                    </a:prstGeom>
                  </pic:spPr>
                </pic:pic>
              </a:graphicData>
            </a:graphic>
          </wp:inline>
        </w:drawing>
      </w:r>
    </w:p>
    <w:p w14:paraId="3771C092" w14:textId="77777777" w:rsidR="00EE7F09" w:rsidRPr="00530743" w:rsidRDefault="00EE7F09" w:rsidP="00530743">
      <w:pPr>
        <w:spacing w:after="0" w:line="240" w:lineRule="auto"/>
        <w:rPr>
          <w:b/>
          <w:color w:val="000000" w:themeColor="text1"/>
          <w:sz w:val="20"/>
        </w:rPr>
      </w:pPr>
      <w:r w:rsidRPr="00530743">
        <w:rPr>
          <w:b/>
          <w:color w:val="000000" w:themeColor="text1"/>
          <w:sz w:val="20"/>
        </w:rPr>
        <w:t xml:space="preserve">Figure 8.20 </w:t>
      </w:r>
      <w:r w:rsidRPr="00530743">
        <w:rPr>
          <w:color w:val="000000" w:themeColor="text1"/>
          <w:sz w:val="20"/>
        </w:rPr>
        <w:t>Length frequencies of silver perch captured using setlines and angling in 2019-20.</w:t>
      </w:r>
    </w:p>
    <w:p w14:paraId="21F56454" w14:textId="77777777" w:rsidR="00EE7F09" w:rsidRDefault="00EE7F09" w:rsidP="00EE7F09">
      <w:pPr>
        <w:pStyle w:val="BodyText"/>
        <w:spacing w:after="120" w:line="259" w:lineRule="auto"/>
        <w:rPr>
          <w:rFonts w:ascii="Calibri" w:hAnsi="Calibri"/>
          <w:b/>
          <w:i/>
          <w:color w:val="006666"/>
        </w:rPr>
      </w:pPr>
    </w:p>
    <w:p w14:paraId="5E16A256" w14:textId="77777777" w:rsidR="00EE7F09" w:rsidRPr="00F113E5" w:rsidRDefault="00EE7F09" w:rsidP="00EE7F09">
      <w:pPr>
        <w:pStyle w:val="BodyText"/>
        <w:spacing w:after="120" w:line="324" w:lineRule="exact"/>
        <w:rPr>
          <w:rFonts w:ascii="Calibri" w:hAnsi="Calibri"/>
          <w:b/>
          <w:i/>
          <w:color w:val="006666"/>
          <w:sz w:val="22"/>
          <w:szCs w:val="22"/>
        </w:rPr>
      </w:pPr>
      <w:r w:rsidRPr="00E22421">
        <w:rPr>
          <w:rFonts w:ascii="Calibri" w:hAnsi="Calibri"/>
          <w:b/>
          <w:i/>
          <w:color w:val="006666"/>
        </w:rPr>
        <w:t>8.5.</w:t>
      </w:r>
      <w:r w:rsidRPr="00F113E5">
        <w:rPr>
          <w:rFonts w:ascii="Calibri" w:hAnsi="Calibri"/>
          <w:b/>
          <w:i/>
          <w:color w:val="006666"/>
          <w:sz w:val="22"/>
          <w:szCs w:val="22"/>
        </w:rPr>
        <w:t>4 Adult fish community</w:t>
      </w:r>
    </w:p>
    <w:p w14:paraId="255EA372" w14:textId="77777777" w:rsidR="00EE7F09" w:rsidRPr="00F113E5" w:rsidRDefault="00EE7F09" w:rsidP="00530743">
      <w:pPr>
        <w:spacing w:after="120" w:line="324" w:lineRule="exact"/>
        <w:jc w:val="left"/>
        <w:rPr>
          <w:rFonts w:cstheme="minorHAnsi"/>
        </w:rPr>
      </w:pPr>
      <w:r w:rsidRPr="00F113E5">
        <w:rPr>
          <w:rFonts w:cstheme="minorHAnsi"/>
        </w:rPr>
        <w:t>Basin scale - Category 1 fish community sampling (undertaken only in zone 3) identified eight native fish species and two alien species in 2020 (Table 8.7). Overall, standardised catch of Murray cod and golden perch remained substantially lower through 2017</w:t>
      </w:r>
      <w:r w:rsidRPr="00F113E5">
        <w:rPr>
          <w:rFonts w:cs="Calibri"/>
        </w:rPr>
        <w:t>–</w:t>
      </w:r>
      <w:r w:rsidRPr="00F113E5">
        <w:rPr>
          <w:rFonts w:cstheme="minorHAnsi"/>
        </w:rPr>
        <w:t>2020 compared with 2015 and 2016 (Table 8.8</w:t>
      </w:r>
      <w:r>
        <w:rPr>
          <w:rFonts w:cstheme="minorHAnsi"/>
        </w:rPr>
        <w:t>, Figure 8.21</w:t>
      </w:r>
      <w:r w:rsidRPr="00F113E5">
        <w:rPr>
          <w:rFonts w:cstheme="minorHAnsi"/>
        </w:rPr>
        <w:t>). Although, Murray cod numbers have risen from 12 in 2017 to 66 in 2020. Flathead gudgeon were not captured in 2020 but were only captured at low abundances when previously present in 2016 and 2015 (Table 8.7</w:t>
      </w:r>
      <w:r>
        <w:rPr>
          <w:rFonts w:cstheme="minorHAnsi"/>
        </w:rPr>
        <w:t>, Figure 8.21</w:t>
      </w:r>
      <w:r w:rsidRPr="00F113E5">
        <w:rPr>
          <w:rFonts w:cstheme="minorHAnsi"/>
        </w:rPr>
        <w:t>).</w:t>
      </w:r>
    </w:p>
    <w:p w14:paraId="3AB11CF6" w14:textId="77777777" w:rsidR="00EE7F09" w:rsidRPr="00F113E5" w:rsidRDefault="00EE7F09" w:rsidP="00530743">
      <w:pPr>
        <w:spacing w:after="120" w:line="324" w:lineRule="exact"/>
        <w:jc w:val="left"/>
        <w:rPr>
          <w:rFonts w:cstheme="minorHAnsi"/>
        </w:rPr>
      </w:pPr>
      <w:r w:rsidRPr="00F113E5">
        <w:rPr>
          <w:rFonts w:cstheme="minorHAnsi"/>
        </w:rPr>
        <w:t>There were significant differences in the abundance of the fish assemblage between sampling years in zone 3 (Pseudo-F</w:t>
      </w:r>
      <w:r w:rsidRPr="00F113E5">
        <w:rPr>
          <w:rFonts w:cstheme="minorHAnsi"/>
          <w:vertAlign w:val="subscript"/>
        </w:rPr>
        <w:t>5,54</w:t>
      </w:r>
      <w:r w:rsidRPr="00F113E5">
        <w:rPr>
          <w:rFonts w:cstheme="minorHAnsi"/>
        </w:rPr>
        <w:t xml:space="preserve"> = 10.246, p &lt; 0.001). Pair-wise differences were found between all pairs of years (t &gt; 4.46, p &lt; 0.05), except 2015 and 2016 (t = 2.127, p = 0.840). Differences between 2020 and 2019 (t = 9.747, p = 0.015) were driven by a higher abundance of bony herring and carp gudgeon in 2020 (contribution to dissimilarity between groups of 20.5 and 11.8%, respectively) and a lower abundance of goldfish in 2020 (11.9%).</w:t>
      </w:r>
    </w:p>
    <w:p w14:paraId="37B0ED53" w14:textId="77777777" w:rsidR="00EE7F09" w:rsidRPr="00F113E5" w:rsidRDefault="00EE7F09" w:rsidP="00530743">
      <w:pPr>
        <w:spacing w:after="120" w:line="324" w:lineRule="exact"/>
        <w:jc w:val="left"/>
        <w:rPr>
          <w:rFonts w:cstheme="minorHAnsi"/>
        </w:rPr>
      </w:pPr>
      <w:r w:rsidRPr="00F113E5">
        <w:rPr>
          <w:rFonts w:cstheme="minorHAnsi"/>
        </w:rPr>
        <w:t>Length-freq</w:t>
      </w:r>
      <w:r>
        <w:rPr>
          <w:rFonts w:cstheme="minorHAnsi"/>
        </w:rPr>
        <w:t>uency distributions (Figure 8.22</w:t>
      </w:r>
      <w:r w:rsidRPr="00F113E5">
        <w:rPr>
          <w:rFonts w:cstheme="minorHAnsi"/>
        </w:rPr>
        <w:t>) indicated that bony herring captured in 2020 were significantly smaller than those captured in 2015</w:t>
      </w:r>
      <w:r w:rsidRPr="00F113E5">
        <w:rPr>
          <w:rFonts w:cs="Calibri"/>
        </w:rPr>
        <w:t>–</w:t>
      </w:r>
      <w:r w:rsidRPr="00F113E5">
        <w:rPr>
          <w:rFonts w:cstheme="minorHAnsi"/>
        </w:rPr>
        <w:t xml:space="preserve">2019 (p &lt; 0.001), and numerous new recruits were captured. </w:t>
      </w:r>
    </w:p>
    <w:p w14:paraId="198D4878" w14:textId="77777777" w:rsidR="00EE7F09" w:rsidRPr="00F113E5" w:rsidRDefault="00EE7F09" w:rsidP="00530743">
      <w:pPr>
        <w:spacing w:after="120" w:line="324" w:lineRule="exact"/>
        <w:jc w:val="left"/>
        <w:rPr>
          <w:rFonts w:cstheme="minorHAnsi"/>
        </w:rPr>
      </w:pPr>
      <w:r w:rsidRPr="00F113E5">
        <w:rPr>
          <w:rFonts w:cstheme="minorHAnsi"/>
        </w:rPr>
        <w:t>Golden perch captured in 2020 were significantly larger than those captured in 2019 (p = 0.009), 2017 (p = 0.024), 2016 (p &lt; 0.001) and 2015 (p &lt; 0.001), but of a similar size structure compared to those in 2018 (p = 0.372). New recruits of this species have not been captured during si</w:t>
      </w:r>
      <w:r>
        <w:rPr>
          <w:rFonts w:cstheme="minorHAnsi"/>
        </w:rPr>
        <w:t>x years of sampling (Figure 8.22</w:t>
      </w:r>
      <w:r w:rsidRPr="00F113E5">
        <w:rPr>
          <w:rFonts w:cstheme="minorHAnsi"/>
        </w:rPr>
        <w:t xml:space="preserve">). </w:t>
      </w:r>
    </w:p>
    <w:p w14:paraId="5C21E9BA" w14:textId="77777777" w:rsidR="00EE7F09" w:rsidRPr="00F113E5" w:rsidRDefault="00EE7F09" w:rsidP="00530743">
      <w:pPr>
        <w:spacing w:after="120" w:line="324" w:lineRule="exact"/>
        <w:jc w:val="left"/>
        <w:rPr>
          <w:rFonts w:cstheme="minorHAnsi"/>
        </w:rPr>
      </w:pPr>
      <w:r w:rsidRPr="00F113E5">
        <w:rPr>
          <w:rFonts w:cstheme="minorHAnsi"/>
        </w:rPr>
        <w:t>Common carp new recruits were captured in 2020, but overall fish were significantly larger in 2020 compared with 2019 (p &lt; 0.001) due to a lower proportionate abundance of new recruits in 2020. Even so fish were larger still in 2016 (p &lt; 0.001) and 2015 (p &lt; 0.001) when compared with the size struc</w:t>
      </w:r>
      <w:r>
        <w:rPr>
          <w:rFonts w:cstheme="minorHAnsi"/>
        </w:rPr>
        <w:t>ture in 2020 (Figure 8.22</w:t>
      </w:r>
      <w:r w:rsidRPr="00F113E5">
        <w:rPr>
          <w:rFonts w:cstheme="minorHAnsi"/>
        </w:rPr>
        <w:t xml:space="preserve">). </w:t>
      </w:r>
    </w:p>
    <w:p w14:paraId="1C105F03" w14:textId="77777777" w:rsidR="00EE7F09" w:rsidRPr="00F113E5" w:rsidRDefault="00EE7F09" w:rsidP="00530743">
      <w:pPr>
        <w:spacing w:after="120" w:line="324" w:lineRule="exact"/>
        <w:jc w:val="left"/>
        <w:rPr>
          <w:rFonts w:cstheme="minorHAnsi"/>
        </w:rPr>
      </w:pPr>
      <w:r w:rsidRPr="00F113E5">
        <w:rPr>
          <w:rFonts w:cstheme="minorHAnsi"/>
        </w:rPr>
        <w:t>Murray cod new recruits were captured in 2020 (Figure 8.20-Figure.8.21). Overall the sampled population was significantly smaller in 2020 compared to 2017 (p &lt; 0.001), 2018 (p &lt; 0.001) and 2019 (p = 0.049) (indicating a higher proportion of smaller size classes including new recruits), but of larger size in 2020 than in 2015 (p &lt; 0.001) a</w:t>
      </w:r>
      <w:r>
        <w:rPr>
          <w:rFonts w:cstheme="minorHAnsi"/>
        </w:rPr>
        <w:t>nd 2016 (p &lt; 0.001) (Figure 8.22</w:t>
      </w:r>
      <w:r w:rsidRPr="00F113E5">
        <w:rPr>
          <w:rFonts w:cstheme="minorHAnsi"/>
        </w:rPr>
        <w:t>).</w:t>
      </w:r>
    </w:p>
    <w:p w14:paraId="2E545C60" w14:textId="77777777" w:rsidR="00EE7F09" w:rsidRDefault="00EE7F09" w:rsidP="00530743">
      <w:pPr>
        <w:pStyle w:val="ListParagraph"/>
        <w:spacing w:after="0" w:line="240" w:lineRule="auto"/>
        <w:ind w:left="0"/>
        <w:jc w:val="left"/>
        <w:rPr>
          <w:rFonts w:asciiTheme="minorHAnsi" w:hAnsiTheme="minorHAnsi" w:cstheme="minorHAnsi"/>
          <w:sz w:val="20"/>
        </w:rPr>
      </w:pPr>
      <w:r>
        <w:rPr>
          <w:noProof/>
          <w:lang w:eastAsia="en-AU"/>
        </w:rPr>
        <w:drawing>
          <wp:inline distT="0" distB="0" distL="0" distR="0" wp14:anchorId="58C8C86F" wp14:editId="1FAE7092">
            <wp:extent cx="5666232" cy="64800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666232" cy="6480000"/>
                    </a:xfrm>
                    <a:prstGeom prst="rect">
                      <a:avLst/>
                    </a:prstGeom>
                    <a:noFill/>
                    <a:ln>
                      <a:noFill/>
                    </a:ln>
                  </pic:spPr>
                </pic:pic>
              </a:graphicData>
            </a:graphic>
          </wp:inline>
        </w:drawing>
      </w:r>
      <w:r w:rsidRPr="007F3F86">
        <w:rPr>
          <w:rFonts w:asciiTheme="minorHAnsi" w:hAnsiTheme="minorHAnsi" w:cstheme="minorHAnsi"/>
          <w:b/>
          <w:sz w:val="20"/>
        </w:rPr>
        <w:t xml:space="preserve"> </w:t>
      </w:r>
      <w:r>
        <w:rPr>
          <w:rFonts w:asciiTheme="minorHAnsi" w:hAnsiTheme="minorHAnsi" w:cstheme="minorHAnsi"/>
          <w:b/>
          <w:sz w:val="20"/>
        </w:rPr>
        <w:t>Figure 8.21</w:t>
      </w:r>
      <w:r>
        <w:rPr>
          <w:rFonts w:asciiTheme="minorHAnsi" w:hAnsiTheme="minorHAnsi" w:cstheme="minorHAnsi"/>
          <w:sz w:val="20"/>
        </w:rPr>
        <w:t xml:space="preserve"> Catch per site (number of fish; mean ± SE) for each fish species within the Edward/Kolety-Wakool river system target reach, sampled from 2015–2020. Cumulative stacked bars separate the catch of juveniles (white bars) and non-juveniles (grey bars).</w:t>
      </w:r>
    </w:p>
    <w:p w14:paraId="75688F76" w14:textId="77777777" w:rsidR="00EE7F09" w:rsidRDefault="00EE7F09" w:rsidP="00EE7F09">
      <w:pPr>
        <w:spacing w:after="0" w:line="240" w:lineRule="auto"/>
        <w:rPr>
          <w:rFonts w:cstheme="minorHAnsi"/>
        </w:rPr>
        <w:sectPr w:rsidR="00EE7F09" w:rsidSect="00530743">
          <w:pgSz w:w="11906" w:h="16838"/>
          <w:pgMar w:top="1440" w:right="1418" w:bottom="1440" w:left="1418" w:header="709" w:footer="709" w:gutter="0"/>
          <w:cols w:space="720"/>
        </w:sectPr>
      </w:pPr>
    </w:p>
    <w:p w14:paraId="4754A8BD" w14:textId="77777777" w:rsidR="00EE7F09" w:rsidRPr="003B35D2" w:rsidRDefault="00EE7F09" w:rsidP="00EE7F09">
      <w:pPr>
        <w:spacing w:after="0" w:line="240" w:lineRule="auto"/>
        <w:rPr>
          <w:rFonts w:cstheme="minorHAnsi"/>
          <w:sz w:val="20"/>
        </w:rPr>
      </w:pPr>
      <w:r>
        <w:rPr>
          <w:rFonts w:cstheme="minorHAnsi"/>
          <w:b/>
          <w:sz w:val="20"/>
        </w:rPr>
        <w:t>Table 8.7</w:t>
      </w:r>
      <w:r w:rsidRPr="003B35D2">
        <w:rPr>
          <w:rFonts w:cstheme="minorHAnsi"/>
          <w:b/>
          <w:sz w:val="20"/>
        </w:rPr>
        <w:t xml:space="preserve"> </w:t>
      </w:r>
      <w:r w:rsidRPr="003B35D2">
        <w:rPr>
          <w:rFonts w:cstheme="minorHAnsi"/>
          <w:sz w:val="20"/>
        </w:rPr>
        <w:t>Summary of fish captured during annual Category 1 standardised sampling from 2015–2020 in the Edward</w:t>
      </w:r>
      <w:r>
        <w:rPr>
          <w:rFonts w:cstheme="minorHAnsi"/>
          <w:sz w:val="20"/>
        </w:rPr>
        <w:t>/Kolety</w:t>
      </w:r>
      <w:r w:rsidRPr="003B35D2">
        <w:rPr>
          <w:rFonts w:cstheme="minorHAnsi"/>
          <w:sz w:val="20"/>
        </w:rPr>
        <w:t>-Wakool LTIM project. BE = boat electrofishing, SFN = small fyke net and BT = bait trap.</w:t>
      </w:r>
    </w:p>
    <w:p w14:paraId="15DA32B4" w14:textId="77777777" w:rsidR="00EE7F09" w:rsidRDefault="00EE7F09" w:rsidP="0040642F">
      <w:pPr>
        <w:pStyle w:val="ListParagraph"/>
        <w:numPr>
          <w:ilvl w:val="0"/>
          <w:numId w:val="29"/>
        </w:numPr>
        <w:spacing w:after="0" w:line="240" w:lineRule="auto"/>
        <w:rPr>
          <w:rFonts w:cstheme="minorHAnsi"/>
          <w:sz w:val="20"/>
        </w:rPr>
      </w:pPr>
    </w:p>
    <w:tbl>
      <w:tblPr>
        <w:tblStyle w:val="TableGrid2"/>
        <w:tblW w:w="0" w:type="dxa"/>
        <w:tblInd w:w="-142"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567"/>
        <w:gridCol w:w="567"/>
        <w:gridCol w:w="425"/>
        <w:gridCol w:w="567"/>
        <w:gridCol w:w="567"/>
        <w:gridCol w:w="567"/>
        <w:gridCol w:w="426"/>
        <w:gridCol w:w="567"/>
        <w:gridCol w:w="567"/>
        <w:gridCol w:w="567"/>
        <w:gridCol w:w="425"/>
        <w:gridCol w:w="567"/>
        <w:gridCol w:w="567"/>
        <w:gridCol w:w="567"/>
        <w:gridCol w:w="425"/>
        <w:gridCol w:w="567"/>
        <w:gridCol w:w="567"/>
        <w:gridCol w:w="567"/>
        <w:gridCol w:w="425"/>
        <w:gridCol w:w="567"/>
        <w:gridCol w:w="567"/>
        <w:gridCol w:w="567"/>
        <w:gridCol w:w="426"/>
        <w:gridCol w:w="567"/>
      </w:tblGrid>
      <w:tr w:rsidR="00EE7F09" w14:paraId="0F63580E" w14:textId="77777777" w:rsidTr="00EE7F09">
        <w:tc>
          <w:tcPr>
            <w:tcW w:w="1985" w:type="dxa"/>
            <w:vMerge w:val="restart"/>
            <w:tcBorders>
              <w:top w:val="single" w:sz="4" w:space="0" w:color="auto"/>
              <w:left w:val="nil"/>
              <w:bottom w:val="single" w:sz="4" w:space="0" w:color="auto"/>
              <w:right w:val="nil"/>
            </w:tcBorders>
            <w:shd w:val="clear" w:color="auto" w:fill="B6DDE8"/>
            <w:hideMark/>
          </w:tcPr>
          <w:p w14:paraId="6ED7E746" w14:textId="77777777" w:rsidR="00EE7F09" w:rsidRPr="003B35D2" w:rsidRDefault="00EE7F09" w:rsidP="00EE7F09">
            <w:pPr>
              <w:spacing w:after="120"/>
              <w:jc w:val="center"/>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Fish species</w:t>
            </w:r>
          </w:p>
        </w:tc>
        <w:tc>
          <w:tcPr>
            <w:tcW w:w="2126" w:type="dxa"/>
            <w:gridSpan w:val="4"/>
            <w:tcBorders>
              <w:top w:val="single" w:sz="4" w:space="0" w:color="auto"/>
              <w:left w:val="nil"/>
              <w:bottom w:val="single" w:sz="4" w:space="0" w:color="auto"/>
              <w:right w:val="nil"/>
            </w:tcBorders>
            <w:shd w:val="clear" w:color="auto" w:fill="B6DDE8"/>
            <w:hideMark/>
          </w:tcPr>
          <w:p w14:paraId="6BD057F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2015</w:t>
            </w:r>
          </w:p>
        </w:tc>
        <w:tc>
          <w:tcPr>
            <w:tcW w:w="2127" w:type="dxa"/>
            <w:gridSpan w:val="4"/>
            <w:tcBorders>
              <w:top w:val="single" w:sz="4" w:space="0" w:color="auto"/>
              <w:left w:val="nil"/>
              <w:bottom w:val="single" w:sz="4" w:space="0" w:color="auto"/>
              <w:right w:val="nil"/>
            </w:tcBorders>
            <w:shd w:val="clear" w:color="auto" w:fill="B6DDE8"/>
            <w:hideMark/>
          </w:tcPr>
          <w:p w14:paraId="32CCBD4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2016</w:t>
            </w:r>
          </w:p>
        </w:tc>
        <w:tc>
          <w:tcPr>
            <w:tcW w:w="2126" w:type="dxa"/>
            <w:gridSpan w:val="4"/>
            <w:tcBorders>
              <w:top w:val="single" w:sz="4" w:space="0" w:color="auto"/>
              <w:left w:val="nil"/>
              <w:bottom w:val="single" w:sz="4" w:space="0" w:color="auto"/>
              <w:right w:val="nil"/>
            </w:tcBorders>
            <w:shd w:val="clear" w:color="auto" w:fill="B6DDE8"/>
            <w:hideMark/>
          </w:tcPr>
          <w:p w14:paraId="73875A4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2017</w:t>
            </w:r>
          </w:p>
        </w:tc>
        <w:tc>
          <w:tcPr>
            <w:tcW w:w="2126" w:type="dxa"/>
            <w:gridSpan w:val="4"/>
            <w:tcBorders>
              <w:top w:val="single" w:sz="4" w:space="0" w:color="auto"/>
              <w:left w:val="nil"/>
              <w:bottom w:val="single" w:sz="4" w:space="0" w:color="auto"/>
              <w:right w:val="nil"/>
            </w:tcBorders>
            <w:shd w:val="clear" w:color="auto" w:fill="B6DDE8"/>
            <w:hideMark/>
          </w:tcPr>
          <w:p w14:paraId="2A9F938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2018</w:t>
            </w:r>
          </w:p>
        </w:tc>
        <w:tc>
          <w:tcPr>
            <w:tcW w:w="2126" w:type="dxa"/>
            <w:gridSpan w:val="4"/>
            <w:tcBorders>
              <w:top w:val="single" w:sz="4" w:space="0" w:color="auto"/>
              <w:left w:val="nil"/>
              <w:bottom w:val="single" w:sz="4" w:space="0" w:color="auto"/>
              <w:right w:val="nil"/>
            </w:tcBorders>
            <w:shd w:val="clear" w:color="auto" w:fill="B6DDE8"/>
            <w:hideMark/>
          </w:tcPr>
          <w:p w14:paraId="46EADF2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2019</w:t>
            </w:r>
          </w:p>
        </w:tc>
        <w:tc>
          <w:tcPr>
            <w:tcW w:w="2127" w:type="dxa"/>
            <w:gridSpan w:val="4"/>
            <w:tcBorders>
              <w:top w:val="single" w:sz="4" w:space="0" w:color="auto"/>
              <w:left w:val="nil"/>
              <w:bottom w:val="single" w:sz="4" w:space="0" w:color="auto"/>
              <w:right w:val="nil"/>
            </w:tcBorders>
            <w:shd w:val="clear" w:color="auto" w:fill="B6DDE8"/>
            <w:hideMark/>
          </w:tcPr>
          <w:p w14:paraId="3B7EED5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2020</w:t>
            </w:r>
          </w:p>
        </w:tc>
      </w:tr>
      <w:tr w:rsidR="00EE7F09" w14:paraId="4483CA3C" w14:textId="77777777" w:rsidTr="00EE7F09">
        <w:tc>
          <w:tcPr>
            <w:tcW w:w="8364" w:type="dxa"/>
            <w:vMerge/>
            <w:tcBorders>
              <w:top w:val="single" w:sz="4" w:space="0" w:color="auto"/>
              <w:left w:val="nil"/>
              <w:bottom w:val="single" w:sz="4" w:space="0" w:color="auto"/>
              <w:right w:val="nil"/>
            </w:tcBorders>
            <w:vAlign w:val="center"/>
            <w:hideMark/>
          </w:tcPr>
          <w:p w14:paraId="7135CED3" w14:textId="77777777" w:rsidR="00EE7F09" w:rsidRPr="003B35D2" w:rsidRDefault="00EE7F09" w:rsidP="00EE7F09">
            <w:pPr>
              <w:rPr>
                <w:rFonts w:asciiTheme="minorHAnsi" w:eastAsia="Calibri" w:hAnsiTheme="minorHAnsi" w:cstheme="minorHAnsi"/>
                <w:b/>
                <w:sz w:val="16"/>
                <w:szCs w:val="16"/>
                <w:lang w:eastAsia="en-AU"/>
              </w:rPr>
            </w:pPr>
          </w:p>
        </w:tc>
        <w:tc>
          <w:tcPr>
            <w:tcW w:w="567" w:type="dxa"/>
            <w:tcBorders>
              <w:top w:val="single" w:sz="4" w:space="0" w:color="auto"/>
              <w:left w:val="nil"/>
              <w:bottom w:val="single" w:sz="4" w:space="0" w:color="auto"/>
              <w:right w:val="nil"/>
            </w:tcBorders>
            <w:shd w:val="clear" w:color="auto" w:fill="B6DDE8"/>
            <w:hideMark/>
          </w:tcPr>
          <w:p w14:paraId="384C6844"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6648DD08"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5" w:type="dxa"/>
            <w:tcBorders>
              <w:top w:val="single" w:sz="4" w:space="0" w:color="auto"/>
              <w:left w:val="nil"/>
              <w:bottom w:val="single" w:sz="4" w:space="0" w:color="auto"/>
              <w:right w:val="nil"/>
            </w:tcBorders>
            <w:shd w:val="clear" w:color="auto" w:fill="B6DDE8"/>
            <w:hideMark/>
          </w:tcPr>
          <w:p w14:paraId="14545E11"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03A963B5"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c>
          <w:tcPr>
            <w:tcW w:w="567" w:type="dxa"/>
            <w:tcBorders>
              <w:top w:val="single" w:sz="4" w:space="0" w:color="auto"/>
              <w:left w:val="nil"/>
              <w:bottom w:val="single" w:sz="4" w:space="0" w:color="auto"/>
              <w:right w:val="nil"/>
            </w:tcBorders>
            <w:shd w:val="clear" w:color="auto" w:fill="B6DDE8"/>
            <w:hideMark/>
          </w:tcPr>
          <w:p w14:paraId="1462CCB5"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2D53E6D7"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6" w:type="dxa"/>
            <w:tcBorders>
              <w:top w:val="single" w:sz="4" w:space="0" w:color="auto"/>
              <w:left w:val="nil"/>
              <w:bottom w:val="single" w:sz="4" w:space="0" w:color="auto"/>
              <w:right w:val="nil"/>
            </w:tcBorders>
            <w:shd w:val="clear" w:color="auto" w:fill="B6DDE8"/>
            <w:hideMark/>
          </w:tcPr>
          <w:p w14:paraId="06CB8A98"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49909D7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c>
          <w:tcPr>
            <w:tcW w:w="567" w:type="dxa"/>
            <w:tcBorders>
              <w:top w:val="single" w:sz="4" w:space="0" w:color="auto"/>
              <w:left w:val="nil"/>
              <w:bottom w:val="single" w:sz="4" w:space="0" w:color="auto"/>
              <w:right w:val="nil"/>
            </w:tcBorders>
            <w:shd w:val="clear" w:color="auto" w:fill="B6DDE8"/>
            <w:hideMark/>
          </w:tcPr>
          <w:p w14:paraId="4BF4E90B"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0D9D218B"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5" w:type="dxa"/>
            <w:tcBorders>
              <w:top w:val="single" w:sz="4" w:space="0" w:color="auto"/>
              <w:left w:val="nil"/>
              <w:bottom w:val="single" w:sz="4" w:space="0" w:color="auto"/>
              <w:right w:val="nil"/>
            </w:tcBorders>
            <w:shd w:val="clear" w:color="auto" w:fill="B6DDE8"/>
            <w:hideMark/>
          </w:tcPr>
          <w:p w14:paraId="601C7D1A"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3FF843B5"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c>
          <w:tcPr>
            <w:tcW w:w="567" w:type="dxa"/>
            <w:tcBorders>
              <w:top w:val="single" w:sz="4" w:space="0" w:color="auto"/>
              <w:left w:val="nil"/>
              <w:bottom w:val="single" w:sz="4" w:space="0" w:color="auto"/>
              <w:right w:val="nil"/>
            </w:tcBorders>
            <w:shd w:val="clear" w:color="auto" w:fill="B6DDE8"/>
            <w:hideMark/>
          </w:tcPr>
          <w:p w14:paraId="324A5ADC"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698C772C"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5" w:type="dxa"/>
            <w:tcBorders>
              <w:top w:val="single" w:sz="4" w:space="0" w:color="auto"/>
              <w:left w:val="nil"/>
              <w:bottom w:val="single" w:sz="4" w:space="0" w:color="auto"/>
              <w:right w:val="nil"/>
            </w:tcBorders>
            <w:shd w:val="clear" w:color="auto" w:fill="B6DDE8"/>
            <w:hideMark/>
          </w:tcPr>
          <w:p w14:paraId="4CC4B73D" w14:textId="77777777" w:rsidR="00EE7F09" w:rsidRPr="003B35D2" w:rsidRDefault="00EE7F09" w:rsidP="00EE7F09">
            <w:pPr>
              <w:spacing w:after="120"/>
              <w:jc w:val="center"/>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31B67A5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c>
          <w:tcPr>
            <w:tcW w:w="567" w:type="dxa"/>
            <w:tcBorders>
              <w:top w:val="single" w:sz="4" w:space="0" w:color="auto"/>
              <w:left w:val="nil"/>
              <w:bottom w:val="single" w:sz="4" w:space="0" w:color="auto"/>
              <w:right w:val="nil"/>
            </w:tcBorders>
            <w:shd w:val="clear" w:color="auto" w:fill="B6DDE8"/>
            <w:hideMark/>
          </w:tcPr>
          <w:p w14:paraId="4080845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1D61FFE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5" w:type="dxa"/>
            <w:tcBorders>
              <w:top w:val="single" w:sz="4" w:space="0" w:color="auto"/>
              <w:left w:val="nil"/>
              <w:bottom w:val="single" w:sz="4" w:space="0" w:color="auto"/>
              <w:right w:val="nil"/>
            </w:tcBorders>
            <w:shd w:val="clear" w:color="auto" w:fill="B6DDE8"/>
            <w:hideMark/>
          </w:tcPr>
          <w:p w14:paraId="53A33C4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384B3C57"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c>
          <w:tcPr>
            <w:tcW w:w="567" w:type="dxa"/>
            <w:tcBorders>
              <w:top w:val="single" w:sz="4" w:space="0" w:color="auto"/>
              <w:left w:val="nil"/>
              <w:bottom w:val="single" w:sz="4" w:space="0" w:color="auto"/>
              <w:right w:val="nil"/>
            </w:tcBorders>
            <w:shd w:val="clear" w:color="auto" w:fill="B6DDE8"/>
            <w:hideMark/>
          </w:tcPr>
          <w:p w14:paraId="3956AE5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BE</w:t>
            </w:r>
          </w:p>
        </w:tc>
        <w:tc>
          <w:tcPr>
            <w:tcW w:w="567" w:type="dxa"/>
            <w:tcBorders>
              <w:top w:val="single" w:sz="4" w:space="0" w:color="auto"/>
              <w:left w:val="nil"/>
              <w:bottom w:val="single" w:sz="4" w:space="0" w:color="auto"/>
              <w:right w:val="nil"/>
            </w:tcBorders>
            <w:shd w:val="clear" w:color="auto" w:fill="B6DDE8"/>
            <w:hideMark/>
          </w:tcPr>
          <w:p w14:paraId="4D6A5C0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SFN</w:t>
            </w:r>
          </w:p>
        </w:tc>
        <w:tc>
          <w:tcPr>
            <w:tcW w:w="426" w:type="dxa"/>
            <w:tcBorders>
              <w:top w:val="single" w:sz="4" w:space="0" w:color="auto"/>
              <w:left w:val="nil"/>
              <w:bottom w:val="single" w:sz="4" w:space="0" w:color="auto"/>
              <w:right w:val="nil"/>
            </w:tcBorders>
            <w:shd w:val="clear" w:color="auto" w:fill="B6DDE8"/>
            <w:hideMark/>
          </w:tcPr>
          <w:p w14:paraId="0459430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BT</w:t>
            </w:r>
          </w:p>
        </w:tc>
        <w:tc>
          <w:tcPr>
            <w:tcW w:w="567" w:type="dxa"/>
            <w:tcBorders>
              <w:top w:val="single" w:sz="4" w:space="0" w:color="auto"/>
              <w:left w:val="nil"/>
              <w:bottom w:val="single" w:sz="4" w:space="0" w:color="auto"/>
              <w:right w:val="nil"/>
            </w:tcBorders>
            <w:shd w:val="clear" w:color="auto" w:fill="B6DDE8"/>
            <w:hideMark/>
          </w:tcPr>
          <w:p w14:paraId="6F6D05C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Total</w:t>
            </w:r>
          </w:p>
        </w:tc>
      </w:tr>
      <w:tr w:rsidR="00EE7F09" w14:paraId="43C12106" w14:textId="77777777" w:rsidTr="00EE7F09">
        <w:trPr>
          <w:trHeight w:hRule="exact" w:val="113"/>
        </w:trPr>
        <w:tc>
          <w:tcPr>
            <w:tcW w:w="8364" w:type="dxa"/>
            <w:gridSpan w:val="13"/>
            <w:tcBorders>
              <w:top w:val="single" w:sz="4" w:space="0" w:color="auto"/>
              <w:left w:val="nil"/>
              <w:bottom w:val="nil"/>
              <w:right w:val="nil"/>
            </w:tcBorders>
          </w:tcPr>
          <w:p w14:paraId="0EF22DF3"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7BD9880F"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63459DE9" w14:textId="77777777" w:rsidR="00EE7F09" w:rsidRPr="003B35D2" w:rsidRDefault="00EE7F09" w:rsidP="00EE7F09">
            <w:pPr>
              <w:spacing w:after="120"/>
              <w:rPr>
                <w:rFonts w:asciiTheme="minorHAnsi" w:hAnsiTheme="minorHAnsi" w:cstheme="minorHAnsi"/>
                <w:i/>
                <w:sz w:val="16"/>
                <w:szCs w:val="16"/>
                <w:lang w:eastAsia="en-AU"/>
              </w:rPr>
            </w:pPr>
          </w:p>
        </w:tc>
        <w:tc>
          <w:tcPr>
            <w:tcW w:w="425" w:type="dxa"/>
            <w:tcBorders>
              <w:top w:val="single" w:sz="4" w:space="0" w:color="auto"/>
              <w:left w:val="nil"/>
              <w:bottom w:val="nil"/>
              <w:right w:val="nil"/>
            </w:tcBorders>
          </w:tcPr>
          <w:p w14:paraId="00C7D43B"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0D259415"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75AEA964"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48A55CC6" w14:textId="77777777" w:rsidR="00EE7F09" w:rsidRPr="003B35D2" w:rsidRDefault="00EE7F09" w:rsidP="00EE7F09">
            <w:pPr>
              <w:spacing w:after="120"/>
              <w:rPr>
                <w:rFonts w:asciiTheme="minorHAnsi" w:hAnsiTheme="minorHAnsi" w:cstheme="minorHAnsi"/>
                <w:i/>
                <w:sz w:val="16"/>
                <w:szCs w:val="16"/>
                <w:lang w:eastAsia="en-AU"/>
              </w:rPr>
            </w:pPr>
          </w:p>
        </w:tc>
        <w:tc>
          <w:tcPr>
            <w:tcW w:w="425" w:type="dxa"/>
            <w:tcBorders>
              <w:top w:val="single" w:sz="4" w:space="0" w:color="auto"/>
              <w:left w:val="nil"/>
              <w:bottom w:val="nil"/>
              <w:right w:val="nil"/>
            </w:tcBorders>
          </w:tcPr>
          <w:p w14:paraId="0AE4E855"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0AB1B489"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5E67B353"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4B5762E6" w14:textId="77777777" w:rsidR="00EE7F09" w:rsidRPr="003B35D2" w:rsidRDefault="00EE7F09" w:rsidP="00EE7F09">
            <w:pPr>
              <w:spacing w:after="120"/>
              <w:rPr>
                <w:rFonts w:asciiTheme="minorHAnsi" w:hAnsiTheme="minorHAnsi" w:cstheme="minorHAnsi"/>
                <w:i/>
                <w:sz w:val="16"/>
                <w:szCs w:val="16"/>
                <w:lang w:eastAsia="en-AU"/>
              </w:rPr>
            </w:pPr>
          </w:p>
        </w:tc>
        <w:tc>
          <w:tcPr>
            <w:tcW w:w="426" w:type="dxa"/>
            <w:tcBorders>
              <w:top w:val="single" w:sz="4" w:space="0" w:color="auto"/>
              <w:left w:val="nil"/>
              <w:bottom w:val="nil"/>
              <w:right w:val="nil"/>
            </w:tcBorders>
          </w:tcPr>
          <w:p w14:paraId="7279F309"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single" w:sz="4" w:space="0" w:color="auto"/>
              <w:left w:val="nil"/>
              <w:bottom w:val="nil"/>
              <w:right w:val="nil"/>
            </w:tcBorders>
          </w:tcPr>
          <w:p w14:paraId="4B6D862C" w14:textId="77777777" w:rsidR="00EE7F09" w:rsidRPr="003B35D2" w:rsidRDefault="00EE7F09" w:rsidP="00EE7F09">
            <w:pPr>
              <w:spacing w:after="120"/>
              <w:rPr>
                <w:rFonts w:asciiTheme="minorHAnsi" w:hAnsiTheme="minorHAnsi" w:cstheme="minorHAnsi"/>
                <w:i/>
                <w:sz w:val="16"/>
                <w:szCs w:val="16"/>
                <w:lang w:eastAsia="en-AU"/>
              </w:rPr>
            </w:pPr>
          </w:p>
        </w:tc>
      </w:tr>
      <w:tr w:rsidR="00EE7F09" w14:paraId="793C1F3B" w14:textId="77777777" w:rsidTr="00EE7F09">
        <w:tc>
          <w:tcPr>
            <w:tcW w:w="8364" w:type="dxa"/>
            <w:gridSpan w:val="13"/>
            <w:tcBorders>
              <w:top w:val="nil"/>
              <w:left w:val="nil"/>
              <w:bottom w:val="nil"/>
              <w:right w:val="nil"/>
            </w:tcBorders>
            <w:hideMark/>
          </w:tcPr>
          <w:p w14:paraId="631CB141" w14:textId="77777777" w:rsidR="00EE7F09" w:rsidRPr="003B35D2" w:rsidRDefault="00EE7F09" w:rsidP="00EE7F09">
            <w:pPr>
              <w:spacing w:after="120"/>
              <w:rPr>
                <w:rFonts w:asciiTheme="minorHAnsi" w:hAnsiTheme="minorHAnsi" w:cstheme="minorHAnsi"/>
                <w:i/>
                <w:sz w:val="16"/>
                <w:szCs w:val="16"/>
                <w:lang w:eastAsia="en-AU"/>
              </w:rPr>
            </w:pPr>
            <w:r w:rsidRPr="003B35D2">
              <w:rPr>
                <w:rFonts w:asciiTheme="minorHAnsi" w:hAnsiTheme="minorHAnsi" w:cstheme="minorHAnsi"/>
                <w:i/>
                <w:color w:val="31849B" w:themeColor="accent5" w:themeShade="BF"/>
                <w:sz w:val="16"/>
                <w:szCs w:val="16"/>
                <w:lang w:eastAsia="en-AU"/>
              </w:rPr>
              <w:t>native species</w:t>
            </w:r>
          </w:p>
        </w:tc>
        <w:tc>
          <w:tcPr>
            <w:tcW w:w="567" w:type="dxa"/>
            <w:tcBorders>
              <w:top w:val="nil"/>
              <w:left w:val="nil"/>
              <w:bottom w:val="nil"/>
              <w:right w:val="nil"/>
            </w:tcBorders>
          </w:tcPr>
          <w:p w14:paraId="5EC8EECA"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5D7DB5F7" w14:textId="77777777" w:rsidR="00EE7F09" w:rsidRPr="003B35D2" w:rsidRDefault="00EE7F09" w:rsidP="00EE7F09">
            <w:pPr>
              <w:spacing w:after="120"/>
              <w:rPr>
                <w:rFonts w:asciiTheme="minorHAnsi" w:hAnsiTheme="minorHAnsi" w:cstheme="minorHAnsi"/>
                <w:i/>
                <w:sz w:val="16"/>
                <w:szCs w:val="16"/>
                <w:lang w:eastAsia="en-AU"/>
              </w:rPr>
            </w:pPr>
          </w:p>
        </w:tc>
        <w:tc>
          <w:tcPr>
            <w:tcW w:w="425" w:type="dxa"/>
            <w:tcBorders>
              <w:top w:val="nil"/>
              <w:left w:val="nil"/>
              <w:bottom w:val="nil"/>
              <w:right w:val="nil"/>
            </w:tcBorders>
          </w:tcPr>
          <w:p w14:paraId="3ABAA4DD"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25538DD9"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11759653"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6714B57B" w14:textId="77777777" w:rsidR="00EE7F09" w:rsidRPr="003B35D2" w:rsidRDefault="00EE7F09" w:rsidP="00EE7F09">
            <w:pPr>
              <w:spacing w:after="120"/>
              <w:rPr>
                <w:rFonts w:asciiTheme="minorHAnsi" w:hAnsiTheme="minorHAnsi" w:cstheme="minorHAnsi"/>
                <w:i/>
                <w:sz w:val="16"/>
                <w:szCs w:val="16"/>
                <w:lang w:eastAsia="en-AU"/>
              </w:rPr>
            </w:pPr>
          </w:p>
        </w:tc>
        <w:tc>
          <w:tcPr>
            <w:tcW w:w="425" w:type="dxa"/>
            <w:tcBorders>
              <w:top w:val="nil"/>
              <w:left w:val="nil"/>
              <w:bottom w:val="nil"/>
              <w:right w:val="nil"/>
            </w:tcBorders>
          </w:tcPr>
          <w:p w14:paraId="20832CE4"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635DEE4F"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258C317B"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0E52FAED" w14:textId="77777777" w:rsidR="00EE7F09" w:rsidRPr="003B35D2" w:rsidRDefault="00EE7F09" w:rsidP="00EE7F09">
            <w:pPr>
              <w:spacing w:after="120"/>
              <w:rPr>
                <w:rFonts w:asciiTheme="minorHAnsi" w:hAnsiTheme="minorHAnsi" w:cstheme="minorHAnsi"/>
                <w:i/>
                <w:sz w:val="16"/>
                <w:szCs w:val="16"/>
                <w:lang w:eastAsia="en-AU"/>
              </w:rPr>
            </w:pPr>
          </w:p>
        </w:tc>
        <w:tc>
          <w:tcPr>
            <w:tcW w:w="426" w:type="dxa"/>
            <w:tcBorders>
              <w:top w:val="nil"/>
              <w:left w:val="nil"/>
              <w:bottom w:val="nil"/>
              <w:right w:val="nil"/>
            </w:tcBorders>
          </w:tcPr>
          <w:p w14:paraId="20711544" w14:textId="77777777" w:rsidR="00EE7F09" w:rsidRPr="003B35D2" w:rsidRDefault="00EE7F09" w:rsidP="00EE7F09">
            <w:pPr>
              <w:spacing w:after="120"/>
              <w:rPr>
                <w:rFonts w:asciiTheme="minorHAnsi" w:hAnsiTheme="minorHAnsi" w:cstheme="minorHAnsi"/>
                <w:i/>
                <w:sz w:val="16"/>
                <w:szCs w:val="16"/>
                <w:lang w:eastAsia="en-AU"/>
              </w:rPr>
            </w:pPr>
          </w:p>
        </w:tc>
        <w:tc>
          <w:tcPr>
            <w:tcW w:w="567" w:type="dxa"/>
            <w:tcBorders>
              <w:top w:val="nil"/>
              <w:left w:val="nil"/>
              <w:bottom w:val="nil"/>
              <w:right w:val="nil"/>
            </w:tcBorders>
          </w:tcPr>
          <w:p w14:paraId="2D4989E7" w14:textId="77777777" w:rsidR="00EE7F09" w:rsidRPr="003B35D2" w:rsidRDefault="00EE7F09" w:rsidP="00EE7F09">
            <w:pPr>
              <w:spacing w:after="120"/>
              <w:rPr>
                <w:rFonts w:asciiTheme="minorHAnsi" w:hAnsiTheme="minorHAnsi" w:cstheme="minorHAnsi"/>
                <w:i/>
                <w:sz w:val="16"/>
                <w:szCs w:val="16"/>
                <w:lang w:eastAsia="en-AU"/>
              </w:rPr>
            </w:pPr>
          </w:p>
        </w:tc>
      </w:tr>
      <w:tr w:rsidR="00EE7F09" w14:paraId="79A23EE8" w14:textId="77777777" w:rsidTr="00EE7F09">
        <w:trPr>
          <w:trHeight w:val="227"/>
        </w:trPr>
        <w:tc>
          <w:tcPr>
            <w:tcW w:w="1985" w:type="dxa"/>
            <w:tcBorders>
              <w:top w:val="nil"/>
              <w:left w:val="nil"/>
              <w:bottom w:val="nil"/>
              <w:right w:val="nil"/>
            </w:tcBorders>
            <w:hideMark/>
          </w:tcPr>
          <w:p w14:paraId="1287231B"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Australian smelt</w:t>
            </w:r>
          </w:p>
        </w:tc>
        <w:tc>
          <w:tcPr>
            <w:tcW w:w="567" w:type="dxa"/>
            <w:tcBorders>
              <w:top w:val="nil"/>
              <w:left w:val="nil"/>
              <w:bottom w:val="nil"/>
              <w:right w:val="nil"/>
            </w:tcBorders>
            <w:hideMark/>
          </w:tcPr>
          <w:p w14:paraId="655A824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129</w:t>
            </w:r>
          </w:p>
        </w:tc>
        <w:tc>
          <w:tcPr>
            <w:tcW w:w="567" w:type="dxa"/>
            <w:tcBorders>
              <w:top w:val="nil"/>
              <w:left w:val="nil"/>
              <w:bottom w:val="nil"/>
              <w:right w:val="nil"/>
            </w:tcBorders>
            <w:hideMark/>
          </w:tcPr>
          <w:p w14:paraId="5C448B7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w:t>
            </w:r>
          </w:p>
        </w:tc>
        <w:tc>
          <w:tcPr>
            <w:tcW w:w="425" w:type="dxa"/>
            <w:tcBorders>
              <w:top w:val="nil"/>
              <w:left w:val="nil"/>
              <w:bottom w:val="nil"/>
              <w:right w:val="nil"/>
            </w:tcBorders>
            <w:hideMark/>
          </w:tcPr>
          <w:p w14:paraId="4CA87FB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737B377"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131</w:t>
            </w:r>
          </w:p>
        </w:tc>
        <w:tc>
          <w:tcPr>
            <w:tcW w:w="567" w:type="dxa"/>
            <w:tcBorders>
              <w:top w:val="nil"/>
              <w:left w:val="nil"/>
              <w:bottom w:val="nil"/>
              <w:right w:val="nil"/>
            </w:tcBorders>
            <w:hideMark/>
          </w:tcPr>
          <w:p w14:paraId="2EECDA5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52</w:t>
            </w:r>
          </w:p>
        </w:tc>
        <w:tc>
          <w:tcPr>
            <w:tcW w:w="567" w:type="dxa"/>
            <w:tcBorders>
              <w:top w:val="nil"/>
              <w:left w:val="nil"/>
              <w:bottom w:val="nil"/>
              <w:right w:val="nil"/>
            </w:tcBorders>
            <w:hideMark/>
          </w:tcPr>
          <w:p w14:paraId="4F80E3B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426" w:type="dxa"/>
            <w:tcBorders>
              <w:top w:val="nil"/>
              <w:left w:val="nil"/>
              <w:bottom w:val="nil"/>
              <w:right w:val="nil"/>
            </w:tcBorders>
            <w:hideMark/>
          </w:tcPr>
          <w:p w14:paraId="1EABDDF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26EE5FB"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53</w:t>
            </w:r>
          </w:p>
        </w:tc>
        <w:tc>
          <w:tcPr>
            <w:tcW w:w="567" w:type="dxa"/>
            <w:tcBorders>
              <w:top w:val="nil"/>
              <w:left w:val="nil"/>
              <w:bottom w:val="nil"/>
              <w:right w:val="nil"/>
            </w:tcBorders>
            <w:hideMark/>
          </w:tcPr>
          <w:p w14:paraId="3379B03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293</w:t>
            </w:r>
          </w:p>
        </w:tc>
        <w:tc>
          <w:tcPr>
            <w:tcW w:w="567" w:type="dxa"/>
            <w:tcBorders>
              <w:top w:val="nil"/>
              <w:left w:val="nil"/>
              <w:bottom w:val="nil"/>
              <w:right w:val="nil"/>
            </w:tcBorders>
            <w:hideMark/>
          </w:tcPr>
          <w:p w14:paraId="5E6911C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10</w:t>
            </w:r>
          </w:p>
        </w:tc>
        <w:tc>
          <w:tcPr>
            <w:tcW w:w="425" w:type="dxa"/>
            <w:tcBorders>
              <w:top w:val="nil"/>
              <w:left w:val="nil"/>
              <w:bottom w:val="nil"/>
              <w:right w:val="nil"/>
            </w:tcBorders>
            <w:hideMark/>
          </w:tcPr>
          <w:p w14:paraId="7FDAFDA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F4259D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303</w:t>
            </w:r>
          </w:p>
        </w:tc>
        <w:tc>
          <w:tcPr>
            <w:tcW w:w="567" w:type="dxa"/>
            <w:tcBorders>
              <w:top w:val="nil"/>
              <w:left w:val="nil"/>
              <w:bottom w:val="nil"/>
              <w:right w:val="nil"/>
            </w:tcBorders>
            <w:hideMark/>
          </w:tcPr>
          <w:p w14:paraId="7F7C98E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301</w:t>
            </w:r>
          </w:p>
        </w:tc>
        <w:tc>
          <w:tcPr>
            <w:tcW w:w="567" w:type="dxa"/>
            <w:tcBorders>
              <w:top w:val="nil"/>
              <w:left w:val="nil"/>
              <w:bottom w:val="nil"/>
              <w:right w:val="nil"/>
            </w:tcBorders>
            <w:hideMark/>
          </w:tcPr>
          <w:p w14:paraId="6A02473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w:t>
            </w:r>
          </w:p>
        </w:tc>
        <w:tc>
          <w:tcPr>
            <w:tcW w:w="425" w:type="dxa"/>
            <w:tcBorders>
              <w:top w:val="nil"/>
              <w:left w:val="nil"/>
              <w:bottom w:val="nil"/>
              <w:right w:val="nil"/>
            </w:tcBorders>
            <w:hideMark/>
          </w:tcPr>
          <w:p w14:paraId="74738B8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FBDC0B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305</w:t>
            </w:r>
          </w:p>
        </w:tc>
        <w:tc>
          <w:tcPr>
            <w:tcW w:w="567" w:type="dxa"/>
            <w:tcBorders>
              <w:top w:val="nil"/>
              <w:left w:val="nil"/>
              <w:bottom w:val="nil"/>
              <w:right w:val="nil"/>
            </w:tcBorders>
            <w:hideMark/>
          </w:tcPr>
          <w:p w14:paraId="7D972FA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287</w:t>
            </w:r>
          </w:p>
        </w:tc>
        <w:tc>
          <w:tcPr>
            <w:tcW w:w="567" w:type="dxa"/>
            <w:tcBorders>
              <w:top w:val="nil"/>
              <w:left w:val="nil"/>
              <w:bottom w:val="nil"/>
              <w:right w:val="nil"/>
            </w:tcBorders>
            <w:hideMark/>
          </w:tcPr>
          <w:p w14:paraId="2C0D021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26</w:t>
            </w:r>
          </w:p>
        </w:tc>
        <w:tc>
          <w:tcPr>
            <w:tcW w:w="425" w:type="dxa"/>
            <w:tcBorders>
              <w:top w:val="nil"/>
              <w:left w:val="nil"/>
              <w:bottom w:val="nil"/>
              <w:right w:val="nil"/>
            </w:tcBorders>
            <w:hideMark/>
          </w:tcPr>
          <w:p w14:paraId="0A15610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1391ADE"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313</w:t>
            </w:r>
          </w:p>
        </w:tc>
        <w:tc>
          <w:tcPr>
            <w:tcW w:w="567" w:type="dxa"/>
            <w:tcBorders>
              <w:top w:val="nil"/>
              <w:left w:val="nil"/>
              <w:bottom w:val="nil"/>
              <w:right w:val="nil"/>
            </w:tcBorders>
            <w:hideMark/>
          </w:tcPr>
          <w:p w14:paraId="36C8AD1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73</w:t>
            </w:r>
          </w:p>
        </w:tc>
        <w:tc>
          <w:tcPr>
            <w:tcW w:w="567" w:type="dxa"/>
            <w:tcBorders>
              <w:top w:val="nil"/>
              <w:left w:val="nil"/>
              <w:bottom w:val="nil"/>
              <w:right w:val="nil"/>
            </w:tcBorders>
            <w:hideMark/>
          </w:tcPr>
          <w:p w14:paraId="4BA5EBC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45</w:t>
            </w:r>
          </w:p>
        </w:tc>
        <w:tc>
          <w:tcPr>
            <w:tcW w:w="426" w:type="dxa"/>
            <w:tcBorders>
              <w:top w:val="nil"/>
              <w:left w:val="nil"/>
              <w:bottom w:val="nil"/>
              <w:right w:val="nil"/>
            </w:tcBorders>
            <w:hideMark/>
          </w:tcPr>
          <w:p w14:paraId="37522A2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626CD6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118</w:t>
            </w:r>
          </w:p>
        </w:tc>
      </w:tr>
      <w:tr w:rsidR="00EE7F09" w14:paraId="0CCA9D41" w14:textId="77777777" w:rsidTr="00EE7F09">
        <w:trPr>
          <w:trHeight w:val="227"/>
        </w:trPr>
        <w:tc>
          <w:tcPr>
            <w:tcW w:w="1985" w:type="dxa"/>
            <w:tcBorders>
              <w:top w:val="nil"/>
              <w:left w:val="nil"/>
              <w:bottom w:val="nil"/>
              <w:right w:val="nil"/>
            </w:tcBorders>
            <w:hideMark/>
          </w:tcPr>
          <w:p w14:paraId="6054325B"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bony herring</w:t>
            </w:r>
          </w:p>
        </w:tc>
        <w:tc>
          <w:tcPr>
            <w:tcW w:w="567" w:type="dxa"/>
            <w:tcBorders>
              <w:top w:val="nil"/>
              <w:left w:val="nil"/>
              <w:bottom w:val="nil"/>
              <w:right w:val="nil"/>
            </w:tcBorders>
            <w:hideMark/>
          </w:tcPr>
          <w:p w14:paraId="191CB27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31</w:t>
            </w:r>
          </w:p>
        </w:tc>
        <w:tc>
          <w:tcPr>
            <w:tcW w:w="567" w:type="dxa"/>
            <w:tcBorders>
              <w:top w:val="nil"/>
              <w:left w:val="nil"/>
              <w:bottom w:val="nil"/>
              <w:right w:val="nil"/>
            </w:tcBorders>
            <w:hideMark/>
          </w:tcPr>
          <w:p w14:paraId="7CF6434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0E8118A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99A6D66"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31</w:t>
            </w:r>
          </w:p>
        </w:tc>
        <w:tc>
          <w:tcPr>
            <w:tcW w:w="567" w:type="dxa"/>
            <w:tcBorders>
              <w:top w:val="nil"/>
              <w:left w:val="nil"/>
              <w:bottom w:val="nil"/>
              <w:right w:val="nil"/>
            </w:tcBorders>
            <w:hideMark/>
          </w:tcPr>
          <w:p w14:paraId="0463892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27</w:t>
            </w:r>
          </w:p>
        </w:tc>
        <w:tc>
          <w:tcPr>
            <w:tcW w:w="567" w:type="dxa"/>
            <w:tcBorders>
              <w:top w:val="nil"/>
              <w:left w:val="nil"/>
              <w:bottom w:val="nil"/>
              <w:right w:val="nil"/>
            </w:tcBorders>
            <w:hideMark/>
          </w:tcPr>
          <w:p w14:paraId="7992096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72801CB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7D9B5CD"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27</w:t>
            </w:r>
          </w:p>
        </w:tc>
        <w:tc>
          <w:tcPr>
            <w:tcW w:w="567" w:type="dxa"/>
            <w:tcBorders>
              <w:top w:val="nil"/>
              <w:left w:val="nil"/>
              <w:bottom w:val="nil"/>
              <w:right w:val="nil"/>
            </w:tcBorders>
            <w:hideMark/>
          </w:tcPr>
          <w:p w14:paraId="36204AE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108</w:t>
            </w:r>
          </w:p>
        </w:tc>
        <w:tc>
          <w:tcPr>
            <w:tcW w:w="567" w:type="dxa"/>
            <w:tcBorders>
              <w:top w:val="nil"/>
              <w:left w:val="nil"/>
              <w:bottom w:val="nil"/>
              <w:right w:val="nil"/>
            </w:tcBorders>
            <w:hideMark/>
          </w:tcPr>
          <w:p w14:paraId="0FE7043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C99B2E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F724575"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108</w:t>
            </w:r>
          </w:p>
        </w:tc>
        <w:tc>
          <w:tcPr>
            <w:tcW w:w="567" w:type="dxa"/>
            <w:tcBorders>
              <w:top w:val="nil"/>
              <w:left w:val="nil"/>
              <w:bottom w:val="nil"/>
              <w:right w:val="nil"/>
            </w:tcBorders>
            <w:hideMark/>
          </w:tcPr>
          <w:p w14:paraId="7DDF49A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148</w:t>
            </w:r>
          </w:p>
        </w:tc>
        <w:tc>
          <w:tcPr>
            <w:tcW w:w="567" w:type="dxa"/>
            <w:tcBorders>
              <w:top w:val="nil"/>
              <w:left w:val="nil"/>
              <w:bottom w:val="nil"/>
              <w:right w:val="nil"/>
            </w:tcBorders>
            <w:hideMark/>
          </w:tcPr>
          <w:p w14:paraId="7A1A908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682819E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576CB65"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148</w:t>
            </w:r>
          </w:p>
        </w:tc>
        <w:tc>
          <w:tcPr>
            <w:tcW w:w="567" w:type="dxa"/>
            <w:tcBorders>
              <w:top w:val="nil"/>
              <w:left w:val="nil"/>
              <w:bottom w:val="nil"/>
              <w:right w:val="nil"/>
            </w:tcBorders>
            <w:hideMark/>
          </w:tcPr>
          <w:p w14:paraId="1965D40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20</w:t>
            </w:r>
          </w:p>
        </w:tc>
        <w:tc>
          <w:tcPr>
            <w:tcW w:w="567" w:type="dxa"/>
            <w:tcBorders>
              <w:top w:val="nil"/>
              <w:left w:val="nil"/>
              <w:bottom w:val="nil"/>
              <w:right w:val="nil"/>
            </w:tcBorders>
            <w:hideMark/>
          </w:tcPr>
          <w:p w14:paraId="728417C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509174E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73E978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20</w:t>
            </w:r>
          </w:p>
        </w:tc>
        <w:tc>
          <w:tcPr>
            <w:tcW w:w="567" w:type="dxa"/>
            <w:tcBorders>
              <w:top w:val="nil"/>
              <w:left w:val="nil"/>
              <w:bottom w:val="nil"/>
              <w:right w:val="nil"/>
            </w:tcBorders>
            <w:hideMark/>
          </w:tcPr>
          <w:p w14:paraId="37493A6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320</w:t>
            </w:r>
          </w:p>
        </w:tc>
        <w:tc>
          <w:tcPr>
            <w:tcW w:w="567" w:type="dxa"/>
            <w:tcBorders>
              <w:top w:val="nil"/>
              <w:left w:val="nil"/>
              <w:bottom w:val="nil"/>
              <w:right w:val="nil"/>
            </w:tcBorders>
            <w:hideMark/>
          </w:tcPr>
          <w:p w14:paraId="0F51E87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w:t>
            </w:r>
          </w:p>
        </w:tc>
        <w:tc>
          <w:tcPr>
            <w:tcW w:w="426" w:type="dxa"/>
            <w:tcBorders>
              <w:top w:val="nil"/>
              <w:left w:val="nil"/>
              <w:bottom w:val="nil"/>
              <w:right w:val="nil"/>
            </w:tcBorders>
            <w:hideMark/>
          </w:tcPr>
          <w:p w14:paraId="54500AC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567" w:type="dxa"/>
            <w:tcBorders>
              <w:top w:val="nil"/>
              <w:left w:val="nil"/>
              <w:bottom w:val="nil"/>
              <w:right w:val="nil"/>
            </w:tcBorders>
            <w:hideMark/>
          </w:tcPr>
          <w:p w14:paraId="1DBA3D3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326</w:t>
            </w:r>
          </w:p>
        </w:tc>
      </w:tr>
      <w:tr w:rsidR="00EE7F09" w14:paraId="26D8D51F" w14:textId="77777777" w:rsidTr="00EE7F09">
        <w:trPr>
          <w:trHeight w:val="227"/>
        </w:trPr>
        <w:tc>
          <w:tcPr>
            <w:tcW w:w="1985" w:type="dxa"/>
            <w:tcBorders>
              <w:top w:val="nil"/>
              <w:left w:val="nil"/>
              <w:bottom w:val="nil"/>
              <w:right w:val="nil"/>
            </w:tcBorders>
            <w:hideMark/>
          </w:tcPr>
          <w:p w14:paraId="53FF8447"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 xml:space="preserve">carp gudgeon </w:t>
            </w:r>
          </w:p>
        </w:tc>
        <w:tc>
          <w:tcPr>
            <w:tcW w:w="567" w:type="dxa"/>
            <w:tcBorders>
              <w:top w:val="nil"/>
              <w:left w:val="nil"/>
              <w:bottom w:val="nil"/>
              <w:right w:val="nil"/>
            </w:tcBorders>
            <w:hideMark/>
          </w:tcPr>
          <w:p w14:paraId="0C82847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47</w:t>
            </w:r>
          </w:p>
        </w:tc>
        <w:tc>
          <w:tcPr>
            <w:tcW w:w="567" w:type="dxa"/>
            <w:tcBorders>
              <w:top w:val="nil"/>
              <w:left w:val="nil"/>
              <w:bottom w:val="nil"/>
              <w:right w:val="nil"/>
            </w:tcBorders>
            <w:hideMark/>
          </w:tcPr>
          <w:p w14:paraId="061FA51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4302</w:t>
            </w:r>
          </w:p>
        </w:tc>
        <w:tc>
          <w:tcPr>
            <w:tcW w:w="425" w:type="dxa"/>
            <w:tcBorders>
              <w:top w:val="nil"/>
              <w:left w:val="nil"/>
              <w:bottom w:val="nil"/>
              <w:right w:val="nil"/>
            </w:tcBorders>
            <w:hideMark/>
          </w:tcPr>
          <w:p w14:paraId="070C31A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51</w:t>
            </w:r>
          </w:p>
        </w:tc>
        <w:tc>
          <w:tcPr>
            <w:tcW w:w="567" w:type="dxa"/>
            <w:tcBorders>
              <w:top w:val="nil"/>
              <w:left w:val="nil"/>
              <w:bottom w:val="nil"/>
              <w:right w:val="nil"/>
            </w:tcBorders>
            <w:hideMark/>
          </w:tcPr>
          <w:p w14:paraId="79D8A6A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4400</w:t>
            </w:r>
          </w:p>
        </w:tc>
        <w:tc>
          <w:tcPr>
            <w:tcW w:w="567" w:type="dxa"/>
            <w:tcBorders>
              <w:top w:val="nil"/>
              <w:left w:val="nil"/>
              <w:bottom w:val="nil"/>
              <w:right w:val="nil"/>
            </w:tcBorders>
            <w:hideMark/>
          </w:tcPr>
          <w:p w14:paraId="077E6B9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68</w:t>
            </w:r>
          </w:p>
        </w:tc>
        <w:tc>
          <w:tcPr>
            <w:tcW w:w="567" w:type="dxa"/>
            <w:tcBorders>
              <w:top w:val="nil"/>
              <w:left w:val="nil"/>
              <w:bottom w:val="nil"/>
              <w:right w:val="nil"/>
            </w:tcBorders>
            <w:hideMark/>
          </w:tcPr>
          <w:p w14:paraId="17F1B9A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2367</w:t>
            </w:r>
          </w:p>
        </w:tc>
        <w:tc>
          <w:tcPr>
            <w:tcW w:w="426" w:type="dxa"/>
            <w:tcBorders>
              <w:top w:val="nil"/>
              <w:left w:val="nil"/>
              <w:bottom w:val="nil"/>
              <w:right w:val="nil"/>
            </w:tcBorders>
            <w:hideMark/>
          </w:tcPr>
          <w:p w14:paraId="2F6BE79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15</w:t>
            </w:r>
          </w:p>
        </w:tc>
        <w:tc>
          <w:tcPr>
            <w:tcW w:w="567" w:type="dxa"/>
            <w:tcBorders>
              <w:top w:val="nil"/>
              <w:left w:val="nil"/>
              <w:bottom w:val="nil"/>
              <w:right w:val="nil"/>
            </w:tcBorders>
            <w:hideMark/>
          </w:tcPr>
          <w:p w14:paraId="599FDD2D"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2450</w:t>
            </w:r>
          </w:p>
        </w:tc>
        <w:tc>
          <w:tcPr>
            <w:tcW w:w="567" w:type="dxa"/>
            <w:tcBorders>
              <w:top w:val="nil"/>
              <w:left w:val="nil"/>
              <w:bottom w:val="nil"/>
              <w:right w:val="nil"/>
            </w:tcBorders>
            <w:hideMark/>
          </w:tcPr>
          <w:p w14:paraId="64F4DAF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165</w:t>
            </w:r>
          </w:p>
        </w:tc>
        <w:tc>
          <w:tcPr>
            <w:tcW w:w="567" w:type="dxa"/>
            <w:tcBorders>
              <w:top w:val="nil"/>
              <w:left w:val="nil"/>
              <w:bottom w:val="nil"/>
              <w:right w:val="nil"/>
            </w:tcBorders>
            <w:hideMark/>
          </w:tcPr>
          <w:p w14:paraId="20812AD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6814</w:t>
            </w:r>
          </w:p>
        </w:tc>
        <w:tc>
          <w:tcPr>
            <w:tcW w:w="425" w:type="dxa"/>
            <w:tcBorders>
              <w:top w:val="nil"/>
              <w:left w:val="nil"/>
              <w:bottom w:val="nil"/>
              <w:right w:val="nil"/>
            </w:tcBorders>
            <w:hideMark/>
          </w:tcPr>
          <w:p w14:paraId="165576A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66</w:t>
            </w:r>
          </w:p>
        </w:tc>
        <w:tc>
          <w:tcPr>
            <w:tcW w:w="567" w:type="dxa"/>
            <w:tcBorders>
              <w:top w:val="nil"/>
              <w:left w:val="nil"/>
              <w:bottom w:val="nil"/>
              <w:right w:val="nil"/>
            </w:tcBorders>
            <w:hideMark/>
          </w:tcPr>
          <w:p w14:paraId="67B520B5"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7045</w:t>
            </w:r>
          </w:p>
        </w:tc>
        <w:tc>
          <w:tcPr>
            <w:tcW w:w="567" w:type="dxa"/>
            <w:tcBorders>
              <w:top w:val="nil"/>
              <w:left w:val="nil"/>
              <w:bottom w:val="nil"/>
              <w:right w:val="nil"/>
            </w:tcBorders>
            <w:hideMark/>
          </w:tcPr>
          <w:p w14:paraId="2AB4A34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52</w:t>
            </w:r>
          </w:p>
        </w:tc>
        <w:tc>
          <w:tcPr>
            <w:tcW w:w="567" w:type="dxa"/>
            <w:tcBorders>
              <w:top w:val="nil"/>
              <w:left w:val="nil"/>
              <w:bottom w:val="nil"/>
              <w:right w:val="nil"/>
            </w:tcBorders>
            <w:hideMark/>
          </w:tcPr>
          <w:p w14:paraId="6EE7FD3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7804</w:t>
            </w:r>
          </w:p>
        </w:tc>
        <w:tc>
          <w:tcPr>
            <w:tcW w:w="425" w:type="dxa"/>
            <w:tcBorders>
              <w:top w:val="nil"/>
              <w:left w:val="nil"/>
              <w:bottom w:val="nil"/>
              <w:right w:val="nil"/>
            </w:tcBorders>
            <w:hideMark/>
          </w:tcPr>
          <w:p w14:paraId="54E9B91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98</w:t>
            </w:r>
          </w:p>
        </w:tc>
        <w:tc>
          <w:tcPr>
            <w:tcW w:w="567" w:type="dxa"/>
            <w:tcBorders>
              <w:top w:val="nil"/>
              <w:left w:val="nil"/>
              <w:bottom w:val="nil"/>
              <w:right w:val="nil"/>
            </w:tcBorders>
            <w:hideMark/>
          </w:tcPr>
          <w:p w14:paraId="256F65E1"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7954</w:t>
            </w:r>
          </w:p>
        </w:tc>
        <w:tc>
          <w:tcPr>
            <w:tcW w:w="567" w:type="dxa"/>
            <w:tcBorders>
              <w:top w:val="nil"/>
              <w:left w:val="nil"/>
              <w:bottom w:val="nil"/>
              <w:right w:val="nil"/>
            </w:tcBorders>
            <w:hideMark/>
          </w:tcPr>
          <w:p w14:paraId="3DA4222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23</w:t>
            </w:r>
          </w:p>
        </w:tc>
        <w:tc>
          <w:tcPr>
            <w:tcW w:w="567" w:type="dxa"/>
            <w:tcBorders>
              <w:top w:val="nil"/>
              <w:left w:val="nil"/>
              <w:bottom w:val="nil"/>
              <w:right w:val="nil"/>
            </w:tcBorders>
            <w:hideMark/>
          </w:tcPr>
          <w:p w14:paraId="5CBE516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2396</w:t>
            </w:r>
          </w:p>
        </w:tc>
        <w:tc>
          <w:tcPr>
            <w:tcW w:w="425" w:type="dxa"/>
            <w:tcBorders>
              <w:top w:val="nil"/>
              <w:left w:val="nil"/>
              <w:bottom w:val="nil"/>
              <w:right w:val="nil"/>
            </w:tcBorders>
            <w:hideMark/>
          </w:tcPr>
          <w:p w14:paraId="0C46FC6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38</w:t>
            </w:r>
          </w:p>
        </w:tc>
        <w:tc>
          <w:tcPr>
            <w:tcW w:w="567" w:type="dxa"/>
            <w:tcBorders>
              <w:top w:val="nil"/>
              <w:left w:val="nil"/>
              <w:bottom w:val="nil"/>
              <w:right w:val="nil"/>
            </w:tcBorders>
            <w:hideMark/>
          </w:tcPr>
          <w:p w14:paraId="1A4E80B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2457</w:t>
            </w:r>
          </w:p>
        </w:tc>
        <w:tc>
          <w:tcPr>
            <w:tcW w:w="567" w:type="dxa"/>
            <w:tcBorders>
              <w:top w:val="nil"/>
              <w:left w:val="nil"/>
              <w:bottom w:val="nil"/>
              <w:right w:val="nil"/>
            </w:tcBorders>
            <w:hideMark/>
          </w:tcPr>
          <w:p w14:paraId="50ABEEC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w:t>
            </w:r>
          </w:p>
        </w:tc>
        <w:tc>
          <w:tcPr>
            <w:tcW w:w="567" w:type="dxa"/>
            <w:tcBorders>
              <w:top w:val="nil"/>
              <w:left w:val="nil"/>
              <w:bottom w:val="nil"/>
              <w:right w:val="nil"/>
            </w:tcBorders>
            <w:hideMark/>
          </w:tcPr>
          <w:p w14:paraId="6EF31D8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4873</w:t>
            </w:r>
          </w:p>
        </w:tc>
        <w:tc>
          <w:tcPr>
            <w:tcW w:w="426" w:type="dxa"/>
            <w:tcBorders>
              <w:top w:val="nil"/>
              <w:left w:val="nil"/>
              <w:bottom w:val="nil"/>
              <w:right w:val="nil"/>
            </w:tcBorders>
            <w:hideMark/>
          </w:tcPr>
          <w:p w14:paraId="7FC0C5D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57</w:t>
            </w:r>
          </w:p>
        </w:tc>
        <w:tc>
          <w:tcPr>
            <w:tcW w:w="567" w:type="dxa"/>
            <w:tcBorders>
              <w:top w:val="nil"/>
              <w:left w:val="nil"/>
              <w:bottom w:val="nil"/>
              <w:right w:val="nil"/>
            </w:tcBorders>
            <w:hideMark/>
          </w:tcPr>
          <w:p w14:paraId="2171D3D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4934</w:t>
            </w:r>
          </w:p>
        </w:tc>
      </w:tr>
      <w:tr w:rsidR="00EE7F09" w14:paraId="75D2AC6A" w14:textId="77777777" w:rsidTr="00EE7F09">
        <w:trPr>
          <w:trHeight w:val="227"/>
        </w:trPr>
        <w:tc>
          <w:tcPr>
            <w:tcW w:w="1985" w:type="dxa"/>
            <w:tcBorders>
              <w:top w:val="nil"/>
              <w:left w:val="nil"/>
              <w:bottom w:val="nil"/>
              <w:right w:val="nil"/>
            </w:tcBorders>
            <w:hideMark/>
          </w:tcPr>
          <w:p w14:paraId="6774BCF5"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flathead gudgeon</w:t>
            </w:r>
          </w:p>
        </w:tc>
        <w:tc>
          <w:tcPr>
            <w:tcW w:w="567" w:type="dxa"/>
            <w:tcBorders>
              <w:top w:val="nil"/>
              <w:left w:val="nil"/>
              <w:bottom w:val="nil"/>
              <w:right w:val="nil"/>
            </w:tcBorders>
            <w:hideMark/>
          </w:tcPr>
          <w:p w14:paraId="0481F3C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871B49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0D28FD0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567" w:type="dxa"/>
            <w:tcBorders>
              <w:top w:val="nil"/>
              <w:left w:val="nil"/>
              <w:bottom w:val="nil"/>
              <w:right w:val="nil"/>
            </w:tcBorders>
            <w:hideMark/>
          </w:tcPr>
          <w:p w14:paraId="787F29DD"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w:t>
            </w:r>
          </w:p>
        </w:tc>
        <w:tc>
          <w:tcPr>
            <w:tcW w:w="567" w:type="dxa"/>
            <w:tcBorders>
              <w:top w:val="nil"/>
              <w:left w:val="nil"/>
              <w:bottom w:val="nil"/>
              <w:right w:val="nil"/>
            </w:tcBorders>
            <w:hideMark/>
          </w:tcPr>
          <w:p w14:paraId="4175F1F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4D0026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1AF9A87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w:t>
            </w:r>
          </w:p>
        </w:tc>
        <w:tc>
          <w:tcPr>
            <w:tcW w:w="567" w:type="dxa"/>
            <w:tcBorders>
              <w:top w:val="nil"/>
              <w:left w:val="nil"/>
              <w:bottom w:val="nil"/>
              <w:right w:val="nil"/>
            </w:tcBorders>
            <w:hideMark/>
          </w:tcPr>
          <w:p w14:paraId="76C10F7B"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w:t>
            </w:r>
          </w:p>
        </w:tc>
        <w:tc>
          <w:tcPr>
            <w:tcW w:w="567" w:type="dxa"/>
            <w:tcBorders>
              <w:top w:val="nil"/>
              <w:left w:val="nil"/>
              <w:bottom w:val="nil"/>
              <w:right w:val="nil"/>
            </w:tcBorders>
            <w:hideMark/>
          </w:tcPr>
          <w:p w14:paraId="677BE69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74AAB2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6944DF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27F8D97"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0</w:t>
            </w:r>
          </w:p>
        </w:tc>
        <w:tc>
          <w:tcPr>
            <w:tcW w:w="567" w:type="dxa"/>
            <w:tcBorders>
              <w:top w:val="nil"/>
              <w:left w:val="nil"/>
              <w:bottom w:val="nil"/>
              <w:right w:val="nil"/>
            </w:tcBorders>
            <w:hideMark/>
          </w:tcPr>
          <w:p w14:paraId="1267AEA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EA4EE0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084B56F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D53D07E"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0</w:t>
            </w:r>
          </w:p>
        </w:tc>
        <w:tc>
          <w:tcPr>
            <w:tcW w:w="567" w:type="dxa"/>
            <w:tcBorders>
              <w:top w:val="nil"/>
              <w:left w:val="nil"/>
              <w:bottom w:val="nil"/>
              <w:right w:val="nil"/>
            </w:tcBorders>
            <w:hideMark/>
          </w:tcPr>
          <w:p w14:paraId="2372434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18C860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36FFEA4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2CB975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0</w:t>
            </w:r>
          </w:p>
        </w:tc>
        <w:tc>
          <w:tcPr>
            <w:tcW w:w="567" w:type="dxa"/>
            <w:tcBorders>
              <w:top w:val="nil"/>
              <w:left w:val="nil"/>
              <w:bottom w:val="nil"/>
              <w:right w:val="nil"/>
            </w:tcBorders>
            <w:hideMark/>
          </w:tcPr>
          <w:p w14:paraId="277892A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79F128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0C9649D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C9B888E"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0</w:t>
            </w:r>
          </w:p>
        </w:tc>
      </w:tr>
      <w:tr w:rsidR="00EE7F09" w14:paraId="0C417D41" w14:textId="77777777" w:rsidTr="00EE7F09">
        <w:trPr>
          <w:trHeight w:val="227"/>
        </w:trPr>
        <w:tc>
          <w:tcPr>
            <w:tcW w:w="1985" w:type="dxa"/>
            <w:tcBorders>
              <w:top w:val="nil"/>
              <w:left w:val="nil"/>
              <w:bottom w:val="nil"/>
              <w:right w:val="nil"/>
            </w:tcBorders>
            <w:hideMark/>
          </w:tcPr>
          <w:p w14:paraId="2E2D5007"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golden perch</w:t>
            </w:r>
          </w:p>
        </w:tc>
        <w:tc>
          <w:tcPr>
            <w:tcW w:w="567" w:type="dxa"/>
            <w:tcBorders>
              <w:top w:val="nil"/>
              <w:left w:val="nil"/>
              <w:bottom w:val="nil"/>
              <w:right w:val="nil"/>
            </w:tcBorders>
            <w:hideMark/>
          </w:tcPr>
          <w:p w14:paraId="1B63D73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107</w:t>
            </w:r>
          </w:p>
        </w:tc>
        <w:tc>
          <w:tcPr>
            <w:tcW w:w="567" w:type="dxa"/>
            <w:tcBorders>
              <w:top w:val="nil"/>
              <w:left w:val="nil"/>
              <w:bottom w:val="nil"/>
              <w:right w:val="nil"/>
            </w:tcBorders>
            <w:hideMark/>
          </w:tcPr>
          <w:p w14:paraId="6044151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EE9474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661472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107</w:t>
            </w:r>
          </w:p>
        </w:tc>
        <w:tc>
          <w:tcPr>
            <w:tcW w:w="567" w:type="dxa"/>
            <w:tcBorders>
              <w:top w:val="nil"/>
              <w:left w:val="nil"/>
              <w:bottom w:val="nil"/>
              <w:right w:val="nil"/>
            </w:tcBorders>
            <w:hideMark/>
          </w:tcPr>
          <w:p w14:paraId="1CF3E93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116</w:t>
            </w:r>
          </w:p>
        </w:tc>
        <w:tc>
          <w:tcPr>
            <w:tcW w:w="567" w:type="dxa"/>
            <w:tcBorders>
              <w:top w:val="nil"/>
              <w:left w:val="nil"/>
              <w:bottom w:val="nil"/>
              <w:right w:val="nil"/>
            </w:tcBorders>
            <w:hideMark/>
          </w:tcPr>
          <w:p w14:paraId="54464CA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27F7779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BB2A16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116</w:t>
            </w:r>
          </w:p>
        </w:tc>
        <w:tc>
          <w:tcPr>
            <w:tcW w:w="567" w:type="dxa"/>
            <w:tcBorders>
              <w:top w:val="nil"/>
              <w:left w:val="nil"/>
              <w:bottom w:val="nil"/>
              <w:right w:val="nil"/>
            </w:tcBorders>
            <w:hideMark/>
          </w:tcPr>
          <w:p w14:paraId="6EE7FC2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19</w:t>
            </w:r>
          </w:p>
        </w:tc>
        <w:tc>
          <w:tcPr>
            <w:tcW w:w="567" w:type="dxa"/>
            <w:tcBorders>
              <w:top w:val="nil"/>
              <w:left w:val="nil"/>
              <w:bottom w:val="nil"/>
              <w:right w:val="nil"/>
            </w:tcBorders>
            <w:hideMark/>
          </w:tcPr>
          <w:p w14:paraId="54C18CC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041BCA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4EE3147"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19</w:t>
            </w:r>
          </w:p>
        </w:tc>
        <w:tc>
          <w:tcPr>
            <w:tcW w:w="567" w:type="dxa"/>
            <w:tcBorders>
              <w:top w:val="nil"/>
              <w:left w:val="nil"/>
              <w:bottom w:val="nil"/>
              <w:right w:val="nil"/>
            </w:tcBorders>
            <w:hideMark/>
          </w:tcPr>
          <w:p w14:paraId="10E51A8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38</w:t>
            </w:r>
          </w:p>
        </w:tc>
        <w:tc>
          <w:tcPr>
            <w:tcW w:w="567" w:type="dxa"/>
            <w:tcBorders>
              <w:top w:val="nil"/>
              <w:left w:val="nil"/>
              <w:bottom w:val="nil"/>
              <w:right w:val="nil"/>
            </w:tcBorders>
            <w:hideMark/>
          </w:tcPr>
          <w:p w14:paraId="40378D8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E3E324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31B1E97"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38</w:t>
            </w:r>
          </w:p>
        </w:tc>
        <w:tc>
          <w:tcPr>
            <w:tcW w:w="567" w:type="dxa"/>
            <w:tcBorders>
              <w:top w:val="nil"/>
              <w:left w:val="nil"/>
              <w:bottom w:val="nil"/>
              <w:right w:val="nil"/>
            </w:tcBorders>
            <w:hideMark/>
          </w:tcPr>
          <w:p w14:paraId="6271500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39</w:t>
            </w:r>
          </w:p>
        </w:tc>
        <w:tc>
          <w:tcPr>
            <w:tcW w:w="567" w:type="dxa"/>
            <w:tcBorders>
              <w:top w:val="nil"/>
              <w:left w:val="nil"/>
              <w:bottom w:val="nil"/>
              <w:right w:val="nil"/>
            </w:tcBorders>
            <w:hideMark/>
          </w:tcPr>
          <w:p w14:paraId="30193B0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52FB0EE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477A211"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39</w:t>
            </w:r>
          </w:p>
        </w:tc>
        <w:tc>
          <w:tcPr>
            <w:tcW w:w="567" w:type="dxa"/>
            <w:tcBorders>
              <w:top w:val="nil"/>
              <w:left w:val="nil"/>
              <w:bottom w:val="nil"/>
              <w:right w:val="nil"/>
            </w:tcBorders>
            <w:hideMark/>
          </w:tcPr>
          <w:p w14:paraId="7C911A1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27</w:t>
            </w:r>
          </w:p>
        </w:tc>
        <w:tc>
          <w:tcPr>
            <w:tcW w:w="567" w:type="dxa"/>
            <w:tcBorders>
              <w:top w:val="nil"/>
              <w:left w:val="nil"/>
              <w:bottom w:val="nil"/>
              <w:right w:val="nil"/>
            </w:tcBorders>
            <w:hideMark/>
          </w:tcPr>
          <w:p w14:paraId="65A32C9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3FF1775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D7C1514"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27</w:t>
            </w:r>
          </w:p>
        </w:tc>
      </w:tr>
      <w:tr w:rsidR="00EE7F09" w14:paraId="5DBFA86A" w14:textId="77777777" w:rsidTr="00EE7F09">
        <w:trPr>
          <w:trHeight w:val="227"/>
        </w:trPr>
        <w:tc>
          <w:tcPr>
            <w:tcW w:w="1985" w:type="dxa"/>
            <w:tcBorders>
              <w:top w:val="nil"/>
              <w:left w:val="nil"/>
              <w:bottom w:val="nil"/>
              <w:right w:val="nil"/>
            </w:tcBorders>
            <w:hideMark/>
          </w:tcPr>
          <w:p w14:paraId="476EEA0C"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Murray cod</w:t>
            </w:r>
          </w:p>
        </w:tc>
        <w:tc>
          <w:tcPr>
            <w:tcW w:w="567" w:type="dxa"/>
            <w:tcBorders>
              <w:top w:val="nil"/>
              <w:left w:val="nil"/>
              <w:bottom w:val="nil"/>
              <w:right w:val="nil"/>
            </w:tcBorders>
            <w:hideMark/>
          </w:tcPr>
          <w:p w14:paraId="0515BA7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210</w:t>
            </w:r>
          </w:p>
        </w:tc>
        <w:tc>
          <w:tcPr>
            <w:tcW w:w="567" w:type="dxa"/>
            <w:tcBorders>
              <w:top w:val="nil"/>
              <w:left w:val="nil"/>
              <w:bottom w:val="nil"/>
              <w:right w:val="nil"/>
            </w:tcBorders>
            <w:hideMark/>
          </w:tcPr>
          <w:p w14:paraId="2D9FDEA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692D313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5C6CE1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210</w:t>
            </w:r>
          </w:p>
        </w:tc>
        <w:tc>
          <w:tcPr>
            <w:tcW w:w="567" w:type="dxa"/>
            <w:tcBorders>
              <w:top w:val="nil"/>
              <w:left w:val="nil"/>
              <w:bottom w:val="nil"/>
              <w:right w:val="nil"/>
            </w:tcBorders>
            <w:hideMark/>
          </w:tcPr>
          <w:p w14:paraId="36DC6B5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333</w:t>
            </w:r>
          </w:p>
        </w:tc>
        <w:tc>
          <w:tcPr>
            <w:tcW w:w="567" w:type="dxa"/>
            <w:tcBorders>
              <w:top w:val="nil"/>
              <w:left w:val="nil"/>
              <w:bottom w:val="nil"/>
              <w:right w:val="nil"/>
            </w:tcBorders>
            <w:hideMark/>
          </w:tcPr>
          <w:p w14:paraId="410FE56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426" w:type="dxa"/>
            <w:tcBorders>
              <w:top w:val="nil"/>
              <w:left w:val="nil"/>
              <w:bottom w:val="nil"/>
              <w:right w:val="nil"/>
            </w:tcBorders>
            <w:hideMark/>
          </w:tcPr>
          <w:p w14:paraId="19E00AE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30F87D4"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334</w:t>
            </w:r>
          </w:p>
        </w:tc>
        <w:tc>
          <w:tcPr>
            <w:tcW w:w="567" w:type="dxa"/>
            <w:tcBorders>
              <w:top w:val="nil"/>
              <w:left w:val="nil"/>
              <w:bottom w:val="nil"/>
              <w:right w:val="nil"/>
            </w:tcBorders>
            <w:hideMark/>
          </w:tcPr>
          <w:p w14:paraId="45DA9B2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12</w:t>
            </w:r>
          </w:p>
        </w:tc>
        <w:tc>
          <w:tcPr>
            <w:tcW w:w="567" w:type="dxa"/>
            <w:tcBorders>
              <w:top w:val="nil"/>
              <w:left w:val="nil"/>
              <w:bottom w:val="nil"/>
              <w:right w:val="nil"/>
            </w:tcBorders>
            <w:hideMark/>
          </w:tcPr>
          <w:p w14:paraId="6E7FA19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3166864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5393D36"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12</w:t>
            </w:r>
          </w:p>
        </w:tc>
        <w:tc>
          <w:tcPr>
            <w:tcW w:w="567" w:type="dxa"/>
            <w:tcBorders>
              <w:top w:val="nil"/>
              <w:left w:val="nil"/>
              <w:bottom w:val="nil"/>
              <w:right w:val="nil"/>
            </w:tcBorders>
            <w:hideMark/>
          </w:tcPr>
          <w:p w14:paraId="3FEE130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21</w:t>
            </w:r>
          </w:p>
        </w:tc>
        <w:tc>
          <w:tcPr>
            <w:tcW w:w="567" w:type="dxa"/>
            <w:tcBorders>
              <w:top w:val="nil"/>
              <w:left w:val="nil"/>
              <w:bottom w:val="nil"/>
              <w:right w:val="nil"/>
            </w:tcBorders>
            <w:hideMark/>
          </w:tcPr>
          <w:p w14:paraId="2B5D38F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325FC09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E6B23D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21</w:t>
            </w:r>
          </w:p>
        </w:tc>
        <w:tc>
          <w:tcPr>
            <w:tcW w:w="567" w:type="dxa"/>
            <w:tcBorders>
              <w:top w:val="nil"/>
              <w:left w:val="nil"/>
              <w:bottom w:val="nil"/>
              <w:right w:val="nil"/>
            </w:tcBorders>
            <w:hideMark/>
          </w:tcPr>
          <w:p w14:paraId="0F49B1B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43</w:t>
            </w:r>
          </w:p>
        </w:tc>
        <w:tc>
          <w:tcPr>
            <w:tcW w:w="567" w:type="dxa"/>
            <w:tcBorders>
              <w:top w:val="nil"/>
              <w:left w:val="nil"/>
              <w:bottom w:val="nil"/>
              <w:right w:val="nil"/>
            </w:tcBorders>
            <w:hideMark/>
          </w:tcPr>
          <w:p w14:paraId="19327F9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41555E6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312949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43</w:t>
            </w:r>
          </w:p>
        </w:tc>
        <w:tc>
          <w:tcPr>
            <w:tcW w:w="567" w:type="dxa"/>
            <w:tcBorders>
              <w:top w:val="nil"/>
              <w:left w:val="nil"/>
              <w:bottom w:val="nil"/>
              <w:right w:val="nil"/>
            </w:tcBorders>
            <w:hideMark/>
          </w:tcPr>
          <w:p w14:paraId="7ADC420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66</w:t>
            </w:r>
          </w:p>
        </w:tc>
        <w:tc>
          <w:tcPr>
            <w:tcW w:w="567" w:type="dxa"/>
            <w:tcBorders>
              <w:top w:val="nil"/>
              <w:left w:val="nil"/>
              <w:bottom w:val="nil"/>
              <w:right w:val="nil"/>
            </w:tcBorders>
            <w:hideMark/>
          </w:tcPr>
          <w:p w14:paraId="6EDDA4B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4805DF3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4514B3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66</w:t>
            </w:r>
          </w:p>
        </w:tc>
      </w:tr>
      <w:tr w:rsidR="00EE7F09" w14:paraId="554B91B5" w14:textId="77777777" w:rsidTr="00EE7F09">
        <w:trPr>
          <w:trHeight w:val="227"/>
        </w:trPr>
        <w:tc>
          <w:tcPr>
            <w:tcW w:w="1985" w:type="dxa"/>
            <w:tcBorders>
              <w:top w:val="nil"/>
              <w:left w:val="nil"/>
              <w:bottom w:val="nil"/>
              <w:right w:val="nil"/>
            </w:tcBorders>
            <w:hideMark/>
          </w:tcPr>
          <w:p w14:paraId="1CACDB21"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Murray-Darling rainbowfish</w:t>
            </w:r>
          </w:p>
        </w:tc>
        <w:tc>
          <w:tcPr>
            <w:tcW w:w="567" w:type="dxa"/>
            <w:tcBorders>
              <w:top w:val="nil"/>
              <w:left w:val="nil"/>
              <w:bottom w:val="nil"/>
              <w:right w:val="nil"/>
            </w:tcBorders>
            <w:hideMark/>
          </w:tcPr>
          <w:p w14:paraId="2E5F34B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339</w:t>
            </w:r>
          </w:p>
        </w:tc>
        <w:tc>
          <w:tcPr>
            <w:tcW w:w="567" w:type="dxa"/>
            <w:tcBorders>
              <w:top w:val="nil"/>
              <w:left w:val="nil"/>
              <w:bottom w:val="nil"/>
              <w:right w:val="nil"/>
            </w:tcBorders>
            <w:hideMark/>
          </w:tcPr>
          <w:p w14:paraId="15752A8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168</w:t>
            </w:r>
          </w:p>
        </w:tc>
        <w:tc>
          <w:tcPr>
            <w:tcW w:w="425" w:type="dxa"/>
            <w:tcBorders>
              <w:top w:val="nil"/>
              <w:left w:val="nil"/>
              <w:bottom w:val="nil"/>
              <w:right w:val="nil"/>
            </w:tcBorders>
            <w:hideMark/>
          </w:tcPr>
          <w:p w14:paraId="4AECD6F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B002A8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507</w:t>
            </w:r>
          </w:p>
        </w:tc>
        <w:tc>
          <w:tcPr>
            <w:tcW w:w="567" w:type="dxa"/>
            <w:tcBorders>
              <w:top w:val="nil"/>
              <w:left w:val="nil"/>
              <w:bottom w:val="nil"/>
              <w:right w:val="nil"/>
            </w:tcBorders>
            <w:hideMark/>
          </w:tcPr>
          <w:p w14:paraId="506C8AF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353</w:t>
            </w:r>
          </w:p>
        </w:tc>
        <w:tc>
          <w:tcPr>
            <w:tcW w:w="567" w:type="dxa"/>
            <w:tcBorders>
              <w:top w:val="nil"/>
              <w:left w:val="nil"/>
              <w:bottom w:val="nil"/>
              <w:right w:val="nil"/>
            </w:tcBorders>
            <w:hideMark/>
          </w:tcPr>
          <w:p w14:paraId="6F1BB40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77</w:t>
            </w:r>
          </w:p>
        </w:tc>
        <w:tc>
          <w:tcPr>
            <w:tcW w:w="426" w:type="dxa"/>
            <w:tcBorders>
              <w:top w:val="nil"/>
              <w:left w:val="nil"/>
              <w:bottom w:val="nil"/>
              <w:right w:val="nil"/>
            </w:tcBorders>
            <w:hideMark/>
          </w:tcPr>
          <w:p w14:paraId="14D6D81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w:t>
            </w:r>
          </w:p>
        </w:tc>
        <w:tc>
          <w:tcPr>
            <w:tcW w:w="567" w:type="dxa"/>
            <w:tcBorders>
              <w:top w:val="nil"/>
              <w:left w:val="nil"/>
              <w:bottom w:val="nil"/>
              <w:right w:val="nil"/>
            </w:tcBorders>
            <w:hideMark/>
          </w:tcPr>
          <w:p w14:paraId="112C0ED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435</w:t>
            </w:r>
          </w:p>
        </w:tc>
        <w:tc>
          <w:tcPr>
            <w:tcW w:w="567" w:type="dxa"/>
            <w:tcBorders>
              <w:top w:val="nil"/>
              <w:left w:val="nil"/>
              <w:bottom w:val="nil"/>
              <w:right w:val="nil"/>
            </w:tcBorders>
            <w:hideMark/>
          </w:tcPr>
          <w:p w14:paraId="62433CC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650</w:t>
            </w:r>
          </w:p>
        </w:tc>
        <w:tc>
          <w:tcPr>
            <w:tcW w:w="567" w:type="dxa"/>
            <w:tcBorders>
              <w:top w:val="nil"/>
              <w:left w:val="nil"/>
              <w:bottom w:val="nil"/>
              <w:right w:val="nil"/>
            </w:tcBorders>
            <w:hideMark/>
          </w:tcPr>
          <w:p w14:paraId="488082B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19</w:t>
            </w:r>
          </w:p>
        </w:tc>
        <w:tc>
          <w:tcPr>
            <w:tcW w:w="425" w:type="dxa"/>
            <w:tcBorders>
              <w:top w:val="nil"/>
              <w:left w:val="nil"/>
              <w:bottom w:val="nil"/>
              <w:right w:val="nil"/>
            </w:tcBorders>
            <w:hideMark/>
          </w:tcPr>
          <w:p w14:paraId="0523F5E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F9CB08C"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669</w:t>
            </w:r>
          </w:p>
        </w:tc>
        <w:tc>
          <w:tcPr>
            <w:tcW w:w="567" w:type="dxa"/>
            <w:tcBorders>
              <w:top w:val="nil"/>
              <w:left w:val="nil"/>
              <w:bottom w:val="nil"/>
              <w:right w:val="nil"/>
            </w:tcBorders>
            <w:hideMark/>
          </w:tcPr>
          <w:p w14:paraId="492DD5B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518</w:t>
            </w:r>
          </w:p>
        </w:tc>
        <w:tc>
          <w:tcPr>
            <w:tcW w:w="567" w:type="dxa"/>
            <w:tcBorders>
              <w:top w:val="nil"/>
              <w:left w:val="nil"/>
              <w:bottom w:val="nil"/>
              <w:right w:val="nil"/>
            </w:tcBorders>
            <w:hideMark/>
          </w:tcPr>
          <w:p w14:paraId="7E6C5B5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19</w:t>
            </w:r>
          </w:p>
        </w:tc>
        <w:tc>
          <w:tcPr>
            <w:tcW w:w="425" w:type="dxa"/>
            <w:tcBorders>
              <w:top w:val="nil"/>
              <w:left w:val="nil"/>
              <w:bottom w:val="nil"/>
              <w:right w:val="nil"/>
            </w:tcBorders>
            <w:hideMark/>
          </w:tcPr>
          <w:p w14:paraId="1DF9099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5F2091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537</w:t>
            </w:r>
          </w:p>
        </w:tc>
        <w:tc>
          <w:tcPr>
            <w:tcW w:w="567" w:type="dxa"/>
            <w:tcBorders>
              <w:top w:val="nil"/>
              <w:left w:val="nil"/>
              <w:bottom w:val="nil"/>
              <w:right w:val="nil"/>
            </w:tcBorders>
            <w:hideMark/>
          </w:tcPr>
          <w:p w14:paraId="6154E29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508</w:t>
            </w:r>
          </w:p>
        </w:tc>
        <w:tc>
          <w:tcPr>
            <w:tcW w:w="567" w:type="dxa"/>
            <w:tcBorders>
              <w:top w:val="nil"/>
              <w:left w:val="nil"/>
              <w:bottom w:val="nil"/>
              <w:right w:val="nil"/>
            </w:tcBorders>
            <w:hideMark/>
          </w:tcPr>
          <w:p w14:paraId="1085D6A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83</w:t>
            </w:r>
          </w:p>
        </w:tc>
        <w:tc>
          <w:tcPr>
            <w:tcW w:w="425" w:type="dxa"/>
            <w:tcBorders>
              <w:top w:val="nil"/>
              <w:left w:val="nil"/>
              <w:bottom w:val="nil"/>
              <w:right w:val="nil"/>
            </w:tcBorders>
            <w:hideMark/>
          </w:tcPr>
          <w:p w14:paraId="7987D08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A57B66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591</w:t>
            </w:r>
          </w:p>
        </w:tc>
        <w:tc>
          <w:tcPr>
            <w:tcW w:w="567" w:type="dxa"/>
            <w:tcBorders>
              <w:top w:val="nil"/>
              <w:left w:val="nil"/>
              <w:bottom w:val="nil"/>
              <w:right w:val="nil"/>
            </w:tcBorders>
            <w:hideMark/>
          </w:tcPr>
          <w:p w14:paraId="41FDE59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424</w:t>
            </w:r>
          </w:p>
        </w:tc>
        <w:tc>
          <w:tcPr>
            <w:tcW w:w="567" w:type="dxa"/>
            <w:tcBorders>
              <w:top w:val="nil"/>
              <w:left w:val="nil"/>
              <w:bottom w:val="nil"/>
              <w:right w:val="nil"/>
            </w:tcBorders>
            <w:hideMark/>
          </w:tcPr>
          <w:p w14:paraId="445D869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83</w:t>
            </w:r>
          </w:p>
        </w:tc>
        <w:tc>
          <w:tcPr>
            <w:tcW w:w="426" w:type="dxa"/>
            <w:tcBorders>
              <w:top w:val="nil"/>
              <w:left w:val="nil"/>
              <w:bottom w:val="nil"/>
              <w:right w:val="nil"/>
            </w:tcBorders>
            <w:hideMark/>
          </w:tcPr>
          <w:p w14:paraId="5301BD5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4CA05C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507</w:t>
            </w:r>
          </w:p>
        </w:tc>
      </w:tr>
      <w:tr w:rsidR="00EE7F09" w14:paraId="24837A0E" w14:textId="77777777" w:rsidTr="00EE7F09">
        <w:trPr>
          <w:trHeight w:val="227"/>
        </w:trPr>
        <w:tc>
          <w:tcPr>
            <w:tcW w:w="1985" w:type="dxa"/>
            <w:tcBorders>
              <w:top w:val="nil"/>
              <w:left w:val="nil"/>
              <w:bottom w:val="nil"/>
              <w:right w:val="nil"/>
            </w:tcBorders>
            <w:hideMark/>
          </w:tcPr>
          <w:p w14:paraId="4F21A95D"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silver perch</w:t>
            </w:r>
          </w:p>
        </w:tc>
        <w:tc>
          <w:tcPr>
            <w:tcW w:w="567" w:type="dxa"/>
            <w:tcBorders>
              <w:top w:val="nil"/>
              <w:left w:val="nil"/>
              <w:bottom w:val="nil"/>
              <w:right w:val="nil"/>
            </w:tcBorders>
            <w:hideMark/>
          </w:tcPr>
          <w:p w14:paraId="596B421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w:t>
            </w:r>
          </w:p>
        </w:tc>
        <w:tc>
          <w:tcPr>
            <w:tcW w:w="567" w:type="dxa"/>
            <w:tcBorders>
              <w:top w:val="nil"/>
              <w:left w:val="nil"/>
              <w:bottom w:val="nil"/>
              <w:right w:val="nil"/>
            </w:tcBorders>
            <w:hideMark/>
          </w:tcPr>
          <w:p w14:paraId="02D3E02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154BD41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913997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w:t>
            </w:r>
          </w:p>
        </w:tc>
        <w:tc>
          <w:tcPr>
            <w:tcW w:w="567" w:type="dxa"/>
            <w:tcBorders>
              <w:top w:val="nil"/>
              <w:left w:val="nil"/>
              <w:bottom w:val="nil"/>
              <w:right w:val="nil"/>
            </w:tcBorders>
            <w:hideMark/>
          </w:tcPr>
          <w:p w14:paraId="1FF2924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w:t>
            </w:r>
          </w:p>
        </w:tc>
        <w:tc>
          <w:tcPr>
            <w:tcW w:w="567" w:type="dxa"/>
            <w:tcBorders>
              <w:top w:val="nil"/>
              <w:left w:val="nil"/>
              <w:bottom w:val="nil"/>
              <w:right w:val="nil"/>
            </w:tcBorders>
            <w:hideMark/>
          </w:tcPr>
          <w:p w14:paraId="37E20B1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75D0BA7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38E2EC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w:t>
            </w:r>
          </w:p>
        </w:tc>
        <w:tc>
          <w:tcPr>
            <w:tcW w:w="567" w:type="dxa"/>
            <w:tcBorders>
              <w:top w:val="nil"/>
              <w:left w:val="nil"/>
              <w:bottom w:val="nil"/>
              <w:right w:val="nil"/>
            </w:tcBorders>
            <w:hideMark/>
          </w:tcPr>
          <w:p w14:paraId="60A5C0D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w:t>
            </w:r>
          </w:p>
        </w:tc>
        <w:tc>
          <w:tcPr>
            <w:tcW w:w="567" w:type="dxa"/>
            <w:tcBorders>
              <w:top w:val="nil"/>
              <w:left w:val="nil"/>
              <w:bottom w:val="nil"/>
              <w:right w:val="nil"/>
            </w:tcBorders>
            <w:hideMark/>
          </w:tcPr>
          <w:p w14:paraId="51E3E08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E2A895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0E4B69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w:t>
            </w:r>
          </w:p>
        </w:tc>
        <w:tc>
          <w:tcPr>
            <w:tcW w:w="567" w:type="dxa"/>
            <w:tcBorders>
              <w:top w:val="nil"/>
              <w:left w:val="nil"/>
              <w:bottom w:val="nil"/>
              <w:right w:val="nil"/>
            </w:tcBorders>
            <w:hideMark/>
          </w:tcPr>
          <w:p w14:paraId="513C7CD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w:t>
            </w:r>
          </w:p>
        </w:tc>
        <w:tc>
          <w:tcPr>
            <w:tcW w:w="567" w:type="dxa"/>
            <w:tcBorders>
              <w:top w:val="nil"/>
              <w:left w:val="nil"/>
              <w:bottom w:val="nil"/>
              <w:right w:val="nil"/>
            </w:tcBorders>
            <w:hideMark/>
          </w:tcPr>
          <w:p w14:paraId="188F203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45D400C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12F86F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w:t>
            </w:r>
          </w:p>
        </w:tc>
        <w:tc>
          <w:tcPr>
            <w:tcW w:w="567" w:type="dxa"/>
            <w:tcBorders>
              <w:top w:val="nil"/>
              <w:left w:val="nil"/>
              <w:bottom w:val="nil"/>
              <w:right w:val="nil"/>
            </w:tcBorders>
            <w:hideMark/>
          </w:tcPr>
          <w:p w14:paraId="475ACC4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w:t>
            </w:r>
          </w:p>
        </w:tc>
        <w:tc>
          <w:tcPr>
            <w:tcW w:w="567" w:type="dxa"/>
            <w:tcBorders>
              <w:top w:val="nil"/>
              <w:left w:val="nil"/>
              <w:bottom w:val="nil"/>
              <w:right w:val="nil"/>
            </w:tcBorders>
            <w:hideMark/>
          </w:tcPr>
          <w:p w14:paraId="015B084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1C59286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370533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w:t>
            </w:r>
          </w:p>
        </w:tc>
        <w:tc>
          <w:tcPr>
            <w:tcW w:w="567" w:type="dxa"/>
            <w:tcBorders>
              <w:top w:val="nil"/>
              <w:left w:val="nil"/>
              <w:bottom w:val="nil"/>
              <w:right w:val="nil"/>
            </w:tcBorders>
            <w:hideMark/>
          </w:tcPr>
          <w:p w14:paraId="27340DE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w:t>
            </w:r>
          </w:p>
        </w:tc>
        <w:tc>
          <w:tcPr>
            <w:tcW w:w="567" w:type="dxa"/>
            <w:tcBorders>
              <w:top w:val="nil"/>
              <w:left w:val="nil"/>
              <w:bottom w:val="nil"/>
              <w:right w:val="nil"/>
            </w:tcBorders>
            <w:hideMark/>
          </w:tcPr>
          <w:p w14:paraId="13060E4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6A5D9FB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4C4948C"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7</w:t>
            </w:r>
          </w:p>
        </w:tc>
      </w:tr>
      <w:tr w:rsidR="00EE7F09" w14:paraId="6240A4A6" w14:textId="77777777" w:rsidTr="00EE7F09">
        <w:trPr>
          <w:trHeight w:val="227"/>
        </w:trPr>
        <w:tc>
          <w:tcPr>
            <w:tcW w:w="1985" w:type="dxa"/>
            <w:tcBorders>
              <w:top w:val="nil"/>
              <w:left w:val="nil"/>
              <w:bottom w:val="nil"/>
              <w:right w:val="nil"/>
            </w:tcBorders>
            <w:hideMark/>
          </w:tcPr>
          <w:p w14:paraId="62EE3197"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unspecked hardyhead</w:t>
            </w:r>
          </w:p>
        </w:tc>
        <w:tc>
          <w:tcPr>
            <w:tcW w:w="567" w:type="dxa"/>
            <w:tcBorders>
              <w:top w:val="nil"/>
              <w:left w:val="nil"/>
              <w:bottom w:val="nil"/>
              <w:right w:val="nil"/>
            </w:tcBorders>
            <w:hideMark/>
          </w:tcPr>
          <w:p w14:paraId="66F16B2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86</w:t>
            </w:r>
          </w:p>
        </w:tc>
        <w:tc>
          <w:tcPr>
            <w:tcW w:w="567" w:type="dxa"/>
            <w:tcBorders>
              <w:top w:val="nil"/>
              <w:left w:val="nil"/>
              <w:bottom w:val="nil"/>
              <w:right w:val="nil"/>
            </w:tcBorders>
            <w:hideMark/>
          </w:tcPr>
          <w:p w14:paraId="56A7EC2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64</w:t>
            </w:r>
          </w:p>
        </w:tc>
        <w:tc>
          <w:tcPr>
            <w:tcW w:w="425" w:type="dxa"/>
            <w:tcBorders>
              <w:top w:val="nil"/>
              <w:left w:val="nil"/>
              <w:bottom w:val="nil"/>
              <w:right w:val="nil"/>
            </w:tcBorders>
            <w:hideMark/>
          </w:tcPr>
          <w:p w14:paraId="031BE7E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09CE1FC"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150</w:t>
            </w:r>
          </w:p>
        </w:tc>
        <w:tc>
          <w:tcPr>
            <w:tcW w:w="567" w:type="dxa"/>
            <w:tcBorders>
              <w:top w:val="nil"/>
              <w:left w:val="nil"/>
              <w:bottom w:val="nil"/>
              <w:right w:val="nil"/>
            </w:tcBorders>
            <w:hideMark/>
          </w:tcPr>
          <w:p w14:paraId="7D96628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565</w:t>
            </w:r>
          </w:p>
        </w:tc>
        <w:tc>
          <w:tcPr>
            <w:tcW w:w="567" w:type="dxa"/>
            <w:tcBorders>
              <w:top w:val="nil"/>
              <w:left w:val="nil"/>
              <w:bottom w:val="nil"/>
              <w:right w:val="nil"/>
            </w:tcBorders>
            <w:hideMark/>
          </w:tcPr>
          <w:p w14:paraId="0D4FC28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35</w:t>
            </w:r>
          </w:p>
        </w:tc>
        <w:tc>
          <w:tcPr>
            <w:tcW w:w="426" w:type="dxa"/>
            <w:tcBorders>
              <w:top w:val="nil"/>
              <w:left w:val="nil"/>
              <w:bottom w:val="nil"/>
              <w:right w:val="nil"/>
            </w:tcBorders>
            <w:hideMark/>
          </w:tcPr>
          <w:p w14:paraId="47E72A2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A4839D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600</w:t>
            </w:r>
          </w:p>
        </w:tc>
        <w:tc>
          <w:tcPr>
            <w:tcW w:w="567" w:type="dxa"/>
            <w:tcBorders>
              <w:top w:val="nil"/>
              <w:left w:val="nil"/>
              <w:bottom w:val="nil"/>
              <w:right w:val="nil"/>
            </w:tcBorders>
            <w:hideMark/>
          </w:tcPr>
          <w:p w14:paraId="0FDEA3C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510</w:t>
            </w:r>
          </w:p>
        </w:tc>
        <w:tc>
          <w:tcPr>
            <w:tcW w:w="567" w:type="dxa"/>
            <w:tcBorders>
              <w:top w:val="nil"/>
              <w:left w:val="nil"/>
              <w:bottom w:val="nil"/>
              <w:right w:val="nil"/>
            </w:tcBorders>
            <w:hideMark/>
          </w:tcPr>
          <w:p w14:paraId="6B3DBA2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72</w:t>
            </w:r>
          </w:p>
        </w:tc>
        <w:tc>
          <w:tcPr>
            <w:tcW w:w="425" w:type="dxa"/>
            <w:tcBorders>
              <w:top w:val="nil"/>
              <w:left w:val="nil"/>
              <w:bottom w:val="nil"/>
              <w:right w:val="nil"/>
            </w:tcBorders>
            <w:hideMark/>
          </w:tcPr>
          <w:p w14:paraId="3A1B07C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A05BA74"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582</w:t>
            </w:r>
          </w:p>
        </w:tc>
        <w:tc>
          <w:tcPr>
            <w:tcW w:w="567" w:type="dxa"/>
            <w:tcBorders>
              <w:top w:val="nil"/>
              <w:left w:val="nil"/>
              <w:bottom w:val="nil"/>
              <w:right w:val="nil"/>
            </w:tcBorders>
            <w:hideMark/>
          </w:tcPr>
          <w:p w14:paraId="08CEBC3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82</w:t>
            </w:r>
          </w:p>
        </w:tc>
        <w:tc>
          <w:tcPr>
            <w:tcW w:w="567" w:type="dxa"/>
            <w:tcBorders>
              <w:top w:val="nil"/>
              <w:left w:val="nil"/>
              <w:bottom w:val="nil"/>
              <w:right w:val="nil"/>
            </w:tcBorders>
            <w:hideMark/>
          </w:tcPr>
          <w:p w14:paraId="7E17A681"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w:t>
            </w:r>
          </w:p>
        </w:tc>
        <w:tc>
          <w:tcPr>
            <w:tcW w:w="425" w:type="dxa"/>
            <w:tcBorders>
              <w:top w:val="nil"/>
              <w:left w:val="nil"/>
              <w:bottom w:val="nil"/>
              <w:right w:val="nil"/>
            </w:tcBorders>
            <w:hideMark/>
          </w:tcPr>
          <w:p w14:paraId="6C5B8DD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F5E197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89</w:t>
            </w:r>
          </w:p>
        </w:tc>
        <w:tc>
          <w:tcPr>
            <w:tcW w:w="567" w:type="dxa"/>
            <w:tcBorders>
              <w:top w:val="nil"/>
              <w:left w:val="nil"/>
              <w:bottom w:val="nil"/>
              <w:right w:val="nil"/>
            </w:tcBorders>
            <w:hideMark/>
          </w:tcPr>
          <w:p w14:paraId="2803133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22</w:t>
            </w:r>
          </w:p>
        </w:tc>
        <w:tc>
          <w:tcPr>
            <w:tcW w:w="567" w:type="dxa"/>
            <w:tcBorders>
              <w:top w:val="nil"/>
              <w:left w:val="nil"/>
              <w:bottom w:val="nil"/>
              <w:right w:val="nil"/>
            </w:tcBorders>
            <w:hideMark/>
          </w:tcPr>
          <w:p w14:paraId="1905E96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9</w:t>
            </w:r>
          </w:p>
        </w:tc>
        <w:tc>
          <w:tcPr>
            <w:tcW w:w="425" w:type="dxa"/>
            <w:tcBorders>
              <w:top w:val="nil"/>
              <w:left w:val="nil"/>
              <w:bottom w:val="nil"/>
              <w:right w:val="nil"/>
            </w:tcBorders>
            <w:hideMark/>
          </w:tcPr>
          <w:p w14:paraId="12D89B0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AC0C16D"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31</w:t>
            </w:r>
          </w:p>
        </w:tc>
        <w:tc>
          <w:tcPr>
            <w:tcW w:w="567" w:type="dxa"/>
            <w:tcBorders>
              <w:top w:val="nil"/>
              <w:left w:val="nil"/>
              <w:bottom w:val="nil"/>
              <w:right w:val="nil"/>
            </w:tcBorders>
            <w:hideMark/>
          </w:tcPr>
          <w:p w14:paraId="6FC9309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22</w:t>
            </w:r>
          </w:p>
        </w:tc>
        <w:tc>
          <w:tcPr>
            <w:tcW w:w="567" w:type="dxa"/>
            <w:tcBorders>
              <w:top w:val="nil"/>
              <w:left w:val="nil"/>
              <w:bottom w:val="nil"/>
              <w:right w:val="nil"/>
            </w:tcBorders>
            <w:hideMark/>
          </w:tcPr>
          <w:p w14:paraId="1458E67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25</w:t>
            </w:r>
          </w:p>
        </w:tc>
        <w:tc>
          <w:tcPr>
            <w:tcW w:w="426" w:type="dxa"/>
            <w:tcBorders>
              <w:top w:val="nil"/>
              <w:left w:val="nil"/>
              <w:bottom w:val="nil"/>
              <w:right w:val="nil"/>
            </w:tcBorders>
            <w:hideMark/>
          </w:tcPr>
          <w:p w14:paraId="318E61A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E446E1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47</w:t>
            </w:r>
          </w:p>
        </w:tc>
      </w:tr>
      <w:tr w:rsidR="00EE7F09" w14:paraId="65B4CB7F" w14:textId="77777777" w:rsidTr="00EE7F09">
        <w:trPr>
          <w:trHeight w:hRule="exact" w:val="113"/>
        </w:trPr>
        <w:tc>
          <w:tcPr>
            <w:tcW w:w="1985" w:type="dxa"/>
            <w:tcBorders>
              <w:top w:val="nil"/>
              <w:left w:val="nil"/>
              <w:bottom w:val="nil"/>
              <w:right w:val="nil"/>
            </w:tcBorders>
          </w:tcPr>
          <w:p w14:paraId="64F95FE6" w14:textId="77777777" w:rsidR="00EE7F09" w:rsidRPr="003B35D2" w:rsidRDefault="00EE7F09" w:rsidP="00EE7F09">
            <w:pPr>
              <w:spacing w:after="120"/>
              <w:ind w:left="176"/>
              <w:rPr>
                <w:rFonts w:asciiTheme="minorHAnsi" w:hAnsiTheme="minorHAnsi" w:cstheme="minorHAnsi"/>
                <w:sz w:val="16"/>
                <w:szCs w:val="16"/>
                <w:lang w:eastAsia="en-AU"/>
              </w:rPr>
            </w:pPr>
          </w:p>
        </w:tc>
        <w:tc>
          <w:tcPr>
            <w:tcW w:w="567" w:type="dxa"/>
            <w:tcBorders>
              <w:top w:val="nil"/>
              <w:left w:val="nil"/>
              <w:bottom w:val="nil"/>
              <w:right w:val="nil"/>
            </w:tcBorders>
          </w:tcPr>
          <w:p w14:paraId="4DE0F476"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4A0F4103"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5" w:type="dxa"/>
            <w:tcBorders>
              <w:top w:val="nil"/>
              <w:left w:val="nil"/>
              <w:bottom w:val="nil"/>
              <w:right w:val="nil"/>
            </w:tcBorders>
          </w:tcPr>
          <w:p w14:paraId="463DEA61"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5055605B" w14:textId="77777777" w:rsidR="00EE7F09" w:rsidRPr="003B35D2" w:rsidRDefault="00EE7F09" w:rsidP="00EE7F09">
            <w:pPr>
              <w:spacing w:after="120"/>
              <w:jc w:val="right"/>
              <w:rPr>
                <w:rFonts w:asciiTheme="minorHAnsi" w:hAnsiTheme="minorHAnsi" w:cstheme="minorHAnsi"/>
                <w:b/>
                <w:sz w:val="16"/>
                <w:szCs w:val="16"/>
                <w:lang w:eastAsia="en-AU"/>
              </w:rPr>
            </w:pPr>
          </w:p>
        </w:tc>
        <w:tc>
          <w:tcPr>
            <w:tcW w:w="567" w:type="dxa"/>
            <w:tcBorders>
              <w:top w:val="nil"/>
              <w:left w:val="nil"/>
              <w:bottom w:val="nil"/>
              <w:right w:val="nil"/>
            </w:tcBorders>
          </w:tcPr>
          <w:p w14:paraId="765E6A15"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1F189E78"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6" w:type="dxa"/>
            <w:tcBorders>
              <w:top w:val="nil"/>
              <w:left w:val="nil"/>
              <w:bottom w:val="nil"/>
              <w:right w:val="nil"/>
            </w:tcBorders>
          </w:tcPr>
          <w:p w14:paraId="0E84185F"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7CA79F84" w14:textId="77777777" w:rsidR="00EE7F09" w:rsidRPr="003B35D2" w:rsidRDefault="00EE7F09" w:rsidP="00EE7F09">
            <w:pPr>
              <w:spacing w:after="120"/>
              <w:jc w:val="right"/>
              <w:rPr>
                <w:rFonts w:asciiTheme="minorHAnsi" w:hAnsiTheme="minorHAnsi" w:cstheme="minorHAnsi"/>
                <w:b/>
                <w:sz w:val="16"/>
                <w:szCs w:val="16"/>
                <w:lang w:eastAsia="en-AU"/>
              </w:rPr>
            </w:pPr>
          </w:p>
        </w:tc>
        <w:tc>
          <w:tcPr>
            <w:tcW w:w="567" w:type="dxa"/>
            <w:tcBorders>
              <w:top w:val="nil"/>
              <w:left w:val="nil"/>
              <w:bottom w:val="nil"/>
              <w:right w:val="nil"/>
            </w:tcBorders>
          </w:tcPr>
          <w:p w14:paraId="459F9532"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162B7DF4"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5" w:type="dxa"/>
            <w:tcBorders>
              <w:top w:val="nil"/>
              <w:left w:val="nil"/>
              <w:bottom w:val="nil"/>
              <w:right w:val="nil"/>
            </w:tcBorders>
          </w:tcPr>
          <w:p w14:paraId="1D8BA481"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11329872" w14:textId="77777777" w:rsidR="00EE7F09" w:rsidRPr="003B35D2" w:rsidRDefault="00EE7F09" w:rsidP="00EE7F09">
            <w:pPr>
              <w:spacing w:after="120"/>
              <w:jc w:val="right"/>
              <w:rPr>
                <w:rFonts w:asciiTheme="minorHAnsi" w:hAnsiTheme="minorHAnsi" w:cstheme="minorHAnsi"/>
                <w:b/>
                <w:sz w:val="16"/>
                <w:szCs w:val="16"/>
                <w:lang w:eastAsia="en-AU"/>
              </w:rPr>
            </w:pPr>
          </w:p>
        </w:tc>
        <w:tc>
          <w:tcPr>
            <w:tcW w:w="567" w:type="dxa"/>
            <w:tcBorders>
              <w:top w:val="nil"/>
              <w:left w:val="nil"/>
              <w:bottom w:val="nil"/>
              <w:right w:val="nil"/>
            </w:tcBorders>
          </w:tcPr>
          <w:p w14:paraId="5D0F0E00"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259905DF"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5" w:type="dxa"/>
            <w:tcBorders>
              <w:top w:val="nil"/>
              <w:left w:val="nil"/>
              <w:bottom w:val="nil"/>
              <w:right w:val="nil"/>
            </w:tcBorders>
          </w:tcPr>
          <w:p w14:paraId="7A82F6C1"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0D41338A" w14:textId="77777777" w:rsidR="00EE7F09" w:rsidRPr="003B35D2" w:rsidRDefault="00EE7F09" w:rsidP="00EE7F09">
            <w:pPr>
              <w:spacing w:after="120"/>
              <w:jc w:val="right"/>
              <w:rPr>
                <w:rFonts w:asciiTheme="minorHAnsi" w:hAnsiTheme="minorHAnsi" w:cstheme="minorHAnsi"/>
                <w:b/>
                <w:sz w:val="16"/>
                <w:szCs w:val="16"/>
                <w:lang w:eastAsia="en-AU"/>
              </w:rPr>
            </w:pPr>
          </w:p>
        </w:tc>
        <w:tc>
          <w:tcPr>
            <w:tcW w:w="567" w:type="dxa"/>
            <w:tcBorders>
              <w:top w:val="nil"/>
              <w:left w:val="nil"/>
              <w:bottom w:val="nil"/>
              <w:right w:val="nil"/>
            </w:tcBorders>
          </w:tcPr>
          <w:p w14:paraId="1962FE7E"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05C9D496"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5" w:type="dxa"/>
            <w:tcBorders>
              <w:top w:val="nil"/>
              <w:left w:val="nil"/>
              <w:bottom w:val="nil"/>
              <w:right w:val="nil"/>
            </w:tcBorders>
          </w:tcPr>
          <w:p w14:paraId="2AED236F"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667521DA" w14:textId="77777777" w:rsidR="00EE7F09" w:rsidRPr="003B35D2" w:rsidRDefault="00EE7F09" w:rsidP="00EE7F09">
            <w:pPr>
              <w:spacing w:after="120"/>
              <w:jc w:val="right"/>
              <w:rPr>
                <w:rFonts w:asciiTheme="minorHAnsi" w:hAnsiTheme="minorHAnsi" w:cstheme="minorHAnsi"/>
                <w:b/>
                <w:sz w:val="16"/>
                <w:szCs w:val="16"/>
                <w:lang w:eastAsia="en-AU"/>
              </w:rPr>
            </w:pPr>
          </w:p>
        </w:tc>
        <w:tc>
          <w:tcPr>
            <w:tcW w:w="567" w:type="dxa"/>
            <w:tcBorders>
              <w:top w:val="nil"/>
              <w:left w:val="nil"/>
              <w:bottom w:val="nil"/>
              <w:right w:val="nil"/>
            </w:tcBorders>
          </w:tcPr>
          <w:p w14:paraId="36A0A1CE"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4B6C2E1B"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426" w:type="dxa"/>
            <w:tcBorders>
              <w:top w:val="nil"/>
              <w:left w:val="nil"/>
              <w:bottom w:val="nil"/>
              <w:right w:val="nil"/>
            </w:tcBorders>
          </w:tcPr>
          <w:p w14:paraId="1031AC96" w14:textId="77777777" w:rsidR="00EE7F09" w:rsidRPr="003B35D2" w:rsidRDefault="00EE7F09" w:rsidP="00EE7F09">
            <w:pPr>
              <w:spacing w:after="120"/>
              <w:jc w:val="right"/>
              <w:rPr>
                <w:rFonts w:asciiTheme="minorHAnsi" w:hAnsiTheme="minorHAnsi" w:cstheme="minorHAnsi"/>
                <w:sz w:val="16"/>
                <w:szCs w:val="16"/>
                <w:lang w:eastAsia="en-AU"/>
              </w:rPr>
            </w:pPr>
          </w:p>
        </w:tc>
        <w:tc>
          <w:tcPr>
            <w:tcW w:w="567" w:type="dxa"/>
            <w:tcBorders>
              <w:top w:val="nil"/>
              <w:left w:val="nil"/>
              <w:bottom w:val="nil"/>
              <w:right w:val="nil"/>
            </w:tcBorders>
          </w:tcPr>
          <w:p w14:paraId="5CB6A3BF" w14:textId="77777777" w:rsidR="00EE7F09" w:rsidRPr="003B35D2" w:rsidRDefault="00EE7F09" w:rsidP="00EE7F09">
            <w:pPr>
              <w:spacing w:after="120"/>
              <w:jc w:val="right"/>
              <w:rPr>
                <w:rFonts w:asciiTheme="minorHAnsi" w:hAnsiTheme="minorHAnsi" w:cstheme="minorHAnsi"/>
                <w:b/>
                <w:sz w:val="16"/>
                <w:szCs w:val="16"/>
                <w:lang w:eastAsia="en-AU"/>
              </w:rPr>
            </w:pPr>
          </w:p>
        </w:tc>
      </w:tr>
      <w:tr w:rsidR="00EE7F09" w14:paraId="276A94EF" w14:textId="77777777" w:rsidTr="00EE7F09">
        <w:tc>
          <w:tcPr>
            <w:tcW w:w="8364" w:type="dxa"/>
            <w:gridSpan w:val="13"/>
            <w:tcBorders>
              <w:top w:val="nil"/>
              <w:left w:val="nil"/>
              <w:bottom w:val="nil"/>
              <w:right w:val="nil"/>
            </w:tcBorders>
            <w:hideMark/>
          </w:tcPr>
          <w:p w14:paraId="63EFC3AA" w14:textId="77777777" w:rsidR="00EE7F09" w:rsidRPr="003B35D2" w:rsidRDefault="00EE7F09" w:rsidP="00EE7F09">
            <w:pPr>
              <w:spacing w:after="120"/>
              <w:rPr>
                <w:rFonts w:asciiTheme="minorHAnsi" w:hAnsiTheme="minorHAnsi" w:cstheme="minorHAnsi"/>
                <w:i/>
                <w:sz w:val="16"/>
                <w:szCs w:val="16"/>
                <w:lang w:eastAsia="en-AU"/>
              </w:rPr>
            </w:pPr>
            <w:r w:rsidRPr="003B35D2">
              <w:rPr>
                <w:rFonts w:asciiTheme="minorHAnsi" w:hAnsiTheme="minorHAnsi" w:cstheme="minorHAnsi"/>
                <w:i/>
                <w:color w:val="31849B" w:themeColor="accent5" w:themeShade="BF"/>
                <w:sz w:val="16"/>
                <w:szCs w:val="16"/>
                <w:lang w:eastAsia="en-AU"/>
              </w:rPr>
              <w:t>alien species</w:t>
            </w:r>
          </w:p>
        </w:tc>
        <w:tc>
          <w:tcPr>
            <w:tcW w:w="567" w:type="dxa"/>
            <w:tcBorders>
              <w:top w:val="nil"/>
              <w:left w:val="nil"/>
              <w:bottom w:val="nil"/>
              <w:right w:val="nil"/>
            </w:tcBorders>
          </w:tcPr>
          <w:p w14:paraId="00324C9E"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24B2068B"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425" w:type="dxa"/>
            <w:tcBorders>
              <w:top w:val="nil"/>
              <w:left w:val="nil"/>
              <w:bottom w:val="nil"/>
              <w:right w:val="nil"/>
            </w:tcBorders>
          </w:tcPr>
          <w:p w14:paraId="5CB1BE5D"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29E0E308"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33727D4D"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4A3DD32E"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425" w:type="dxa"/>
            <w:tcBorders>
              <w:top w:val="nil"/>
              <w:left w:val="nil"/>
              <w:bottom w:val="nil"/>
              <w:right w:val="nil"/>
            </w:tcBorders>
          </w:tcPr>
          <w:p w14:paraId="40DB6E3E"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3D2114E5"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392B5CE6"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4F97B6E0"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426" w:type="dxa"/>
            <w:tcBorders>
              <w:top w:val="nil"/>
              <w:left w:val="nil"/>
              <w:bottom w:val="nil"/>
              <w:right w:val="nil"/>
            </w:tcBorders>
          </w:tcPr>
          <w:p w14:paraId="0A4F889E" w14:textId="77777777" w:rsidR="00EE7F09" w:rsidRPr="003B35D2" w:rsidRDefault="00EE7F09" w:rsidP="00EE7F09">
            <w:pPr>
              <w:spacing w:after="120"/>
              <w:jc w:val="right"/>
              <w:rPr>
                <w:rFonts w:asciiTheme="minorHAnsi" w:hAnsiTheme="minorHAnsi" w:cstheme="minorHAnsi"/>
                <w:i/>
                <w:sz w:val="16"/>
                <w:szCs w:val="16"/>
                <w:lang w:eastAsia="en-AU"/>
              </w:rPr>
            </w:pPr>
          </w:p>
        </w:tc>
        <w:tc>
          <w:tcPr>
            <w:tcW w:w="567" w:type="dxa"/>
            <w:tcBorders>
              <w:top w:val="nil"/>
              <w:left w:val="nil"/>
              <w:bottom w:val="nil"/>
              <w:right w:val="nil"/>
            </w:tcBorders>
          </w:tcPr>
          <w:p w14:paraId="2838D5B0" w14:textId="77777777" w:rsidR="00EE7F09" w:rsidRPr="003B35D2" w:rsidRDefault="00EE7F09" w:rsidP="00EE7F09">
            <w:pPr>
              <w:spacing w:after="120"/>
              <w:jc w:val="right"/>
              <w:rPr>
                <w:rFonts w:asciiTheme="minorHAnsi" w:hAnsiTheme="minorHAnsi" w:cstheme="minorHAnsi"/>
                <w:i/>
                <w:sz w:val="16"/>
                <w:szCs w:val="16"/>
                <w:lang w:eastAsia="en-AU"/>
              </w:rPr>
            </w:pPr>
          </w:p>
        </w:tc>
      </w:tr>
      <w:tr w:rsidR="00EE7F09" w14:paraId="563E2005" w14:textId="77777777" w:rsidTr="00EE7F09">
        <w:tc>
          <w:tcPr>
            <w:tcW w:w="1985" w:type="dxa"/>
            <w:tcBorders>
              <w:top w:val="nil"/>
              <w:left w:val="nil"/>
              <w:bottom w:val="nil"/>
              <w:right w:val="nil"/>
            </w:tcBorders>
            <w:hideMark/>
          </w:tcPr>
          <w:p w14:paraId="3EE0600D" w14:textId="77777777" w:rsidR="00EE7F09" w:rsidRPr="003B35D2" w:rsidRDefault="00EE7F09" w:rsidP="00EE7F09">
            <w:pPr>
              <w:spacing w:after="120"/>
              <w:ind w:left="176"/>
              <w:rPr>
                <w:rFonts w:asciiTheme="minorHAnsi" w:hAnsiTheme="minorHAnsi" w:cstheme="minorHAnsi"/>
                <w:i/>
                <w:sz w:val="16"/>
                <w:szCs w:val="16"/>
                <w:lang w:eastAsia="en-AU"/>
              </w:rPr>
            </w:pPr>
            <w:r w:rsidRPr="003B35D2">
              <w:rPr>
                <w:rFonts w:asciiTheme="minorHAnsi" w:hAnsiTheme="minorHAnsi" w:cstheme="minorHAnsi"/>
                <w:sz w:val="16"/>
                <w:szCs w:val="16"/>
                <w:lang w:eastAsia="en-AU"/>
              </w:rPr>
              <w:t>common carp</w:t>
            </w:r>
          </w:p>
        </w:tc>
        <w:tc>
          <w:tcPr>
            <w:tcW w:w="567" w:type="dxa"/>
            <w:tcBorders>
              <w:top w:val="nil"/>
              <w:left w:val="nil"/>
              <w:bottom w:val="nil"/>
              <w:right w:val="nil"/>
            </w:tcBorders>
            <w:hideMark/>
          </w:tcPr>
          <w:p w14:paraId="40D1BAA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167</w:t>
            </w:r>
          </w:p>
        </w:tc>
        <w:tc>
          <w:tcPr>
            <w:tcW w:w="567" w:type="dxa"/>
            <w:tcBorders>
              <w:top w:val="nil"/>
              <w:left w:val="nil"/>
              <w:bottom w:val="nil"/>
              <w:right w:val="nil"/>
            </w:tcBorders>
            <w:hideMark/>
          </w:tcPr>
          <w:p w14:paraId="48F249A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12011D6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FD1008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167</w:t>
            </w:r>
          </w:p>
        </w:tc>
        <w:tc>
          <w:tcPr>
            <w:tcW w:w="567" w:type="dxa"/>
            <w:tcBorders>
              <w:top w:val="nil"/>
              <w:left w:val="nil"/>
              <w:bottom w:val="nil"/>
              <w:right w:val="nil"/>
            </w:tcBorders>
            <w:hideMark/>
          </w:tcPr>
          <w:p w14:paraId="200E49A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176</w:t>
            </w:r>
          </w:p>
        </w:tc>
        <w:tc>
          <w:tcPr>
            <w:tcW w:w="567" w:type="dxa"/>
            <w:tcBorders>
              <w:top w:val="nil"/>
              <w:left w:val="nil"/>
              <w:bottom w:val="nil"/>
              <w:right w:val="nil"/>
            </w:tcBorders>
            <w:hideMark/>
          </w:tcPr>
          <w:p w14:paraId="5F2B98B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268EFF5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6E6C2C3"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176</w:t>
            </w:r>
          </w:p>
        </w:tc>
        <w:tc>
          <w:tcPr>
            <w:tcW w:w="567" w:type="dxa"/>
            <w:tcBorders>
              <w:top w:val="nil"/>
              <w:left w:val="nil"/>
              <w:bottom w:val="nil"/>
              <w:right w:val="nil"/>
            </w:tcBorders>
            <w:hideMark/>
          </w:tcPr>
          <w:p w14:paraId="6DCA8CF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735</w:t>
            </w:r>
          </w:p>
        </w:tc>
        <w:tc>
          <w:tcPr>
            <w:tcW w:w="567" w:type="dxa"/>
            <w:tcBorders>
              <w:top w:val="nil"/>
              <w:left w:val="nil"/>
              <w:bottom w:val="nil"/>
              <w:right w:val="nil"/>
            </w:tcBorders>
            <w:hideMark/>
          </w:tcPr>
          <w:p w14:paraId="0E8F405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40</w:t>
            </w:r>
          </w:p>
        </w:tc>
        <w:tc>
          <w:tcPr>
            <w:tcW w:w="425" w:type="dxa"/>
            <w:tcBorders>
              <w:top w:val="nil"/>
              <w:left w:val="nil"/>
              <w:bottom w:val="nil"/>
              <w:right w:val="nil"/>
            </w:tcBorders>
            <w:hideMark/>
          </w:tcPr>
          <w:p w14:paraId="28A51F3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w:t>
            </w:r>
          </w:p>
        </w:tc>
        <w:tc>
          <w:tcPr>
            <w:tcW w:w="567" w:type="dxa"/>
            <w:tcBorders>
              <w:top w:val="nil"/>
              <w:left w:val="nil"/>
              <w:bottom w:val="nil"/>
              <w:right w:val="nil"/>
            </w:tcBorders>
            <w:hideMark/>
          </w:tcPr>
          <w:p w14:paraId="61AAEB8D"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778</w:t>
            </w:r>
          </w:p>
        </w:tc>
        <w:tc>
          <w:tcPr>
            <w:tcW w:w="567" w:type="dxa"/>
            <w:tcBorders>
              <w:top w:val="nil"/>
              <w:left w:val="nil"/>
              <w:bottom w:val="nil"/>
              <w:right w:val="nil"/>
            </w:tcBorders>
            <w:hideMark/>
          </w:tcPr>
          <w:p w14:paraId="751B5C0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251</w:t>
            </w:r>
          </w:p>
        </w:tc>
        <w:tc>
          <w:tcPr>
            <w:tcW w:w="567" w:type="dxa"/>
            <w:tcBorders>
              <w:top w:val="nil"/>
              <w:left w:val="nil"/>
              <w:bottom w:val="nil"/>
              <w:right w:val="nil"/>
            </w:tcBorders>
            <w:hideMark/>
          </w:tcPr>
          <w:p w14:paraId="35A5A61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425" w:type="dxa"/>
            <w:tcBorders>
              <w:top w:val="nil"/>
              <w:left w:val="nil"/>
              <w:bottom w:val="nil"/>
              <w:right w:val="nil"/>
            </w:tcBorders>
            <w:hideMark/>
          </w:tcPr>
          <w:p w14:paraId="2EE2D49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4F02A32F"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252</w:t>
            </w:r>
          </w:p>
        </w:tc>
        <w:tc>
          <w:tcPr>
            <w:tcW w:w="567" w:type="dxa"/>
            <w:tcBorders>
              <w:top w:val="nil"/>
              <w:left w:val="nil"/>
              <w:bottom w:val="nil"/>
              <w:right w:val="nil"/>
            </w:tcBorders>
            <w:hideMark/>
          </w:tcPr>
          <w:p w14:paraId="333B255B"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160</w:t>
            </w:r>
          </w:p>
        </w:tc>
        <w:tc>
          <w:tcPr>
            <w:tcW w:w="567" w:type="dxa"/>
            <w:tcBorders>
              <w:top w:val="nil"/>
              <w:left w:val="nil"/>
              <w:bottom w:val="nil"/>
              <w:right w:val="nil"/>
            </w:tcBorders>
            <w:hideMark/>
          </w:tcPr>
          <w:p w14:paraId="7F14E16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425" w:type="dxa"/>
            <w:tcBorders>
              <w:top w:val="nil"/>
              <w:left w:val="nil"/>
              <w:bottom w:val="nil"/>
              <w:right w:val="nil"/>
            </w:tcBorders>
            <w:hideMark/>
          </w:tcPr>
          <w:p w14:paraId="5F1757D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D9110CC"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161</w:t>
            </w:r>
          </w:p>
        </w:tc>
        <w:tc>
          <w:tcPr>
            <w:tcW w:w="567" w:type="dxa"/>
            <w:tcBorders>
              <w:top w:val="nil"/>
              <w:left w:val="nil"/>
              <w:bottom w:val="nil"/>
              <w:right w:val="nil"/>
            </w:tcBorders>
            <w:hideMark/>
          </w:tcPr>
          <w:p w14:paraId="613E1F1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89</w:t>
            </w:r>
          </w:p>
        </w:tc>
        <w:tc>
          <w:tcPr>
            <w:tcW w:w="567" w:type="dxa"/>
            <w:tcBorders>
              <w:top w:val="nil"/>
              <w:left w:val="nil"/>
              <w:bottom w:val="nil"/>
              <w:right w:val="nil"/>
            </w:tcBorders>
            <w:hideMark/>
          </w:tcPr>
          <w:p w14:paraId="273BFCB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435BC5C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2BEA14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89</w:t>
            </w:r>
          </w:p>
        </w:tc>
      </w:tr>
      <w:tr w:rsidR="00EE7F09" w14:paraId="3C8126E7" w14:textId="77777777" w:rsidTr="00EE7F09">
        <w:tc>
          <w:tcPr>
            <w:tcW w:w="1985" w:type="dxa"/>
            <w:tcBorders>
              <w:top w:val="nil"/>
              <w:left w:val="nil"/>
              <w:bottom w:val="nil"/>
              <w:right w:val="nil"/>
            </w:tcBorders>
            <w:hideMark/>
          </w:tcPr>
          <w:p w14:paraId="285F49FE"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Eastern gambusia</w:t>
            </w:r>
          </w:p>
        </w:tc>
        <w:tc>
          <w:tcPr>
            <w:tcW w:w="567" w:type="dxa"/>
            <w:tcBorders>
              <w:top w:val="nil"/>
              <w:left w:val="nil"/>
              <w:bottom w:val="nil"/>
              <w:right w:val="nil"/>
            </w:tcBorders>
            <w:hideMark/>
          </w:tcPr>
          <w:p w14:paraId="6AA6578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18</w:t>
            </w:r>
          </w:p>
        </w:tc>
        <w:tc>
          <w:tcPr>
            <w:tcW w:w="567" w:type="dxa"/>
            <w:tcBorders>
              <w:top w:val="nil"/>
              <w:left w:val="nil"/>
              <w:bottom w:val="nil"/>
              <w:right w:val="nil"/>
            </w:tcBorders>
            <w:hideMark/>
          </w:tcPr>
          <w:p w14:paraId="0A7805F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175</w:t>
            </w:r>
          </w:p>
        </w:tc>
        <w:tc>
          <w:tcPr>
            <w:tcW w:w="425" w:type="dxa"/>
            <w:tcBorders>
              <w:top w:val="nil"/>
              <w:left w:val="nil"/>
              <w:bottom w:val="nil"/>
              <w:right w:val="nil"/>
            </w:tcBorders>
            <w:hideMark/>
          </w:tcPr>
          <w:p w14:paraId="3988E81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43C5F4B"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193</w:t>
            </w:r>
          </w:p>
        </w:tc>
        <w:tc>
          <w:tcPr>
            <w:tcW w:w="567" w:type="dxa"/>
            <w:tcBorders>
              <w:top w:val="nil"/>
              <w:left w:val="nil"/>
              <w:bottom w:val="nil"/>
              <w:right w:val="nil"/>
            </w:tcBorders>
            <w:hideMark/>
          </w:tcPr>
          <w:p w14:paraId="2B20AF2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36</w:t>
            </w:r>
          </w:p>
        </w:tc>
        <w:tc>
          <w:tcPr>
            <w:tcW w:w="567" w:type="dxa"/>
            <w:tcBorders>
              <w:top w:val="nil"/>
              <w:left w:val="nil"/>
              <w:bottom w:val="nil"/>
              <w:right w:val="nil"/>
            </w:tcBorders>
            <w:hideMark/>
          </w:tcPr>
          <w:p w14:paraId="1FEBCB5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366</w:t>
            </w:r>
          </w:p>
        </w:tc>
        <w:tc>
          <w:tcPr>
            <w:tcW w:w="426" w:type="dxa"/>
            <w:tcBorders>
              <w:top w:val="nil"/>
              <w:left w:val="nil"/>
              <w:bottom w:val="nil"/>
              <w:right w:val="nil"/>
            </w:tcBorders>
            <w:hideMark/>
          </w:tcPr>
          <w:p w14:paraId="33E4016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w:t>
            </w:r>
          </w:p>
        </w:tc>
        <w:tc>
          <w:tcPr>
            <w:tcW w:w="567" w:type="dxa"/>
            <w:tcBorders>
              <w:top w:val="nil"/>
              <w:left w:val="nil"/>
              <w:bottom w:val="nil"/>
              <w:right w:val="nil"/>
            </w:tcBorders>
            <w:hideMark/>
          </w:tcPr>
          <w:p w14:paraId="4D177702"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403</w:t>
            </w:r>
          </w:p>
        </w:tc>
        <w:tc>
          <w:tcPr>
            <w:tcW w:w="567" w:type="dxa"/>
            <w:tcBorders>
              <w:top w:val="nil"/>
              <w:left w:val="nil"/>
              <w:bottom w:val="nil"/>
              <w:right w:val="nil"/>
            </w:tcBorders>
            <w:hideMark/>
          </w:tcPr>
          <w:p w14:paraId="183D5B59"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31</w:t>
            </w:r>
          </w:p>
        </w:tc>
        <w:tc>
          <w:tcPr>
            <w:tcW w:w="567" w:type="dxa"/>
            <w:tcBorders>
              <w:top w:val="nil"/>
              <w:left w:val="nil"/>
              <w:bottom w:val="nil"/>
              <w:right w:val="nil"/>
            </w:tcBorders>
            <w:hideMark/>
          </w:tcPr>
          <w:p w14:paraId="04E6341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125</w:t>
            </w:r>
          </w:p>
        </w:tc>
        <w:tc>
          <w:tcPr>
            <w:tcW w:w="425" w:type="dxa"/>
            <w:tcBorders>
              <w:top w:val="nil"/>
              <w:left w:val="nil"/>
              <w:bottom w:val="nil"/>
              <w:right w:val="nil"/>
            </w:tcBorders>
            <w:hideMark/>
          </w:tcPr>
          <w:p w14:paraId="0E68DFC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8</w:t>
            </w:r>
          </w:p>
        </w:tc>
        <w:tc>
          <w:tcPr>
            <w:tcW w:w="567" w:type="dxa"/>
            <w:tcBorders>
              <w:top w:val="nil"/>
              <w:left w:val="nil"/>
              <w:bottom w:val="nil"/>
              <w:right w:val="nil"/>
            </w:tcBorders>
            <w:hideMark/>
          </w:tcPr>
          <w:p w14:paraId="685E6A9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164</w:t>
            </w:r>
          </w:p>
        </w:tc>
        <w:tc>
          <w:tcPr>
            <w:tcW w:w="567" w:type="dxa"/>
            <w:tcBorders>
              <w:top w:val="nil"/>
              <w:left w:val="nil"/>
              <w:bottom w:val="nil"/>
              <w:right w:val="nil"/>
            </w:tcBorders>
            <w:hideMark/>
          </w:tcPr>
          <w:p w14:paraId="092C797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w:t>
            </w:r>
          </w:p>
        </w:tc>
        <w:tc>
          <w:tcPr>
            <w:tcW w:w="567" w:type="dxa"/>
            <w:tcBorders>
              <w:top w:val="nil"/>
              <w:left w:val="nil"/>
              <w:bottom w:val="nil"/>
              <w:right w:val="nil"/>
            </w:tcBorders>
            <w:hideMark/>
          </w:tcPr>
          <w:p w14:paraId="0A3C130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53</w:t>
            </w:r>
          </w:p>
        </w:tc>
        <w:tc>
          <w:tcPr>
            <w:tcW w:w="425" w:type="dxa"/>
            <w:tcBorders>
              <w:top w:val="nil"/>
              <w:left w:val="nil"/>
              <w:bottom w:val="nil"/>
              <w:right w:val="nil"/>
            </w:tcBorders>
            <w:hideMark/>
          </w:tcPr>
          <w:p w14:paraId="3DB2129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737FDCAE"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55</w:t>
            </w:r>
          </w:p>
        </w:tc>
        <w:tc>
          <w:tcPr>
            <w:tcW w:w="567" w:type="dxa"/>
            <w:tcBorders>
              <w:top w:val="nil"/>
              <w:left w:val="nil"/>
              <w:bottom w:val="nil"/>
              <w:right w:val="nil"/>
            </w:tcBorders>
            <w:hideMark/>
          </w:tcPr>
          <w:p w14:paraId="0B41F766"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w:t>
            </w:r>
          </w:p>
        </w:tc>
        <w:tc>
          <w:tcPr>
            <w:tcW w:w="567" w:type="dxa"/>
            <w:tcBorders>
              <w:top w:val="nil"/>
              <w:left w:val="nil"/>
              <w:bottom w:val="nil"/>
              <w:right w:val="nil"/>
            </w:tcBorders>
            <w:hideMark/>
          </w:tcPr>
          <w:p w14:paraId="7CBCC504"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10</w:t>
            </w:r>
          </w:p>
        </w:tc>
        <w:tc>
          <w:tcPr>
            <w:tcW w:w="425" w:type="dxa"/>
            <w:tcBorders>
              <w:top w:val="nil"/>
              <w:left w:val="nil"/>
              <w:bottom w:val="nil"/>
              <w:right w:val="nil"/>
            </w:tcBorders>
            <w:hideMark/>
          </w:tcPr>
          <w:p w14:paraId="70DF16C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397A8320"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12</w:t>
            </w:r>
          </w:p>
        </w:tc>
        <w:tc>
          <w:tcPr>
            <w:tcW w:w="567" w:type="dxa"/>
            <w:tcBorders>
              <w:top w:val="nil"/>
              <w:left w:val="nil"/>
              <w:bottom w:val="nil"/>
              <w:right w:val="nil"/>
            </w:tcBorders>
            <w:hideMark/>
          </w:tcPr>
          <w:p w14:paraId="2C053592"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EE4FECC"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120FD35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42C8F46"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0</w:t>
            </w:r>
          </w:p>
        </w:tc>
      </w:tr>
      <w:tr w:rsidR="00EE7F09" w14:paraId="6FFEC667" w14:textId="77777777" w:rsidTr="00EE7F09">
        <w:tc>
          <w:tcPr>
            <w:tcW w:w="1985" w:type="dxa"/>
            <w:tcBorders>
              <w:top w:val="nil"/>
              <w:left w:val="nil"/>
              <w:bottom w:val="nil"/>
              <w:right w:val="nil"/>
            </w:tcBorders>
            <w:hideMark/>
          </w:tcPr>
          <w:p w14:paraId="41BE47C8" w14:textId="77777777" w:rsidR="00EE7F09" w:rsidRPr="003B35D2" w:rsidRDefault="00EE7F09" w:rsidP="00EE7F09">
            <w:pPr>
              <w:spacing w:after="120"/>
              <w:ind w:left="176"/>
              <w:rPr>
                <w:rFonts w:asciiTheme="minorHAnsi" w:hAnsiTheme="minorHAnsi" w:cstheme="minorHAnsi"/>
                <w:sz w:val="16"/>
                <w:szCs w:val="16"/>
                <w:lang w:eastAsia="en-AU"/>
              </w:rPr>
            </w:pPr>
            <w:r w:rsidRPr="003B35D2">
              <w:rPr>
                <w:rFonts w:asciiTheme="minorHAnsi" w:hAnsiTheme="minorHAnsi" w:cstheme="minorHAnsi"/>
                <w:sz w:val="16"/>
                <w:szCs w:val="16"/>
                <w:lang w:eastAsia="en-AU"/>
              </w:rPr>
              <w:t>goldfish</w:t>
            </w:r>
          </w:p>
        </w:tc>
        <w:tc>
          <w:tcPr>
            <w:tcW w:w="567" w:type="dxa"/>
            <w:tcBorders>
              <w:top w:val="nil"/>
              <w:left w:val="nil"/>
              <w:bottom w:val="nil"/>
              <w:right w:val="nil"/>
            </w:tcBorders>
            <w:hideMark/>
          </w:tcPr>
          <w:p w14:paraId="3BD491A8"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21</w:t>
            </w:r>
          </w:p>
        </w:tc>
        <w:tc>
          <w:tcPr>
            <w:tcW w:w="567" w:type="dxa"/>
            <w:tcBorders>
              <w:top w:val="nil"/>
              <w:left w:val="nil"/>
              <w:bottom w:val="nil"/>
              <w:right w:val="nil"/>
            </w:tcBorders>
            <w:hideMark/>
          </w:tcPr>
          <w:p w14:paraId="64E4B73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35569DDD"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56F3070B"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21</w:t>
            </w:r>
          </w:p>
        </w:tc>
        <w:tc>
          <w:tcPr>
            <w:tcW w:w="567" w:type="dxa"/>
            <w:tcBorders>
              <w:top w:val="nil"/>
              <w:left w:val="nil"/>
              <w:bottom w:val="nil"/>
              <w:right w:val="nil"/>
            </w:tcBorders>
            <w:hideMark/>
          </w:tcPr>
          <w:p w14:paraId="4462101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38</w:t>
            </w:r>
          </w:p>
        </w:tc>
        <w:tc>
          <w:tcPr>
            <w:tcW w:w="567" w:type="dxa"/>
            <w:tcBorders>
              <w:top w:val="nil"/>
              <w:left w:val="nil"/>
              <w:bottom w:val="nil"/>
              <w:right w:val="nil"/>
            </w:tcBorders>
            <w:hideMark/>
          </w:tcPr>
          <w:p w14:paraId="010FBC5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53BA013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21CE8FFA"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38</w:t>
            </w:r>
          </w:p>
        </w:tc>
        <w:tc>
          <w:tcPr>
            <w:tcW w:w="567" w:type="dxa"/>
            <w:tcBorders>
              <w:top w:val="nil"/>
              <w:left w:val="nil"/>
              <w:bottom w:val="nil"/>
              <w:right w:val="nil"/>
            </w:tcBorders>
            <w:hideMark/>
          </w:tcPr>
          <w:p w14:paraId="0C7630B5"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73</w:t>
            </w:r>
          </w:p>
        </w:tc>
        <w:tc>
          <w:tcPr>
            <w:tcW w:w="567" w:type="dxa"/>
            <w:tcBorders>
              <w:top w:val="nil"/>
              <w:left w:val="nil"/>
              <w:bottom w:val="nil"/>
              <w:right w:val="nil"/>
            </w:tcBorders>
            <w:hideMark/>
          </w:tcPr>
          <w:p w14:paraId="2D373CC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2</w:t>
            </w:r>
          </w:p>
        </w:tc>
        <w:tc>
          <w:tcPr>
            <w:tcW w:w="425" w:type="dxa"/>
            <w:tcBorders>
              <w:top w:val="nil"/>
              <w:left w:val="nil"/>
              <w:bottom w:val="nil"/>
              <w:right w:val="nil"/>
            </w:tcBorders>
            <w:hideMark/>
          </w:tcPr>
          <w:p w14:paraId="3B23CB3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6738529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75</w:t>
            </w:r>
          </w:p>
        </w:tc>
        <w:tc>
          <w:tcPr>
            <w:tcW w:w="567" w:type="dxa"/>
            <w:tcBorders>
              <w:top w:val="nil"/>
              <w:left w:val="nil"/>
              <w:bottom w:val="nil"/>
              <w:right w:val="nil"/>
            </w:tcBorders>
            <w:hideMark/>
          </w:tcPr>
          <w:p w14:paraId="76C5B25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15</w:t>
            </w:r>
          </w:p>
        </w:tc>
        <w:tc>
          <w:tcPr>
            <w:tcW w:w="567" w:type="dxa"/>
            <w:tcBorders>
              <w:top w:val="nil"/>
              <w:left w:val="nil"/>
              <w:bottom w:val="nil"/>
              <w:right w:val="nil"/>
            </w:tcBorders>
            <w:hideMark/>
          </w:tcPr>
          <w:p w14:paraId="19569523"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29A40CC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589DB99"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15</w:t>
            </w:r>
          </w:p>
        </w:tc>
        <w:tc>
          <w:tcPr>
            <w:tcW w:w="567" w:type="dxa"/>
            <w:tcBorders>
              <w:top w:val="nil"/>
              <w:left w:val="nil"/>
              <w:bottom w:val="nil"/>
              <w:right w:val="nil"/>
            </w:tcBorders>
            <w:hideMark/>
          </w:tcPr>
          <w:p w14:paraId="64BA38BF"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44</w:t>
            </w:r>
          </w:p>
        </w:tc>
        <w:tc>
          <w:tcPr>
            <w:tcW w:w="567" w:type="dxa"/>
            <w:tcBorders>
              <w:top w:val="nil"/>
              <w:left w:val="nil"/>
              <w:bottom w:val="nil"/>
              <w:right w:val="nil"/>
            </w:tcBorders>
            <w:hideMark/>
          </w:tcPr>
          <w:p w14:paraId="571FF21E"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5" w:type="dxa"/>
            <w:tcBorders>
              <w:top w:val="nil"/>
              <w:left w:val="nil"/>
              <w:bottom w:val="nil"/>
              <w:right w:val="nil"/>
            </w:tcBorders>
            <w:hideMark/>
          </w:tcPr>
          <w:p w14:paraId="7F9856F7"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124D3B6B"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44</w:t>
            </w:r>
          </w:p>
        </w:tc>
        <w:tc>
          <w:tcPr>
            <w:tcW w:w="567" w:type="dxa"/>
            <w:tcBorders>
              <w:top w:val="nil"/>
              <w:left w:val="nil"/>
              <w:bottom w:val="nil"/>
              <w:right w:val="nil"/>
            </w:tcBorders>
            <w:hideMark/>
          </w:tcPr>
          <w:p w14:paraId="37ED2AC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3</w:t>
            </w:r>
          </w:p>
        </w:tc>
        <w:tc>
          <w:tcPr>
            <w:tcW w:w="567" w:type="dxa"/>
            <w:tcBorders>
              <w:top w:val="nil"/>
              <w:left w:val="nil"/>
              <w:bottom w:val="nil"/>
              <w:right w:val="nil"/>
            </w:tcBorders>
            <w:hideMark/>
          </w:tcPr>
          <w:p w14:paraId="208DC80A"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426" w:type="dxa"/>
            <w:tcBorders>
              <w:top w:val="nil"/>
              <w:left w:val="nil"/>
              <w:bottom w:val="nil"/>
              <w:right w:val="nil"/>
            </w:tcBorders>
            <w:hideMark/>
          </w:tcPr>
          <w:p w14:paraId="7A3FFBA0" w14:textId="77777777" w:rsidR="00EE7F09" w:rsidRPr="003B35D2" w:rsidRDefault="00EE7F09" w:rsidP="00EE7F09">
            <w:pPr>
              <w:spacing w:after="120"/>
              <w:jc w:val="right"/>
              <w:rPr>
                <w:rFonts w:asciiTheme="minorHAnsi" w:hAnsiTheme="minorHAnsi" w:cstheme="minorHAnsi"/>
                <w:sz w:val="16"/>
                <w:szCs w:val="16"/>
                <w:lang w:eastAsia="en-AU"/>
              </w:rPr>
            </w:pPr>
            <w:r w:rsidRPr="003B35D2">
              <w:rPr>
                <w:rFonts w:asciiTheme="minorHAnsi" w:hAnsiTheme="minorHAnsi" w:cstheme="minorHAnsi"/>
                <w:sz w:val="16"/>
                <w:szCs w:val="16"/>
                <w:lang w:eastAsia="en-AU"/>
              </w:rPr>
              <w:t>-</w:t>
            </w:r>
          </w:p>
        </w:tc>
        <w:tc>
          <w:tcPr>
            <w:tcW w:w="567" w:type="dxa"/>
            <w:tcBorders>
              <w:top w:val="nil"/>
              <w:left w:val="nil"/>
              <w:bottom w:val="nil"/>
              <w:right w:val="nil"/>
            </w:tcBorders>
            <w:hideMark/>
          </w:tcPr>
          <w:p w14:paraId="03A51AB8" w14:textId="77777777" w:rsidR="00EE7F09" w:rsidRPr="003B35D2" w:rsidRDefault="00EE7F09" w:rsidP="00EE7F09">
            <w:pPr>
              <w:spacing w:after="120"/>
              <w:jc w:val="right"/>
              <w:rPr>
                <w:rFonts w:asciiTheme="minorHAnsi" w:hAnsiTheme="minorHAnsi" w:cstheme="minorHAnsi"/>
                <w:b/>
                <w:sz w:val="16"/>
                <w:szCs w:val="16"/>
                <w:lang w:eastAsia="en-AU"/>
              </w:rPr>
            </w:pPr>
            <w:r w:rsidRPr="003B35D2">
              <w:rPr>
                <w:rFonts w:asciiTheme="minorHAnsi" w:hAnsiTheme="minorHAnsi" w:cstheme="minorHAnsi"/>
                <w:b/>
                <w:sz w:val="16"/>
                <w:szCs w:val="16"/>
                <w:lang w:eastAsia="en-AU"/>
              </w:rPr>
              <w:t>3</w:t>
            </w:r>
          </w:p>
        </w:tc>
      </w:tr>
      <w:tr w:rsidR="00EE7F09" w14:paraId="60039ABD" w14:textId="77777777" w:rsidTr="00EE7F09">
        <w:trPr>
          <w:trHeight w:hRule="exact" w:val="113"/>
        </w:trPr>
        <w:tc>
          <w:tcPr>
            <w:tcW w:w="1985" w:type="dxa"/>
            <w:tcBorders>
              <w:top w:val="nil"/>
              <w:left w:val="nil"/>
              <w:bottom w:val="single" w:sz="4" w:space="0" w:color="auto"/>
              <w:right w:val="nil"/>
            </w:tcBorders>
          </w:tcPr>
          <w:p w14:paraId="1C0E5B26" w14:textId="77777777" w:rsidR="00EE7F09" w:rsidRDefault="00EE7F09" w:rsidP="00EE7F09">
            <w:pPr>
              <w:ind w:left="176"/>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6DCB92D9"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35CD8B10" w14:textId="77777777" w:rsidR="00EE7F09" w:rsidRDefault="00EE7F09" w:rsidP="00EE7F09">
            <w:pPr>
              <w:jc w:val="right"/>
              <w:rPr>
                <w:rFonts w:asciiTheme="minorHAnsi" w:hAnsiTheme="minorHAnsi" w:cstheme="minorHAnsi"/>
                <w:sz w:val="16"/>
                <w:szCs w:val="16"/>
                <w:lang w:eastAsia="en-AU"/>
              </w:rPr>
            </w:pPr>
          </w:p>
        </w:tc>
        <w:tc>
          <w:tcPr>
            <w:tcW w:w="425" w:type="dxa"/>
            <w:tcBorders>
              <w:top w:val="nil"/>
              <w:left w:val="nil"/>
              <w:bottom w:val="single" w:sz="4" w:space="0" w:color="auto"/>
              <w:right w:val="nil"/>
            </w:tcBorders>
          </w:tcPr>
          <w:p w14:paraId="295CC4F2"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66FC5379"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791B47CF"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269EBDE5" w14:textId="77777777" w:rsidR="00EE7F09" w:rsidRDefault="00EE7F09" w:rsidP="00EE7F09">
            <w:pPr>
              <w:jc w:val="right"/>
              <w:rPr>
                <w:rFonts w:asciiTheme="minorHAnsi" w:hAnsiTheme="minorHAnsi" w:cstheme="minorHAnsi"/>
                <w:sz w:val="16"/>
                <w:szCs w:val="16"/>
                <w:lang w:eastAsia="en-AU"/>
              </w:rPr>
            </w:pPr>
          </w:p>
        </w:tc>
        <w:tc>
          <w:tcPr>
            <w:tcW w:w="426" w:type="dxa"/>
            <w:tcBorders>
              <w:top w:val="nil"/>
              <w:left w:val="nil"/>
              <w:bottom w:val="single" w:sz="4" w:space="0" w:color="auto"/>
              <w:right w:val="nil"/>
            </w:tcBorders>
          </w:tcPr>
          <w:p w14:paraId="32E7D109"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024B0DC1"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145B6388"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110617A7" w14:textId="77777777" w:rsidR="00EE7F09" w:rsidRDefault="00EE7F09" w:rsidP="00EE7F09">
            <w:pPr>
              <w:jc w:val="right"/>
              <w:rPr>
                <w:rFonts w:asciiTheme="minorHAnsi" w:hAnsiTheme="minorHAnsi" w:cstheme="minorHAnsi"/>
                <w:sz w:val="16"/>
                <w:szCs w:val="16"/>
                <w:lang w:eastAsia="en-AU"/>
              </w:rPr>
            </w:pPr>
          </w:p>
        </w:tc>
        <w:tc>
          <w:tcPr>
            <w:tcW w:w="425" w:type="dxa"/>
            <w:tcBorders>
              <w:top w:val="nil"/>
              <w:left w:val="nil"/>
              <w:bottom w:val="single" w:sz="4" w:space="0" w:color="auto"/>
              <w:right w:val="nil"/>
            </w:tcBorders>
          </w:tcPr>
          <w:p w14:paraId="31C61179" w14:textId="77777777" w:rsidR="00EE7F09" w:rsidRDefault="00EE7F09" w:rsidP="00EE7F09">
            <w:pPr>
              <w:jc w:val="right"/>
              <w:rPr>
                <w:rFonts w:asciiTheme="minorHAnsi" w:hAnsiTheme="minorHAnsi" w:cstheme="minorHAnsi"/>
                <w:sz w:val="16"/>
                <w:szCs w:val="16"/>
                <w:lang w:eastAsia="en-AU"/>
              </w:rPr>
            </w:pPr>
          </w:p>
        </w:tc>
        <w:tc>
          <w:tcPr>
            <w:tcW w:w="567" w:type="dxa"/>
            <w:tcBorders>
              <w:top w:val="nil"/>
              <w:left w:val="nil"/>
              <w:bottom w:val="single" w:sz="4" w:space="0" w:color="auto"/>
              <w:right w:val="nil"/>
            </w:tcBorders>
          </w:tcPr>
          <w:p w14:paraId="16992474"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0C183349"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17743364" w14:textId="77777777" w:rsidR="00EE7F09" w:rsidRDefault="00EE7F09" w:rsidP="00EE7F09">
            <w:pPr>
              <w:jc w:val="right"/>
              <w:rPr>
                <w:rFonts w:asciiTheme="minorHAnsi" w:hAnsiTheme="minorHAnsi" w:cstheme="minorHAnsi"/>
                <w:b/>
                <w:sz w:val="16"/>
                <w:szCs w:val="16"/>
                <w:lang w:eastAsia="en-AU"/>
              </w:rPr>
            </w:pPr>
          </w:p>
        </w:tc>
        <w:tc>
          <w:tcPr>
            <w:tcW w:w="425" w:type="dxa"/>
            <w:tcBorders>
              <w:top w:val="nil"/>
              <w:left w:val="nil"/>
              <w:bottom w:val="single" w:sz="4" w:space="0" w:color="auto"/>
              <w:right w:val="nil"/>
            </w:tcBorders>
          </w:tcPr>
          <w:p w14:paraId="5FE43BD3"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51D7E5D8"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6299614A"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31363B36" w14:textId="77777777" w:rsidR="00EE7F09" w:rsidRDefault="00EE7F09" w:rsidP="00EE7F09">
            <w:pPr>
              <w:jc w:val="right"/>
              <w:rPr>
                <w:rFonts w:asciiTheme="minorHAnsi" w:hAnsiTheme="minorHAnsi" w:cstheme="minorHAnsi"/>
                <w:b/>
                <w:sz w:val="16"/>
                <w:szCs w:val="16"/>
                <w:lang w:eastAsia="en-AU"/>
              </w:rPr>
            </w:pPr>
          </w:p>
        </w:tc>
        <w:tc>
          <w:tcPr>
            <w:tcW w:w="425" w:type="dxa"/>
            <w:tcBorders>
              <w:top w:val="nil"/>
              <w:left w:val="nil"/>
              <w:bottom w:val="single" w:sz="4" w:space="0" w:color="auto"/>
              <w:right w:val="nil"/>
            </w:tcBorders>
          </w:tcPr>
          <w:p w14:paraId="088A4C9B"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3CA97C73"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4D180CB6"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2EAC8027" w14:textId="77777777" w:rsidR="00EE7F09" w:rsidRDefault="00EE7F09" w:rsidP="00EE7F09">
            <w:pPr>
              <w:jc w:val="right"/>
              <w:rPr>
                <w:rFonts w:asciiTheme="minorHAnsi" w:hAnsiTheme="minorHAnsi" w:cstheme="minorHAnsi"/>
                <w:b/>
                <w:sz w:val="16"/>
                <w:szCs w:val="16"/>
                <w:lang w:eastAsia="en-AU"/>
              </w:rPr>
            </w:pPr>
          </w:p>
        </w:tc>
        <w:tc>
          <w:tcPr>
            <w:tcW w:w="426" w:type="dxa"/>
            <w:tcBorders>
              <w:top w:val="nil"/>
              <w:left w:val="nil"/>
              <w:bottom w:val="single" w:sz="4" w:space="0" w:color="auto"/>
              <w:right w:val="nil"/>
            </w:tcBorders>
          </w:tcPr>
          <w:p w14:paraId="2ABD306F" w14:textId="77777777" w:rsidR="00EE7F09" w:rsidRDefault="00EE7F09" w:rsidP="00EE7F09">
            <w:pPr>
              <w:jc w:val="right"/>
              <w:rPr>
                <w:rFonts w:asciiTheme="minorHAnsi" w:hAnsiTheme="minorHAnsi" w:cstheme="minorHAnsi"/>
                <w:b/>
                <w:sz w:val="16"/>
                <w:szCs w:val="16"/>
                <w:lang w:eastAsia="en-AU"/>
              </w:rPr>
            </w:pPr>
          </w:p>
        </w:tc>
        <w:tc>
          <w:tcPr>
            <w:tcW w:w="567" w:type="dxa"/>
            <w:tcBorders>
              <w:top w:val="nil"/>
              <w:left w:val="nil"/>
              <w:bottom w:val="single" w:sz="4" w:space="0" w:color="auto"/>
              <w:right w:val="nil"/>
            </w:tcBorders>
          </w:tcPr>
          <w:p w14:paraId="36F7EB1D" w14:textId="77777777" w:rsidR="00EE7F09" w:rsidRDefault="00EE7F09" w:rsidP="00EE7F09">
            <w:pPr>
              <w:jc w:val="right"/>
              <w:rPr>
                <w:rFonts w:asciiTheme="minorHAnsi" w:hAnsiTheme="minorHAnsi" w:cstheme="minorHAnsi"/>
                <w:b/>
                <w:sz w:val="16"/>
                <w:szCs w:val="16"/>
                <w:lang w:eastAsia="en-AU"/>
              </w:rPr>
            </w:pPr>
          </w:p>
        </w:tc>
      </w:tr>
    </w:tbl>
    <w:p w14:paraId="05543163" w14:textId="77777777" w:rsidR="00EE7F09" w:rsidRDefault="00EE7F09" w:rsidP="00EE7F09">
      <w:pPr>
        <w:spacing w:after="0"/>
        <w:rPr>
          <w:b/>
          <w:color w:val="215868" w:themeColor="accent5" w:themeShade="80"/>
          <w:sz w:val="28"/>
          <w:szCs w:val="28"/>
          <w:lang w:val="en-US"/>
        </w:rPr>
        <w:sectPr w:rsidR="00EE7F09" w:rsidSect="00EE7F09">
          <w:pgSz w:w="16838" w:h="11906" w:orient="landscape"/>
          <w:pgMar w:top="992" w:right="1812" w:bottom="1440" w:left="1440" w:header="709" w:footer="709" w:gutter="0"/>
          <w:cols w:space="720"/>
        </w:sectPr>
      </w:pPr>
    </w:p>
    <w:p w14:paraId="09F74596" w14:textId="77777777" w:rsidR="00EE7F09" w:rsidRDefault="00EE7F09" w:rsidP="0046477B">
      <w:pPr>
        <w:spacing w:after="0"/>
        <w:ind w:right="-285"/>
        <w:rPr>
          <w:b/>
          <w:i/>
          <w:color w:val="006666"/>
          <w:sz w:val="24"/>
          <w:szCs w:val="24"/>
          <w:lang w:val="en-US"/>
        </w:rPr>
      </w:pPr>
    </w:p>
    <w:p w14:paraId="1665F5BB" w14:textId="77777777" w:rsidR="00EF43EE" w:rsidRDefault="00EE7F09" w:rsidP="0046477B">
      <w:pPr>
        <w:pStyle w:val="ListParagraph"/>
        <w:spacing w:after="0" w:line="240" w:lineRule="auto"/>
        <w:ind w:left="0" w:right="-285"/>
        <w:jc w:val="left"/>
        <w:rPr>
          <w:rFonts w:asciiTheme="minorHAnsi" w:hAnsiTheme="minorHAnsi" w:cstheme="minorHAnsi"/>
          <w:b/>
          <w:sz w:val="20"/>
        </w:rPr>
      </w:pPr>
      <w:r>
        <w:rPr>
          <w:noProof/>
          <w:lang w:eastAsia="en-AU"/>
        </w:rPr>
        <w:drawing>
          <wp:inline distT="0" distB="0" distL="0" distR="0" wp14:anchorId="7E55F2BD" wp14:editId="424E2962">
            <wp:extent cx="5097780" cy="5097780"/>
            <wp:effectExtent l="0" t="0" r="762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097780" cy="5097780"/>
                    </a:xfrm>
                    <a:prstGeom prst="rect">
                      <a:avLst/>
                    </a:prstGeom>
                    <a:noFill/>
                    <a:ln>
                      <a:noFill/>
                    </a:ln>
                  </pic:spPr>
                </pic:pic>
              </a:graphicData>
            </a:graphic>
          </wp:inline>
        </w:drawing>
      </w:r>
    </w:p>
    <w:p w14:paraId="6E353BD2" w14:textId="6090D1C9" w:rsidR="00EE7F09" w:rsidRDefault="00EE7F09" w:rsidP="00EF43EE">
      <w:pPr>
        <w:pStyle w:val="ListParagraph"/>
        <w:spacing w:after="0" w:line="240" w:lineRule="auto"/>
        <w:ind w:left="0" w:right="164"/>
        <w:jc w:val="left"/>
        <w:rPr>
          <w:rFonts w:asciiTheme="minorHAnsi" w:hAnsiTheme="minorHAnsi" w:cstheme="minorHAnsi"/>
          <w:sz w:val="20"/>
        </w:rPr>
      </w:pPr>
      <w:r>
        <w:rPr>
          <w:rFonts w:asciiTheme="minorHAnsi" w:hAnsiTheme="minorHAnsi" w:cstheme="minorHAnsi"/>
          <w:b/>
          <w:sz w:val="20"/>
        </w:rPr>
        <w:t>Figure 8.22</w:t>
      </w:r>
      <w:r>
        <w:rPr>
          <w:rFonts w:asciiTheme="minorHAnsi" w:hAnsiTheme="minorHAnsi" w:cstheme="minorHAnsi"/>
          <w:sz w:val="20"/>
        </w:rPr>
        <w:t xml:space="preserve"> Cumulative length-frequency histograms of the four most common large-bodied species captured during Category 1 sampling in the Edward/Kolety-Wakool LTIM project in 2015–2020. The dashed line indicates approximate length at one year of age and annual sample sizes are provided in Table 8.7 for each respective species and sampling year.</w:t>
      </w:r>
    </w:p>
    <w:p w14:paraId="2C44AE27" w14:textId="77777777" w:rsidR="00530743" w:rsidRDefault="00530743" w:rsidP="00EF43EE">
      <w:pPr>
        <w:spacing w:line="256" w:lineRule="auto"/>
        <w:ind w:right="164"/>
      </w:pPr>
    </w:p>
    <w:p w14:paraId="689AB62F" w14:textId="77777777" w:rsidR="00EE7F09" w:rsidRDefault="00EE7F09" w:rsidP="00EF43EE">
      <w:pPr>
        <w:spacing w:after="0"/>
        <w:ind w:right="164"/>
        <w:rPr>
          <w:b/>
          <w:color w:val="31849B"/>
          <w:sz w:val="28"/>
          <w:szCs w:val="28"/>
          <w:lang w:val="en-US"/>
        </w:rPr>
      </w:pPr>
      <w:r>
        <w:rPr>
          <w:b/>
          <w:color w:val="31849B"/>
          <w:sz w:val="28"/>
          <w:szCs w:val="28"/>
          <w:lang w:val="en-US"/>
        </w:rPr>
        <w:t>8.6</w:t>
      </w:r>
      <w:r w:rsidRPr="0082565E">
        <w:rPr>
          <w:b/>
          <w:color w:val="31849B"/>
          <w:sz w:val="28"/>
          <w:szCs w:val="28"/>
          <w:lang w:val="en-US"/>
        </w:rPr>
        <w:t xml:space="preserve"> </w:t>
      </w:r>
      <w:r w:rsidRPr="00B77033">
        <w:rPr>
          <w:b/>
          <w:color w:val="31849B"/>
          <w:sz w:val="28"/>
          <w:szCs w:val="28"/>
          <w:lang w:val="en-US"/>
        </w:rPr>
        <w:t>Discussion</w:t>
      </w:r>
    </w:p>
    <w:p w14:paraId="124C0DEE" w14:textId="77777777" w:rsidR="00EE7F09" w:rsidRDefault="00EE7F09" w:rsidP="00EF43EE">
      <w:pPr>
        <w:spacing w:after="120" w:line="320" w:lineRule="exact"/>
        <w:ind w:right="305"/>
        <w:jc w:val="left"/>
        <w:rPr>
          <w:color w:val="000000" w:themeColor="text1"/>
          <w:lang w:val="en-US"/>
        </w:rPr>
      </w:pPr>
      <w:r>
        <w:rPr>
          <w:color w:val="000000" w:themeColor="text1"/>
          <w:lang w:val="en-US"/>
        </w:rPr>
        <w:t>Here, we bring together our results from movement, spawning, recruitment and adult fish community monitoring to provide an overview of how the fish community in the Edward/Kolety-Wakool has responded to targeted watering events and the broader hydrological conditions of 2019-20. A summary of the species of larvae, recruits and adults present in the system in 2019-20 is provided in Table 8.8. Using these multiple lines of evidence, we provide a summary on how fish responded to each of the watering actions delivered in 2019-20, and provide recommendations for future water delivery.</w:t>
      </w:r>
    </w:p>
    <w:p w14:paraId="0ABF29AC" w14:textId="77777777" w:rsidR="00EE7F09" w:rsidRDefault="00EE7F09" w:rsidP="00EF43EE">
      <w:pPr>
        <w:spacing w:after="240" w:line="320" w:lineRule="exact"/>
        <w:ind w:right="164"/>
        <w:jc w:val="left"/>
        <w:rPr>
          <w:color w:val="000000" w:themeColor="text1"/>
          <w:lang w:val="en-US"/>
        </w:rPr>
      </w:pPr>
      <w:r>
        <w:rPr>
          <w:color w:val="000000" w:themeColor="text1"/>
          <w:lang w:val="en-US"/>
        </w:rPr>
        <w:t>In 2016-17 the Edward/Kolety-Wakool River fish community was heavily impacted by hypoxic blackwater and associated fish kills. These followed numerous fish kills in the preceding 6 years and prior to LTIM. Since this time, LTIM and Flow-MER fish monitoring have identified a gradual recovery of the fish community. Promisingly, adults of most species have since been captured in the system, and regular spawning and recruitment through to the juvenile stage has been observed for numerous species (Table 8.9, Watts et al. 2019). Of the fifteen native fish species that have been recorded in the Edward/Kolety-Wakool Selected Area since LTIM commenced in 2014, eleven were detected as either eggs/larvae, recruits or adults in 2019-20 (Table 8.8).</w:t>
      </w:r>
    </w:p>
    <w:p w14:paraId="4A315107" w14:textId="77777777" w:rsidR="00B96BA2" w:rsidRDefault="00EE7F09" w:rsidP="00EF43EE">
      <w:pPr>
        <w:spacing w:after="0" w:line="240" w:lineRule="auto"/>
        <w:ind w:right="22"/>
        <w:jc w:val="left"/>
        <w:rPr>
          <w:rFonts w:cs="Calibri"/>
          <w:color w:val="000000" w:themeColor="text1"/>
          <w:sz w:val="20"/>
          <w:lang w:val="en-US"/>
        </w:rPr>
      </w:pPr>
      <w:r>
        <w:rPr>
          <w:b/>
          <w:color w:val="000000" w:themeColor="text1"/>
          <w:lang w:val="en-US"/>
        </w:rPr>
        <w:t xml:space="preserve">Table 8.8 </w:t>
      </w:r>
      <w:r w:rsidRPr="003D491E">
        <w:rPr>
          <w:color w:val="000000" w:themeColor="text1"/>
          <w:sz w:val="20"/>
          <w:lang w:val="en-US"/>
        </w:rPr>
        <w:t>Multiple lines of evidence:</w:t>
      </w:r>
      <w:r>
        <w:rPr>
          <w:color w:val="000000" w:themeColor="text1"/>
          <w:sz w:val="20"/>
          <w:lang w:val="en-US"/>
        </w:rPr>
        <w:t xml:space="preserve"> a </w:t>
      </w:r>
      <w:r w:rsidRPr="003D491E">
        <w:rPr>
          <w:color w:val="000000" w:themeColor="text1"/>
          <w:sz w:val="20"/>
          <w:lang w:val="en-US"/>
        </w:rPr>
        <w:t xml:space="preserve">summary of 2019-20 </w:t>
      </w:r>
      <w:r>
        <w:rPr>
          <w:color w:val="000000" w:themeColor="text1"/>
          <w:sz w:val="20"/>
          <w:lang w:val="en-US"/>
        </w:rPr>
        <w:t xml:space="preserve">fish monitoring </w:t>
      </w:r>
      <w:r w:rsidRPr="003D491E">
        <w:rPr>
          <w:color w:val="000000" w:themeColor="text1"/>
          <w:sz w:val="20"/>
          <w:lang w:val="en-US"/>
        </w:rPr>
        <w:t>results in the Edw</w:t>
      </w:r>
      <w:r>
        <w:rPr>
          <w:color w:val="000000" w:themeColor="text1"/>
          <w:sz w:val="20"/>
          <w:lang w:val="en-US"/>
        </w:rPr>
        <w:t>ard/Kolety-Wakool Selected Area,</w:t>
      </w:r>
      <w:r w:rsidRPr="003D491E">
        <w:rPr>
          <w:color w:val="000000" w:themeColor="text1"/>
          <w:sz w:val="20"/>
          <w:lang w:val="en-US"/>
        </w:rPr>
        <w:t xml:space="preserve"> of the species known to occur in the area prior to 2019. For the 2019-20 sampling season – ticks denote the presence of larvae/eggs (indicating successful spawning), recruits (indicating successful recruitment) and adults. </w:t>
      </w:r>
      <w:r w:rsidRPr="003D491E">
        <w:rPr>
          <w:rFonts w:cs="Calibri"/>
          <w:color w:val="000000" w:themeColor="text1"/>
          <w:sz w:val="20"/>
          <w:vertAlign w:val="superscript"/>
          <w:lang w:val="en-US"/>
        </w:rPr>
        <w:t>ᴧ</w:t>
      </w:r>
      <w:r w:rsidRPr="003D491E">
        <w:rPr>
          <w:rFonts w:cs="Calibri"/>
          <w:color w:val="000000" w:themeColor="text1"/>
          <w:sz w:val="20"/>
          <w:lang w:val="en-US"/>
        </w:rPr>
        <w:t xml:space="preserve"> denotes introduced species. </w:t>
      </w:r>
      <w:r w:rsidRPr="003D491E">
        <w:rPr>
          <w:rFonts w:cs="Calibri"/>
          <w:color w:val="000000" w:themeColor="text1"/>
          <w:sz w:val="20"/>
          <w:vertAlign w:val="superscript"/>
          <w:lang w:val="en-US"/>
        </w:rPr>
        <w:t>1</w:t>
      </w:r>
      <w:r w:rsidRPr="003D491E">
        <w:rPr>
          <w:rFonts w:cs="Calibri"/>
          <w:color w:val="000000" w:themeColor="text1"/>
          <w:sz w:val="20"/>
          <w:lang w:val="en-US"/>
        </w:rPr>
        <w:t xml:space="preserve"> Indicates species have been recorded in the Edward/Kolety Wakool system, but outside the LTIM and Flow-MER focal study zones. </w:t>
      </w:r>
      <w:r w:rsidRPr="003D491E">
        <w:rPr>
          <w:rFonts w:cs="Calibri"/>
          <w:color w:val="000000" w:themeColor="text1"/>
          <w:sz w:val="20"/>
          <w:vertAlign w:val="superscript"/>
          <w:lang w:val="en-US"/>
        </w:rPr>
        <w:t>2</w:t>
      </w:r>
      <w:r w:rsidRPr="003D491E">
        <w:rPr>
          <w:rFonts w:cs="Calibri"/>
          <w:color w:val="000000" w:themeColor="text1"/>
          <w:sz w:val="20"/>
          <w:lang w:val="en-US"/>
        </w:rPr>
        <w:t xml:space="preserve"> indicates species have been recorded in the focal areas as larvae, but not adults.</w:t>
      </w:r>
    </w:p>
    <w:p w14:paraId="43B11902" w14:textId="77777777" w:rsidR="00B96BA2" w:rsidRPr="00B77033" w:rsidRDefault="00B96BA2" w:rsidP="00B96BA2">
      <w:pPr>
        <w:spacing w:after="0" w:line="240" w:lineRule="auto"/>
        <w:rPr>
          <w:rFonts w:cs="Calibri"/>
          <w:color w:val="000000" w:themeColor="text1"/>
          <w:sz w:val="20"/>
          <w:lang w:val="en-US"/>
        </w:rPr>
      </w:pPr>
    </w:p>
    <w:tbl>
      <w:tblPr>
        <w:tblStyle w:val="TableGrid"/>
        <w:tblW w:w="67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36"/>
        <w:gridCol w:w="1391"/>
        <w:gridCol w:w="1244"/>
        <w:gridCol w:w="1179"/>
      </w:tblGrid>
      <w:tr w:rsidR="00B96BA2" w14:paraId="14B6A9AD" w14:textId="77777777" w:rsidTr="008243BB">
        <w:trPr>
          <w:jc w:val="center"/>
        </w:trPr>
        <w:tc>
          <w:tcPr>
            <w:tcW w:w="2694" w:type="dxa"/>
            <w:tcBorders>
              <w:top w:val="single" w:sz="8" w:space="0" w:color="000000" w:themeColor="text1"/>
              <w:bottom w:val="single" w:sz="4" w:space="0" w:color="auto"/>
            </w:tcBorders>
            <w:shd w:val="clear" w:color="auto" w:fill="84C6D8"/>
          </w:tcPr>
          <w:p w14:paraId="7C192875" w14:textId="77777777" w:rsidR="00B96BA2" w:rsidRDefault="00B96BA2" w:rsidP="00B96BA2">
            <w:pPr>
              <w:spacing w:after="0" w:line="240" w:lineRule="auto"/>
              <w:rPr>
                <w:rFonts w:eastAsia="Calibri"/>
                <w:color w:val="000000" w:themeColor="text1"/>
                <w:lang w:val="en-US"/>
              </w:rPr>
            </w:pPr>
            <w:r>
              <w:rPr>
                <w:rFonts w:eastAsia="Calibri"/>
                <w:color w:val="000000" w:themeColor="text1"/>
                <w:lang w:val="en-US"/>
              </w:rPr>
              <w:t>2014-2019</w:t>
            </w:r>
          </w:p>
        </w:tc>
        <w:tc>
          <w:tcPr>
            <w:tcW w:w="236" w:type="dxa"/>
            <w:tcBorders>
              <w:top w:val="single" w:sz="8" w:space="0" w:color="000000" w:themeColor="text1"/>
            </w:tcBorders>
            <w:shd w:val="clear" w:color="auto" w:fill="84C6D8"/>
          </w:tcPr>
          <w:p w14:paraId="6C31FC53" w14:textId="77777777" w:rsidR="00B96BA2" w:rsidRDefault="00B96BA2" w:rsidP="00B96BA2">
            <w:pPr>
              <w:spacing w:after="0" w:line="240" w:lineRule="auto"/>
              <w:jc w:val="center"/>
              <w:rPr>
                <w:rFonts w:eastAsia="Calibri"/>
                <w:color w:val="000000" w:themeColor="text1"/>
                <w:lang w:val="en-US"/>
              </w:rPr>
            </w:pPr>
          </w:p>
        </w:tc>
        <w:tc>
          <w:tcPr>
            <w:tcW w:w="3814" w:type="dxa"/>
            <w:gridSpan w:val="3"/>
            <w:tcBorders>
              <w:top w:val="single" w:sz="8" w:space="0" w:color="000000" w:themeColor="text1"/>
              <w:bottom w:val="single" w:sz="4" w:space="0" w:color="auto"/>
            </w:tcBorders>
            <w:shd w:val="clear" w:color="auto" w:fill="84C6D8"/>
          </w:tcPr>
          <w:p w14:paraId="54A9E4AD" w14:textId="77777777" w:rsidR="00B96BA2" w:rsidRDefault="00B96BA2" w:rsidP="00B96BA2">
            <w:pPr>
              <w:spacing w:after="0" w:line="240" w:lineRule="auto"/>
              <w:jc w:val="center"/>
              <w:rPr>
                <w:rFonts w:eastAsia="Calibri"/>
                <w:color w:val="000000" w:themeColor="text1"/>
                <w:lang w:val="en-US"/>
              </w:rPr>
            </w:pPr>
            <w:r>
              <w:rPr>
                <w:rFonts w:eastAsia="Calibri"/>
                <w:color w:val="000000" w:themeColor="text1"/>
                <w:lang w:val="en-US"/>
              </w:rPr>
              <w:t>2019-20</w:t>
            </w:r>
          </w:p>
        </w:tc>
      </w:tr>
      <w:tr w:rsidR="00B96BA2" w14:paraId="54FD4253" w14:textId="77777777" w:rsidTr="008243BB">
        <w:trPr>
          <w:jc w:val="center"/>
        </w:trPr>
        <w:tc>
          <w:tcPr>
            <w:tcW w:w="2694" w:type="dxa"/>
            <w:tcBorders>
              <w:top w:val="single" w:sz="4" w:space="0" w:color="auto"/>
              <w:bottom w:val="single" w:sz="4" w:space="0" w:color="auto"/>
            </w:tcBorders>
            <w:shd w:val="clear" w:color="auto" w:fill="84C6D8"/>
            <w:vAlign w:val="center"/>
          </w:tcPr>
          <w:p w14:paraId="3E9809BF" w14:textId="77777777" w:rsidR="00B96BA2" w:rsidRDefault="00B96BA2" w:rsidP="00B96BA2">
            <w:pPr>
              <w:spacing w:after="0" w:line="240" w:lineRule="auto"/>
              <w:rPr>
                <w:rFonts w:eastAsia="Calibri"/>
                <w:color w:val="000000" w:themeColor="text1"/>
                <w:lang w:val="en-US"/>
              </w:rPr>
            </w:pPr>
            <w:r>
              <w:rPr>
                <w:rFonts w:eastAsia="Calibri"/>
                <w:color w:val="000000" w:themeColor="text1"/>
                <w:lang w:val="en-US"/>
              </w:rPr>
              <w:t>Fish species</w:t>
            </w:r>
          </w:p>
        </w:tc>
        <w:tc>
          <w:tcPr>
            <w:tcW w:w="236" w:type="dxa"/>
            <w:shd w:val="clear" w:color="auto" w:fill="84C6D8"/>
          </w:tcPr>
          <w:p w14:paraId="69BAAB31" w14:textId="77777777" w:rsidR="00B96BA2" w:rsidRDefault="00B96BA2" w:rsidP="00B96BA2">
            <w:pPr>
              <w:spacing w:after="0" w:line="240" w:lineRule="auto"/>
              <w:jc w:val="center"/>
              <w:rPr>
                <w:rFonts w:eastAsia="Calibri"/>
                <w:color w:val="000000" w:themeColor="text1"/>
                <w:lang w:val="en-US"/>
              </w:rPr>
            </w:pPr>
          </w:p>
        </w:tc>
        <w:tc>
          <w:tcPr>
            <w:tcW w:w="1391" w:type="dxa"/>
            <w:tcBorders>
              <w:top w:val="single" w:sz="4" w:space="0" w:color="auto"/>
              <w:bottom w:val="single" w:sz="4" w:space="0" w:color="auto"/>
            </w:tcBorders>
            <w:shd w:val="clear" w:color="auto" w:fill="84C6D8"/>
            <w:vAlign w:val="center"/>
          </w:tcPr>
          <w:p w14:paraId="39466997" w14:textId="77777777" w:rsidR="00B96BA2" w:rsidRDefault="00B96BA2" w:rsidP="00B96BA2">
            <w:pPr>
              <w:spacing w:after="0" w:line="240" w:lineRule="auto"/>
              <w:jc w:val="center"/>
              <w:rPr>
                <w:rFonts w:eastAsia="Calibri"/>
                <w:color w:val="000000" w:themeColor="text1"/>
                <w:lang w:val="en-US"/>
              </w:rPr>
            </w:pPr>
            <w:r>
              <w:rPr>
                <w:rFonts w:eastAsia="Calibri"/>
                <w:color w:val="000000" w:themeColor="text1"/>
                <w:lang w:val="en-US"/>
              </w:rPr>
              <w:t>Larvae/eggs</w:t>
            </w:r>
          </w:p>
        </w:tc>
        <w:tc>
          <w:tcPr>
            <w:tcW w:w="1244" w:type="dxa"/>
            <w:tcBorders>
              <w:top w:val="single" w:sz="4" w:space="0" w:color="auto"/>
              <w:bottom w:val="single" w:sz="4" w:space="0" w:color="auto"/>
            </w:tcBorders>
            <w:shd w:val="clear" w:color="auto" w:fill="84C6D8"/>
            <w:vAlign w:val="center"/>
          </w:tcPr>
          <w:p w14:paraId="5D4DAA2F" w14:textId="77777777" w:rsidR="00B96BA2" w:rsidRDefault="00B96BA2" w:rsidP="00B96BA2">
            <w:pPr>
              <w:spacing w:after="0" w:line="240" w:lineRule="auto"/>
              <w:jc w:val="center"/>
              <w:rPr>
                <w:rFonts w:eastAsia="Calibri"/>
                <w:color w:val="000000" w:themeColor="text1"/>
                <w:lang w:val="en-US"/>
              </w:rPr>
            </w:pPr>
            <w:r>
              <w:rPr>
                <w:rFonts w:eastAsia="Calibri"/>
                <w:color w:val="000000" w:themeColor="text1"/>
                <w:lang w:val="en-US"/>
              </w:rPr>
              <w:t>Recruits</w:t>
            </w:r>
          </w:p>
        </w:tc>
        <w:tc>
          <w:tcPr>
            <w:tcW w:w="1179" w:type="dxa"/>
            <w:tcBorders>
              <w:top w:val="single" w:sz="4" w:space="0" w:color="auto"/>
              <w:bottom w:val="single" w:sz="4" w:space="0" w:color="auto"/>
            </w:tcBorders>
            <w:shd w:val="clear" w:color="auto" w:fill="84C6D8"/>
            <w:vAlign w:val="center"/>
          </w:tcPr>
          <w:p w14:paraId="0786AF3C" w14:textId="77777777" w:rsidR="00B96BA2" w:rsidRDefault="00B96BA2" w:rsidP="00B96BA2">
            <w:pPr>
              <w:spacing w:after="0" w:line="240" w:lineRule="auto"/>
              <w:jc w:val="center"/>
              <w:rPr>
                <w:rFonts w:eastAsia="Calibri"/>
                <w:color w:val="000000" w:themeColor="text1"/>
                <w:lang w:val="en-US"/>
              </w:rPr>
            </w:pPr>
            <w:r>
              <w:rPr>
                <w:rFonts w:eastAsia="Calibri"/>
                <w:color w:val="000000" w:themeColor="text1"/>
                <w:lang w:val="en-US"/>
              </w:rPr>
              <w:t>Adults</w:t>
            </w:r>
          </w:p>
        </w:tc>
      </w:tr>
      <w:tr w:rsidR="00B96BA2" w14:paraId="004A0F12" w14:textId="77777777" w:rsidTr="008243BB">
        <w:trPr>
          <w:trHeight w:val="201"/>
          <w:jc w:val="center"/>
        </w:trPr>
        <w:tc>
          <w:tcPr>
            <w:tcW w:w="2694" w:type="dxa"/>
            <w:tcBorders>
              <w:top w:val="single" w:sz="4" w:space="0" w:color="auto"/>
            </w:tcBorders>
          </w:tcPr>
          <w:p w14:paraId="12E64678" w14:textId="77777777" w:rsidR="00B96BA2" w:rsidRPr="00B77033" w:rsidRDefault="00B96BA2" w:rsidP="00B96BA2">
            <w:pPr>
              <w:spacing w:after="0" w:line="240" w:lineRule="auto"/>
              <w:ind w:left="28"/>
              <w:rPr>
                <w:rFonts w:eastAsia="Calibri"/>
                <w:i/>
                <w:color w:val="000000" w:themeColor="text1"/>
                <w:lang w:val="en-US"/>
              </w:rPr>
            </w:pPr>
            <w:r w:rsidRPr="00B77033">
              <w:rPr>
                <w:rFonts w:eastAsia="Calibri"/>
                <w:i/>
                <w:color w:val="000000" w:themeColor="text1"/>
                <w:lang w:val="en-US"/>
              </w:rPr>
              <w:t>periodic species</w:t>
            </w:r>
          </w:p>
        </w:tc>
        <w:tc>
          <w:tcPr>
            <w:tcW w:w="236" w:type="dxa"/>
          </w:tcPr>
          <w:p w14:paraId="272A14AE" w14:textId="77777777" w:rsidR="00B96BA2" w:rsidRDefault="00B96BA2" w:rsidP="00B96BA2">
            <w:pPr>
              <w:spacing w:after="0" w:line="240" w:lineRule="auto"/>
              <w:jc w:val="center"/>
              <w:rPr>
                <w:rFonts w:eastAsia="Calibri"/>
                <w:color w:val="000000" w:themeColor="text1"/>
                <w:lang w:val="en-US"/>
              </w:rPr>
            </w:pPr>
          </w:p>
        </w:tc>
        <w:tc>
          <w:tcPr>
            <w:tcW w:w="1391" w:type="dxa"/>
            <w:tcBorders>
              <w:top w:val="single" w:sz="4" w:space="0" w:color="auto"/>
            </w:tcBorders>
          </w:tcPr>
          <w:p w14:paraId="14681BB3" w14:textId="77777777" w:rsidR="00B96BA2" w:rsidRDefault="00B96BA2" w:rsidP="00B96BA2">
            <w:pPr>
              <w:spacing w:after="0" w:line="240" w:lineRule="auto"/>
              <w:jc w:val="center"/>
              <w:rPr>
                <w:rFonts w:eastAsia="Calibri"/>
                <w:color w:val="000000" w:themeColor="text1"/>
                <w:lang w:val="en-US"/>
              </w:rPr>
            </w:pPr>
          </w:p>
        </w:tc>
        <w:tc>
          <w:tcPr>
            <w:tcW w:w="1244" w:type="dxa"/>
            <w:tcBorders>
              <w:top w:val="single" w:sz="4" w:space="0" w:color="auto"/>
            </w:tcBorders>
          </w:tcPr>
          <w:p w14:paraId="78FB5640" w14:textId="77777777" w:rsidR="00B96BA2" w:rsidRDefault="00B96BA2" w:rsidP="00B96BA2">
            <w:pPr>
              <w:spacing w:after="0" w:line="240" w:lineRule="auto"/>
              <w:jc w:val="center"/>
              <w:rPr>
                <w:rFonts w:eastAsia="Calibri"/>
                <w:color w:val="000000" w:themeColor="text1"/>
                <w:lang w:val="en-US"/>
              </w:rPr>
            </w:pPr>
          </w:p>
        </w:tc>
        <w:tc>
          <w:tcPr>
            <w:tcW w:w="1179" w:type="dxa"/>
            <w:tcBorders>
              <w:top w:val="single" w:sz="4" w:space="0" w:color="auto"/>
            </w:tcBorders>
          </w:tcPr>
          <w:p w14:paraId="5D28C63E" w14:textId="77777777" w:rsidR="00B96BA2" w:rsidRDefault="00B96BA2" w:rsidP="00B96BA2">
            <w:pPr>
              <w:spacing w:after="0" w:line="240" w:lineRule="auto"/>
              <w:jc w:val="center"/>
              <w:rPr>
                <w:rFonts w:eastAsia="Calibri"/>
                <w:color w:val="000000" w:themeColor="text1"/>
                <w:lang w:val="en-US"/>
              </w:rPr>
            </w:pPr>
          </w:p>
        </w:tc>
      </w:tr>
      <w:tr w:rsidR="00B96BA2" w14:paraId="59F68376" w14:textId="77777777" w:rsidTr="008243BB">
        <w:trPr>
          <w:jc w:val="center"/>
        </w:trPr>
        <w:tc>
          <w:tcPr>
            <w:tcW w:w="2694" w:type="dxa"/>
          </w:tcPr>
          <w:p w14:paraId="3430D126"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bony herring</w:t>
            </w:r>
          </w:p>
        </w:tc>
        <w:tc>
          <w:tcPr>
            <w:tcW w:w="236" w:type="dxa"/>
          </w:tcPr>
          <w:p w14:paraId="4FD46DB4" w14:textId="77777777" w:rsidR="00B96BA2" w:rsidRPr="0004207E" w:rsidRDefault="00B96BA2" w:rsidP="00B96BA2">
            <w:pPr>
              <w:spacing w:after="0" w:line="240" w:lineRule="auto"/>
              <w:jc w:val="center"/>
              <w:rPr>
                <w:color w:val="000000"/>
              </w:rPr>
            </w:pPr>
          </w:p>
        </w:tc>
        <w:tc>
          <w:tcPr>
            <w:tcW w:w="1391" w:type="dxa"/>
          </w:tcPr>
          <w:p w14:paraId="238184E2"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3AD39A8F"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179" w:type="dxa"/>
          </w:tcPr>
          <w:p w14:paraId="62DD2C39"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67D5FDE4" w14:textId="77777777" w:rsidTr="008243BB">
        <w:trPr>
          <w:jc w:val="center"/>
        </w:trPr>
        <w:tc>
          <w:tcPr>
            <w:tcW w:w="2694" w:type="dxa"/>
          </w:tcPr>
          <w:p w14:paraId="611E3043"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golden perch</w:t>
            </w:r>
          </w:p>
        </w:tc>
        <w:tc>
          <w:tcPr>
            <w:tcW w:w="236" w:type="dxa"/>
          </w:tcPr>
          <w:p w14:paraId="5E2E77D8" w14:textId="77777777" w:rsidR="00B96BA2" w:rsidRDefault="00B96BA2" w:rsidP="00B96BA2">
            <w:pPr>
              <w:spacing w:after="0" w:line="240" w:lineRule="auto"/>
              <w:jc w:val="center"/>
              <w:rPr>
                <w:rFonts w:eastAsia="Calibri"/>
                <w:color w:val="000000" w:themeColor="text1"/>
                <w:lang w:val="en-US"/>
              </w:rPr>
            </w:pPr>
          </w:p>
        </w:tc>
        <w:tc>
          <w:tcPr>
            <w:tcW w:w="1391" w:type="dxa"/>
          </w:tcPr>
          <w:p w14:paraId="37B87CD3" w14:textId="77777777" w:rsidR="00B96BA2" w:rsidRDefault="00B96BA2" w:rsidP="00B96BA2">
            <w:pPr>
              <w:spacing w:after="0" w:line="240" w:lineRule="auto"/>
              <w:jc w:val="center"/>
              <w:rPr>
                <w:rFonts w:eastAsia="Calibri"/>
                <w:color w:val="000000" w:themeColor="text1"/>
                <w:lang w:val="en-US"/>
              </w:rPr>
            </w:pPr>
          </w:p>
        </w:tc>
        <w:tc>
          <w:tcPr>
            <w:tcW w:w="1244" w:type="dxa"/>
          </w:tcPr>
          <w:p w14:paraId="3B997EF3" w14:textId="77777777" w:rsidR="00B96BA2" w:rsidRDefault="00B96BA2" w:rsidP="00B96BA2">
            <w:pPr>
              <w:spacing w:after="0" w:line="240" w:lineRule="auto"/>
              <w:jc w:val="center"/>
              <w:rPr>
                <w:rFonts w:eastAsia="Calibri"/>
                <w:color w:val="000000" w:themeColor="text1"/>
                <w:lang w:val="en-US"/>
              </w:rPr>
            </w:pPr>
          </w:p>
        </w:tc>
        <w:tc>
          <w:tcPr>
            <w:tcW w:w="1179" w:type="dxa"/>
          </w:tcPr>
          <w:p w14:paraId="0AA7F105"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3854FAA1" w14:textId="77777777" w:rsidTr="008243BB">
        <w:trPr>
          <w:jc w:val="center"/>
        </w:trPr>
        <w:tc>
          <w:tcPr>
            <w:tcW w:w="2694" w:type="dxa"/>
          </w:tcPr>
          <w:p w14:paraId="177A130F"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silver perch</w:t>
            </w:r>
          </w:p>
        </w:tc>
        <w:tc>
          <w:tcPr>
            <w:tcW w:w="236" w:type="dxa"/>
          </w:tcPr>
          <w:p w14:paraId="4139EA42" w14:textId="77777777" w:rsidR="00B96BA2" w:rsidRDefault="00B96BA2" w:rsidP="00B96BA2">
            <w:pPr>
              <w:spacing w:after="0" w:line="240" w:lineRule="auto"/>
              <w:jc w:val="center"/>
              <w:rPr>
                <w:rFonts w:eastAsia="Calibri"/>
                <w:color w:val="000000" w:themeColor="text1"/>
                <w:lang w:val="en-US"/>
              </w:rPr>
            </w:pPr>
          </w:p>
        </w:tc>
        <w:tc>
          <w:tcPr>
            <w:tcW w:w="1391" w:type="dxa"/>
          </w:tcPr>
          <w:p w14:paraId="65DCCE93" w14:textId="77777777" w:rsidR="00B96BA2" w:rsidRDefault="00B96BA2" w:rsidP="00B96BA2">
            <w:pPr>
              <w:spacing w:after="0" w:line="240" w:lineRule="auto"/>
              <w:jc w:val="center"/>
              <w:rPr>
                <w:rFonts w:eastAsia="Calibri"/>
                <w:color w:val="000000" w:themeColor="text1"/>
                <w:lang w:val="en-US"/>
              </w:rPr>
            </w:pPr>
          </w:p>
        </w:tc>
        <w:tc>
          <w:tcPr>
            <w:tcW w:w="1244" w:type="dxa"/>
          </w:tcPr>
          <w:p w14:paraId="62EDCD1E"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179" w:type="dxa"/>
          </w:tcPr>
          <w:p w14:paraId="57E2F16E"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15384351" w14:textId="77777777" w:rsidTr="008243BB">
        <w:trPr>
          <w:jc w:val="center"/>
        </w:trPr>
        <w:tc>
          <w:tcPr>
            <w:tcW w:w="2694" w:type="dxa"/>
          </w:tcPr>
          <w:p w14:paraId="2F1FBB05"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 xml:space="preserve">common carp </w:t>
            </w:r>
            <w:r w:rsidRPr="006B4370">
              <w:rPr>
                <w:rFonts w:eastAsia="Calibri" w:cs="Calibri"/>
                <w:color w:val="000000" w:themeColor="text1"/>
                <w:vertAlign w:val="superscript"/>
                <w:lang w:val="en-US"/>
              </w:rPr>
              <w:t>ᴧ</w:t>
            </w:r>
          </w:p>
        </w:tc>
        <w:tc>
          <w:tcPr>
            <w:tcW w:w="236" w:type="dxa"/>
          </w:tcPr>
          <w:p w14:paraId="6F56820F" w14:textId="77777777" w:rsidR="00B96BA2" w:rsidRPr="0004207E" w:rsidRDefault="00B96BA2" w:rsidP="00B96BA2">
            <w:pPr>
              <w:spacing w:after="0" w:line="240" w:lineRule="auto"/>
              <w:jc w:val="center"/>
              <w:rPr>
                <w:color w:val="000000"/>
              </w:rPr>
            </w:pPr>
          </w:p>
        </w:tc>
        <w:tc>
          <w:tcPr>
            <w:tcW w:w="1391" w:type="dxa"/>
          </w:tcPr>
          <w:p w14:paraId="64C87215"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78CD7A8C" w14:textId="77777777" w:rsidR="00B96BA2" w:rsidRDefault="00B96BA2" w:rsidP="00B96BA2">
            <w:pPr>
              <w:spacing w:after="0" w:line="240" w:lineRule="auto"/>
              <w:jc w:val="center"/>
              <w:rPr>
                <w:rFonts w:eastAsia="Calibri"/>
                <w:color w:val="000000" w:themeColor="text1"/>
                <w:lang w:val="en-US"/>
              </w:rPr>
            </w:pPr>
          </w:p>
        </w:tc>
        <w:tc>
          <w:tcPr>
            <w:tcW w:w="1179" w:type="dxa"/>
          </w:tcPr>
          <w:p w14:paraId="7DE354C7"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5C3BC616" w14:textId="77777777" w:rsidTr="008243BB">
        <w:trPr>
          <w:jc w:val="center"/>
        </w:trPr>
        <w:tc>
          <w:tcPr>
            <w:tcW w:w="2694" w:type="dxa"/>
          </w:tcPr>
          <w:p w14:paraId="2A7B38FE"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goldfish</w:t>
            </w:r>
            <w:r w:rsidRPr="006B4370">
              <w:rPr>
                <w:rFonts w:eastAsia="Calibri" w:cs="Calibri"/>
                <w:color w:val="000000" w:themeColor="text1"/>
                <w:vertAlign w:val="superscript"/>
                <w:lang w:val="en-US"/>
              </w:rPr>
              <w:t xml:space="preserve"> ᴧ</w:t>
            </w:r>
          </w:p>
        </w:tc>
        <w:tc>
          <w:tcPr>
            <w:tcW w:w="236" w:type="dxa"/>
          </w:tcPr>
          <w:p w14:paraId="54463573" w14:textId="77777777" w:rsidR="00B96BA2" w:rsidRDefault="00B96BA2" w:rsidP="00B96BA2">
            <w:pPr>
              <w:spacing w:after="0" w:line="240" w:lineRule="auto"/>
              <w:jc w:val="center"/>
              <w:rPr>
                <w:rFonts w:eastAsia="Calibri"/>
                <w:color w:val="000000" w:themeColor="text1"/>
                <w:lang w:val="en-US"/>
              </w:rPr>
            </w:pPr>
          </w:p>
        </w:tc>
        <w:tc>
          <w:tcPr>
            <w:tcW w:w="1391" w:type="dxa"/>
          </w:tcPr>
          <w:p w14:paraId="247D5A11" w14:textId="77777777" w:rsidR="00B96BA2" w:rsidRDefault="00B96BA2" w:rsidP="00B96BA2">
            <w:pPr>
              <w:spacing w:after="0" w:line="240" w:lineRule="auto"/>
              <w:jc w:val="center"/>
              <w:rPr>
                <w:rFonts w:eastAsia="Calibri"/>
                <w:color w:val="000000" w:themeColor="text1"/>
                <w:lang w:val="en-US"/>
              </w:rPr>
            </w:pPr>
          </w:p>
        </w:tc>
        <w:tc>
          <w:tcPr>
            <w:tcW w:w="1244" w:type="dxa"/>
          </w:tcPr>
          <w:p w14:paraId="77F4F71E" w14:textId="77777777" w:rsidR="00B96BA2" w:rsidRDefault="00B96BA2" w:rsidP="00B96BA2">
            <w:pPr>
              <w:spacing w:after="0" w:line="240" w:lineRule="auto"/>
              <w:jc w:val="center"/>
              <w:rPr>
                <w:rFonts w:eastAsia="Calibri"/>
                <w:color w:val="000000" w:themeColor="text1"/>
                <w:lang w:val="en-US"/>
              </w:rPr>
            </w:pPr>
          </w:p>
        </w:tc>
        <w:tc>
          <w:tcPr>
            <w:tcW w:w="1179" w:type="dxa"/>
          </w:tcPr>
          <w:p w14:paraId="0BB93BE7"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37E93E0D" w14:textId="77777777" w:rsidTr="008243BB">
        <w:trPr>
          <w:trHeight w:val="213"/>
          <w:jc w:val="center"/>
        </w:trPr>
        <w:tc>
          <w:tcPr>
            <w:tcW w:w="2694" w:type="dxa"/>
          </w:tcPr>
          <w:p w14:paraId="7C2B2A88"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redfin</w:t>
            </w:r>
            <w:r w:rsidRPr="006B4370">
              <w:rPr>
                <w:rFonts w:eastAsia="Calibri" w:cs="Calibri"/>
                <w:color w:val="000000" w:themeColor="text1"/>
                <w:vertAlign w:val="superscript"/>
                <w:lang w:val="en-US"/>
              </w:rPr>
              <w:t xml:space="preserve"> ᴧ</w:t>
            </w:r>
          </w:p>
        </w:tc>
        <w:tc>
          <w:tcPr>
            <w:tcW w:w="236" w:type="dxa"/>
          </w:tcPr>
          <w:p w14:paraId="1F0B9CDE" w14:textId="77777777" w:rsidR="00B96BA2" w:rsidRDefault="00B96BA2" w:rsidP="00B96BA2">
            <w:pPr>
              <w:spacing w:after="0" w:line="240" w:lineRule="auto"/>
              <w:jc w:val="center"/>
              <w:rPr>
                <w:rFonts w:eastAsia="Calibri"/>
                <w:color w:val="000000" w:themeColor="text1"/>
                <w:lang w:val="en-US"/>
              </w:rPr>
            </w:pPr>
          </w:p>
        </w:tc>
        <w:tc>
          <w:tcPr>
            <w:tcW w:w="1391" w:type="dxa"/>
          </w:tcPr>
          <w:p w14:paraId="1B8DB50F" w14:textId="77777777" w:rsidR="00B96BA2" w:rsidRDefault="00B96BA2" w:rsidP="00B96BA2">
            <w:pPr>
              <w:spacing w:after="0" w:line="240" w:lineRule="auto"/>
              <w:jc w:val="center"/>
              <w:rPr>
                <w:rFonts w:eastAsia="Calibri"/>
                <w:color w:val="000000" w:themeColor="text1"/>
                <w:lang w:val="en-US"/>
              </w:rPr>
            </w:pPr>
          </w:p>
        </w:tc>
        <w:tc>
          <w:tcPr>
            <w:tcW w:w="1244" w:type="dxa"/>
          </w:tcPr>
          <w:p w14:paraId="2667D412" w14:textId="77777777" w:rsidR="00B96BA2" w:rsidRDefault="00B96BA2" w:rsidP="00B96BA2">
            <w:pPr>
              <w:spacing w:after="0" w:line="240" w:lineRule="auto"/>
              <w:jc w:val="center"/>
              <w:rPr>
                <w:rFonts w:eastAsia="Calibri"/>
                <w:color w:val="000000" w:themeColor="text1"/>
                <w:lang w:val="en-US"/>
              </w:rPr>
            </w:pPr>
          </w:p>
        </w:tc>
        <w:tc>
          <w:tcPr>
            <w:tcW w:w="1179" w:type="dxa"/>
          </w:tcPr>
          <w:p w14:paraId="783F8549" w14:textId="77777777" w:rsidR="00B96BA2" w:rsidRDefault="00B96BA2" w:rsidP="00B96BA2">
            <w:pPr>
              <w:spacing w:after="0" w:line="240" w:lineRule="auto"/>
              <w:jc w:val="center"/>
              <w:rPr>
                <w:rFonts w:eastAsia="Calibri"/>
                <w:color w:val="000000" w:themeColor="text1"/>
                <w:lang w:val="en-US"/>
              </w:rPr>
            </w:pPr>
          </w:p>
        </w:tc>
      </w:tr>
      <w:tr w:rsidR="00B96BA2" w14:paraId="2837EB73" w14:textId="77777777" w:rsidTr="008243BB">
        <w:trPr>
          <w:jc w:val="center"/>
        </w:trPr>
        <w:tc>
          <w:tcPr>
            <w:tcW w:w="2694" w:type="dxa"/>
            <w:vAlign w:val="center"/>
          </w:tcPr>
          <w:p w14:paraId="09FE4E5F" w14:textId="77777777" w:rsidR="00B96BA2" w:rsidRPr="00B77033" w:rsidRDefault="00B96BA2" w:rsidP="00B96BA2">
            <w:pPr>
              <w:spacing w:after="0" w:line="240" w:lineRule="auto"/>
              <w:ind w:left="29"/>
              <w:rPr>
                <w:rFonts w:eastAsia="Calibri"/>
                <w:i/>
                <w:color w:val="000000" w:themeColor="text1"/>
                <w:lang w:val="en-US"/>
              </w:rPr>
            </w:pPr>
            <w:r w:rsidRPr="00B77033">
              <w:rPr>
                <w:rFonts w:eastAsia="Calibri"/>
                <w:i/>
                <w:color w:val="000000" w:themeColor="text1"/>
                <w:lang w:val="en-US"/>
              </w:rPr>
              <w:t>equilibrium species</w:t>
            </w:r>
          </w:p>
        </w:tc>
        <w:tc>
          <w:tcPr>
            <w:tcW w:w="236" w:type="dxa"/>
          </w:tcPr>
          <w:p w14:paraId="7C113739" w14:textId="77777777" w:rsidR="00B96BA2" w:rsidRDefault="00B96BA2" w:rsidP="00B96BA2">
            <w:pPr>
              <w:spacing w:after="0" w:line="240" w:lineRule="auto"/>
              <w:jc w:val="center"/>
              <w:rPr>
                <w:rFonts w:eastAsia="Calibri"/>
                <w:color w:val="000000" w:themeColor="text1"/>
                <w:lang w:val="en-US"/>
              </w:rPr>
            </w:pPr>
          </w:p>
        </w:tc>
        <w:tc>
          <w:tcPr>
            <w:tcW w:w="1391" w:type="dxa"/>
          </w:tcPr>
          <w:p w14:paraId="3B80860F" w14:textId="77777777" w:rsidR="00B96BA2" w:rsidRDefault="00B96BA2" w:rsidP="00B96BA2">
            <w:pPr>
              <w:spacing w:after="0" w:line="240" w:lineRule="auto"/>
              <w:jc w:val="center"/>
              <w:rPr>
                <w:rFonts w:eastAsia="Calibri"/>
                <w:color w:val="000000" w:themeColor="text1"/>
                <w:lang w:val="en-US"/>
              </w:rPr>
            </w:pPr>
          </w:p>
        </w:tc>
        <w:tc>
          <w:tcPr>
            <w:tcW w:w="1244" w:type="dxa"/>
          </w:tcPr>
          <w:p w14:paraId="4CA3CD22" w14:textId="77777777" w:rsidR="00B96BA2" w:rsidRDefault="00B96BA2" w:rsidP="00B96BA2">
            <w:pPr>
              <w:spacing w:after="0" w:line="240" w:lineRule="auto"/>
              <w:jc w:val="center"/>
              <w:rPr>
                <w:rFonts w:eastAsia="Calibri"/>
                <w:color w:val="000000" w:themeColor="text1"/>
                <w:lang w:val="en-US"/>
              </w:rPr>
            </w:pPr>
          </w:p>
        </w:tc>
        <w:tc>
          <w:tcPr>
            <w:tcW w:w="1179" w:type="dxa"/>
          </w:tcPr>
          <w:p w14:paraId="43016978" w14:textId="77777777" w:rsidR="00B96BA2" w:rsidRDefault="00B96BA2" w:rsidP="00B96BA2">
            <w:pPr>
              <w:spacing w:after="0" w:line="240" w:lineRule="auto"/>
              <w:jc w:val="center"/>
              <w:rPr>
                <w:rFonts w:eastAsia="Calibri"/>
                <w:color w:val="000000" w:themeColor="text1"/>
                <w:lang w:val="en-US"/>
              </w:rPr>
            </w:pPr>
          </w:p>
        </w:tc>
      </w:tr>
      <w:tr w:rsidR="00B96BA2" w14:paraId="7C398E31" w14:textId="77777777" w:rsidTr="008243BB">
        <w:trPr>
          <w:jc w:val="center"/>
        </w:trPr>
        <w:tc>
          <w:tcPr>
            <w:tcW w:w="2694" w:type="dxa"/>
          </w:tcPr>
          <w:p w14:paraId="04505FDD"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Murray cod</w:t>
            </w:r>
          </w:p>
        </w:tc>
        <w:tc>
          <w:tcPr>
            <w:tcW w:w="236" w:type="dxa"/>
          </w:tcPr>
          <w:p w14:paraId="1A7A66E5" w14:textId="77777777" w:rsidR="00B96BA2" w:rsidRPr="0004207E" w:rsidRDefault="00B96BA2" w:rsidP="00B96BA2">
            <w:pPr>
              <w:spacing w:after="0" w:line="240" w:lineRule="auto"/>
              <w:jc w:val="center"/>
              <w:rPr>
                <w:color w:val="000000"/>
              </w:rPr>
            </w:pPr>
          </w:p>
        </w:tc>
        <w:tc>
          <w:tcPr>
            <w:tcW w:w="1391" w:type="dxa"/>
          </w:tcPr>
          <w:p w14:paraId="64CA2F37"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3B822A85"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179" w:type="dxa"/>
          </w:tcPr>
          <w:p w14:paraId="0BA60C7B"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7B241F15" w14:textId="77777777" w:rsidTr="008243BB">
        <w:trPr>
          <w:jc w:val="center"/>
        </w:trPr>
        <w:tc>
          <w:tcPr>
            <w:tcW w:w="2694" w:type="dxa"/>
          </w:tcPr>
          <w:p w14:paraId="4710E0E4"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river blackfish</w:t>
            </w:r>
          </w:p>
        </w:tc>
        <w:tc>
          <w:tcPr>
            <w:tcW w:w="236" w:type="dxa"/>
          </w:tcPr>
          <w:p w14:paraId="6D9064AA" w14:textId="77777777" w:rsidR="00B96BA2" w:rsidRPr="0004207E" w:rsidRDefault="00B96BA2" w:rsidP="00B96BA2">
            <w:pPr>
              <w:spacing w:after="0" w:line="240" w:lineRule="auto"/>
              <w:jc w:val="center"/>
              <w:rPr>
                <w:color w:val="000000"/>
              </w:rPr>
            </w:pPr>
          </w:p>
        </w:tc>
        <w:tc>
          <w:tcPr>
            <w:tcW w:w="1391" w:type="dxa"/>
          </w:tcPr>
          <w:p w14:paraId="5772C5CB"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691AD649" w14:textId="77777777" w:rsidR="00B96BA2" w:rsidRDefault="00B96BA2" w:rsidP="00B96BA2">
            <w:pPr>
              <w:spacing w:after="0" w:line="240" w:lineRule="auto"/>
              <w:jc w:val="center"/>
              <w:rPr>
                <w:rFonts w:eastAsia="Calibri"/>
                <w:color w:val="000000" w:themeColor="text1"/>
                <w:lang w:val="en-US"/>
              </w:rPr>
            </w:pPr>
          </w:p>
        </w:tc>
        <w:tc>
          <w:tcPr>
            <w:tcW w:w="1179" w:type="dxa"/>
          </w:tcPr>
          <w:p w14:paraId="459B8AAE" w14:textId="77777777" w:rsidR="00B96BA2" w:rsidRDefault="00B96BA2" w:rsidP="00B96BA2">
            <w:pPr>
              <w:spacing w:after="0" w:line="240" w:lineRule="auto"/>
              <w:jc w:val="center"/>
              <w:rPr>
                <w:rFonts w:eastAsia="Calibri"/>
                <w:color w:val="000000" w:themeColor="text1"/>
                <w:lang w:val="en-US"/>
              </w:rPr>
            </w:pPr>
          </w:p>
        </w:tc>
      </w:tr>
      <w:tr w:rsidR="00B96BA2" w14:paraId="0FACB192" w14:textId="77777777" w:rsidTr="008243BB">
        <w:trPr>
          <w:jc w:val="center"/>
        </w:trPr>
        <w:tc>
          <w:tcPr>
            <w:tcW w:w="2694" w:type="dxa"/>
          </w:tcPr>
          <w:p w14:paraId="33C95BB8"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freshwater catfish</w:t>
            </w:r>
            <w:r w:rsidRPr="00B77033">
              <w:rPr>
                <w:rFonts w:eastAsia="Calibri"/>
                <w:color w:val="000000" w:themeColor="text1"/>
                <w:vertAlign w:val="superscript"/>
                <w:lang w:val="en-US"/>
              </w:rPr>
              <w:t>2</w:t>
            </w:r>
          </w:p>
        </w:tc>
        <w:tc>
          <w:tcPr>
            <w:tcW w:w="236" w:type="dxa"/>
          </w:tcPr>
          <w:p w14:paraId="4ED07BAF" w14:textId="77777777" w:rsidR="00B96BA2" w:rsidRDefault="00B96BA2" w:rsidP="00B96BA2">
            <w:pPr>
              <w:spacing w:after="0" w:line="240" w:lineRule="auto"/>
              <w:jc w:val="center"/>
              <w:rPr>
                <w:rFonts w:eastAsia="Calibri"/>
                <w:color w:val="000000" w:themeColor="text1"/>
                <w:lang w:val="en-US"/>
              </w:rPr>
            </w:pPr>
          </w:p>
        </w:tc>
        <w:tc>
          <w:tcPr>
            <w:tcW w:w="1391" w:type="dxa"/>
          </w:tcPr>
          <w:p w14:paraId="2F25BA3F" w14:textId="77777777" w:rsidR="00B96BA2" w:rsidRDefault="00B96BA2" w:rsidP="00B96BA2">
            <w:pPr>
              <w:spacing w:after="0" w:line="240" w:lineRule="auto"/>
              <w:jc w:val="center"/>
              <w:rPr>
                <w:rFonts w:eastAsia="Calibri"/>
                <w:color w:val="000000" w:themeColor="text1"/>
                <w:lang w:val="en-US"/>
              </w:rPr>
            </w:pPr>
          </w:p>
        </w:tc>
        <w:tc>
          <w:tcPr>
            <w:tcW w:w="1244" w:type="dxa"/>
          </w:tcPr>
          <w:p w14:paraId="5566DC46" w14:textId="77777777" w:rsidR="00B96BA2" w:rsidRDefault="00B96BA2" w:rsidP="00B96BA2">
            <w:pPr>
              <w:spacing w:after="0" w:line="240" w:lineRule="auto"/>
              <w:jc w:val="center"/>
              <w:rPr>
                <w:rFonts w:eastAsia="Calibri"/>
                <w:color w:val="000000" w:themeColor="text1"/>
                <w:lang w:val="en-US"/>
              </w:rPr>
            </w:pPr>
          </w:p>
        </w:tc>
        <w:tc>
          <w:tcPr>
            <w:tcW w:w="1179" w:type="dxa"/>
          </w:tcPr>
          <w:p w14:paraId="661D5E04" w14:textId="77777777" w:rsidR="00B96BA2" w:rsidRDefault="00B96BA2" w:rsidP="00B96BA2">
            <w:pPr>
              <w:spacing w:after="0" w:line="240" w:lineRule="auto"/>
              <w:jc w:val="center"/>
              <w:rPr>
                <w:rFonts w:eastAsia="Calibri"/>
                <w:color w:val="000000" w:themeColor="text1"/>
                <w:lang w:val="en-US"/>
              </w:rPr>
            </w:pPr>
          </w:p>
        </w:tc>
      </w:tr>
      <w:tr w:rsidR="00B96BA2" w14:paraId="1007DCB6" w14:textId="77777777" w:rsidTr="008243BB">
        <w:trPr>
          <w:jc w:val="center"/>
        </w:trPr>
        <w:tc>
          <w:tcPr>
            <w:tcW w:w="2694" w:type="dxa"/>
          </w:tcPr>
          <w:p w14:paraId="6F24FA04"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trout cod</w:t>
            </w:r>
            <w:r w:rsidRPr="00B77033">
              <w:rPr>
                <w:rFonts w:eastAsia="Calibri"/>
                <w:color w:val="000000" w:themeColor="text1"/>
                <w:vertAlign w:val="superscript"/>
                <w:lang w:val="en-US"/>
              </w:rPr>
              <w:t>1</w:t>
            </w:r>
          </w:p>
        </w:tc>
        <w:tc>
          <w:tcPr>
            <w:tcW w:w="236" w:type="dxa"/>
          </w:tcPr>
          <w:p w14:paraId="78984C55" w14:textId="77777777" w:rsidR="00B96BA2" w:rsidRDefault="00B96BA2" w:rsidP="00B96BA2">
            <w:pPr>
              <w:spacing w:after="0" w:line="240" w:lineRule="auto"/>
              <w:jc w:val="center"/>
              <w:rPr>
                <w:rFonts w:eastAsia="Calibri"/>
                <w:color w:val="000000" w:themeColor="text1"/>
                <w:lang w:val="en-US"/>
              </w:rPr>
            </w:pPr>
          </w:p>
        </w:tc>
        <w:tc>
          <w:tcPr>
            <w:tcW w:w="1391" w:type="dxa"/>
          </w:tcPr>
          <w:p w14:paraId="05B553D7" w14:textId="77777777" w:rsidR="00B96BA2" w:rsidRDefault="00B96BA2" w:rsidP="00B96BA2">
            <w:pPr>
              <w:spacing w:after="0" w:line="240" w:lineRule="auto"/>
              <w:jc w:val="center"/>
              <w:rPr>
                <w:rFonts w:eastAsia="Calibri"/>
                <w:color w:val="000000" w:themeColor="text1"/>
                <w:lang w:val="en-US"/>
              </w:rPr>
            </w:pPr>
          </w:p>
        </w:tc>
        <w:tc>
          <w:tcPr>
            <w:tcW w:w="1244" w:type="dxa"/>
          </w:tcPr>
          <w:p w14:paraId="185E156E" w14:textId="77777777" w:rsidR="00B96BA2" w:rsidRDefault="00B96BA2" w:rsidP="00B96BA2">
            <w:pPr>
              <w:spacing w:after="0" w:line="240" w:lineRule="auto"/>
              <w:jc w:val="center"/>
              <w:rPr>
                <w:rFonts w:eastAsia="Calibri"/>
                <w:color w:val="000000" w:themeColor="text1"/>
                <w:lang w:val="en-US"/>
              </w:rPr>
            </w:pPr>
          </w:p>
        </w:tc>
        <w:tc>
          <w:tcPr>
            <w:tcW w:w="1179" w:type="dxa"/>
          </w:tcPr>
          <w:p w14:paraId="6C68EAE2" w14:textId="77777777" w:rsidR="00B96BA2" w:rsidRDefault="00B96BA2" w:rsidP="00B96BA2">
            <w:pPr>
              <w:spacing w:after="0" w:line="240" w:lineRule="auto"/>
              <w:jc w:val="center"/>
              <w:rPr>
                <w:rFonts w:eastAsia="Calibri"/>
                <w:color w:val="000000" w:themeColor="text1"/>
                <w:lang w:val="en-US"/>
              </w:rPr>
            </w:pPr>
          </w:p>
        </w:tc>
      </w:tr>
      <w:tr w:rsidR="00B96BA2" w14:paraId="7625F53E" w14:textId="77777777" w:rsidTr="008243BB">
        <w:trPr>
          <w:trHeight w:val="236"/>
          <w:jc w:val="center"/>
        </w:trPr>
        <w:tc>
          <w:tcPr>
            <w:tcW w:w="2694" w:type="dxa"/>
            <w:vAlign w:val="center"/>
          </w:tcPr>
          <w:p w14:paraId="18AAE84B" w14:textId="77777777" w:rsidR="00B96BA2" w:rsidRPr="00314D1A" w:rsidRDefault="00B96BA2" w:rsidP="00B96BA2">
            <w:pPr>
              <w:spacing w:after="0" w:line="240" w:lineRule="auto"/>
              <w:ind w:left="29"/>
              <w:rPr>
                <w:rFonts w:eastAsia="Calibri"/>
                <w:i/>
                <w:color w:val="000000" w:themeColor="text1"/>
                <w:lang w:val="en-US"/>
              </w:rPr>
            </w:pPr>
            <w:r w:rsidRPr="00314D1A">
              <w:rPr>
                <w:rFonts w:eastAsia="Calibri"/>
                <w:i/>
                <w:color w:val="000000" w:themeColor="text1"/>
                <w:lang w:val="en-US"/>
              </w:rPr>
              <w:t>opportunistic species</w:t>
            </w:r>
          </w:p>
        </w:tc>
        <w:tc>
          <w:tcPr>
            <w:tcW w:w="236" w:type="dxa"/>
          </w:tcPr>
          <w:p w14:paraId="6F9E453B" w14:textId="77777777" w:rsidR="00B96BA2" w:rsidRDefault="00B96BA2" w:rsidP="00B96BA2">
            <w:pPr>
              <w:spacing w:after="0" w:line="240" w:lineRule="auto"/>
              <w:jc w:val="center"/>
              <w:rPr>
                <w:rFonts w:eastAsia="Calibri"/>
                <w:color w:val="000000" w:themeColor="text1"/>
                <w:lang w:val="en-US"/>
              </w:rPr>
            </w:pPr>
          </w:p>
        </w:tc>
        <w:tc>
          <w:tcPr>
            <w:tcW w:w="1391" w:type="dxa"/>
          </w:tcPr>
          <w:p w14:paraId="25D2ED49" w14:textId="77777777" w:rsidR="00B96BA2" w:rsidRDefault="00B96BA2" w:rsidP="00B96BA2">
            <w:pPr>
              <w:spacing w:after="0" w:line="240" w:lineRule="auto"/>
              <w:jc w:val="center"/>
              <w:rPr>
                <w:rFonts w:eastAsia="Calibri"/>
                <w:color w:val="000000" w:themeColor="text1"/>
                <w:lang w:val="en-US"/>
              </w:rPr>
            </w:pPr>
          </w:p>
        </w:tc>
        <w:tc>
          <w:tcPr>
            <w:tcW w:w="1244" w:type="dxa"/>
          </w:tcPr>
          <w:p w14:paraId="27E5BEF2" w14:textId="77777777" w:rsidR="00B96BA2" w:rsidRDefault="00B96BA2" w:rsidP="00B96BA2">
            <w:pPr>
              <w:spacing w:after="0" w:line="240" w:lineRule="auto"/>
              <w:jc w:val="center"/>
              <w:rPr>
                <w:rFonts w:eastAsia="Calibri"/>
                <w:color w:val="000000" w:themeColor="text1"/>
                <w:lang w:val="en-US"/>
              </w:rPr>
            </w:pPr>
          </w:p>
        </w:tc>
        <w:tc>
          <w:tcPr>
            <w:tcW w:w="1179" w:type="dxa"/>
          </w:tcPr>
          <w:p w14:paraId="33DB10F2" w14:textId="77777777" w:rsidR="00B96BA2" w:rsidRDefault="00B96BA2" w:rsidP="00B96BA2">
            <w:pPr>
              <w:spacing w:after="0" w:line="240" w:lineRule="auto"/>
              <w:jc w:val="center"/>
              <w:rPr>
                <w:rFonts w:eastAsia="Calibri"/>
                <w:color w:val="000000" w:themeColor="text1"/>
                <w:lang w:val="en-US"/>
              </w:rPr>
            </w:pPr>
          </w:p>
        </w:tc>
      </w:tr>
      <w:tr w:rsidR="00B96BA2" w14:paraId="7955CE46" w14:textId="77777777" w:rsidTr="008243BB">
        <w:trPr>
          <w:jc w:val="center"/>
        </w:trPr>
        <w:tc>
          <w:tcPr>
            <w:tcW w:w="2694" w:type="dxa"/>
          </w:tcPr>
          <w:p w14:paraId="293E49DB"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Australian smelt</w:t>
            </w:r>
          </w:p>
        </w:tc>
        <w:tc>
          <w:tcPr>
            <w:tcW w:w="236" w:type="dxa"/>
          </w:tcPr>
          <w:p w14:paraId="55A413A0" w14:textId="77777777" w:rsidR="00B96BA2" w:rsidRPr="0004207E" w:rsidRDefault="00B96BA2" w:rsidP="00B96BA2">
            <w:pPr>
              <w:spacing w:after="0" w:line="240" w:lineRule="auto"/>
              <w:jc w:val="center"/>
              <w:rPr>
                <w:color w:val="000000"/>
              </w:rPr>
            </w:pPr>
          </w:p>
        </w:tc>
        <w:tc>
          <w:tcPr>
            <w:tcW w:w="1391" w:type="dxa"/>
          </w:tcPr>
          <w:p w14:paraId="1291BC64"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7BF504F1" w14:textId="77777777" w:rsidR="00B96BA2" w:rsidRDefault="00B96BA2" w:rsidP="00B96BA2">
            <w:pPr>
              <w:spacing w:after="0" w:line="240" w:lineRule="auto"/>
              <w:jc w:val="center"/>
              <w:rPr>
                <w:rFonts w:eastAsia="Calibri"/>
                <w:color w:val="000000" w:themeColor="text1"/>
                <w:lang w:val="en-US"/>
              </w:rPr>
            </w:pPr>
          </w:p>
        </w:tc>
        <w:tc>
          <w:tcPr>
            <w:tcW w:w="1179" w:type="dxa"/>
          </w:tcPr>
          <w:p w14:paraId="01CB8FBC"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2D45F08E" w14:textId="77777777" w:rsidTr="008243BB">
        <w:trPr>
          <w:jc w:val="center"/>
        </w:trPr>
        <w:tc>
          <w:tcPr>
            <w:tcW w:w="2694" w:type="dxa"/>
          </w:tcPr>
          <w:p w14:paraId="6BD74F5C"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 xml:space="preserve">carp gudgeon </w:t>
            </w:r>
          </w:p>
        </w:tc>
        <w:tc>
          <w:tcPr>
            <w:tcW w:w="236" w:type="dxa"/>
          </w:tcPr>
          <w:p w14:paraId="3E0C7DF9" w14:textId="77777777" w:rsidR="00B96BA2" w:rsidRPr="0004207E" w:rsidRDefault="00B96BA2" w:rsidP="00B96BA2">
            <w:pPr>
              <w:spacing w:after="0" w:line="240" w:lineRule="auto"/>
              <w:jc w:val="center"/>
              <w:rPr>
                <w:color w:val="000000"/>
              </w:rPr>
            </w:pPr>
          </w:p>
        </w:tc>
        <w:tc>
          <w:tcPr>
            <w:tcW w:w="1391" w:type="dxa"/>
          </w:tcPr>
          <w:p w14:paraId="0049958C"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21FAD867" w14:textId="77777777" w:rsidR="00B96BA2" w:rsidRDefault="00B96BA2" w:rsidP="00B96BA2">
            <w:pPr>
              <w:spacing w:after="0" w:line="240" w:lineRule="auto"/>
              <w:jc w:val="center"/>
              <w:rPr>
                <w:rFonts w:eastAsia="Calibri"/>
                <w:color w:val="000000" w:themeColor="text1"/>
                <w:lang w:val="en-US"/>
              </w:rPr>
            </w:pPr>
          </w:p>
        </w:tc>
        <w:tc>
          <w:tcPr>
            <w:tcW w:w="1179" w:type="dxa"/>
          </w:tcPr>
          <w:p w14:paraId="2F4CB845"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3E1C3472" w14:textId="77777777" w:rsidTr="008243BB">
        <w:trPr>
          <w:jc w:val="center"/>
        </w:trPr>
        <w:tc>
          <w:tcPr>
            <w:tcW w:w="2694" w:type="dxa"/>
          </w:tcPr>
          <w:p w14:paraId="6F2A47FB"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Murray River rainbowfish</w:t>
            </w:r>
          </w:p>
        </w:tc>
        <w:tc>
          <w:tcPr>
            <w:tcW w:w="236" w:type="dxa"/>
          </w:tcPr>
          <w:p w14:paraId="44186491" w14:textId="77777777" w:rsidR="00B96BA2" w:rsidRDefault="00B96BA2" w:rsidP="00B96BA2">
            <w:pPr>
              <w:spacing w:after="0" w:line="240" w:lineRule="auto"/>
              <w:jc w:val="center"/>
              <w:rPr>
                <w:rFonts w:eastAsia="Calibri"/>
                <w:color w:val="000000" w:themeColor="text1"/>
                <w:lang w:val="en-US"/>
              </w:rPr>
            </w:pPr>
          </w:p>
        </w:tc>
        <w:tc>
          <w:tcPr>
            <w:tcW w:w="1391" w:type="dxa"/>
          </w:tcPr>
          <w:p w14:paraId="76D6D63B" w14:textId="77777777" w:rsidR="00B96BA2" w:rsidRDefault="00B96BA2" w:rsidP="00B96BA2">
            <w:pPr>
              <w:spacing w:after="0" w:line="240" w:lineRule="auto"/>
              <w:jc w:val="center"/>
              <w:rPr>
                <w:rFonts w:eastAsia="Calibri"/>
                <w:color w:val="000000" w:themeColor="text1"/>
                <w:lang w:val="en-US"/>
              </w:rPr>
            </w:pPr>
          </w:p>
        </w:tc>
        <w:tc>
          <w:tcPr>
            <w:tcW w:w="1244" w:type="dxa"/>
          </w:tcPr>
          <w:p w14:paraId="2AE5812F"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179" w:type="dxa"/>
          </w:tcPr>
          <w:p w14:paraId="4199A358"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7C68B2F9" w14:textId="77777777" w:rsidTr="008243BB">
        <w:trPr>
          <w:jc w:val="center"/>
        </w:trPr>
        <w:tc>
          <w:tcPr>
            <w:tcW w:w="2694" w:type="dxa"/>
          </w:tcPr>
          <w:p w14:paraId="5B14CC35"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flathead gudgeon</w:t>
            </w:r>
          </w:p>
        </w:tc>
        <w:tc>
          <w:tcPr>
            <w:tcW w:w="236" w:type="dxa"/>
          </w:tcPr>
          <w:p w14:paraId="47EB0271" w14:textId="77777777" w:rsidR="00B96BA2" w:rsidRPr="0004207E" w:rsidRDefault="00B96BA2" w:rsidP="00B96BA2">
            <w:pPr>
              <w:spacing w:after="0" w:line="240" w:lineRule="auto"/>
              <w:jc w:val="center"/>
              <w:rPr>
                <w:color w:val="000000"/>
              </w:rPr>
            </w:pPr>
          </w:p>
        </w:tc>
        <w:tc>
          <w:tcPr>
            <w:tcW w:w="1391" w:type="dxa"/>
          </w:tcPr>
          <w:p w14:paraId="1DC98630"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572DB0CF" w14:textId="77777777" w:rsidR="00B96BA2" w:rsidRDefault="00B96BA2" w:rsidP="00B96BA2">
            <w:pPr>
              <w:spacing w:after="0" w:line="240" w:lineRule="auto"/>
              <w:jc w:val="center"/>
              <w:rPr>
                <w:rFonts w:eastAsia="Calibri"/>
                <w:color w:val="000000" w:themeColor="text1"/>
                <w:lang w:val="en-US"/>
              </w:rPr>
            </w:pPr>
          </w:p>
        </w:tc>
        <w:tc>
          <w:tcPr>
            <w:tcW w:w="1179" w:type="dxa"/>
          </w:tcPr>
          <w:p w14:paraId="0EE4D915" w14:textId="77777777" w:rsidR="00B96BA2" w:rsidRDefault="00B96BA2" w:rsidP="00B96BA2">
            <w:pPr>
              <w:spacing w:after="0" w:line="240" w:lineRule="auto"/>
              <w:jc w:val="center"/>
              <w:rPr>
                <w:rFonts w:eastAsia="Calibri"/>
                <w:color w:val="000000" w:themeColor="text1"/>
                <w:lang w:val="en-US"/>
              </w:rPr>
            </w:pPr>
          </w:p>
        </w:tc>
      </w:tr>
      <w:tr w:rsidR="00B96BA2" w14:paraId="1E6E9A4B" w14:textId="77777777" w:rsidTr="008243BB">
        <w:trPr>
          <w:jc w:val="center"/>
        </w:trPr>
        <w:tc>
          <w:tcPr>
            <w:tcW w:w="2694" w:type="dxa"/>
          </w:tcPr>
          <w:p w14:paraId="57A6EB13"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unspecked hardyhead</w:t>
            </w:r>
          </w:p>
        </w:tc>
        <w:tc>
          <w:tcPr>
            <w:tcW w:w="236" w:type="dxa"/>
          </w:tcPr>
          <w:p w14:paraId="3995120B" w14:textId="77777777" w:rsidR="00B96BA2" w:rsidRPr="0004207E" w:rsidRDefault="00B96BA2" w:rsidP="00B96BA2">
            <w:pPr>
              <w:spacing w:after="0" w:line="240" w:lineRule="auto"/>
              <w:jc w:val="center"/>
              <w:rPr>
                <w:color w:val="000000"/>
              </w:rPr>
            </w:pPr>
          </w:p>
        </w:tc>
        <w:tc>
          <w:tcPr>
            <w:tcW w:w="1391" w:type="dxa"/>
          </w:tcPr>
          <w:p w14:paraId="26E1F72E"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45D4689E"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179" w:type="dxa"/>
          </w:tcPr>
          <w:p w14:paraId="00BE4520"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r>
      <w:tr w:rsidR="00B96BA2" w14:paraId="22D0A7E1" w14:textId="77777777" w:rsidTr="008243BB">
        <w:trPr>
          <w:jc w:val="center"/>
        </w:trPr>
        <w:tc>
          <w:tcPr>
            <w:tcW w:w="2694" w:type="dxa"/>
          </w:tcPr>
          <w:p w14:paraId="1421F588"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obscure galaxias</w:t>
            </w:r>
          </w:p>
        </w:tc>
        <w:tc>
          <w:tcPr>
            <w:tcW w:w="236" w:type="dxa"/>
          </w:tcPr>
          <w:p w14:paraId="75D52FEB" w14:textId="77777777" w:rsidR="00B96BA2" w:rsidRDefault="00B96BA2" w:rsidP="00B96BA2">
            <w:pPr>
              <w:spacing w:after="0" w:line="240" w:lineRule="auto"/>
              <w:jc w:val="center"/>
              <w:rPr>
                <w:rFonts w:eastAsia="Calibri"/>
                <w:color w:val="000000" w:themeColor="text1"/>
                <w:lang w:val="en-US"/>
              </w:rPr>
            </w:pPr>
          </w:p>
        </w:tc>
        <w:tc>
          <w:tcPr>
            <w:tcW w:w="1391" w:type="dxa"/>
          </w:tcPr>
          <w:p w14:paraId="0E9C33D6" w14:textId="77777777" w:rsidR="00B96BA2" w:rsidRDefault="00B96BA2" w:rsidP="00B96BA2">
            <w:pPr>
              <w:spacing w:after="0" w:line="240" w:lineRule="auto"/>
              <w:jc w:val="center"/>
              <w:rPr>
                <w:rFonts w:eastAsia="Calibri"/>
                <w:color w:val="000000" w:themeColor="text1"/>
                <w:lang w:val="en-US"/>
              </w:rPr>
            </w:pPr>
            <w:r w:rsidRPr="0004207E">
              <w:rPr>
                <w:color w:val="000000"/>
              </w:rPr>
              <w:sym w:font="Wingdings" w:char="F0FC"/>
            </w:r>
          </w:p>
        </w:tc>
        <w:tc>
          <w:tcPr>
            <w:tcW w:w="1244" w:type="dxa"/>
          </w:tcPr>
          <w:p w14:paraId="197D525D" w14:textId="77777777" w:rsidR="00B96BA2" w:rsidRDefault="00B96BA2" w:rsidP="00B96BA2">
            <w:pPr>
              <w:spacing w:after="0" w:line="240" w:lineRule="auto"/>
              <w:jc w:val="center"/>
              <w:rPr>
                <w:rFonts w:eastAsia="Calibri"/>
                <w:color w:val="000000" w:themeColor="text1"/>
                <w:lang w:val="en-US"/>
              </w:rPr>
            </w:pPr>
          </w:p>
        </w:tc>
        <w:tc>
          <w:tcPr>
            <w:tcW w:w="1179" w:type="dxa"/>
          </w:tcPr>
          <w:p w14:paraId="77CD8768" w14:textId="77777777" w:rsidR="00B96BA2" w:rsidRDefault="00B96BA2" w:rsidP="00B96BA2">
            <w:pPr>
              <w:spacing w:after="0" w:line="240" w:lineRule="auto"/>
              <w:jc w:val="center"/>
              <w:rPr>
                <w:rFonts w:eastAsia="Calibri"/>
                <w:color w:val="000000" w:themeColor="text1"/>
                <w:lang w:val="en-US"/>
              </w:rPr>
            </w:pPr>
          </w:p>
        </w:tc>
      </w:tr>
      <w:tr w:rsidR="00B96BA2" w14:paraId="0BC6D1FA" w14:textId="77777777" w:rsidTr="008243BB">
        <w:trPr>
          <w:jc w:val="center"/>
        </w:trPr>
        <w:tc>
          <w:tcPr>
            <w:tcW w:w="2694" w:type="dxa"/>
          </w:tcPr>
          <w:p w14:paraId="39C52965"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dwarf flathead gudgeon</w:t>
            </w:r>
            <w:r w:rsidRPr="00B77033">
              <w:rPr>
                <w:rFonts w:eastAsia="Calibri"/>
                <w:color w:val="000000" w:themeColor="text1"/>
                <w:vertAlign w:val="superscript"/>
                <w:lang w:val="en-US"/>
              </w:rPr>
              <w:t>2</w:t>
            </w:r>
          </w:p>
        </w:tc>
        <w:tc>
          <w:tcPr>
            <w:tcW w:w="236" w:type="dxa"/>
          </w:tcPr>
          <w:p w14:paraId="5BD1EC8B" w14:textId="77777777" w:rsidR="00B96BA2" w:rsidRPr="0004207E" w:rsidRDefault="00B96BA2" w:rsidP="00B96BA2">
            <w:pPr>
              <w:spacing w:after="0" w:line="240" w:lineRule="auto"/>
              <w:jc w:val="center"/>
              <w:rPr>
                <w:color w:val="000000"/>
              </w:rPr>
            </w:pPr>
          </w:p>
        </w:tc>
        <w:tc>
          <w:tcPr>
            <w:tcW w:w="1391" w:type="dxa"/>
          </w:tcPr>
          <w:p w14:paraId="1F6C7D12" w14:textId="77777777" w:rsidR="00B96BA2" w:rsidRDefault="00B96BA2" w:rsidP="00B96BA2">
            <w:pPr>
              <w:spacing w:after="0" w:line="240" w:lineRule="auto"/>
              <w:jc w:val="center"/>
              <w:rPr>
                <w:rFonts w:eastAsia="Calibri"/>
                <w:color w:val="000000" w:themeColor="text1"/>
                <w:lang w:val="en-US"/>
              </w:rPr>
            </w:pPr>
          </w:p>
        </w:tc>
        <w:tc>
          <w:tcPr>
            <w:tcW w:w="1244" w:type="dxa"/>
          </w:tcPr>
          <w:p w14:paraId="2006D696" w14:textId="77777777" w:rsidR="00B96BA2" w:rsidRDefault="00B96BA2" w:rsidP="00B96BA2">
            <w:pPr>
              <w:spacing w:after="0" w:line="240" w:lineRule="auto"/>
              <w:jc w:val="center"/>
              <w:rPr>
                <w:rFonts w:eastAsia="Calibri"/>
                <w:color w:val="000000" w:themeColor="text1"/>
                <w:lang w:val="en-US"/>
              </w:rPr>
            </w:pPr>
          </w:p>
        </w:tc>
        <w:tc>
          <w:tcPr>
            <w:tcW w:w="1179" w:type="dxa"/>
          </w:tcPr>
          <w:p w14:paraId="4162F110" w14:textId="77777777" w:rsidR="00B96BA2" w:rsidRDefault="00B96BA2" w:rsidP="00B96BA2">
            <w:pPr>
              <w:spacing w:after="0" w:line="240" w:lineRule="auto"/>
              <w:jc w:val="center"/>
              <w:rPr>
                <w:rFonts w:eastAsia="Calibri"/>
                <w:color w:val="000000" w:themeColor="text1"/>
                <w:lang w:val="en-US"/>
              </w:rPr>
            </w:pPr>
          </w:p>
        </w:tc>
      </w:tr>
      <w:tr w:rsidR="00B96BA2" w14:paraId="6208FF85" w14:textId="77777777" w:rsidTr="008243BB">
        <w:trPr>
          <w:jc w:val="center"/>
        </w:trPr>
        <w:tc>
          <w:tcPr>
            <w:tcW w:w="2694" w:type="dxa"/>
          </w:tcPr>
          <w:p w14:paraId="65720B28"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 xml:space="preserve">gambusia </w:t>
            </w:r>
            <w:r w:rsidRPr="006B4370">
              <w:rPr>
                <w:rFonts w:eastAsia="Calibri" w:cs="Calibri"/>
                <w:color w:val="000000" w:themeColor="text1"/>
                <w:vertAlign w:val="superscript"/>
                <w:lang w:val="en-US"/>
              </w:rPr>
              <w:t>ᴧ</w:t>
            </w:r>
          </w:p>
        </w:tc>
        <w:tc>
          <w:tcPr>
            <w:tcW w:w="236" w:type="dxa"/>
          </w:tcPr>
          <w:p w14:paraId="6322E53B" w14:textId="77777777" w:rsidR="00B96BA2" w:rsidRDefault="00B96BA2" w:rsidP="00B96BA2">
            <w:pPr>
              <w:spacing w:after="0" w:line="240" w:lineRule="auto"/>
              <w:jc w:val="center"/>
              <w:rPr>
                <w:rFonts w:eastAsia="Calibri"/>
                <w:color w:val="000000" w:themeColor="text1"/>
                <w:lang w:val="en-US"/>
              </w:rPr>
            </w:pPr>
          </w:p>
        </w:tc>
        <w:tc>
          <w:tcPr>
            <w:tcW w:w="1391" w:type="dxa"/>
          </w:tcPr>
          <w:p w14:paraId="4CC0F142" w14:textId="77777777" w:rsidR="00B96BA2" w:rsidRDefault="00B96BA2" w:rsidP="00B96BA2">
            <w:pPr>
              <w:spacing w:after="0" w:line="240" w:lineRule="auto"/>
              <w:jc w:val="center"/>
              <w:rPr>
                <w:rFonts w:eastAsia="Calibri"/>
                <w:color w:val="000000" w:themeColor="text1"/>
                <w:lang w:val="en-US"/>
              </w:rPr>
            </w:pPr>
          </w:p>
        </w:tc>
        <w:tc>
          <w:tcPr>
            <w:tcW w:w="1244" w:type="dxa"/>
          </w:tcPr>
          <w:p w14:paraId="20F44F3D" w14:textId="77777777" w:rsidR="00B96BA2" w:rsidRDefault="00B96BA2" w:rsidP="00B96BA2">
            <w:pPr>
              <w:spacing w:after="0" w:line="240" w:lineRule="auto"/>
              <w:jc w:val="center"/>
              <w:rPr>
                <w:rFonts w:eastAsia="Calibri"/>
                <w:color w:val="000000" w:themeColor="text1"/>
                <w:lang w:val="en-US"/>
              </w:rPr>
            </w:pPr>
          </w:p>
        </w:tc>
        <w:tc>
          <w:tcPr>
            <w:tcW w:w="1179" w:type="dxa"/>
          </w:tcPr>
          <w:p w14:paraId="57909DF7" w14:textId="77777777" w:rsidR="00B96BA2" w:rsidRDefault="00B96BA2" w:rsidP="00B96BA2">
            <w:pPr>
              <w:spacing w:after="0" w:line="240" w:lineRule="auto"/>
              <w:jc w:val="center"/>
              <w:rPr>
                <w:rFonts w:eastAsia="Calibri"/>
                <w:color w:val="000000" w:themeColor="text1"/>
                <w:lang w:val="en-US"/>
              </w:rPr>
            </w:pPr>
          </w:p>
        </w:tc>
      </w:tr>
      <w:tr w:rsidR="00B96BA2" w14:paraId="35E01FF0" w14:textId="77777777" w:rsidTr="008243BB">
        <w:trPr>
          <w:jc w:val="center"/>
        </w:trPr>
        <w:tc>
          <w:tcPr>
            <w:tcW w:w="2694" w:type="dxa"/>
            <w:tcBorders>
              <w:bottom w:val="single" w:sz="8" w:space="0" w:color="000000" w:themeColor="text1"/>
            </w:tcBorders>
          </w:tcPr>
          <w:p w14:paraId="0E3F75A6" w14:textId="77777777" w:rsidR="00B96BA2" w:rsidRDefault="00B96BA2" w:rsidP="00B96BA2">
            <w:pPr>
              <w:spacing w:after="0" w:line="240" w:lineRule="auto"/>
              <w:ind w:left="171"/>
              <w:rPr>
                <w:rFonts w:eastAsia="Calibri"/>
                <w:color w:val="000000" w:themeColor="text1"/>
                <w:lang w:val="en-US"/>
              </w:rPr>
            </w:pPr>
            <w:r>
              <w:rPr>
                <w:rFonts w:eastAsia="Calibri"/>
                <w:color w:val="000000" w:themeColor="text1"/>
                <w:lang w:val="en-US"/>
              </w:rPr>
              <w:t xml:space="preserve">oriental weatherloach </w:t>
            </w:r>
            <w:r w:rsidRPr="006B4370">
              <w:rPr>
                <w:rFonts w:eastAsia="Calibri" w:cs="Calibri"/>
                <w:color w:val="000000" w:themeColor="text1"/>
                <w:vertAlign w:val="superscript"/>
                <w:lang w:val="en-US"/>
              </w:rPr>
              <w:t>ᴧ</w:t>
            </w:r>
          </w:p>
        </w:tc>
        <w:tc>
          <w:tcPr>
            <w:tcW w:w="236" w:type="dxa"/>
            <w:tcBorders>
              <w:bottom w:val="single" w:sz="8" w:space="0" w:color="000000" w:themeColor="text1"/>
            </w:tcBorders>
          </w:tcPr>
          <w:p w14:paraId="33911D19" w14:textId="77777777" w:rsidR="00B96BA2" w:rsidRDefault="00B96BA2" w:rsidP="00B96BA2">
            <w:pPr>
              <w:spacing w:after="0" w:line="240" w:lineRule="auto"/>
              <w:jc w:val="center"/>
              <w:rPr>
                <w:rFonts w:eastAsia="Calibri"/>
                <w:color w:val="000000" w:themeColor="text1"/>
                <w:lang w:val="en-US"/>
              </w:rPr>
            </w:pPr>
          </w:p>
        </w:tc>
        <w:tc>
          <w:tcPr>
            <w:tcW w:w="1391" w:type="dxa"/>
            <w:tcBorders>
              <w:bottom w:val="single" w:sz="8" w:space="0" w:color="000000" w:themeColor="text1"/>
            </w:tcBorders>
          </w:tcPr>
          <w:p w14:paraId="61161FF9" w14:textId="77777777" w:rsidR="00B96BA2" w:rsidRDefault="00B96BA2" w:rsidP="00B96BA2">
            <w:pPr>
              <w:spacing w:after="0" w:line="240" w:lineRule="auto"/>
              <w:jc w:val="center"/>
              <w:rPr>
                <w:rFonts w:eastAsia="Calibri"/>
                <w:color w:val="000000" w:themeColor="text1"/>
                <w:lang w:val="en-US"/>
              </w:rPr>
            </w:pPr>
          </w:p>
        </w:tc>
        <w:tc>
          <w:tcPr>
            <w:tcW w:w="1244" w:type="dxa"/>
            <w:tcBorders>
              <w:bottom w:val="single" w:sz="8" w:space="0" w:color="000000" w:themeColor="text1"/>
            </w:tcBorders>
          </w:tcPr>
          <w:p w14:paraId="28D56FC5" w14:textId="77777777" w:rsidR="00B96BA2" w:rsidRDefault="00B96BA2" w:rsidP="00B96BA2">
            <w:pPr>
              <w:spacing w:after="0" w:line="240" w:lineRule="auto"/>
              <w:jc w:val="center"/>
              <w:rPr>
                <w:rFonts w:eastAsia="Calibri"/>
                <w:color w:val="000000" w:themeColor="text1"/>
                <w:lang w:val="en-US"/>
              </w:rPr>
            </w:pPr>
          </w:p>
        </w:tc>
        <w:tc>
          <w:tcPr>
            <w:tcW w:w="1179" w:type="dxa"/>
            <w:tcBorders>
              <w:bottom w:val="single" w:sz="8" w:space="0" w:color="000000" w:themeColor="text1"/>
            </w:tcBorders>
          </w:tcPr>
          <w:p w14:paraId="1F2DAA04" w14:textId="77777777" w:rsidR="00B96BA2" w:rsidRDefault="00B96BA2" w:rsidP="00B96BA2">
            <w:pPr>
              <w:spacing w:after="0" w:line="240" w:lineRule="auto"/>
              <w:jc w:val="center"/>
              <w:rPr>
                <w:rFonts w:eastAsia="Calibri"/>
                <w:color w:val="000000" w:themeColor="text1"/>
                <w:lang w:val="en-US"/>
              </w:rPr>
            </w:pPr>
          </w:p>
        </w:tc>
      </w:tr>
    </w:tbl>
    <w:p w14:paraId="17982ADD" w14:textId="77777777" w:rsidR="00B96BA2" w:rsidRDefault="00B96BA2" w:rsidP="00B96BA2">
      <w:pPr>
        <w:spacing w:after="0" w:line="240" w:lineRule="auto"/>
        <w:ind w:left="-284" w:right="-285"/>
        <w:jc w:val="left"/>
        <w:rPr>
          <w:b/>
          <w:i/>
          <w:color w:val="31849B"/>
          <w:sz w:val="24"/>
          <w:szCs w:val="24"/>
          <w:lang w:val="en-US"/>
        </w:rPr>
      </w:pPr>
    </w:p>
    <w:p w14:paraId="01F157DB" w14:textId="770080A3" w:rsidR="00EE7F09" w:rsidRPr="00E125EB" w:rsidRDefault="00EE7F09" w:rsidP="0046477B">
      <w:pPr>
        <w:spacing w:after="0" w:line="240" w:lineRule="auto"/>
        <w:ind w:right="-285"/>
        <w:jc w:val="left"/>
        <w:rPr>
          <w:i/>
          <w:color w:val="31849B"/>
          <w:sz w:val="24"/>
          <w:szCs w:val="24"/>
          <w:lang w:val="en-US"/>
        </w:rPr>
      </w:pPr>
      <w:r w:rsidRPr="00F113E5">
        <w:rPr>
          <w:b/>
          <w:i/>
          <w:color w:val="31849B"/>
          <w:sz w:val="24"/>
          <w:szCs w:val="24"/>
          <w:lang w:val="en-US"/>
        </w:rPr>
        <w:t>Targeted watering actions in 2019-20</w:t>
      </w:r>
    </w:p>
    <w:p w14:paraId="22C4177F" w14:textId="77777777" w:rsidR="00EE7F09" w:rsidRDefault="00EE7F09" w:rsidP="00EF43EE">
      <w:pPr>
        <w:spacing w:after="240" w:line="324" w:lineRule="exact"/>
        <w:ind w:right="447"/>
        <w:jc w:val="left"/>
        <w:rPr>
          <w:color w:val="000000"/>
          <w:lang w:val="en-US"/>
        </w:rPr>
      </w:pPr>
      <w:r>
        <w:rPr>
          <w:color w:val="000000"/>
          <w:lang w:val="en-US"/>
        </w:rPr>
        <w:t xml:space="preserve">The CEWO’s overarching objective for environmental watering for fish populations in the Edward/Kolety-Wakool River system was to provide flows to </w:t>
      </w:r>
      <w:r w:rsidRPr="00921137">
        <w:rPr>
          <w:color w:val="000000"/>
          <w:lang w:val="en-US"/>
        </w:rPr>
        <w:t>“support habitat (including longitudinal connectivity and bench inundation), food sources and promote increase movement/dispersal, recruitment and survival/condition of native fish”</w:t>
      </w:r>
      <w:r>
        <w:rPr>
          <w:color w:val="000000"/>
          <w:lang w:val="en-US"/>
        </w:rPr>
        <w:t xml:space="preserve"> (CEWO 2019). Three</w:t>
      </w:r>
      <w:r w:rsidRPr="0082565E">
        <w:rPr>
          <w:color w:val="000000"/>
          <w:lang w:val="en-US"/>
        </w:rPr>
        <w:t xml:space="preserve"> Commonwealth environmental watering action</w:t>
      </w:r>
      <w:r>
        <w:rPr>
          <w:color w:val="000000"/>
          <w:lang w:val="en-US"/>
        </w:rPr>
        <w:t>s</w:t>
      </w:r>
      <w:r w:rsidRPr="0082565E">
        <w:rPr>
          <w:color w:val="000000"/>
          <w:lang w:val="en-US"/>
        </w:rPr>
        <w:t xml:space="preserve"> in the Edward</w:t>
      </w:r>
      <w:r>
        <w:rPr>
          <w:color w:val="000000"/>
          <w:lang w:val="en-US"/>
        </w:rPr>
        <w:t>/Kolety-Wakool system in 2019-20</w:t>
      </w:r>
      <w:r w:rsidRPr="0082565E">
        <w:rPr>
          <w:color w:val="000000"/>
          <w:lang w:val="en-US"/>
        </w:rPr>
        <w:t xml:space="preserve"> </w:t>
      </w:r>
      <w:r>
        <w:rPr>
          <w:color w:val="000000"/>
          <w:lang w:val="en-US"/>
        </w:rPr>
        <w:t>that were</w:t>
      </w:r>
      <w:r w:rsidRPr="0082565E">
        <w:rPr>
          <w:color w:val="000000"/>
          <w:lang w:val="en-US"/>
        </w:rPr>
        <w:t xml:space="preserve"> </w:t>
      </w:r>
      <w:r>
        <w:rPr>
          <w:color w:val="000000"/>
          <w:lang w:val="en-US"/>
        </w:rPr>
        <w:t>evaluated by the fish monitoring program of Flow-MER (Table 8.9).</w:t>
      </w:r>
    </w:p>
    <w:p w14:paraId="2412BBC5" w14:textId="77777777" w:rsidR="0046477B" w:rsidRDefault="0046477B">
      <w:pPr>
        <w:spacing w:after="0" w:line="240" w:lineRule="auto"/>
        <w:jc w:val="left"/>
        <w:rPr>
          <w:b/>
          <w:sz w:val="20"/>
        </w:rPr>
      </w:pPr>
      <w:r>
        <w:rPr>
          <w:b/>
          <w:sz w:val="20"/>
        </w:rPr>
        <w:br w:type="page"/>
      </w:r>
    </w:p>
    <w:p w14:paraId="1E7AA8D5" w14:textId="517F84B4" w:rsidR="00B96BA2" w:rsidRPr="008D3A7B" w:rsidRDefault="00EE7F09" w:rsidP="0046477B">
      <w:pPr>
        <w:spacing w:after="0" w:line="240" w:lineRule="auto"/>
        <w:ind w:right="-285"/>
        <w:rPr>
          <w:sz w:val="20"/>
        </w:rPr>
      </w:pPr>
      <w:r w:rsidRPr="008D3A7B">
        <w:rPr>
          <w:b/>
          <w:sz w:val="20"/>
        </w:rPr>
        <w:t>Table 8.9</w:t>
      </w:r>
      <w:r w:rsidRPr="008D3A7B">
        <w:rPr>
          <w:sz w:val="20"/>
        </w:rPr>
        <w:t xml:space="preserve"> Monitored outcomes of the fish-focussed CEWO watering actions in 2019-20. Note: watering actions that could not be monitored by the Flow-MER program are not listed here (e.g. watering action 3d).</w:t>
      </w:r>
    </w:p>
    <w:tbl>
      <w:tblPr>
        <w:tblStyle w:val="TableGrid"/>
        <w:tblW w:w="9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0"/>
        <w:gridCol w:w="1008"/>
        <w:gridCol w:w="924"/>
        <w:gridCol w:w="1246"/>
        <w:gridCol w:w="1448"/>
        <w:gridCol w:w="283"/>
        <w:gridCol w:w="3544"/>
      </w:tblGrid>
      <w:tr w:rsidR="00B96BA2" w14:paraId="1F99E848" w14:textId="77777777" w:rsidTr="0046477B">
        <w:tc>
          <w:tcPr>
            <w:tcW w:w="620" w:type="dxa"/>
            <w:tcBorders>
              <w:top w:val="single" w:sz="4" w:space="0" w:color="auto"/>
              <w:bottom w:val="single" w:sz="4" w:space="0" w:color="auto"/>
            </w:tcBorders>
            <w:shd w:val="clear" w:color="auto" w:fill="92CDDC"/>
          </w:tcPr>
          <w:p w14:paraId="62ABA65C" w14:textId="77777777" w:rsidR="00B96BA2" w:rsidRDefault="00B96BA2" w:rsidP="0046477B">
            <w:pPr>
              <w:rPr>
                <w:b/>
              </w:rPr>
            </w:pPr>
          </w:p>
        </w:tc>
        <w:tc>
          <w:tcPr>
            <w:tcW w:w="1008" w:type="dxa"/>
            <w:tcBorders>
              <w:top w:val="single" w:sz="4" w:space="0" w:color="auto"/>
              <w:bottom w:val="single" w:sz="4" w:space="0" w:color="auto"/>
            </w:tcBorders>
            <w:shd w:val="clear" w:color="auto" w:fill="92CDDC"/>
            <w:tcMar>
              <w:left w:w="57" w:type="dxa"/>
              <w:right w:w="57" w:type="dxa"/>
            </w:tcMar>
          </w:tcPr>
          <w:p w14:paraId="6E1A1410" w14:textId="77777777" w:rsidR="00B96BA2" w:rsidRDefault="00B96BA2" w:rsidP="0046477B">
            <w:pPr>
              <w:spacing w:after="0" w:line="240" w:lineRule="auto"/>
              <w:rPr>
                <w:b/>
              </w:rPr>
            </w:pPr>
            <w:r>
              <w:rPr>
                <w:b/>
              </w:rPr>
              <w:t>Watering action</w:t>
            </w:r>
          </w:p>
        </w:tc>
        <w:tc>
          <w:tcPr>
            <w:tcW w:w="924" w:type="dxa"/>
            <w:tcBorders>
              <w:top w:val="single" w:sz="4" w:space="0" w:color="auto"/>
              <w:bottom w:val="single" w:sz="4" w:space="0" w:color="auto"/>
            </w:tcBorders>
            <w:shd w:val="clear" w:color="auto" w:fill="92CDDC"/>
          </w:tcPr>
          <w:p w14:paraId="79809CE6" w14:textId="77777777" w:rsidR="00B96BA2" w:rsidRDefault="00B96BA2" w:rsidP="0046477B">
            <w:pPr>
              <w:spacing w:after="0" w:line="240" w:lineRule="auto"/>
              <w:rPr>
                <w:b/>
              </w:rPr>
            </w:pPr>
            <w:r>
              <w:rPr>
                <w:b/>
              </w:rPr>
              <w:t>Dates</w:t>
            </w:r>
          </w:p>
        </w:tc>
        <w:tc>
          <w:tcPr>
            <w:tcW w:w="1246" w:type="dxa"/>
            <w:tcBorders>
              <w:top w:val="single" w:sz="4" w:space="0" w:color="auto"/>
              <w:bottom w:val="single" w:sz="4" w:space="0" w:color="auto"/>
            </w:tcBorders>
            <w:shd w:val="clear" w:color="auto" w:fill="92CDDC"/>
          </w:tcPr>
          <w:p w14:paraId="561023C2" w14:textId="77777777" w:rsidR="00B96BA2" w:rsidRDefault="00B96BA2" w:rsidP="0046477B">
            <w:pPr>
              <w:spacing w:after="0" w:line="240" w:lineRule="auto"/>
              <w:rPr>
                <w:b/>
              </w:rPr>
            </w:pPr>
            <w:r>
              <w:rPr>
                <w:b/>
              </w:rPr>
              <w:t>Rivers</w:t>
            </w:r>
          </w:p>
        </w:tc>
        <w:tc>
          <w:tcPr>
            <w:tcW w:w="1731" w:type="dxa"/>
            <w:gridSpan w:val="2"/>
            <w:tcBorders>
              <w:top w:val="single" w:sz="4" w:space="0" w:color="auto"/>
              <w:bottom w:val="single" w:sz="4" w:space="0" w:color="auto"/>
            </w:tcBorders>
            <w:shd w:val="clear" w:color="auto" w:fill="92CDDC"/>
          </w:tcPr>
          <w:p w14:paraId="44389B39" w14:textId="77777777" w:rsidR="00B96BA2" w:rsidRDefault="00B96BA2" w:rsidP="0046477B">
            <w:pPr>
              <w:spacing w:after="0" w:line="240" w:lineRule="auto"/>
              <w:rPr>
                <w:b/>
              </w:rPr>
            </w:pPr>
            <w:r>
              <w:rPr>
                <w:b/>
              </w:rPr>
              <w:t>Flow objectives</w:t>
            </w:r>
          </w:p>
        </w:tc>
        <w:tc>
          <w:tcPr>
            <w:tcW w:w="3544" w:type="dxa"/>
            <w:tcBorders>
              <w:top w:val="single" w:sz="4" w:space="0" w:color="auto"/>
              <w:bottom w:val="single" w:sz="4" w:space="0" w:color="auto"/>
            </w:tcBorders>
            <w:shd w:val="clear" w:color="auto" w:fill="92CDDC"/>
          </w:tcPr>
          <w:p w14:paraId="4AA7BA11" w14:textId="77777777" w:rsidR="00B96BA2" w:rsidRDefault="00B96BA2" w:rsidP="0046477B">
            <w:pPr>
              <w:spacing w:after="0" w:line="240" w:lineRule="auto"/>
              <w:rPr>
                <w:b/>
              </w:rPr>
            </w:pPr>
            <w:r>
              <w:rPr>
                <w:b/>
              </w:rPr>
              <w:t>Monitored outcomes</w:t>
            </w:r>
          </w:p>
        </w:tc>
      </w:tr>
      <w:tr w:rsidR="00B96BA2" w14:paraId="122C0F75" w14:textId="77777777" w:rsidTr="0046477B">
        <w:trPr>
          <w:trHeight w:val="407"/>
        </w:trPr>
        <w:tc>
          <w:tcPr>
            <w:tcW w:w="620" w:type="dxa"/>
            <w:tcBorders>
              <w:top w:val="single" w:sz="4" w:space="0" w:color="auto"/>
            </w:tcBorders>
            <w:shd w:val="clear" w:color="auto" w:fill="auto"/>
          </w:tcPr>
          <w:p w14:paraId="6E70DE48" w14:textId="77777777" w:rsidR="00B96BA2" w:rsidRPr="002C710E" w:rsidRDefault="00B96BA2" w:rsidP="0046477B">
            <w:r w:rsidRPr="002C710E">
              <w:t>1</w:t>
            </w:r>
          </w:p>
        </w:tc>
        <w:tc>
          <w:tcPr>
            <w:tcW w:w="1008" w:type="dxa"/>
            <w:tcBorders>
              <w:top w:val="single" w:sz="4" w:space="0" w:color="auto"/>
            </w:tcBorders>
            <w:shd w:val="clear" w:color="auto" w:fill="auto"/>
          </w:tcPr>
          <w:p w14:paraId="7B0C5EF9" w14:textId="77777777" w:rsidR="00B96BA2" w:rsidRPr="002C710E" w:rsidRDefault="00B96BA2" w:rsidP="0046477B">
            <w:pPr>
              <w:spacing w:after="0" w:line="240" w:lineRule="auto"/>
            </w:pPr>
            <w:r w:rsidRPr="002C710E">
              <w:t>Winter base flow</w:t>
            </w:r>
          </w:p>
        </w:tc>
        <w:tc>
          <w:tcPr>
            <w:tcW w:w="924" w:type="dxa"/>
            <w:vMerge w:val="restart"/>
            <w:tcBorders>
              <w:top w:val="single" w:sz="4" w:space="0" w:color="auto"/>
            </w:tcBorders>
            <w:shd w:val="clear" w:color="auto" w:fill="auto"/>
          </w:tcPr>
          <w:p w14:paraId="24A4692D" w14:textId="77777777" w:rsidR="00B96BA2" w:rsidRPr="002C710E" w:rsidRDefault="00B96BA2" w:rsidP="0046477B">
            <w:pPr>
              <w:spacing w:after="0" w:line="240" w:lineRule="auto"/>
            </w:pPr>
            <w:r>
              <w:t>15 May - 9 Aug 20</w:t>
            </w:r>
            <w:r w:rsidRPr="002C710E">
              <w:t>19</w:t>
            </w:r>
          </w:p>
        </w:tc>
        <w:tc>
          <w:tcPr>
            <w:tcW w:w="1246" w:type="dxa"/>
            <w:vMerge w:val="restart"/>
            <w:tcBorders>
              <w:top w:val="single" w:sz="4" w:space="0" w:color="auto"/>
            </w:tcBorders>
            <w:shd w:val="clear" w:color="auto" w:fill="auto"/>
          </w:tcPr>
          <w:p w14:paraId="52639A6B" w14:textId="77777777" w:rsidR="00B96BA2" w:rsidRPr="002C710E" w:rsidRDefault="00B96BA2" w:rsidP="0046477B">
            <w:pPr>
              <w:spacing w:after="0" w:line="240" w:lineRule="auto"/>
            </w:pPr>
            <w:r>
              <w:t>Yallakool Creek, mid- and lower Wakool River</w:t>
            </w:r>
          </w:p>
        </w:tc>
        <w:tc>
          <w:tcPr>
            <w:tcW w:w="1448" w:type="dxa"/>
            <w:tcBorders>
              <w:top w:val="single" w:sz="4" w:space="0" w:color="auto"/>
            </w:tcBorders>
            <w:shd w:val="clear" w:color="auto" w:fill="auto"/>
          </w:tcPr>
          <w:p w14:paraId="5227E81E" w14:textId="77777777" w:rsidR="00B96BA2" w:rsidRPr="002C710E" w:rsidRDefault="00B96BA2" w:rsidP="0046477B">
            <w:pPr>
              <w:spacing w:after="0" w:line="240" w:lineRule="auto"/>
            </w:pPr>
            <w:r w:rsidRPr="002C710E">
              <w:t>For nat</w:t>
            </w:r>
            <w:r>
              <w:t>ive fish condition and movement</w:t>
            </w:r>
          </w:p>
        </w:tc>
        <w:tc>
          <w:tcPr>
            <w:tcW w:w="3827" w:type="dxa"/>
            <w:gridSpan w:val="2"/>
            <w:tcBorders>
              <w:top w:val="single" w:sz="4" w:space="0" w:color="auto"/>
            </w:tcBorders>
          </w:tcPr>
          <w:p w14:paraId="60009A4B" w14:textId="77777777" w:rsidR="00B96BA2" w:rsidRPr="002C710E" w:rsidRDefault="00B96BA2" w:rsidP="0046477B">
            <w:pPr>
              <w:spacing w:after="0" w:line="240" w:lineRule="auto"/>
              <w:jc w:val="left"/>
            </w:pPr>
            <w:r w:rsidRPr="00D917FD">
              <w:rPr>
                <w:bCs/>
              </w:rPr>
              <w:t xml:space="preserve">Occupation of </w:t>
            </w:r>
            <w:r>
              <w:rPr>
                <w:bCs/>
              </w:rPr>
              <w:t xml:space="preserve">Yallakool Creek - </w:t>
            </w:r>
            <w:r w:rsidRPr="00D917FD">
              <w:rPr>
                <w:bCs/>
              </w:rPr>
              <w:t>zone 1 by golden perch was enabled during winter watering in 2019 in comparison to winter 2018 (no watering), indicating that increased habitat was both available and utilised during the watering event.</w:t>
            </w:r>
          </w:p>
        </w:tc>
      </w:tr>
      <w:tr w:rsidR="00B96BA2" w14:paraId="6EDB70E0" w14:textId="77777777" w:rsidTr="0046477B">
        <w:trPr>
          <w:trHeight w:val="406"/>
        </w:trPr>
        <w:tc>
          <w:tcPr>
            <w:tcW w:w="620" w:type="dxa"/>
            <w:tcBorders>
              <w:bottom w:val="dashed" w:sz="4" w:space="0" w:color="auto"/>
            </w:tcBorders>
            <w:shd w:val="clear" w:color="auto" w:fill="auto"/>
          </w:tcPr>
          <w:p w14:paraId="3F59B7AC" w14:textId="77777777" w:rsidR="00B96BA2" w:rsidRPr="002C710E" w:rsidRDefault="00B96BA2" w:rsidP="0046477B"/>
        </w:tc>
        <w:tc>
          <w:tcPr>
            <w:tcW w:w="1008" w:type="dxa"/>
            <w:tcBorders>
              <w:bottom w:val="dashed" w:sz="4" w:space="0" w:color="auto"/>
            </w:tcBorders>
            <w:shd w:val="clear" w:color="auto" w:fill="auto"/>
          </w:tcPr>
          <w:p w14:paraId="6FE815DA" w14:textId="77777777" w:rsidR="00B96BA2" w:rsidRPr="002C710E" w:rsidRDefault="00B96BA2" w:rsidP="0046477B">
            <w:pPr>
              <w:spacing w:after="0" w:line="240" w:lineRule="auto"/>
            </w:pPr>
          </w:p>
        </w:tc>
        <w:tc>
          <w:tcPr>
            <w:tcW w:w="924" w:type="dxa"/>
            <w:vMerge/>
            <w:tcBorders>
              <w:bottom w:val="dashed" w:sz="4" w:space="0" w:color="auto"/>
            </w:tcBorders>
            <w:shd w:val="clear" w:color="auto" w:fill="auto"/>
          </w:tcPr>
          <w:p w14:paraId="359B3A44" w14:textId="77777777" w:rsidR="00B96BA2" w:rsidRDefault="00B96BA2" w:rsidP="0046477B">
            <w:pPr>
              <w:spacing w:after="0" w:line="240" w:lineRule="auto"/>
            </w:pPr>
          </w:p>
        </w:tc>
        <w:tc>
          <w:tcPr>
            <w:tcW w:w="1246" w:type="dxa"/>
            <w:vMerge/>
            <w:tcBorders>
              <w:bottom w:val="dashed" w:sz="4" w:space="0" w:color="auto"/>
            </w:tcBorders>
            <w:shd w:val="clear" w:color="auto" w:fill="auto"/>
          </w:tcPr>
          <w:p w14:paraId="1F17161A" w14:textId="77777777" w:rsidR="00B96BA2" w:rsidRDefault="00B96BA2" w:rsidP="0046477B">
            <w:pPr>
              <w:spacing w:after="0" w:line="240" w:lineRule="auto"/>
            </w:pPr>
          </w:p>
        </w:tc>
        <w:tc>
          <w:tcPr>
            <w:tcW w:w="1448" w:type="dxa"/>
            <w:tcBorders>
              <w:bottom w:val="dashed" w:sz="4" w:space="0" w:color="auto"/>
            </w:tcBorders>
            <w:shd w:val="clear" w:color="auto" w:fill="auto"/>
          </w:tcPr>
          <w:p w14:paraId="53B79D4A" w14:textId="77777777" w:rsidR="00B96BA2" w:rsidRPr="002C710E" w:rsidRDefault="00B96BA2" w:rsidP="0046477B">
            <w:pPr>
              <w:spacing w:after="0" w:line="240" w:lineRule="auto"/>
            </w:pPr>
            <w:r>
              <w:t xml:space="preserve">Provide </w:t>
            </w:r>
            <w:r w:rsidRPr="002C710E">
              <w:t>refuge habitat during irrigation shut-down period</w:t>
            </w:r>
          </w:p>
        </w:tc>
        <w:tc>
          <w:tcPr>
            <w:tcW w:w="3827" w:type="dxa"/>
            <w:gridSpan w:val="2"/>
            <w:tcBorders>
              <w:bottom w:val="dashed" w:sz="4" w:space="0" w:color="auto"/>
            </w:tcBorders>
          </w:tcPr>
          <w:p w14:paraId="461A026A" w14:textId="77777777" w:rsidR="00B96BA2" w:rsidRDefault="00B96BA2" w:rsidP="0046477B">
            <w:pPr>
              <w:spacing w:after="0" w:line="240" w:lineRule="auto"/>
              <w:jc w:val="left"/>
            </w:pPr>
            <w:r>
              <w:t>Strongest cohort of Murray 1+ found detected this year. Winter flows may have provided important over-wintering refuge habitat for the record number of larval and juvenile YOY recorded in 2018-19.</w:t>
            </w:r>
          </w:p>
        </w:tc>
      </w:tr>
      <w:tr w:rsidR="00B96BA2" w14:paraId="03D174E1" w14:textId="77777777" w:rsidTr="0046477B">
        <w:trPr>
          <w:trHeight w:val="407"/>
        </w:trPr>
        <w:tc>
          <w:tcPr>
            <w:tcW w:w="620" w:type="dxa"/>
            <w:tcBorders>
              <w:top w:val="dashed" w:sz="4" w:space="0" w:color="auto"/>
            </w:tcBorders>
            <w:shd w:val="clear" w:color="auto" w:fill="auto"/>
          </w:tcPr>
          <w:p w14:paraId="73862F71" w14:textId="77777777" w:rsidR="00B96BA2" w:rsidRPr="002C710E" w:rsidRDefault="00B96BA2" w:rsidP="0046477B">
            <w:r w:rsidRPr="002C710E">
              <w:t>3a</w:t>
            </w:r>
          </w:p>
        </w:tc>
        <w:tc>
          <w:tcPr>
            <w:tcW w:w="1008" w:type="dxa"/>
            <w:tcBorders>
              <w:top w:val="dashed" w:sz="4" w:space="0" w:color="auto"/>
            </w:tcBorders>
            <w:shd w:val="clear" w:color="auto" w:fill="auto"/>
          </w:tcPr>
          <w:p w14:paraId="7DD6FBCE" w14:textId="77777777" w:rsidR="00B96BA2" w:rsidRPr="002C710E" w:rsidRDefault="00B96BA2" w:rsidP="0046477B">
            <w:pPr>
              <w:spacing w:after="0" w:line="240" w:lineRule="auto"/>
            </w:pPr>
            <w:r w:rsidRPr="002C710E">
              <w:t>Winter/</w:t>
            </w:r>
            <w:r>
              <w:t xml:space="preserve"> </w:t>
            </w:r>
            <w:r w:rsidRPr="002C710E">
              <w:t>spring early fresh</w:t>
            </w:r>
          </w:p>
        </w:tc>
        <w:tc>
          <w:tcPr>
            <w:tcW w:w="924" w:type="dxa"/>
            <w:tcBorders>
              <w:top w:val="dashed" w:sz="4" w:space="0" w:color="auto"/>
            </w:tcBorders>
            <w:shd w:val="clear" w:color="auto" w:fill="auto"/>
          </w:tcPr>
          <w:p w14:paraId="3B87147C" w14:textId="77777777" w:rsidR="00B96BA2" w:rsidRPr="002C710E" w:rsidRDefault="00B96BA2" w:rsidP="0046477B">
            <w:pPr>
              <w:spacing w:after="0" w:line="240" w:lineRule="auto"/>
              <w:rPr>
                <w:rFonts w:cs="Arial"/>
                <w:color w:val="000000" w:themeColor="text1"/>
              </w:rPr>
            </w:pPr>
            <w:r>
              <w:t>28 Aug - 4 Sep 20</w:t>
            </w:r>
            <w:r w:rsidRPr="002C710E">
              <w:t>19</w:t>
            </w:r>
          </w:p>
        </w:tc>
        <w:tc>
          <w:tcPr>
            <w:tcW w:w="1246" w:type="dxa"/>
            <w:tcBorders>
              <w:top w:val="dashed" w:sz="4" w:space="0" w:color="auto"/>
            </w:tcBorders>
            <w:shd w:val="clear" w:color="auto" w:fill="auto"/>
          </w:tcPr>
          <w:p w14:paraId="48299C42" w14:textId="77777777" w:rsidR="00B96BA2" w:rsidRPr="002C710E" w:rsidRDefault="00B96BA2" w:rsidP="0046477B">
            <w:pPr>
              <w:spacing w:after="0" w:line="240" w:lineRule="auto"/>
              <w:rPr>
                <w:rFonts w:cs="Arial"/>
                <w:color w:val="000000" w:themeColor="text1"/>
              </w:rPr>
            </w:pPr>
            <w:r>
              <w:t>Yallakool Creek, mid- and lower Wakool River</w:t>
            </w:r>
          </w:p>
        </w:tc>
        <w:tc>
          <w:tcPr>
            <w:tcW w:w="1448" w:type="dxa"/>
            <w:tcBorders>
              <w:top w:val="dashed" w:sz="4" w:space="0" w:color="auto"/>
            </w:tcBorders>
            <w:shd w:val="clear" w:color="auto" w:fill="auto"/>
          </w:tcPr>
          <w:p w14:paraId="7F5C6731" w14:textId="77777777" w:rsidR="00B96BA2" w:rsidRPr="00921137" w:rsidRDefault="00B96BA2" w:rsidP="0046477B">
            <w:pPr>
              <w:spacing w:after="0" w:line="240" w:lineRule="auto"/>
              <w:rPr>
                <w:rFonts w:cs="Arial"/>
                <w:color w:val="000000" w:themeColor="text1"/>
              </w:rPr>
            </w:pPr>
            <w:r>
              <w:rPr>
                <w:rFonts w:cs="Arial"/>
                <w:color w:val="000000" w:themeColor="text1"/>
              </w:rPr>
              <w:t xml:space="preserve">Contribute to </w:t>
            </w:r>
            <w:r w:rsidRPr="002C710E">
              <w:rPr>
                <w:rFonts w:cs="Arial"/>
                <w:color w:val="000000" w:themeColor="text1"/>
              </w:rPr>
              <w:t>spawnin</w:t>
            </w:r>
            <w:r>
              <w:rPr>
                <w:rFonts w:cs="Arial"/>
                <w:color w:val="000000" w:themeColor="text1"/>
              </w:rPr>
              <w:t>g in early spawning native fish</w:t>
            </w:r>
          </w:p>
        </w:tc>
        <w:tc>
          <w:tcPr>
            <w:tcW w:w="3827" w:type="dxa"/>
            <w:gridSpan w:val="2"/>
            <w:tcBorders>
              <w:top w:val="dashed" w:sz="4" w:space="0" w:color="auto"/>
            </w:tcBorders>
          </w:tcPr>
          <w:p w14:paraId="16EFAD20" w14:textId="77777777" w:rsidR="00B96BA2" w:rsidRDefault="00B96BA2" w:rsidP="0046477B">
            <w:pPr>
              <w:spacing w:after="0" w:line="240" w:lineRule="auto"/>
              <w:jc w:val="left"/>
              <w:rPr>
                <w:rFonts w:cs="Arial"/>
                <w:color w:val="000000" w:themeColor="text1"/>
              </w:rPr>
            </w:pPr>
            <w:r>
              <w:rPr>
                <w:rFonts w:cs="Arial"/>
                <w:color w:val="000000" w:themeColor="text1"/>
              </w:rPr>
              <w:t>Greater numbers of Australian smelt found in reaches where environmental water was delivered.</w:t>
            </w:r>
          </w:p>
        </w:tc>
      </w:tr>
      <w:tr w:rsidR="00B96BA2" w14:paraId="12CFD003" w14:textId="77777777" w:rsidTr="0046477B">
        <w:tc>
          <w:tcPr>
            <w:tcW w:w="620" w:type="dxa"/>
            <w:tcBorders>
              <w:top w:val="dashed" w:sz="4" w:space="0" w:color="auto"/>
              <w:bottom w:val="dashed" w:sz="4" w:space="0" w:color="auto"/>
            </w:tcBorders>
            <w:shd w:val="clear" w:color="auto" w:fill="auto"/>
          </w:tcPr>
          <w:p w14:paraId="157D7D75" w14:textId="77777777" w:rsidR="00B96BA2" w:rsidRPr="002C710E" w:rsidRDefault="00B96BA2" w:rsidP="0046477B">
            <w:r w:rsidRPr="002C710E">
              <w:t>3b</w:t>
            </w:r>
          </w:p>
        </w:tc>
        <w:tc>
          <w:tcPr>
            <w:tcW w:w="1008" w:type="dxa"/>
            <w:tcBorders>
              <w:top w:val="dashed" w:sz="4" w:space="0" w:color="auto"/>
              <w:bottom w:val="dashed" w:sz="4" w:space="0" w:color="auto"/>
            </w:tcBorders>
            <w:shd w:val="clear" w:color="auto" w:fill="auto"/>
          </w:tcPr>
          <w:p w14:paraId="0A42C14E" w14:textId="77777777" w:rsidR="00B96BA2" w:rsidRPr="002C710E" w:rsidRDefault="00B96BA2" w:rsidP="0046477B">
            <w:pPr>
              <w:spacing w:after="0" w:line="240" w:lineRule="auto"/>
            </w:pPr>
            <w:r w:rsidRPr="002C710E">
              <w:t>Early spring elevated base flow</w:t>
            </w:r>
          </w:p>
        </w:tc>
        <w:tc>
          <w:tcPr>
            <w:tcW w:w="924" w:type="dxa"/>
            <w:tcBorders>
              <w:top w:val="dashed" w:sz="4" w:space="0" w:color="auto"/>
              <w:bottom w:val="dashed" w:sz="4" w:space="0" w:color="auto"/>
            </w:tcBorders>
            <w:shd w:val="clear" w:color="auto" w:fill="auto"/>
          </w:tcPr>
          <w:p w14:paraId="3DFE91F9" w14:textId="77777777" w:rsidR="00B96BA2" w:rsidRPr="002C710E" w:rsidRDefault="00B96BA2" w:rsidP="0046477B">
            <w:pPr>
              <w:spacing w:after="0" w:line="240" w:lineRule="auto"/>
              <w:rPr>
                <w:rFonts w:cs="Arial"/>
                <w:color w:val="000000" w:themeColor="text1"/>
                <w14:props3d w14:extrusionH="0" w14:contourW="0" w14:prstMaterial="matte"/>
              </w:rPr>
            </w:pPr>
            <w:r>
              <w:t>5 - 22 Sep 20</w:t>
            </w:r>
            <w:r w:rsidRPr="002C710E">
              <w:t>19</w:t>
            </w:r>
          </w:p>
        </w:tc>
        <w:tc>
          <w:tcPr>
            <w:tcW w:w="1246" w:type="dxa"/>
            <w:tcBorders>
              <w:top w:val="dashed" w:sz="4" w:space="0" w:color="auto"/>
              <w:bottom w:val="dashed" w:sz="4" w:space="0" w:color="auto"/>
            </w:tcBorders>
            <w:shd w:val="clear" w:color="auto" w:fill="auto"/>
          </w:tcPr>
          <w:p w14:paraId="6A32BF9E" w14:textId="77777777" w:rsidR="00B96BA2" w:rsidRPr="002C710E" w:rsidRDefault="00B96BA2" w:rsidP="0046477B">
            <w:pPr>
              <w:spacing w:after="0" w:line="240" w:lineRule="auto"/>
              <w:rPr>
                <w:rFonts w:cs="Arial"/>
                <w:color w:val="000000" w:themeColor="text1"/>
                <w14:props3d w14:extrusionH="0" w14:contourW="0" w14:prstMaterial="matte"/>
              </w:rPr>
            </w:pPr>
            <w:r>
              <w:t>Yallakool Creek, mid- and lower Wakool River</w:t>
            </w:r>
          </w:p>
        </w:tc>
        <w:tc>
          <w:tcPr>
            <w:tcW w:w="1448" w:type="dxa"/>
            <w:tcBorders>
              <w:top w:val="dashed" w:sz="4" w:space="0" w:color="auto"/>
              <w:bottom w:val="dashed" w:sz="4" w:space="0" w:color="auto"/>
            </w:tcBorders>
            <w:shd w:val="clear" w:color="auto" w:fill="auto"/>
          </w:tcPr>
          <w:p w14:paraId="37EDF926" w14:textId="77777777" w:rsidR="00B96BA2" w:rsidRPr="002C710E" w:rsidRDefault="00B96BA2" w:rsidP="0046477B">
            <w:pPr>
              <w:spacing w:after="0" w:line="240" w:lineRule="auto"/>
            </w:pPr>
            <w:r w:rsidRPr="002C710E">
              <w:rPr>
                <w:rFonts w:cs="Arial"/>
                <w:color w:val="000000" w:themeColor="text1"/>
                <w14:props3d w14:extrusionH="0" w14:contourW="0" w14:prstMaterial="matte"/>
              </w:rPr>
              <w:t>To maintai</w:t>
            </w:r>
            <w:r>
              <w:rPr>
                <w:rFonts w:cs="Arial"/>
                <w:color w:val="000000" w:themeColor="text1"/>
                <w14:props3d w14:extrusionH="0" w14:contourW="0" w14:prstMaterial="matte"/>
              </w:rPr>
              <w:t>n nesting habitat for Murray Cod</w:t>
            </w:r>
          </w:p>
        </w:tc>
        <w:tc>
          <w:tcPr>
            <w:tcW w:w="3827" w:type="dxa"/>
            <w:gridSpan w:val="2"/>
            <w:tcBorders>
              <w:top w:val="dashed" w:sz="4" w:space="0" w:color="auto"/>
              <w:bottom w:val="dashed" w:sz="4" w:space="0" w:color="auto"/>
            </w:tcBorders>
          </w:tcPr>
          <w:p w14:paraId="3F7BFE19" w14:textId="77777777" w:rsidR="00B96BA2" w:rsidRPr="002C710E" w:rsidRDefault="00B96BA2" w:rsidP="0029244C">
            <w:pPr>
              <w:spacing w:after="120" w:line="240" w:lineRule="auto"/>
              <w:jc w:val="left"/>
              <w:rPr>
                <w:rFonts w:cs="Arial"/>
                <w:color w:val="000000" w:themeColor="text1"/>
                <w14:props3d w14:extrusionH="0" w14:contourW="0" w14:prstMaterial="matte"/>
              </w:rPr>
            </w:pPr>
            <w:r>
              <w:rPr>
                <w:rFonts w:cs="Arial"/>
                <w:color w:val="000000" w:themeColor="text1"/>
                <w14:props3d w14:extrusionH="0" w14:contourW="0" w14:prstMaterial="matte"/>
              </w:rPr>
              <w:t>The abundance of Murray cod was not significantly higher in zones receiving environmental water compared to those that did not. Environmental water may have a great outcome in zone 2 due to the complex habitat structure in this reach. We saw positive evidence of Murray cod abundance in zone 2 in response to 2018-19 environmental flows.  (sensu 2018-19).</w:t>
            </w:r>
          </w:p>
        </w:tc>
      </w:tr>
      <w:tr w:rsidR="00B96BA2" w14:paraId="739BBEEF" w14:textId="77777777" w:rsidTr="0046477B">
        <w:trPr>
          <w:trHeight w:val="443"/>
        </w:trPr>
        <w:tc>
          <w:tcPr>
            <w:tcW w:w="620" w:type="dxa"/>
            <w:tcBorders>
              <w:top w:val="dashed" w:sz="4" w:space="0" w:color="auto"/>
              <w:bottom w:val="single" w:sz="8" w:space="0" w:color="000000" w:themeColor="text1"/>
            </w:tcBorders>
            <w:shd w:val="clear" w:color="auto" w:fill="auto"/>
          </w:tcPr>
          <w:p w14:paraId="496BCF24" w14:textId="77777777" w:rsidR="00B96BA2" w:rsidRPr="002C710E" w:rsidRDefault="00B96BA2" w:rsidP="0046477B">
            <w:r w:rsidRPr="002C710E">
              <w:t>3c</w:t>
            </w:r>
          </w:p>
        </w:tc>
        <w:tc>
          <w:tcPr>
            <w:tcW w:w="1008" w:type="dxa"/>
            <w:tcBorders>
              <w:top w:val="dashed" w:sz="4" w:space="0" w:color="auto"/>
              <w:bottom w:val="single" w:sz="8" w:space="0" w:color="000000" w:themeColor="text1"/>
            </w:tcBorders>
            <w:shd w:val="clear" w:color="auto" w:fill="auto"/>
          </w:tcPr>
          <w:p w14:paraId="47F67FEE" w14:textId="77777777" w:rsidR="00B96BA2" w:rsidRPr="002C710E" w:rsidRDefault="00B96BA2" w:rsidP="0046477B">
            <w:pPr>
              <w:spacing w:after="0" w:line="240" w:lineRule="auto"/>
            </w:pPr>
            <w:r w:rsidRPr="002C710E">
              <w:t>Late spring fresh</w:t>
            </w:r>
          </w:p>
        </w:tc>
        <w:tc>
          <w:tcPr>
            <w:tcW w:w="924" w:type="dxa"/>
            <w:tcBorders>
              <w:top w:val="dashed" w:sz="4" w:space="0" w:color="auto"/>
              <w:bottom w:val="single" w:sz="8" w:space="0" w:color="000000" w:themeColor="text1"/>
            </w:tcBorders>
            <w:shd w:val="clear" w:color="auto" w:fill="auto"/>
          </w:tcPr>
          <w:p w14:paraId="56969DDC" w14:textId="77777777" w:rsidR="00B96BA2" w:rsidRPr="002C710E" w:rsidRDefault="00B96BA2" w:rsidP="0046477B">
            <w:pPr>
              <w:spacing w:after="0" w:line="240" w:lineRule="auto"/>
              <w:rPr>
                <w:color w:val="000000" w:themeColor="text1"/>
                <w14:props3d w14:extrusionH="0" w14:contourW="0" w14:prstMaterial="matte"/>
              </w:rPr>
            </w:pPr>
            <w:r>
              <w:t>23 Sep</w:t>
            </w:r>
            <w:r w:rsidRPr="002C710E">
              <w:t xml:space="preserve"> </w:t>
            </w:r>
            <w:r>
              <w:t>- 11 Oct 2019</w:t>
            </w:r>
          </w:p>
        </w:tc>
        <w:tc>
          <w:tcPr>
            <w:tcW w:w="1246" w:type="dxa"/>
            <w:tcBorders>
              <w:top w:val="dashed" w:sz="4" w:space="0" w:color="auto"/>
              <w:bottom w:val="single" w:sz="8" w:space="0" w:color="000000" w:themeColor="text1"/>
            </w:tcBorders>
            <w:shd w:val="clear" w:color="auto" w:fill="auto"/>
          </w:tcPr>
          <w:p w14:paraId="6B32D6F0" w14:textId="77777777" w:rsidR="00B96BA2" w:rsidRPr="002C710E" w:rsidRDefault="00B96BA2" w:rsidP="0046477B">
            <w:pPr>
              <w:spacing w:after="0" w:line="240" w:lineRule="auto"/>
              <w:rPr>
                <w:color w:val="000000" w:themeColor="text1"/>
                <w14:props3d w14:extrusionH="0" w14:contourW="0" w14:prstMaterial="matte"/>
              </w:rPr>
            </w:pPr>
            <w:r>
              <w:t>Yallakool Creek, mid- and lower Wakool River</w:t>
            </w:r>
          </w:p>
        </w:tc>
        <w:tc>
          <w:tcPr>
            <w:tcW w:w="1448" w:type="dxa"/>
            <w:tcBorders>
              <w:top w:val="dashed" w:sz="4" w:space="0" w:color="auto"/>
              <w:bottom w:val="single" w:sz="8" w:space="0" w:color="000000" w:themeColor="text1"/>
            </w:tcBorders>
            <w:shd w:val="clear" w:color="auto" w:fill="auto"/>
          </w:tcPr>
          <w:p w14:paraId="186CA31C" w14:textId="77777777" w:rsidR="00B96BA2" w:rsidRPr="00921137" w:rsidRDefault="00B96BA2" w:rsidP="0046477B">
            <w:pPr>
              <w:spacing w:after="0" w:line="240" w:lineRule="auto"/>
              <w:rPr>
                <w:color w:val="000000" w:themeColor="text1"/>
                <w14:props3d w14:extrusionH="0" w14:contourW="0" w14:prstMaterial="matte"/>
              </w:rPr>
            </w:pPr>
            <w:r w:rsidRPr="002C710E">
              <w:rPr>
                <w:color w:val="000000" w:themeColor="text1"/>
                <w14:props3d w14:extrusionH="0" w14:contourW="0" w14:prstMaterial="matte"/>
              </w:rPr>
              <w:t>To promote silve</w:t>
            </w:r>
            <w:r>
              <w:rPr>
                <w:color w:val="000000" w:themeColor="text1"/>
                <w14:props3d w14:extrusionH="0" w14:contourW="0" w14:prstMaterial="matte"/>
              </w:rPr>
              <w:t>r perch spawning</w:t>
            </w:r>
          </w:p>
        </w:tc>
        <w:tc>
          <w:tcPr>
            <w:tcW w:w="3827" w:type="dxa"/>
            <w:gridSpan w:val="2"/>
            <w:tcBorders>
              <w:top w:val="dashed" w:sz="4" w:space="0" w:color="auto"/>
              <w:bottom w:val="single" w:sz="8" w:space="0" w:color="000000" w:themeColor="text1"/>
            </w:tcBorders>
          </w:tcPr>
          <w:p w14:paraId="1ABA2EA2" w14:textId="77777777" w:rsidR="00B96BA2" w:rsidRPr="002C710E" w:rsidRDefault="00B96BA2" w:rsidP="0046477B">
            <w:pPr>
              <w:spacing w:after="0" w:line="240" w:lineRule="auto"/>
              <w:jc w:val="left"/>
              <w:rPr>
                <w:color w:val="000000" w:themeColor="text1"/>
                <w14:props3d w14:extrusionH="0" w14:contourW="0" w14:prstMaterial="matte"/>
              </w:rPr>
            </w:pPr>
            <w:r>
              <w:rPr>
                <w:color w:val="000000" w:themeColor="text1"/>
                <w14:props3d w14:extrusionH="0" w14:contourW="0" w14:prstMaterial="matte"/>
              </w:rPr>
              <w:t>No silver perch spawning response detected. Temperatures may have been too low for the flow that was delivered.</w:t>
            </w:r>
          </w:p>
        </w:tc>
      </w:tr>
    </w:tbl>
    <w:p w14:paraId="05050DD2" w14:textId="77777777" w:rsidR="0029244C" w:rsidRDefault="0029244C" w:rsidP="0046477B">
      <w:pPr>
        <w:spacing w:after="120" w:line="324" w:lineRule="exact"/>
        <w:ind w:right="-285"/>
        <w:rPr>
          <w:b/>
          <w:bCs/>
          <w:i/>
        </w:rPr>
      </w:pPr>
    </w:p>
    <w:p w14:paraId="545F1EBA" w14:textId="77777777" w:rsidR="00EE7F09" w:rsidRPr="00470644" w:rsidRDefault="00EE7F09" w:rsidP="0046477B">
      <w:pPr>
        <w:spacing w:after="120" w:line="324" w:lineRule="exact"/>
        <w:ind w:right="-285"/>
        <w:rPr>
          <w:b/>
          <w:bCs/>
          <w:i/>
        </w:rPr>
      </w:pPr>
      <w:r w:rsidRPr="00470644">
        <w:rPr>
          <w:b/>
          <w:bCs/>
          <w:i/>
        </w:rPr>
        <w:t>Watering action 1: Winter base flow</w:t>
      </w:r>
    </w:p>
    <w:p w14:paraId="602AB344" w14:textId="77777777" w:rsidR="00EE7F09" w:rsidRDefault="00EE7F09" w:rsidP="00EF43EE">
      <w:pPr>
        <w:tabs>
          <w:tab w:val="left" w:pos="9356"/>
        </w:tabs>
        <w:spacing w:after="120" w:line="324" w:lineRule="exact"/>
        <w:ind w:right="305"/>
        <w:jc w:val="left"/>
      </w:pPr>
      <w:r>
        <w:t>From 15 May – 9 August 2019, a winter base flow was delivered through Yallakool Creek, the mid- Wakool River and the lower Wakool River. Typically, winter flows cease in many creek and river reaches of the Edward/Kolety River system, as well as other regulated rivers in the Murray Darling Basin, due to lack of irrigation demand for water at this time (Stuart et al. 2019; Tonkin et al. 2020). The provision of a winter base flows can provide flow connectivity through the complex array of creeks, anabranches and distributary channels throughout the selected area. It can also provide retention of local habitat for native fish, that may either otherwise have to move out during this winter period, or be confined to suboptimal overwintering habitat where competition and predation risk increases as populations are forced to contract and concentrate into the limited available refuge (Stuart et al. 2019; Tonkin et al. 2020). Indeed, 2019-20 movement monitoring data revealed that the occupation of Yallakool Creek by golden perch was enabled during winter watering in 2019 in comparison to winter 2018 (no watering), indicating that increase habitat was both available, and utilised during the winter watering action.</w:t>
      </w:r>
    </w:p>
    <w:p w14:paraId="612C0E8B" w14:textId="77777777" w:rsidR="00EE7F09" w:rsidRDefault="00EE7F09" w:rsidP="00EF43EE">
      <w:pPr>
        <w:tabs>
          <w:tab w:val="left" w:pos="9356"/>
        </w:tabs>
        <w:spacing w:after="120" w:line="324" w:lineRule="exact"/>
        <w:ind w:right="305"/>
        <w:jc w:val="left"/>
        <w:rPr>
          <w:bCs/>
        </w:rPr>
      </w:pPr>
      <w:r>
        <w:rPr>
          <w:bCs/>
        </w:rPr>
        <w:t xml:space="preserve">No discernible differences were </w:t>
      </w:r>
      <w:r w:rsidRPr="00D917FD">
        <w:rPr>
          <w:bCs/>
        </w:rPr>
        <w:t xml:space="preserve">observed in the scale of the movements of golden perch or silver perch during the 2019 winter watering </w:t>
      </w:r>
      <w:r>
        <w:rPr>
          <w:bCs/>
        </w:rPr>
        <w:t>action</w:t>
      </w:r>
      <w:r w:rsidRPr="00D917FD">
        <w:rPr>
          <w:bCs/>
        </w:rPr>
        <w:t>, although we note that sample sizes were low.</w:t>
      </w:r>
      <w:r>
        <w:rPr>
          <w:bCs/>
        </w:rPr>
        <w:t xml:space="preserve"> </w:t>
      </w:r>
      <w:r w:rsidRPr="00D917FD">
        <w:rPr>
          <w:bCs/>
        </w:rPr>
        <w:t>Movements during winter are typically localised for both species in this system based on previous observ</w:t>
      </w:r>
      <w:r>
        <w:rPr>
          <w:bCs/>
        </w:rPr>
        <w:t>ed and modelled data, although modelling based on previous water delivery years (2017 and 2018) indicate that CEW deliveries in winter increase the movement of golden perch, silver perch and Murray cod, and movement is most pronounced in silver perch.</w:t>
      </w:r>
    </w:p>
    <w:p w14:paraId="7236D857" w14:textId="77777777" w:rsidR="00EE7F09" w:rsidRDefault="00EE7F09" w:rsidP="00EF43EE">
      <w:pPr>
        <w:tabs>
          <w:tab w:val="left" w:pos="9356"/>
        </w:tabs>
        <w:spacing w:after="120" w:line="324" w:lineRule="exact"/>
        <w:ind w:right="305"/>
        <w:jc w:val="left"/>
        <w:rPr>
          <w:bCs/>
        </w:rPr>
      </w:pPr>
      <w:r>
        <w:rPr>
          <w:bCs/>
        </w:rPr>
        <w:t>The 2019 winter base flows likely contributed to positive outcomes for juvenile Murray cod.</w:t>
      </w:r>
      <w:r w:rsidRPr="0040212D">
        <w:t xml:space="preserve"> </w:t>
      </w:r>
      <w:r>
        <w:t xml:space="preserve">In spring 2018 a record number of Murray cod larvae were recorded as a result of a spring watering action delivered to the upper Wakool River (Watts et al. 2019). In this current monitoring year, we recorded a record number of 1+ Murray cod juveniles, and we hypothesise that the subsequent preceding winter base flow in 2019 </w:t>
      </w:r>
      <w:r>
        <w:rPr>
          <w:bCs/>
        </w:rPr>
        <w:t>provided critical overwinter refuge habitat for these YOY, increasing local retention and survival. The ability to provide both springtime elevated base flows in the Upper Wakool River, followed by winter base flows to prevent unnatural cease-to-flow events will have positive outcomes for the recovery of Murray cod in the Edward/Kolety-Wakool Selected area.</w:t>
      </w:r>
    </w:p>
    <w:p w14:paraId="3D166662" w14:textId="77777777" w:rsidR="00EE7F09" w:rsidRPr="00470644" w:rsidRDefault="00EE7F09" w:rsidP="00EF43EE">
      <w:pPr>
        <w:tabs>
          <w:tab w:val="left" w:pos="9356"/>
        </w:tabs>
        <w:spacing w:after="120" w:line="324" w:lineRule="exact"/>
        <w:ind w:right="305"/>
        <w:rPr>
          <w:b/>
          <w:bCs/>
          <w:i/>
        </w:rPr>
      </w:pPr>
      <w:r w:rsidRPr="00470644">
        <w:rPr>
          <w:b/>
          <w:bCs/>
          <w:i/>
        </w:rPr>
        <w:t>Watering action 3: Sustained spring fresh and elevated base flows</w:t>
      </w:r>
    </w:p>
    <w:p w14:paraId="1F62A348" w14:textId="638EADE2" w:rsidR="00EE7F09" w:rsidRDefault="00EE7F09" w:rsidP="00EF43EE">
      <w:pPr>
        <w:tabs>
          <w:tab w:val="left" w:pos="9356"/>
        </w:tabs>
        <w:spacing w:after="120" w:line="324" w:lineRule="exact"/>
        <w:ind w:right="305"/>
        <w:jc w:val="left"/>
      </w:pPr>
      <w:r>
        <w:t>Despite the longitudinal extent of watering action 3, which coincided with the broader Murray River Channel flow, we did not detect silver perch or golden perch spawning in the monitored areas of the Edward/Kolety-Wakool River system. Additional sampling in the Edward/Kolety River targeting golden and silver perch spawning took place for the first time in 2019-20 (Section 11), however we did not detected any silver or golden perch eggs/larvae. Although catches of adult silver perch are back to pre-2016 fish kills levels,</w:t>
      </w:r>
      <w:r w:rsidRPr="0090516B">
        <w:t xml:space="preserve"> </w:t>
      </w:r>
      <w:r>
        <w:t>detectable spawning events have not yet been recorded for in the selected area. For the flow delivered in 2019-20, water temperature may have been too low, or critical water velocities not met. The presence of 1+ silver perch in the Selected Area does however indicate that successful spawning and recruitment of the species is occurring in the southern Basin, but most likely at a much broader geographic scale than the Edward/Kolety Selected Area itself (see Tonkin et al. 2019). The life cycle of golden and silver perch is considered to require unimpeded flowing water habitats encompassing at least 100’s of kilometres, and therefore maintaining connectivity to the nearby Mid-Murray River to ensure bi-directional movement of juveniles and adults of both species will continue to help support recovery (Thiem et al. 2017). Future planning of environmental water delivery could consider adaptive use of water to coincide with high Murray River flows to maximise attraction/immigration of upstream migrating juvenile golden perch and silver perch in late summer. The probability of silver perch moving into and then staying in other more upstream tributaries of the Murray River (Goulburn and Campaspe rivers) is elevated in March-May (Koster et al. 2020), so delivering attraction flows in the Edward</w:t>
      </w:r>
      <w:r w:rsidR="0091645A">
        <w:t>/Kolety</w:t>
      </w:r>
      <w:r>
        <w:t xml:space="preserve">-Wakool river system at this time or before (e.g. January-March) may be optimal for this more downstream tributary. </w:t>
      </w:r>
    </w:p>
    <w:p w14:paraId="261EC74B" w14:textId="77777777" w:rsidR="00EE7F09" w:rsidRDefault="00EE7F09" w:rsidP="00EF43EE">
      <w:pPr>
        <w:tabs>
          <w:tab w:val="left" w:pos="9356"/>
        </w:tabs>
        <w:spacing w:after="120" w:line="324" w:lineRule="exact"/>
        <w:ind w:right="447"/>
        <w:jc w:val="left"/>
      </w:pPr>
      <w:r>
        <w:t xml:space="preserve">Two native fish species, Australian smelt and bony herring had a positive spawning response to environmental water delivery. Australian smelt are an early spawning species, and greater numbers of larvae were found in all study reaches where environmental water was delivered. Although we note this species is tolerant to river regulation (Gehrke and Harris 2001). A similar result occurred in 2018-19 where Australian smelt larvae were found in greater abundances in reaches that received environmental water during winter/early spring compared to those that did not. Bony Herring larvae were found in greater numbers in reaches that received environmental water, and juvenile and adult CPUE in 2019-20 was the highest collected to date. </w:t>
      </w:r>
    </w:p>
    <w:p w14:paraId="05D03C53" w14:textId="77777777" w:rsidR="00EE7F09" w:rsidRPr="00F113E5" w:rsidRDefault="00EE7F09" w:rsidP="00EF43EE">
      <w:pPr>
        <w:tabs>
          <w:tab w:val="left" w:pos="9498"/>
        </w:tabs>
        <w:spacing w:after="120" w:line="324" w:lineRule="exact"/>
        <w:ind w:right="447"/>
        <w:jc w:val="left"/>
        <w:rPr>
          <w:b/>
          <w:i/>
          <w:color w:val="31849B"/>
          <w:sz w:val="24"/>
          <w:szCs w:val="24"/>
          <w:lang w:val="en-US"/>
        </w:rPr>
      </w:pPr>
      <w:r w:rsidRPr="00F113E5">
        <w:rPr>
          <w:b/>
          <w:i/>
          <w:color w:val="31849B"/>
          <w:sz w:val="24"/>
          <w:szCs w:val="24"/>
          <w:lang w:val="en-US"/>
        </w:rPr>
        <w:t>Flow recommendation for fish outcomes</w:t>
      </w:r>
    </w:p>
    <w:p w14:paraId="20A6F8D9" w14:textId="77777777" w:rsidR="00EE7F09" w:rsidRDefault="00EE7F09" w:rsidP="00EF43EE">
      <w:pPr>
        <w:tabs>
          <w:tab w:val="left" w:pos="9498"/>
        </w:tabs>
        <w:spacing w:after="120" w:line="324" w:lineRule="exact"/>
        <w:ind w:right="447"/>
        <w:jc w:val="left"/>
      </w:pPr>
      <w:r w:rsidRPr="00B75695">
        <w:rPr>
          <w:b/>
        </w:rPr>
        <w:t>Recommendation:</w:t>
      </w:r>
      <w:r>
        <w:t xml:space="preserve"> Deliver elevated base flows to the Upper Wakool River from September-December to maximise nesting and spawning opportunities for Murray cod. Record catches of larvae have been recorded when this type of watering action is delivered. This type of flow delivery should be supported with subsequent winter base flows throughout the Selected Area to maximise retention and survival of YOY in the region.</w:t>
      </w:r>
    </w:p>
    <w:p w14:paraId="40A55541" w14:textId="77777777" w:rsidR="00EE7F09" w:rsidRDefault="00EE7F09" w:rsidP="00EF43EE">
      <w:pPr>
        <w:tabs>
          <w:tab w:val="left" w:pos="9498"/>
        </w:tabs>
        <w:spacing w:after="120" w:line="324" w:lineRule="exact"/>
        <w:ind w:right="447"/>
        <w:jc w:val="left"/>
      </w:pPr>
      <w:r w:rsidRPr="00B75695">
        <w:rPr>
          <w:b/>
        </w:rPr>
        <w:t>Recommendation</w:t>
      </w:r>
      <w:r>
        <w:t>: Prevent negative impacts of a-seasonal cease-to-flow events by delivering winter base flows to promote temporal availability and continuity of instream habitat for fish. Evidence from 2019-20 monitoring indicates this has positive benefits for the survival and local retention of juvenile fish.</w:t>
      </w:r>
    </w:p>
    <w:p w14:paraId="21C46FD6" w14:textId="77777777" w:rsidR="00EE7F09" w:rsidRDefault="00EE7F09" w:rsidP="00EF43EE">
      <w:pPr>
        <w:tabs>
          <w:tab w:val="left" w:pos="9498"/>
        </w:tabs>
        <w:spacing w:after="120" w:line="324" w:lineRule="exact"/>
        <w:ind w:right="447"/>
        <w:jc w:val="left"/>
      </w:pPr>
      <w:r w:rsidRPr="003F214C">
        <w:rPr>
          <w:b/>
        </w:rPr>
        <w:t>Recommendation:</w:t>
      </w:r>
      <w:r>
        <w:t xml:space="preserve"> In years with high water availability, consider a late spring/early summer pulse, immediately after Murray cod larvae have left the nest, to support food resources for Murray cod larvae while at the same time providing opportunities for spawning to occur in silver perch and golden perch.</w:t>
      </w:r>
    </w:p>
    <w:p w14:paraId="08033AB0" w14:textId="73B1998E" w:rsidR="00EE7F09" w:rsidRDefault="00EE7F09" w:rsidP="00EF43EE">
      <w:pPr>
        <w:tabs>
          <w:tab w:val="left" w:pos="9498"/>
        </w:tabs>
        <w:spacing w:after="120" w:line="324" w:lineRule="exact"/>
        <w:ind w:right="447"/>
        <w:jc w:val="left"/>
      </w:pPr>
      <w:r w:rsidRPr="003F214C">
        <w:rPr>
          <w:b/>
        </w:rPr>
        <w:t>Recommendation:</w:t>
      </w:r>
      <w:r>
        <w:t xml:space="preserve"> Consider adaptive use of water to coincide with high Murray River flows to maximise attraction/immigration of upstream migrating juvenile golden perch and silver perch in late summer. The probability of silver perch moving into and then staying in other more upstream tributaries of the Murray River (Goulburn and Campaspe rivers) is elevated in March-May (Koster et al. 2020), so delivering attraction flows in the Edward</w:t>
      </w:r>
      <w:r w:rsidR="0091645A">
        <w:t>/Kolety</w:t>
      </w:r>
      <w:r>
        <w:t>-Wakool river system at this time or before (e.g. January-March) may be optimal for this more downstream tributary.</w:t>
      </w:r>
    </w:p>
    <w:p w14:paraId="7EEF3286" w14:textId="5F9393D2" w:rsidR="00EE7F09" w:rsidRDefault="00EE7F09" w:rsidP="00EF43EE">
      <w:pPr>
        <w:tabs>
          <w:tab w:val="left" w:pos="9498"/>
        </w:tabs>
        <w:spacing w:after="120" w:line="324" w:lineRule="exact"/>
        <w:ind w:right="447"/>
        <w:jc w:val="left"/>
      </w:pPr>
      <w:r w:rsidRPr="003F214C">
        <w:rPr>
          <w:b/>
        </w:rPr>
        <w:t>Recommendation</w:t>
      </w:r>
      <w:r>
        <w:rPr>
          <w:b/>
        </w:rPr>
        <w:t xml:space="preserve">: </w:t>
      </w:r>
      <w:r>
        <w:t>In watering years where risk of hypoxic blackwater events is probable, consider how CEW watering actions could be used to mitigate effects on fish populations. One option to explore could be use of flows to encourage movement out of high risk reaches.</w:t>
      </w:r>
    </w:p>
    <w:p w14:paraId="3B9AD873" w14:textId="77777777" w:rsidR="001B5621" w:rsidRDefault="001B5621" w:rsidP="0046477B">
      <w:pPr>
        <w:spacing w:after="120" w:line="324" w:lineRule="exact"/>
        <w:ind w:right="-285"/>
        <w:jc w:val="left"/>
      </w:pPr>
    </w:p>
    <w:tbl>
      <w:tblPr>
        <w:tblStyle w:val="TableGrid"/>
        <w:tblW w:w="9493" w:type="dxa"/>
        <w:tblLook w:val="04A0" w:firstRow="1" w:lastRow="0" w:firstColumn="1" w:lastColumn="0" w:noHBand="0" w:noVBand="1"/>
      </w:tblPr>
      <w:tblGrid>
        <w:gridCol w:w="9493"/>
      </w:tblGrid>
      <w:tr w:rsidR="004B6ACC" w14:paraId="672AE4C6" w14:textId="77777777" w:rsidTr="00374015">
        <w:tc>
          <w:tcPr>
            <w:tcW w:w="9493" w:type="dxa"/>
          </w:tcPr>
          <w:p w14:paraId="6EC083B9" w14:textId="67DD1CBA" w:rsidR="004B6ACC" w:rsidRDefault="004B6ACC" w:rsidP="00374015">
            <w:pPr>
              <w:spacing w:after="120" w:line="324" w:lineRule="exact"/>
              <w:ind w:right="-285"/>
              <w:jc w:val="left"/>
            </w:pPr>
            <w:r w:rsidRPr="00BF3782">
              <w:rPr>
                <w:b/>
                <w:bCs/>
              </w:rPr>
              <w:t>CEWO Adaptive Management Response</w:t>
            </w:r>
            <w:r w:rsidR="0029244C">
              <w:t xml:space="preserve">: </w:t>
            </w:r>
          </w:p>
          <w:p w14:paraId="48D67A9E" w14:textId="50B29619" w:rsidR="004B6ACC" w:rsidRPr="00337053" w:rsidRDefault="004B6ACC" w:rsidP="0040642F">
            <w:pPr>
              <w:pStyle w:val="ListParagraph"/>
              <w:numPr>
                <w:ilvl w:val="0"/>
                <w:numId w:val="35"/>
              </w:numPr>
              <w:spacing w:after="120" w:line="324" w:lineRule="exact"/>
              <w:ind w:left="447" w:right="319"/>
              <w:jc w:val="left"/>
              <w:rPr>
                <w:rFonts w:cs="Calibri"/>
              </w:rPr>
            </w:pPr>
            <w:r w:rsidRPr="001B5621">
              <w:t xml:space="preserve">A number of </w:t>
            </w:r>
            <w:r w:rsidR="001B5621" w:rsidRPr="001B5621">
              <w:t xml:space="preserve">the recommendations above are linked to recommendations in Chapter 7. </w:t>
            </w:r>
            <w:r w:rsidRPr="001B5621">
              <w:t xml:space="preserve">The CEWO </w:t>
            </w:r>
            <w:r w:rsidR="001B5621" w:rsidRPr="001B5621">
              <w:t>will seek to implement these recommendations via multi-objective watering actions, as it has done so in the past.</w:t>
            </w:r>
          </w:p>
        </w:tc>
      </w:tr>
    </w:tbl>
    <w:p w14:paraId="219D392D" w14:textId="77777777" w:rsidR="004B6ACC" w:rsidRPr="001E49D3" w:rsidRDefault="004B6ACC" w:rsidP="0046477B">
      <w:pPr>
        <w:spacing w:after="120" w:line="324" w:lineRule="exact"/>
        <w:ind w:right="-285"/>
        <w:jc w:val="left"/>
      </w:pPr>
    </w:p>
    <w:p w14:paraId="61781319" w14:textId="77777777" w:rsidR="000742BD" w:rsidRDefault="000742BD">
      <w:pPr>
        <w:spacing w:after="0" w:line="240" w:lineRule="auto"/>
        <w:jc w:val="left"/>
        <w:rPr>
          <w:rFonts w:eastAsia="Times New Roman"/>
          <w:b/>
          <w:smallCaps/>
          <w:noProof/>
          <w:color w:val="31849B" w:themeColor="accent5" w:themeShade="BF"/>
          <w:spacing w:val="5"/>
          <w:sz w:val="40"/>
          <w:szCs w:val="40"/>
          <w:lang w:val="en-US" w:eastAsia="en-AU"/>
        </w:rPr>
      </w:pPr>
      <w:bookmarkStart w:id="31" w:name="_Toc450199558"/>
      <w:r>
        <w:br w:type="page"/>
      </w:r>
    </w:p>
    <w:p w14:paraId="0CF37A57" w14:textId="4745F295" w:rsidR="00CD2736" w:rsidRDefault="001363CE" w:rsidP="00836CDD">
      <w:pPr>
        <w:pStyle w:val="Heading1"/>
      </w:pPr>
      <w:bookmarkStart w:id="32" w:name="_Toc69846021"/>
      <w:r>
        <w:t>9</w:t>
      </w:r>
      <w:r>
        <w:tab/>
      </w:r>
      <w:r w:rsidR="00B96BA2">
        <w:t>Physical habitat</w:t>
      </w:r>
      <w:bookmarkEnd w:id="32"/>
      <w:r w:rsidR="00CD2736" w:rsidRPr="00CD2736">
        <w:t xml:space="preserve"> </w:t>
      </w:r>
    </w:p>
    <w:p w14:paraId="686575E2" w14:textId="7961529D" w:rsidR="008609C3" w:rsidRPr="008609C3" w:rsidRDefault="008609C3" w:rsidP="004379FD">
      <w:pPr>
        <w:spacing w:after="120" w:line="259" w:lineRule="auto"/>
        <w:rPr>
          <w:rFonts w:cstheme="minorHAnsi"/>
          <w:szCs w:val="22"/>
        </w:rPr>
      </w:pPr>
      <w:bookmarkStart w:id="33" w:name="_Toc52434678"/>
      <w:bookmarkStart w:id="34" w:name="_Toc52445267"/>
      <w:r w:rsidRPr="008609C3">
        <w:rPr>
          <w:rFonts w:cstheme="minorHAnsi"/>
          <w:szCs w:val="22"/>
        </w:rPr>
        <w:t xml:space="preserve">Authors: </w:t>
      </w:r>
      <w:r>
        <w:rPr>
          <w:rFonts w:cstheme="minorHAnsi"/>
          <w:szCs w:val="22"/>
        </w:rPr>
        <w:t>Neil Suton and Geoff Vietz</w:t>
      </w:r>
    </w:p>
    <w:p w14:paraId="1338216F" w14:textId="17684768" w:rsidR="004379FD" w:rsidRPr="004379FD" w:rsidRDefault="004379FD" w:rsidP="004379FD">
      <w:pPr>
        <w:spacing w:after="120" w:line="259" w:lineRule="auto"/>
        <w:rPr>
          <w:rFonts w:cstheme="minorHAnsi"/>
          <w:b/>
          <w:color w:val="31849B"/>
          <w:sz w:val="28"/>
          <w:szCs w:val="28"/>
        </w:rPr>
      </w:pPr>
      <w:r w:rsidRPr="004379FD">
        <w:rPr>
          <w:rFonts w:cstheme="minorHAnsi"/>
          <w:b/>
          <w:color w:val="31849B"/>
          <w:sz w:val="28"/>
          <w:szCs w:val="28"/>
        </w:rPr>
        <w:t>9.1 Key Findings</w:t>
      </w:r>
      <w:bookmarkEnd w:id="33"/>
      <w:bookmarkEnd w:id="34"/>
    </w:p>
    <w:p w14:paraId="6B674D8D" w14:textId="5AA1369F" w:rsidR="004379FD" w:rsidRPr="004379FD" w:rsidRDefault="004379FD" w:rsidP="004379FD">
      <w:pPr>
        <w:pStyle w:val="captions"/>
      </w:pPr>
      <w:r w:rsidRPr="004379FD">
        <w:t xml:space="preserve">Table </w:t>
      </w:r>
      <w:r w:rsidR="00AD6D18">
        <w:t>9.</w:t>
      </w:r>
      <w:r w:rsidR="004B07DD">
        <w:rPr>
          <w:noProof/>
        </w:rPr>
        <w:fldChar w:fldCharType="begin"/>
      </w:r>
      <w:r w:rsidR="004B07DD">
        <w:rPr>
          <w:noProof/>
        </w:rPr>
        <w:instrText xml:space="preserve"> SEQ Table \* ARABIC \s 1 </w:instrText>
      </w:r>
      <w:r w:rsidR="004B07DD">
        <w:rPr>
          <w:noProof/>
        </w:rPr>
        <w:fldChar w:fldCharType="separate"/>
      </w:r>
      <w:r w:rsidR="000A6D80">
        <w:rPr>
          <w:noProof/>
        </w:rPr>
        <w:t>1</w:t>
      </w:r>
      <w:r w:rsidR="004B07DD">
        <w:rPr>
          <w:noProof/>
        </w:rPr>
        <w:fldChar w:fldCharType="end"/>
      </w:r>
      <w:r w:rsidRPr="004379FD">
        <w:t xml:space="preserve">. </w:t>
      </w:r>
      <w:r w:rsidRPr="004379FD">
        <w:rPr>
          <w:b w:val="0"/>
        </w:rPr>
        <w:t>Key Findings from physical habitat research in the Edward/Kolety-Wakool system</w:t>
      </w:r>
    </w:p>
    <w:tbl>
      <w:tblPr>
        <w:tblStyle w:val="TableGrid"/>
        <w:tblW w:w="9316" w:type="dxa"/>
        <w:tblLook w:val="04A0" w:firstRow="1" w:lastRow="0" w:firstColumn="1" w:lastColumn="0" w:noHBand="0" w:noVBand="1"/>
      </w:tblPr>
      <w:tblGrid>
        <w:gridCol w:w="1696"/>
        <w:gridCol w:w="7620"/>
      </w:tblGrid>
      <w:tr w:rsidR="004379FD" w:rsidRPr="00185CBB" w14:paraId="1BFB137D" w14:textId="77777777" w:rsidTr="004379FD">
        <w:trPr>
          <w:trHeight w:val="261"/>
        </w:trPr>
        <w:tc>
          <w:tcPr>
            <w:tcW w:w="1696" w:type="dxa"/>
            <w:shd w:val="clear" w:color="auto" w:fill="92CDDC"/>
          </w:tcPr>
          <w:p w14:paraId="75171D32" w14:textId="77777777" w:rsidR="004379FD" w:rsidRPr="00185CBB" w:rsidRDefault="004379FD" w:rsidP="004379FD">
            <w:pPr>
              <w:pStyle w:val="SNormalText"/>
              <w:spacing w:line="259" w:lineRule="auto"/>
              <w:rPr>
                <w:sz w:val="20"/>
                <w:szCs w:val="20"/>
              </w:rPr>
            </w:pPr>
            <w:r w:rsidRPr="00185CBB">
              <w:rPr>
                <w:sz w:val="20"/>
                <w:szCs w:val="20"/>
              </w:rPr>
              <w:t>Flow period</w:t>
            </w:r>
          </w:p>
        </w:tc>
        <w:tc>
          <w:tcPr>
            <w:tcW w:w="7620" w:type="dxa"/>
            <w:shd w:val="clear" w:color="auto" w:fill="92CDDC"/>
          </w:tcPr>
          <w:p w14:paraId="12C7F47D" w14:textId="77777777" w:rsidR="004379FD" w:rsidRPr="00185CBB" w:rsidRDefault="004379FD" w:rsidP="004379FD">
            <w:pPr>
              <w:pStyle w:val="SNormalText"/>
              <w:spacing w:line="259" w:lineRule="auto"/>
              <w:rPr>
                <w:sz w:val="20"/>
                <w:szCs w:val="20"/>
              </w:rPr>
            </w:pPr>
            <w:r w:rsidRPr="00185CBB">
              <w:rPr>
                <w:sz w:val="20"/>
                <w:szCs w:val="20"/>
              </w:rPr>
              <w:t xml:space="preserve">Bank/Veg condition response </w:t>
            </w:r>
          </w:p>
        </w:tc>
      </w:tr>
      <w:tr w:rsidR="004379FD" w:rsidRPr="00185CBB" w14:paraId="5EEE4AFD" w14:textId="77777777" w:rsidTr="004379FD">
        <w:trPr>
          <w:trHeight w:val="728"/>
        </w:trPr>
        <w:tc>
          <w:tcPr>
            <w:tcW w:w="1696" w:type="dxa"/>
            <w:shd w:val="clear" w:color="auto" w:fill="FFFFFF" w:themeFill="background1"/>
          </w:tcPr>
          <w:p w14:paraId="0A275F1B" w14:textId="77777777" w:rsidR="004379FD" w:rsidRPr="00185CBB" w:rsidRDefault="004379FD" w:rsidP="004379FD">
            <w:pPr>
              <w:pStyle w:val="SNormalText"/>
              <w:spacing w:line="259" w:lineRule="auto"/>
              <w:rPr>
                <w:sz w:val="20"/>
                <w:szCs w:val="20"/>
              </w:rPr>
            </w:pPr>
            <w:r w:rsidRPr="00185CBB">
              <w:rPr>
                <w:sz w:val="20"/>
                <w:szCs w:val="20"/>
              </w:rPr>
              <w:t>What were the features of flow regime that drove erosion and deposition?</w:t>
            </w:r>
          </w:p>
          <w:p w14:paraId="2378473B" w14:textId="77777777" w:rsidR="004379FD" w:rsidRPr="00185CBB" w:rsidRDefault="004379FD" w:rsidP="004379FD">
            <w:pPr>
              <w:pStyle w:val="SNormalText"/>
              <w:spacing w:line="259" w:lineRule="auto"/>
              <w:rPr>
                <w:sz w:val="20"/>
                <w:szCs w:val="20"/>
              </w:rPr>
            </w:pPr>
          </w:p>
        </w:tc>
        <w:tc>
          <w:tcPr>
            <w:tcW w:w="7620" w:type="dxa"/>
            <w:shd w:val="clear" w:color="auto" w:fill="FFFFFF" w:themeFill="background1"/>
          </w:tcPr>
          <w:p w14:paraId="585173A8" w14:textId="77777777" w:rsidR="004379FD" w:rsidRPr="00185CBB" w:rsidRDefault="004379FD" w:rsidP="004379FD">
            <w:pPr>
              <w:pStyle w:val="SNormalText"/>
              <w:spacing w:after="120" w:line="259" w:lineRule="auto"/>
              <w:rPr>
                <w:sz w:val="20"/>
                <w:szCs w:val="20"/>
              </w:rPr>
            </w:pPr>
            <w:r>
              <w:rPr>
                <w:sz w:val="20"/>
                <w:szCs w:val="20"/>
              </w:rPr>
              <w:t>Operational flows</w:t>
            </w:r>
            <w:r w:rsidRPr="00185CBB">
              <w:rPr>
                <w:sz w:val="20"/>
                <w:szCs w:val="20"/>
              </w:rPr>
              <w:t xml:space="preserve"> </w:t>
            </w:r>
            <w:r>
              <w:rPr>
                <w:sz w:val="20"/>
                <w:szCs w:val="20"/>
              </w:rPr>
              <w:t>that</w:t>
            </w:r>
            <w:r w:rsidRPr="00185CBB">
              <w:rPr>
                <w:sz w:val="20"/>
                <w:szCs w:val="20"/>
              </w:rPr>
              <w:t xml:space="preserve"> produce prolonged invariabl</w:t>
            </w:r>
            <w:r>
              <w:rPr>
                <w:sz w:val="20"/>
                <w:szCs w:val="20"/>
              </w:rPr>
              <w:t>e periods of inundation to riverbanks within a defined bank zone</w:t>
            </w:r>
            <w:r w:rsidRPr="00185CBB">
              <w:rPr>
                <w:sz w:val="20"/>
                <w:szCs w:val="20"/>
              </w:rPr>
              <w:t xml:space="preserve"> appear to be the main driver of notching on</w:t>
            </w:r>
            <w:r>
              <w:rPr>
                <w:sz w:val="20"/>
                <w:szCs w:val="20"/>
              </w:rPr>
              <w:t xml:space="preserve"> riverbanks in the</w:t>
            </w:r>
            <w:r w:rsidRPr="00185CBB">
              <w:rPr>
                <w:sz w:val="20"/>
                <w:szCs w:val="20"/>
              </w:rPr>
              <w:t xml:space="preserve"> Edward</w:t>
            </w:r>
            <w:r>
              <w:rPr>
                <w:sz w:val="20"/>
                <w:szCs w:val="20"/>
              </w:rPr>
              <w:t>/Kolety River downstream of Stevens Weir</w:t>
            </w:r>
            <w:r w:rsidRPr="00185CBB">
              <w:rPr>
                <w:sz w:val="20"/>
                <w:szCs w:val="20"/>
              </w:rPr>
              <w:t>.</w:t>
            </w:r>
            <w:r>
              <w:rPr>
                <w:sz w:val="20"/>
                <w:szCs w:val="20"/>
              </w:rPr>
              <w:t xml:space="preserve"> </w:t>
            </w:r>
            <w:r w:rsidRPr="00185CBB">
              <w:rPr>
                <w:sz w:val="20"/>
                <w:szCs w:val="20"/>
              </w:rPr>
              <w:t>The position of the notch relative to the wate</w:t>
            </w:r>
            <w:r>
              <w:rPr>
                <w:sz w:val="20"/>
                <w:szCs w:val="20"/>
              </w:rPr>
              <w:t xml:space="preserve">r level </w:t>
            </w:r>
            <w:r w:rsidRPr="00185CBB">
              <w:rPr>
                <w:sz w:val="20"/>
                <w:szCs w:val="20"/>
              </w:rPr>
              <w:t>of the flow delivery was a critical variable which implicated the scale and pattern of the erosion response.</w:t>
            </w:r>
          </w:p>
          <w:p w14:paraId="47CEC9F9" w14:textId="77777777" w:rsidR="004379FD" w:rsidRPr="00185CBB" w:rsidRDefault="004379FD" w:rsidP="004379FD">
            <w:pPr>
              <w:pStyle w:val="SNormalText"/>
              <w:spacing w:line="259" w:lineRule="auto"/>
              <w:rPr>
                <w:sz w:val="20"/>
                <w:szCs w:val="20"/>
              </w:rPr>
            </w:pPr>
            <w:r>
              <w:rPr>
                <w:sz w:val="20"/>
                <w:szCs w:val="20"/>
              </w:rPr>
              <w:t>Commonwealth e</w:t>
            </w:r>
            <w:r w:rsidRPr="00185CBB">
              <w:rPr>
                <w:sz w:val="20"/>
                <w:szCs w:val="20"/>
              </w:rPr>
              <w:t xml:space="preserve">nvironmental </w:t>
            </w:r>
            <w:r>
              <w:rPr>
                <w:sz w:val="20"/>
                <w:szCs w:val="20"/>
              </w:rPr>
              <w:t>water</w:t>
            </w:r>
            <w:r w:rsidRPr="00185CBB">
              <w:rPr>
                <w:sz w:val="20"/>
                <w:szCs w:val="20"/>
              </w:rPr>
              <w:t xml:space="preserve"> </w:t>
            </w:r>
            <w:r>
              <w:rPr>
                <w:sz w:val="20"/>
                <w:szCs w:val="20"/>
              </w:rPr>
              <w:t xml:space="preserve">(CEW), operational flows and unregulated flows can </w:t>
            </w:r>
            <w:r w:rsidRPr="00185CBB">
              <w:rPr>
                <w:sz w:val="20"/>
                <w:szCs w:val="20"/>
              </w:rPr>
              <w:t xml:space="preserve">result in periods of inundation </w:t>
            </w:r>
            <w:r>
              <w:rPr>
                <w:sz w:val="20"/>
                <w:szCs w:val="20"/>
              </w:rPr>
              <w:t>of</w:t>
            </w:r>
            <w:r w:rsidRPr="00185CBB">
              <w:rPr>
                <w:sz w:val="20"/>
                <w:szCs w:val="20"/>
              </w:rPr>
              <w:t xml:space="preserve"> the bank zone above the notch</w:t>
            </w:r>
            <w:r>
              <w:rPr>
                <w:sz w:val="20"/>
                <w:szCs w:val="20"/>
              </w:rPr>
              <w:t>, and upon draw-down</w:t>
            </w:r>
            <w:r w:rsidRPr="00185CBB">
              <w:rPr>
                <w:sz w:val="20"/>
                <w:szCs w:val="20"/>
              </w:rPr>
              <w:t xml:space="preserve"> </w:t>
            </w:r>
            <w:r>
              <w:rPr>
                <w:sz w:val="20"/>
                <w:szCs w:val="20"/>
              </w:rPr>
              <w:t>can result in</w:t>
            </w:r>
            <w:r w:rsidRPr="00185CBB">
              <w:rPr>
                <w:sz w:val="20"/>
                <w:szCs w:val="20"/>
              </w:rPr>
              <w:t xml:space="preserve"> large q</w:t>
            </w:r>
            <w:r>
              <w:rPr>
                <w:sz w:val="20"/>
                <w:szCs w:val="20"/>
              </w:rPr>
              <w:t xml:space="preserve">uantities of unstable sediment. </w:t>
            </w:r>
            <w:r w:rsidRPr="00185CBB">
              <w:rPr>
                <w:sz w:val="20"/>
                <w:szCs w:val="20"/>
              </w:rPr>
              <w:t>It is the combination of the followi</w:t>
            </w:r>
            <w:r>
              <w:rPr>
                <w:sz w:val="20"/>
                <w:szCs w:val="20"/>
              </w:rPr>
              <w:t>ng processes in sequence that are</w:t>
            </w:r>
            <w:r w:rsidRPr="00185CBB">
              <w:rPr>
                <w:sz w:val="20"/>
                <w:szCs w:val="20"/>
              </w:rPr>
              <w:t xml:space="preserve"> the driving force behind extensive areas of channel widening resulting from mass-failure events:</w:t>
            </w:r>
          </w:p>
          <w:p w14:paraId="63273C68" w14:textId="77777777" w:rsidR="004379FD" w:rsidRPr="00185CBB" w:rsidRDefault="004379FD" w:rsidP="004379FD">
            <w:pPr>
              <w:pStyle w:val="SNormalText"/>
              <w:spacing w:line="259" w:lineRule="auto"/>
              <w:rPr>
                <w:sz w:val="20"/>
                <w:szCs w:val="20"/>
              </w:rPr>
            </w:pPr>
            <w:r w:rsidRPr="00185CBB">
              <w:rPr>
                <w:sz w:val="20"/>
                <w:szCs w:val="20"/>
              </w:rPr>
              <w:t xml:space="preserve">a) </w:t>
            </w:r>
            <w:r w:rsidRPr="00185CBB">
              <w:rPr>
                <w:i/>
                <w:iCs/>
                <w:sz w:val="20"/>
                <w:szCs w:val="20"/>
              </w:rPr>
              <w:t xml:space="preserve">Summer </w:t>
            </w:r>
            <w:r>
              <w:rPr>
                <w:i/>
                <w:iCs/>
                <w:sz w:val="20"/>
                <w:szCs w:val="20"/>
              </w:rPr>
              <w:t>operational</w:t>
            </w:r>
            <w:r w:rsidRPr="00185CBB">
              <w:rPr>
                <w:i/>
                <w:iCs/>
                <w:sz w:val="20"/>
                <w:szCs w:val="20"/>
              </w:rPr>
              <w:t xml:space="preserve"> flows:</w:t>
            </w:r>
            <w:r>
              <w:rPr>
                <w:sz w:val="20"/>
                <w:szCs w:val="20"/>
              </w:rPr>
              <w:t xml:space="preserve"> create a deep notch and drying of the upper bank</w:t>
            </w:r>
          </w:p>
          <w:p w14:paraId="734551A5" w14:textId="77777777" w:rsidR="004379FD" w:rsidRPr="00185CBB" w:rsidRDefault="004379FD" w:rsidP="004379FD">
            <w:pPr>
              <w:pStyle w:val="SNormalText"/>
              <w:spacing w:after="120" w:line="259" w:lineRule="auto"/>
              <w:rPr>
                <w:sz w:val="20"/>
                <w:szCs w:val="20"/>
              </w:rPr>
            </w:pPr>
            <w:r w:rsidRPr="00185CBB">
              <w:rPr>
                <w:sz w:val="20"/>
                <w:szCs w:val="20"/>
              </w:rPr>
              <w:t xml:space="preserve">b) </w:t>
            </w:r>
            <w:r>
              <w:rPr>
                <w:i/>
                <w:iCs/>
                <w:sz w:val="20"/>
                <w:szCs w:val="20"/>
              </w:rPr>
              <w:t>Environmental or unregulated</w:t>
            </w:r>
            <w:r w:rsidRPr="00185CBB">
              <w:rPr>
                <w:i/>
                <w:iCs/>
                <w:sz w:val="20"/>
                <w:szCs w:val="20"/>
              </w:rPr>
              <w:t xml:space="preserve"> flows:</w:t>
            </w:r>
            <w:r>
              <w:rPr>
                <w:sz w:val="20"/>
                <w:szCs w:val="20"/>
              </w:rPr>
              <w:t xml:space="preserve"> saturation of upper bank and</w:t>
            </w:r>
            <w:r w:rsidRPr="00185CBB">
              <w:rPr>
                <w:sz w:val="20"/>
                <w:szCs w:val="20"/>
              </w:rPr>
              <w:t xml:space="preserve"> drawdown of the water level</w:t>
            </w:r>
            <w:r>
              <w:rPr>
                <w:sz w:val="20"/>
                <w:szCs w:val="20"/>
              </w:rPr>
              <w:t>.</w:t>
            </w:r>
          </w:p>
          <w:p w14:paraId="455A2E69" w14:textId="77777777" w:rsidR="004379FD" w:rsidRPr="00185CBB" w:rsidRDefault="004379FD" w:rsidP="004379FD">
            <w:pPr>
              <w:pStyle w:val="SNormalText"/>
              <w:spacing w:after="120" w:line="259" w:lineRule="auto"/>
              <w:rPr>
                <w:sz w:val="20"/>
                <w:szCs w:val="20"/>
              </w:rPr>
            </w:pPr>
            <w:r w:rsidRPr="00185CBB">
              <w:rPr>
                <w:sz w:val="20"/>
                <w:szCs w:val="20"/>
              </w:rPr>
              <w:t xml:space="preserve">This highlights </w:t>
            </w:r>
            <w:r>
              <w:rPr>
                <w:sz w:val="20"/>
                <w:szCs w:val="20"/>
              </w:rPr>
              <w:t xml:space="preserve">that </w:t>
            </w:r>
            <w:r w:rsidRPr="00185CBB">
              <w:rPr>
                <w:sz w:val="20"/>
                <w:szCs w:val="20"/>
              </w:rPr>
              <w:t xml:space="preserve">the </w:t>
            </w:r>
            <w:r>
              <w:rPr>
                <w:sz w:val="20"/>
                <w:szCs w:val="20"/>
              </w:rPr>
              <w:t>influence</w:t>
            </w:r>
            <w:r w:rsidRPr="00185CBB">
              <w:rPr>
                <w:sz w:val="20"/>
                <w:szCs w:val="20"/>
              </w:rPr>
              <w:t xml:space="preserve"> of </w:t>
            </w:r>
            <w:r>
              <w:rPr>
                <w:sz w:val="20"/>
                <w:szCs w:val="20"/>
              </w:rPr>
              <w:t>CEW actions</w:t>
            </w:r>
            <w:r w:rsidRPr="00185CBB">
              <w:rPr>
                <w:sz w:val="20"/>
                <w:szCs w:val="20"/>
              </w:rPr>
              <w:t xml:space="preserve"> </w:t>
            </w:r>
            <w:r>
              <w:rPr>
                <w:sz w:val="20"/>
                <w:szCs w:val="20"/>
              </w:rPr>
              <w:t xml:space="preserve">or unregulated flows </w:t>
            </w:r>
            <w:r w:rsidRPr="00185CBB">
              <w:rPr>
                <w:sz w:val="20"/>
                <w:szCs w:val="20"/>
              </w:rPr>
              <w:t>on bank condition cannot be mea</w:t>
            </w:r>
            <w:r>
              <w:rPr>
                <w:sz w:val="20"/>
                <w:szCs w:val="20"/>
              </w:rPr>
              <w:t>sured in isolation. Preparation of the bank during</w:t>
            </w:r>
            <w:r w:rsidRPr="00185CBB">
              <w:rPr>
                <w:sz w:val="20"/>
                <w:szCs w:val="20"/>
              </w:rPr>
              <w:t xml:space="preserve"> summer </w:t>
            </w:r>
            <w:r>
              <w:rPr>
                <w:sz w:val="20"/>
                <w:szCs w:val="20"/>
              </w:rPr>
              <w:t>operational flows</w:t>
            </w:r>
            <w:r w:rsidRPr="00185CBB">
              <w:rPr>
                <w:sz w:val="20"/>
                <w:szCs w:val="20"/>
              </w:rPr>
              <w:t xml:space="preserve"> must be considered</w:t>
            </w:r>
            <w:r>
              <w:rPr>
                <w:sz w:val="20"/>
                <w:szCs w:val="20"/>
              </w:rPr>
              <w:t>,</w:t>
            </w:r>
            <w:r w:rsidRPr="00185CBB">
              <w:rPr>
                <w:sz w:val="20"/>
                <w:szCs w:val="20"/>
              </w:rPr>
              <w:t xml:space="preserve"> as </w:t>
            </w:r>
            <w:r>
              <w:rPr>
                <w:sz w:val="20"/>
                <w:szCs w:val="20"/>
              </w:rPr>
              <w:t>they play</w:t>
            </w:r>
            <w:r w:rsidRPr="00185CBB">
              <w:rPr>
                <w:sz w:val="20"/>
                <w:szCs w:val="20"/>
              </w:rPr>
              <w:t xml:space="preserve"> a critical role in driving erosion events throughout the entire year and in years following.</w:t>
            </w:r>
            <w:r>
              <w:rPr>
                <w:sz w:val="20"/>
                <w:szCs w:val="20"/>
              </w:rPr>
              <w:t xml:space="preserve"> The erosion volumes at the Edward/Kolety River site </w:t>
            </w:r>
            <w:r w:rsidRPr="00185CBB">
              <w:rPr>
                <w:sz w:val="20"/>
                <w:szCs w:val="20"/>
              </w:rPr>
              <w:t>downstream of</w:t>
            </w:r>
            <w:r>
              <w:rPr>
                <w:sz w:val="20"/>
                <w:szCs w:val="20"/>
              </w:rPr>
              <w:t xml:space="preserve"> Stevens Weir</w:t>
            </w:r>
            <w:r w:rsidRPr="00185CBB">
              <w:rPr>
                <w:sz w:val="20"/>
                <w:szCs w:val="20"/>
              </w:rPr>
              <w:t xml:space="preserve"> are linked to the historic pattern of </w:t>
            </w:r>
            <w:r>
              <w:rPr>
                <w:sz w:val="20"/>
                <w:szCs w:val="20"/>
              </w:rPr>
              <w:t xml:space="preserve">operational flows. If the management of operational flows </w:t>
            </w:r>
            <w:r w:rsidRPr="00185CBB">
              <w:rPr>
                <w:sz w:val="20"/>
                <w:szCs w:val="20"/>
              </w:rPr>
              <w:t>does not change</w:t>
            </w:r>
            <w:r>
              <w:rPr>
                <w:sz w:val="20"/>
                <w:szCs w:val="20"/>
              </w:rPr>
              <w:t>,</w:t>
            </w:r>
            <w:r w:rsidRPr="00185CBB">
              <w:rPr>
                <w:sz w:val="20"/>
                <w:szCs w:val="20"/>
              </w:rPr>
              <w:t xml:space="preserve"> then the potential benefits to </w:t>
            </w:r>
            <w:r>
              <w:rPr>
                <w:sz w:val="20"/>
                <w:szCs w:val="20"/>
              </w:rPr>
              <w:t>bank condition as a result of CEW actions</w:t>
            </w:r>
            <w:r w:rsidRPr="00185CBB">
              <w:rPr>
                <w:sz w:val="20"/>
                <w:szCs w:val="20"/>
              </w:rPr>
              <w:t>-will not materialise.</w:t>
            </w:r>
            <w:r>
              <w:rPr>
                <w:sz w:val="20"/>
                <w:szCs w:val="20"/>
              </w:rPr>
              <w:t xml:space="preserve"> </w:t>
            </w:r>
          </w:p>
          <w:p w14:paraId="2FB35B92" w14:textId="77777777" w:rsidR="004379FD" w:rsidRPr="00185CBB" w:rsidRDefault="004379FD" w:rsidP="004379FD">
            <w:pPr>
              <w:pStyle w:val="SNormalText"/>
              <w:spacing w:after="120" w:line="259" w:lineRule="auto"/>
              <w:rPr>
                <w:sz w:val="20"/>
                <w:szCs w:val="20"/>
              </w:rPr>
            </w:pPr>
            <w:r w:rsidRPr="00185CBB">
              <w:rPr>
                <w:sz w:val="20"/>
                <w:szCs w:val="20"/>
              </w:rPr>
              <w:t xml:space="preserve">Flows which resulted in the most deposition relative to erosion were </w:t>
            </w:r>
            <w:r>
              <w:rPr>
                <w:sz w:val="20"/>
                <w:szCs w:val="20"/>
              </w:rPr>
              <w:t>unregulated</w:t>
            </w:r>
            <w:r w:rsidRPr="00185CBB">
              <w:rPr>
                <w:sz w:val="20"/>
                <w:szCs w:val="20"/>
              </w:rPr>
              <w:t xml:space="preserve"> flows during </w:t>
            </w:r>
            <w:r>
              <w:rPr>
                <w:sz w:val="20"/>
                <w:szCs w:val="20"/>
              </w:rPr>
              <w:t>the winter months. T</w:t>
            </w:r>
            <w:r w:rsidRPr="00185CBB">
              <w:rPr>
                <w:sz w:val="20"/>
                <w:szCs w:val="20"/>
              </w:rPr>
              <w:t xml:space="preserve">his was due to the following combination of factors, a) the source of the water delivered during this period (high tributary %), b) the range of these flows (between 500 - 3,000 </w:t>
            </w:r>
            <w:r>
              <w:rPr>
                <w:sz w:val="20"/>
                <w:szCs w:val="20"/>
              </w:rPr>
              <w:t>ML/day</w:t>
            </w:r>
            <w:r w:rsidRPr="00185CBB">
              <w:rPr>
                <w:sz w:val="20"/>
                <w:szCs w:val="20"/>
              </w:rPr>
              <w:t>), and c) the lack of erosion evident in response to these events.</w:t>
            </w:r>
          </w:p>
          <w:p w14:paraId="0ECCB952" w14:textId="77777777" w:rsidR="004379FD" w:rsidRPr="00185CBB" w:rsidRDefault="004379FD" w:rsidP="004379FD">
            <w:pPr>
              <w:pStyle w:val="SNormalText"/>
              <w:spacing w:after="120" w:line="259" w:lineRule="auto"/>
              <w:rPr>
                <w:sz w:val="20"/>
                <w:szCs w:val="20"/>
              </w:rPr>
            </w:pPr>
            <w:r>
              <w:rPr>
                <w:sz w:val="20"/>
                <w:szCs w:val="20"/>
              </w:rPr>
              <w:t>CEW actions</w:t>
            </w:r>
            <w:r w:rsidRPr="00185CBB">
              <w:rPr>
                <w:sz w:val="20"/>
                <w:szCs w:val="20"/>
              </w:rPr>
              <w:t xml:space="preserve"> that are deli</w:t>
            </w:r>
            <w:r>
              <w:rPr>
                <w:sz w:val="20"/>
                <w:szCs w:val="20"/>
              </w:rPr>
              <w:t>vered with a gradual draw-down of the receding limb are likely to result in</w:t>
            </w:r>
            <w:r w:rsidRPr="00185CBB">
              <w:rPr>
                <w:sz w:val="20"/>
                <w:szCs w:val="20"/>
              </w:rPr>
              <w:t xml:space="preserve"> less erosion due to mass-failu</w:t>
            </w:r>
            <w:r>
              <w:rPr>
                <w:sz w:val="20"/>
                <w:szCs w:val="20"/>
              </w:rPr>
              <w:t xml:space="preserve">re events, and </w:t>
            </w:r>
            <w:r w:rsidRPr="00185CBB">
              <w:rPr>
                <w:sz w:val="20"/>
                <w:szCs w:val="20"/>
              </w:rPr>
              <w:t>higher levels of deposi</w:t>
            </w:r>
            <w:r>
              <w:rPr>
                <w:sz w:val="20"/>
                <w:szCs w:val="20"/>
              </w:rPr>
              <w:t>tion as a result of mud-draping. H</w:t>
            </w:r>
            <w:r w:rsidRPr="00185CBB">
              <w:rPr>
                <w:sz w:val="20"/>
                <w:szCs w:val="20"/>
              </w:rPr>
              <w:t xml:space="preserve">owever, this will have a limited impact if summer </w:t>
            </w:r>
            <w:r>
              <w:rPr>
                <w:sz w:val="20"/>
                <w:szCs w:val="20"/>
              </w:rPr>
              <w:t>operational</w:t>
            </w:r>
            <w:r w:rsidRPr="00185CBB">
              <w:rPr>
                <w:sz w:val="20"/>
                <w:szCs w:val="20"/>
              </w:rPr>
              <w:t xml:space="preserve"> flows are not re-designed.</w:t>
            </w:r>
          </w:p>
        </w:tc>
      </w:tr>
      <w:tr w:rsidR="004379FD" w:rsidRPr="00185CBB" w14:paraId="2684B9EB" w14:textId="77777777" w:rsidTr="004379FD">
        <w:trPr>
          <w:trHeight w:val="717"/>
        </w:trPr>
        <w:tc>
          <w:tcPr>
            <w:tcW w:w="1696" w:type="dxa"/>
            <w:shd w:val="clear" w:color="auto" w:fill="FFFFFF" w:themeFill="background1"/>
          </w:tcPr>
          <w:p w14:paraId="76BFC1B2" w14:textId="77777777" w:rsidR="004379FD" w:rsidRPr="00185CBB" w:rsidRDefault="004379FD" w:rsidP="004379FD">
            <w:pPr>
              <w:pStyle w:val="SNormalText"/>
              <w:spacing w:line="259" w:lineRule="auto"/>
              <w:rPr>
                <w:sz w:val="20"/>
                <w:szCs w:val="20"/>
              </w:rPr>
            </w:pPr>
            <w:r w:rsidRPr="00185CBB">
              <w:rPr>
                <w:sz w:val="20"/>
                <w:szCs w:val="20"/>
              </w:rPr>
              <w:t>What were the features of fl</w:t>
            </w:r>
            <w:r>
              <w:rPr>
                <w:sz w:val="20"/>
                <w:szCs w:val="20"/>
              </w:rPr>
              <w:t>ow regime that affect river</w:t>
            </w:r>
            <w:r w:rsidRPr="00185CBB">
              <w:rPr>
                <w:sz w:val="20"/>
                <w:szCs w:val="20"/>
              </w:rPr>
              <w:t>bank and aquatic vegetation</w:t>
            </w:r>
            <w:r>
              <w:rPr>
                <w:sz w:val="20"/>
                <w:szCs w:val="20"/>
              </w:rPr>
              <w:t>?</w:t>
            </w:r>
            <w:r w:rsidRPr="00185CBB">
              <w:rPr>
                <w:sz w:val="20"/>
                <w:szCs w:val="20"/>
              </w:rPr>
              <w:t xml:space="preserve"> </w:t>
            </w:r>
          </w:p>
        </w:tc>
        <w:tc>
          <w:tcPr>
            <w:tcW w:w="7620" w:type="dxa"/>
            <w:shd w:val="clear" w:color="auto" w:fill="FFFFFF" w:themeFill="background1"/>
          </w:tcPr>
          <w:p w14:paraId="3576B82F" w14:textId="77777777" w:rsidR="004379FD" w:rsidRPr="00185CBB" w:rsidRDefault="004379FD" w:rsidP="004379FD">
            <w:pPr>
              <w:pStyle w:val="SNormalText"/>
              <w:spacing w:line="259" w:lineRule="auto"/>
              <w:rPr>
                <w:sz w:val="20"/>
                <w:szCs w:val="20"/>
              </w:rPr>
            </w:pPr>
            <w:r w:rsidRPr="00185CBB">
              <w:rPr>
                <w:sz w:val="20"/>
                <w:szCs w:val="20"/>
              </w:rPr>
              <w:t xml:space="preserve">Prolonged inundation (+30 days) during </w:t>
            </w:r>
            <w:r>
              <w:rPr>
                <w:sz w:val="20"/>
                <w:szCs w:val="20"/>
              </w:rPr>
              <w:t>s</w:t>
            </w:r>
            <w:r w:rsidRPr="00185CBB">
              <w:rPr>
                <w:sz w:val="20"/>
                <w:szCs w:val="20"/>
              </w:rPr>
              <w:t xml:space="preserve">pring appeared to result in reduced riparian vegetation cover above the bank zone relating to 3,000 </w:t>
            </w:r>
            <w:r>
              <w:rPr>
                <w:sz w:val="20"/>
                <w:szCs w:val="20"/>
              </w:rPr>
              <w:t>ML/day in the Edward/Kolety River downstream of Stevens Weir. This was evident i</w:t>
            </w:r>
            <w:r w:rsidRPr="00185CBB">
              <w:rPr>
                <w:sz w:val="20"/>
                <w:szCs w:val="20"/>
              </w:rPr>
              <w:t>n Colligen Creek and the Edward</w:t>
            </w:r>
            <w:r>
              <w:rPr>
                <w:sz w:val="20"/>
                <w:szCs w:val="20"/>
              </w:rPr>
              <w:t>/Kolety River, however</w:t>
            </w:r>
            <w:r w:rsidRPr="00185CBB">
              <w:rPr>
                <w:sz w:val="20"/>
                <w:szCs w:val="20"/>
              </w:rPr>
              <w:t xml:space="preserve"> </w:t>
            </w:r>
            <w:r>
              <w:rPr>
                <w:sz w:val="20"/>
                <w:szCs w:val="20"/>
              </w:rPr>
              <w:t xml:space="preserve">some of </w:t>
            </w:r>
            <w:r w:rsidRPr="00185CBB">
              <w:rPr>
                <w:sz w:val="20"/>
                <w:szCs w:val="20"/>
              </w:rPr>
              <w:t xml:space="preserve">this vegetation grew back over the </w:t>
            </w:r>
            <w:r>
              <w:rPr>
                <w:sz w:val="20"/>
                <w:szCs w:val="20"/>
              </w:rPr>
              <w:t>s</w:t>
            </w:r>
            <w:r w:rsidRPr="00185CBB">
              <w:rPr>
                <w:sz w:val="20"/>
                <w:szCs w:val="20"/>
              </w:rPr>
              <w:t>u</w:t>
            </w:r>
            <w:r>
              <w:rPr>
                <w:sz w:val="20"/>
                <w:szCs w:val="20"/>
              </w:rPr>
              <w:t xml:space="preserve">mmer and autumn months, </w:t>
            </w:r>
            <w:r w:rsidRPr="00185CBB">
              <w:rPr>
                <w:sz w:val="20"/>
                <w:szCs w:val="20"/>
              </w:rPr>
              <w:t>highlighting the ability of vegeta</w:t>
            </w:r>
            <w:r>
              <w:rPr>
                <w:sz w:val="20"/>
                <w:szCs w:val="20"/>
              </w:rPr>
              <w:t xml:space="preserve">tion to recolonise under favourable </w:t>
            </w:r>
            <w:r w:rsidRPr="00185CBB">
              <w:rPr>
                <w:sz w:val="20"/>
                <w:szCs w:val="20"/>
              </w:rPr>
              <w:t xml:space="preserve">conditions. Data for vegetation cover in the lower half of the bank (&lt;3,000 </w:t>
            </w:r>
            <w:r>
              <w:rPr>
                <w:sz w:val="20"/>
                <w:szCs w:val="20"/>
              </w:rPr>
              <w:t>ML/day</w:t>
            </w:r>
            <w:r w:rsidRPr="00185CBB">
              <w:rPr>
                <w:sz w:val="20"/>
                <w:szCs w:val="20"/>
              </w:rPr>
              <w:t>) was less consistent, however dron</w:t>
            </w:r>
            <w:r>
              <w:rPr>
                <w:sz w:val="20"/>
                <w:szCs w:val="20"/>
              </w:rPr>
              <w:t xml:space="preserve">e photography </w:t>
            </w:r>
            <w:r w:rsidRPr="00185CBB">
              <w:rPr>
                <w:sz w:val="20"/>
                <w:szCs w:val="20"/>
              </w:rPr>
              <w:t>supports the hypot</w:t>
            </w:r>
            <w:r>
              <w:rPr>
                <w:sz w:val="20"/>
                <w:szCs w:val="20"/>
              </w:rPr>
              <w:t xml:space="preserve">hesis that vegetation that is negatively impacted by </w:t>
            </w:r>
            <w:r w:rsidRPr="00185CBB">
              <w:rPr>
                <w:sz w:val="20"/>
                <w:szCs w:val="20"/>
              </w:rPr>
              <w:t xml:space="preserve">summer </w:t>
            </w:r>
            <w:r>
              <w:rPr>
                <w:sz w:val="20"/>
                <w:szCs w:val="20"/>
              </w:rPr>
              <w:t>operational</w:t>
            </w:r>
            <w:r w:rsidRPr="00185CBB">
              <w:rPr>
                <w:sz w:val="20"/>
                <w:szCs w:val="20"/>
              </w:rPr>
              <w:t xml:space="preserve"> flows </w:t>
            </w:r>
            <w:r>
              <w:rPr>
                <w:sz w:val="20"/>
                <w:szCs w:val="20"/>
              </w:rPr>
              <w:t>can struggle</w:t>
            </w:r>
            <w:r w:rsidRPr="00185CBB">
              <w:rPr>
                <w:sz w:val="20"/>
                <w:szCs w:val="20"/>
              </w:rPr>
              <w:t xml:space="preserve"> to re-establish in the seasons that follow (</w:t>
            </w:r>
            <w:r>
              <w:rPr>
                <w:sz w:val="20"/>
                <w:szCs w:val="20"/>
              </w:rPr>
              <w:t>a</w:t>
            </w:r>
            <w:r w:rsidRPr="00185CBB">
              <w:rPr>
                <w:sz w:val="20"/>
                <w:szCs w:val="20"/>
              </w:rPr>
              <w:t xml:space="preserve">utumn, </w:t>
            </w:r>
            <w:r>
              <w:rPr>
                <w:sz w:val="20"/>
                <w:szCs w:val="20"/>
              </w:rPr>
              <w:t>w</w:t>
            </w:r>
            <w:r w:rsidRPr="00185CBB">
              <w:rPr>
                <w:sz w:val="20"/>
                <w:szCs w:val="20"/>
              </w:rPr>
              <w:t xml:space="preserve">inter and </w:t>
            </w:r>
            <w:r>
              <w:rPr>
                <w:sz w:val="20"/>
                <w:szCs w:val="20"/>
              </w:rPr>
              <w:t>s</w:t>
            </w:r>
            <w:r w:rsidRPr="00185CBB">
              <w:rPr>
                <w:sz w:val="20"/>
                <w:szCs w:val="20"/>
              </w:rPr>
              <w:t>pring).</w:t>
            </w:r>
          </w:p>
        </w:tc>
      </w:tr>
    </w:tbl>
    <w:p w14:paraId="4CDD33DA" w14:textId="77777777" w:rsidR="004379FD" w:rsidRPr="00185CBB" w:rsidRDefault="004379FD" w:rsidP="004379FD">
      <w:pPr>
        <w:spacing w:line="259" w:lineRule="auto"/>
      </w:pPr>
    </w:p>
    <w:p w14:paraId="5D1B16F9" w14:textId="77777777" w:rsidR="004379FD" w:rsidRPr="00185CBB" w:rsidRDefault="004379FD" w:rsidP="004379FD">
      <w:pPr>
        <w:spacing w:line="259" w:lineRule="auto"/>
      </w:pPr>
    </w:p>
    <w:p w14:paraId="73D308F9" w14:textId="77777777" w:rsidR="004379FD" w:rsidRPr="004379FD" w:rsidRDefault="004379FD" w:rsidP="004379FD">
      <w:pPr>
        <w:spacing w:after="120" w:line="259" w:lineRule="auto"/>
        <w:rPr>
          <w:rFonts w:cstheme="minorHAnsi"/>
          <w:b/>
          <w:color w:val="31849B"/>
          <w:sz w:val="28"/>
          <w:szCs w:val="28"/>
        </w:rPr>
      </w:pPr>
      <w:bookmarkStart w:id="35" w:name="_Toc52434679"/>
      <w:bookmarkStart w:id="36" w:name="_Toc52445268"/>
      <w:r w:rsidRPr="004379FD">
        <w:rPr>
          <w:rFonts w:cstheme="minorHAnsi"/>
          <w:b/>
          <w:color w:val="31849B"/>
          <w:sz w:val="28"/>
          <w:szCs w:val="28"/>
        </w:rPr>
        <w:t>9.2 Background</w:t>
      </w:r>
      <w:bookmarkEnd w:id="35"/>
      <w:bookmarkEnd w:id="36"/>
    </w:p>
    <w:p w14:paraId="020C3D75" w14:textId="77777777" w:rsidR="004379FD" w:rsidRPr="00185CBB" w:rsidRDefault="004379FD" w:rsidP="004379FD">
      <w:pPr>
        <w:pStyle w:val="SNormalText"/>
        <w:spacing w:after="120" w:line="259" w:lineRule="auto"/>
        <w:ind w:right="164"/>
      </w:pPr>
      <w:r w:rsidRPr="00185CBB">
        <w:t>Bank condition is expl</w:t>
      </w:r>
      <w:r>
        <w:t>icitly linked to</w:t>
      </w:r>
      <w:r w:rsidRPr="00185CBB">
        <w:t xml:space="preserve"> flows. The risk to biota from changes in bank morphology and sediment liberated </w:t>
      </w:r>
      <w:r>
        <w:t>by</w:t>
      </w:r>
      <w:r w:rsidRPr="00185CBB">
        <w:t xml:space="preserve"> erosion m</w:t>
      </w:r>
      <w:r>
        <w:t>ake bank condition an important</w:t>
      </w:r>
      <w:r w:rsidRPr="00185CBB">
        <w:t xml:space="preserve"> and explanatory variable for assessing the value of </w:t>
      </w:r>
      <w:r>
        <w:t>environmental water actions</w:t>
      </w:r>
      <w:r w:rsidRPr="00185CBB">
        <w:t xml:space="preserve"> for </w:t>
      </w:r>
      <w:r>
        <w:t>achieving ecosystem objectives.</w:t>
      </w:r>
    </w:p>
    <w:p w14:paraId="2A9E74DE" w14:textId="77777777" w:rsidR="004379FD" w:rsidRPr="00185CBB" w:rsidRDefault="004379FD" w:rsidP="004379FD">
      <w:pPr>
        <w:pStyle w:val="SNormalText"/>
        <w:spacing w:after="120" w:line="259" w:lineRule="auto"/>
        <w:ind w:right="164"/>
      </w:pPr>
      <w:r w:rsidRPr="00185CBB">
        <w:t>Riverbanks influence the velocity of flow, depth of water, and provide the sediment conditions for biota including flora and fauna. Riverbank condition can alter conditions for biota, and this is often related to the extent o</w:t>
      </w:r>
      <w:r>
        <w:t>f bank activity and river flow.</w:t>
      </w:r>
    </w:p>
    <w:p w14:paraId="1BF62771" w14:textId="77777777" w:rsidR="004379FD" w:rsidRPr="00185CBB" w:rsidRDefault="004379FD" w:rsidP="004379FD">
      <w:pPr>
        <w:pStyle w:val="SNormalText"/>
        <w:spacing w:after="120" w:line="259" w:lineRule="auto"/>
        <w:ind w:right="164"/>
      </w:pPr>
      <w:r w:rsidRPr="00185CBB">
        <w:t>Riverbank vegetation richness and diversity are also impacted by flows, due to flow characteristics such as prolonged inundation, high velocities, and smothering</w:t>
      </w:r>
      <w:r>
        <w:t xml:space="preserve"> by sediment. Changes in v</w:t>
      </w:r>
      <w:r w:rsidRPr="00185CBB">
        <w:t xml:space="preserve">egetation can be independent of bank condition, or inextricably linked. There are considerable advantages </w:t>
      </w:r>
      <w:r>
        <w:t xml:space="preserve">to monitoring bank condition concurrently </w:t>
      </w:r>
      <w:r w:rsidRPr="00185CBB">
        <w:t>with riverbank vegetation condition.</w:t>
      </w:r>
    </w:p>
    <w:p w14:paraId="4D53ECC5" w14:textId="77777777" w:rsidR="004379FD" w:rsidRDefault="004379FD" w:rsidP="004379FD">
      <w:pPr>
        <w:pStyle w:val="SNormalText"/>
        <w:spacing w:after="120" w:line="259" w:lineRule="auto"/>
        <w:ind w:right="164"/>
      </w:pPr>
      <w:r w:rsidRPr="00185CBB">
        <w:t xml:space="preserve">Quantifying the relationship between </w:t>
      </w:r>
      <w:r>
        <w:t>flows</w:t>
      </w:r>
      <w:r w:rsidRPr="00185CBB">
        <w:t xml:space="preserve"> and bank condition can assist with understanding flows that enhance e</w:t>
      </w:r>
      <w:r>
        <w:t>cological objectives</w:t>
      </w:r>
      <w:r w:rsidRPr="00185CBB">
        <w:t xml:space="preserve"> and reduce any potential unintended consequences. The Cause and Effect Diagrams (CEDs) develop</w:t>
      </w:r>
      <w:r>
        <w:t>ed as part of the original Long-</w:t>
      </w:r>
      <w:r w:rsidRPr="00185CBB">
        <w:t xml:space="preserve">Term Intervention Monitoring (LTIM) </w:t>
      </w:r>
      <w:r>
        <w:t xml:space="preserve">(Figure 9.1) </w:t>
      </w:r>
      <w:r w:rsidRPr="00185CBB">
        <w:t>illustrate some of the linkages between bank condition and a range of ecological and ecosystem values.</w:t>
      </w:r>
    </w:p>
    <w:p w14:paraId="06C91348"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433979C6" wp14:editId="3BA108A0">
            <wp:extent cx="5600700" cy="4322151"/>
            <wp:effectExtent l="0" t="0" r="0" b="2540"/>
            <wp:docPr id="1421229981" name="Picture 21" descr="Macintosh HD:Users:geoffvietz:Documents:3 Consulting:INDEPENDENT 13:Goulburn LTIM:Standard method:bank con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613246" cy="4331833"/>
                    </a:xfrm>
                    <a:prstGeom prst="rect">
                      <a:avLst/>
                    </a:prstGeom>
                    <a:ln>
                      <a:noFill/>
                    </a:ln>
                    <a:extLst>
                      <a:ext uri="{53640926-AAD7-44D8-BBD7-CCE9431645EC}">
                        <a14:shadowObscured xmlns:a14="http://schemas.microsoft.com/office/drawing/2010/main"/>
                      </a:ext>
                    </a:extLst>
                  </pic:spPr>
                </pic:pic>
              </a:graphicData>
            </a:graphic>
          </wp:inline>
        </w:drawing>
      </w:r>
    </w:p>
    <w:p w14:paraId="6AF55BCA" w14:textId="60346903" w:rsidR="004379FD" w:rsidRPr="005E2373" w:rsidRDefault="004379FD" w:rsidP="004379FD">
      <w:pPr>
        <w:pStyle w:val="SHCaption"/>
        <w:rPr>
          <w:color w:val="000000" w:themeColor="text1"/>
        </w:rPr>
      </w:pPr>
      <w:r w:rsidRPr="0066066A">
        <w:rPr>
          <w:b/>
          <w:color w:val="000000" w:themeColor="text1"/>
        </w:rPr>
        <w:t xml:space="preserve">Figure </w:t>
      </w:r>
      <w:r w:rsidR="00AD6D18">
        <w:rPr>
          <w:b/>
          <w:noProof/>
          <w:color w:val="000000" w:themeColor="text1"/>
        </w:rPr>
        <w:t>9</w:t>
      </w:r>
      <w:r>
        <w:rPr>
          <w:b/>
          <w:color w:val="000000" w:themeColor="text1"/>
        </w:rPr>
        <w:t>.</w:t>
      </w:r>
      <w:r w:rsidRPr="0066066A">
        <w:rPr>
          <w:b/>
          <w:noProof/>
          <w:color w:val="000000" w:themeColor="text1"/>
        </w:rPr>
        <w:fldChar w:fldCharType="begin"/>
      </w:r>
      <w:r w:rsidRPr="0066066A">
        <w:rPr>
          <w:b/>
          <w:noProof/>
          <w:color w:val="000000" w:themeColor="text1"/>
        </w:rPr>
        <w:instrText xml:space="preserve"> SEQ Figure \* ARABIC \s 1 </w:instrText>
      </w:r>
      <w:r w:rsidRPr="0066066A">
        <w:rPr>
          <w:b/>
          <w:noProof/>
          <w:color w:val="000000" w:themeColor="text1"/>
        </w:rPr>
        <w:fldChar w:fldCharType="separate"/>
      </w:r>
      <w:r w:rsidR="000A6D80">
        <w:rPr>
          <w:b/>
          <w:noProof/>
          <w:color w:val="000000" w:themeColor="text1"/>
        </w:rPr>
        <w:t>1</w:t>
      </w:r>
      <w:r w:rsidRPr="0066066A">
        <w:rPr>
          <w:b/>
          <w:noProof/>
          <w:color w:val="000000" w:themeColor="text1"/>
        </w:rPr>
        <w:fldChar w:fldCharType="end"/>
      </w:r>
      <w:r w:rsidRPr="0066066A">
        <w:rPr>
          <w:color w:val="000000" w:themeColor="text1"/>
        </w:rPr>
        <w:t>. Contribution of bank condition monitoring to example CEDs developed for the CEW monitoring program.</w:t>
      </w:r>
    </w:p>
    <w:p w14:paraId="61CF3BC8" w14:textId="77777777" w:rsidR="004379FD" w:rsidRDefault="004379FD" w:rsidP="004379FD">
      <w:pPr>
        <w:pStyle w:val="SNormalText"/>
        <w:spacing w:line="259" w:lineRule="auto"/>
        <w:ind w:right="164"/>
      </w:pPr>
    </w:p>
    <w:p w14:paraId="66355AF8" w14:textId="31A4EDE0" w:rsidR="004379FD" w:rsidRPr="00185CBB" w:rsidRDefault="004379FD" w:rsidP="004379FD">
      <w:pPr>
        <w:pStyle w:val="SNormalText"/>
        <w:spacing w:line="259" w:lineRule="auto"/>
        <w:ind w:right="164"/>
      </w:pPr>
      <w:r w:rsidRPr="00185CBB">
        <w:t xml:space="preserve">For this project Streamology focused on using Unmanned Aerial Vehicle (UAV) technology and photogrammetry methods to generate spatial and temporal data to create data sets </w:t>
      </w:r>
      <w:r w:rsidR="007F4CAB">
        <w:t>to</w:t>
      </w:r>
      <w:r w:rsidRPr="00185CBB">
        <w:t xml:space="preserve"> </w:t>
      </w:r>
      <w:r w:rsidR="007F4CAB">
        <w:t xml:space="preserve">investigate </w:t>
      </w:r>
      <w:r w:rsidRPr="00185CBB">
        <w:t>the impacts of f</w:t>
      </w:r>
      <w:r>
        <w:t xml:space="preserve">low events </w:t>
      </w:r>
      <w:r w:rsidR="007F4CAB">
        <w:t xml:space="preserve">on physical habitat </w:t>
      </w:r>
      <w:r>
        <w:t xml:space="preserve">in </w:t>
      </w:r>
      <w:r w:rsidRPr="00185CBB">
        <w:t xml:space="preserve">reaches </w:t>
      </w:r>
      <w:r>
        <w:t>of</w:t>
      </w:r>
      <w:r w:rsidRPr="00185CBB">
        <w:t xml:space="preserve"> the Edward</w:t>
      </w:r>
      <w:r>
        <w:t>/Kolety</w:t>
      </w:r>
      <w:r w:rsidRPr="00185CBB">
        <w:t xml:space="preserve"> River and Colligen Creek. UAVs were used throughout this project to capture high resolution aerial imagery to process with photogrammetry methods to produce</w:t>
      </w:r>
      <w:r>
        <w:t>:</w:t>
      </w:r>
    </w:p>
    <w:p w14:paraId="27EFCAD7" w14:textId="77777777" w:rsidR="004379FD" w:rsidRDefault="004379FD" w:rsidP="004379FD">
      <w:pPr>
        <w:pStyle w:val="SNormalText"/>
        <w:spacing w:line="259" w:lineRule="auto"/>
        <w:ind w:left="720" w:right="164"/>
      </w:pPr>
      <w:r w:rsidRPr="00185CBB">
        <w:t xml:space="preserve">1) Detailed </w:t>
      </w:r>
      <w:bookmarkStart w:id="37" w:name="_Hlk10101978"/>
      <w:r w:rsidRPr="00185CBB">
        <w:t xml:space="preserve">digital elevation models </w:t>
      </w:r>
      <w:bookmarkEnd w:id="37"/>
      <w:r w:rsidRPr="00185CBB">
        <w:t>(DEMs), DEMs of Difference (DEMODs) and qua</w:t>
      </w:r>
      <w:r>
        <w:t>ntifying bank condition changes</w:t>
      </w:r>
    </w:p>
    <w:p w14:paraId="35455F6A" w14:textId="77777777" w:rsidR="004379FD" w:rsidRDefault="004379FD" w:rsidP="004379FD">
      <w:pPr>
        <w:pStyle w:val="SNormalText"/>
        <w:spacing w:line="259" w:lineRule="auto"/>
        <w:ind w:left="720" w:right="164"/>
      </w:pPr>
      <w:r w:rsidRPr="00185CBB">
        <w:t>2) Riparian vegetation maps displaying spatial and temporal differences associated with flow events, quantification of the percentage loss of riparian vegetation, and locating areas of most/least impact.</w:t>
      </w:r>
    </w:p>
    <w:p w14:paraId="416A4005" w14:textId="77777777" w:rsidR="004379FD" w:rsidRPr="00185CBB" w:rsidRDefault="004379FD" w:rsidP="004379FD">
      <w:pPr>
        <w:pStyle w:val="SNormalText"/>
        <w:spacing w:line="259" w:lineRule="auto"/>
        <w:ind w:left="720" w:right="164"/>
      </w:pPr>
    </w:p>
    <w:p w14:paraId="2426E9D8" w14:textId="77777777" w:rsidR="004379FD" w:rsidRPr="00185CBB" w:rsidRDefault="004379FD" w:rsidP="004379FD">
      <w:pPr>
        <w:pStyle w:val="SNormalText"/>
        <w:spacing w:line="259" w:lineRule="auto"/>
        <w:ind w:right="164"/>
      </w:pPr>
      <w:r w:rsidRPr="00185CBB">
        <w:t>The methodology used, insights gained</w:t>
      </w:r>
      <w:r>
        <w:t>,</w:t>
      </w:r>
      <w:r w:rsidRPr="00185CBB">
        <w:t xml:space="preserve"> and conclusions made as a result of these process will be </w:t>
      </w:r>
      <w:r>
        <w:t>documented</w:t>
      </w:r>
      <w:r w:rsidRPr="00185CBB">
        <w:t xml:space="preserve"> in this report.</w:t>
      </w:r>
    </w:p>
    <w:p w14:paraId="03E5B7C6" w14:textId="77777777" w:rsidR="004379FD" w:rsidRPr="00185CBB" w:rsidRDefault="004379FD" w:rsidP="004379FD">
      <w:pPr>
        <w:pStyle w:val="SNormalText"/>
        <w:spacing w:line="259" w:lineRule="auto"/>
      </w:pPr>
    </w:p>
    <w:p w14:paraId="1EC7D22A" w14:textId="77777777" w:rsidR="004379FD" w:rsidRPr="004379FD" w:rsidRDefault="004379FD" w:rsidP="004379FD">
      <w:pPr>
        <w:spacing w:after="120" w:line="259" w:lineRule="auto"/>
        <w:rPr>
          <w:rFonts w:cstheme="minorHAnsi"/>
          <w:b/>
          <w:color w:val="31849B"/>
          <w:sz w:val="28"/>
          <w:szCs w:val="28"/>
        </w:rPr>
      </w:pPr>
      <w:bookmarkStart w:id="38" w:name="_Toc52445270"/>
      <w:r w:rsidRPr="004379FD">
        <w:rPr>
          <w:rFonts w:cstheme="minorHAnsi"/>
          <w:b/>
          <w:color w:val="31849B"/>
          <w:sz w:val="28"/>
          <w:szCs w:val="28"/>
        </w:rPr>
        <w:t>9.3 Research questions</w:t>
      </w:r>
      <w:bookmarkEnd w:id="38"/>
    </w:p>
    <w:p w14:paraId="72D667AD" w14:textId="77777777" w:rsidR="004379FD" w:rsidRPr="00D91FE8" w:rsidRDefault="004379FD" w:rsidP="0040642F">
      <w:pPr>
        <w:pStyle w:val="SNormalText"/>
        <w:numPr>
          <w:ilvl w:val="0"/>
          <w:numId w:val="41"/>
        </w:numPr>
        <w:spacing w:after="120" w:line="259" w:lineRule="auto"/>
        <w:rPr>
          <w:i/>
          <w:iCs/>
        </w:rPr>
      </w:pPr>
      <w:r w:rsidRPr="00D91FE8">
        <w:rPr>
          <w:i/>
          <w:iCs/>
        </w:rPr>
        <w:t>What are the features of the flow regime and river operations that drive erosion and deposition?</w:t>
      </w:r>
    </w:p>
    <w:p w14:paraId="2654508F" w14:textId="77777777" w:rsidR="004379FD" w:rsidRPr="00185CBB" w:rsidRDefault="004379FD" w:rsidP="0040642F">
      <w:pPr>
        <w:pStyle w:val="SNormalText"/>
        <w:numPr>
          <w:ilvl w:val="0"/>
          <w:numId w:val="41"/>
        </w:numPr>
        <w:spacing w:after="120" w:line="259" w:lineRule="auto"/>
      </w:pPr>
      <w:r w:rsidRPr="00D91FE8">
        <w:rPr>
          <w:i/>
          <w:iCs/>
        </w:rPr>
        <w:t>What are the features of flow regime and river operations that affect riverbank vegetation and aquatic vegetation cover?</w:t>
      </w:r>
      <w:r>
        <w:t xml:space="preserve"> </w:t>
      </w:r>
    </w:p>
    <w:p w14:paraId="0BA34968" w14:textId="77777777" w:rsidR="004379FD" w:rsidRPr="004379FD" w:rsidRDefault="004379FD" w:rsidP="004379FD">
      <w:pPr>
        <w:pStyle w:val="SNormalText"/>
        <w:spacing w:line="259" w:lineRule="auto"/>
        <w:rPr>
          <w:iCs/>
        </w:rPr>
      </w:pPr>
    </w:p>
    <w:p w14:paraId="1243CAE3" w14:textId="77777777" w:rsidR="004379FD" w:rsidRPr="004379FD" w:rsidRDefault="004379FD" w:rsidP="004379FD">
      <w:pPr>
        <w:spacing w:after="120" w:line="259" w:lineRule="auto"/>
        <w:rPr>
          <w:rFonts w:cstheme="minorHAnsi"/>
          <w:b/>
          <w:color w:val="31849B"/>
          <w:sz w:val="28"/>
          <w:szCs w:val="28"/>
        </w:rPr>
      </w:pPr>
      <w:bookmarkStart w:id="39" w:name="_Toc52445271"/>
      <w:r w:rsidRPr="004379FD">
        <w:rPr>
          <w:rFonts w:cstheme="minorHAnsi"/>
          <w:b/>
          <w:color w:val="31849B"/>
          <w:sz w:val="28"/>
          <w:szCs w:val="28"/>
        </w:rPr>
        <w:t>9.4 Methodology</w:t>
      </w:r>
      <w:bookmarkEnd w:id="39"/>
      <w:r w:rsidRPr="004379FD">
        <w:rPr>
          <w:rFonts w:cstheme="minorHAnsi"/>
          <w:b/>
          <w:color w:val="31849B"/>
          <w:sz w:val="28"/>
          <w:szCs w:val="28"/>
        </w:rPr>
        <w:t xml:space="preserve"> </w:t>
      </w:r>
    </w:p>
    <w:p w14:paraId="4DCB3178" w14:textId="2FF06C3B" w:rsidR="004379FD" w:rsidRPr="00185CBB" w:rsidRDefault="004379FD" w:rsidP="004379FD">
      <w:pPr>
        <w:pStyle w:val="SNormalText"/>
        <w:spacing w:line="259" w:lineRule="auto"/>
        <w:ind w:right="305"/>
      </w:pPr>
      <w:r w:rsidRPr="00185CBB">
        <w:t xml:space="preserve">The infographic </w:t>
      </w:r>
      <w:r>
        <w:t>(</w:t>
      </w:r>
      <w:r w:rsidRPr="00811076">
        <w:fldChar w:fldCharType="begin"/>
      </w:r>
      <w:r w:rsidRPr="00811076">
        <w:instrText xml:space="preserve"> REF _Ref52436455 \h  \* MERGEFORMAT </w:instrText>
      </w:r>
      <w:r w:rsidRPr="00811076">
        <w:fldChar w:fldCharType="separate"/>
      </w:r>
      <w:r w:rsidR="000A6D80" w:rsidRPr="000A6D80">
        <w:rPr>
          <w:color w:val="000000" w:themeColor="text1"/>
        </w:rPr>
        <w:t xml:space="preserve">Figure </w:t>
      </w:r>
      <w:r w:rsidR="000A6D80" w:rsidRPr="000A6D80">
        <w:rPr>
          <w:noProof/>
          <w:color w:val="000000" w:themeColor="text1"/>
        </w:rPr>
        <w:t>9.2</w:t>
      </w:r>
      <w:r w:rsidRPr="00811076">
        <w:fldChar w:fldCharType="end"/>
      </w:r>
      <w:r>
        <w:t>)</w:t>
      </w:r>
      <w:r w:rsidRPr="00185CBB">
        <w:t xml:space="preserve"> provides an overview </w:t>
      </w:r>
      <w:r>
        <w:t>of</w:t>
      </w:r>
      <w:r w:rsidRPr="00185CBB">
        <w:t xml:space="preserve"> the methodology used to monitor bank and vegetation condition in response to hydrological characteristics within the Edward</w:t>
      </w:r>
      <w:r>
        <w:t>/Kolety</w:t>
      </w:r>
      <w:r w:rsidRPr="00185CBB">
        <w:t xml:space="preserve">-Wakool system. </w:t>
      </w:r>
    </w:p>
    <w:p w14:paraId="07359B9E" w14:textId="77777777" w:rsidR="004379FD" w:rsidRPr="00185CBB" w:rsidRDefault="004379FD" w:rsidP="004379FD">
      <w:pPr>
        <w:pStyle w:val="BodyText1"/>
        <w:spacing w:after="0" w:line="240" w:lineRule="auto"/>
      </w:pPr>
      <w:r>
        <w:rPr>
          <w:noProof/>
          <w:lang w:eastAsia="en-AU" w:bidi="ar-SA"/>
        </w:rPr>
        <w:drawing>
          <wp:inline distT="0" distB="0" distL="0" distR="0" wp14:anchorId="47DDDD15" wp14:editId="25774446">
            <wp:extent cx="4579576" cy="431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4623965" cy="4359853"/>
                    </a:xfrm>
                    <a:prstGeom prst="rect">
                      <a:avLst/>
                    </a:prstGeom>
                    <a:noFill/>
                    <a:ln>
                      <a:noFill/>
                    </a:ln>
                    <a:extLst>
                      <a:ext uri="{53640926-AAD7-44D8-BBD7-CCE9431645EC}">
                        <a14:shadowObscured xmlns:a14="http://schemas.microsoft.com/office/drawing/2010/main"/>
                      </a:ext>
                    </a:extLst>
                  </pic:spPr>
                </pic:pic>
              </a:graphicData>
            </a:graphic>
          </wp:inline>
        </w:drawing>
      </w:r>
    </w:p>
    <w:p w14:paraId="2E9FB9C4" w14:textId="7DA75EB6" w:rsidR="004379FD" w:rsidRPr="00F22B53" w:rsidRDefault="004379FD" w:rsidP="004379FD">
      <w:pPr>
        <w:pStyle w:val="SHCaption"/>
        <w:ind w:right="305"/>
        <w:rPr>
          <w:color w:val="000000" w:themeColor="text1"/>
        </w:rPr>
      </w:pPr>
      <w:bookmarkStart w:id="40" w:name="_Ref52436455"/>
      <w:r w:rsidRPr="00F22B53">
        <w:rPr>
          <w:b/>
          <w:color w:val="000000" w:themeColor="text1"/>
        </w:rPr>
        <w:t xml:space="preserve">Figure </w:t>
      </w:r>
      <w:r w:rsidR="00AD6D18">
        <w:rPr>
          <w:b/>
          <w:noProof/>
          <w:color w:val="000000" w:themeColor="text1"/>
        </w:rPr>
        <w:t>9</w:t>
      </w:r>
      <w:r w:rsidRPr="00F22B53">
        <w:rPr>
          <w:b/>
          <w:color w:val="000000" w:themeColor="text1"/>
        </w:rPr>
        <w:t>.</w:t>
      </w:r>
      <w:r w:rsidRPr="00F22B53">
        <w:rPr>
          <w:b/>
          <w:noProof/>
          <w:color w:val="000000" w:themeColor="text1"/>
        </w:rPr>
        <w:fldChar w:fldCharType="begin"/>
      </w:r>
      <w:r w:rsidRPr="00F22B53">
        <w:rPr>
          <w:b/>
          <w:noProof/>
          <w:color w:val="000000" w:themeColor="text1"/>
        </w:rPr>
        <w:instrText xml:space="preserve"> SEQ Figure \* ARABIC \s 1 </w:instrText>
      </w:r>
      <w:r w:rsidRPr="00F22B53">
        <w:rPr>
          <w:b/>
          <w:noProof/>
          <w:color w:val="000000" w:themeColor="text1"/>
        </w:rPr>
        <w:fldChar w:fldCharType="separate"/>
      </w:r>
      <w:r w:rsidR="000A6D80">
        <w:rPr>
          <w:b/>
          <w:noProof/>
          <w:color w:val="000000" w:themeColor="text1"/>
        </w:rPr>
        <w:t>2</w:t>
      </w:r>
      <w:r w:rsidRPr="00F22B53">
        <w:rPr>
          <w:b/>
          <w:noProof/>
          <w:color w:val="000000" w:themeColor="text1"/>
        </w:rPr>
        <w:fldChar w:fldCharType="end"/>
      </w:r>
      <w:bookmarkEnd w:id="40"/>
      <w:r w:rsidRPr="00F22B53">
        <w:rPr>
          <w:color w:val="000000" w:themeColor="text1"/>
        </w:rPr>
        <w:t>. Infographic providing an over-view of the methodology applied to bank and vegetation condition analysis using UAV technology</w:t>
      </w:r>
    </w:p>
    <w:p w14:paraId="40A664FA" w14:textId="77777777" w:rsidR="004379FD" w:rsidRPr="004379FD" w:rsidRDefault="004379FD" w:rsidP="004379FD">
      <w:pPr>
        <w:pStyle w:val="BodyText1"/>
        <w:spacing w:line="320" w:lineRule="exact"/>
        <w:rPr>
          <w:rFonts w:asciiTheme="minorHAnsi" w:hAnsiTheme="minorHAnsi" w:cstheme="minorHAnsi"/>
          <w:b/>
          <w:color w:val="31849B" w:themeColor="accent5" w:themeShade="BF"/>
          <w:sz w:val="24"/>
          <w:szCs w:val="24"/>
        </w:rPr>
      </w:pPr>
      <w:bookmarkStart w:id="41" w:name="_Toc52433848"/>
      <w:bookmarkStart w:id="42" w:name="_Toc52445272"/>
      <w:r w:rsidRPr="004379FD">
        <w:rPr>
          <w:rFonts w:asciiTheme="minorHAnsi" w:hAnsiTheme="minorHAnsi" w:cstheme="minorHAnsi"/>
          <w:b/>
          <w:color w:val="31849B" w:themeColor="accent5" w:themeShade="BF"/>
          <w:sz w:val="24"/>
          <w:szCs w:val="24"/>
        </w:rPr>
        <w:t>The drone method</w:t>
      </w:r>
      <w:bookmarkEnd w:id="41"/>
      <w:bookmarkEnd w:id="42"/>
    </w:p>
    <w:p w14:paraId="4A7C9D51" w14:textId="77777777" w:rsidR="004379FD" w:rsidRPr="00185CBB" w:rsidRDefault="004379FD" w:rsidP="004379FD">
      <w:pPr>
        <w:pStyle w:val="SNormalText"/>
        <w:spacing w:line="259" w:lineRule="auto"/>
        <w:ind w:right="305"/>
      </w:pPr>
      <w:r w:rsidRPr="00185CBB">
        <w:t xml:space="preserve">The </w:t>
      </w:r>
      <w:r>
        <w:t>drone method is a 3-</w:t>
      </w:r>
      <w:r w:rsidRPr="00185CBB">
        <w:t>step process</w:t>
      </w:r>
      <w:r>
        <w:t xml:space="preserve"> (Figure 9.3)</w:t>
      </w:r>
      <w:r w:rsidRPr="00185CBB">
        <w:t>:</w:t>
      </w:r>
    </w:p>
    <w:p w14:paraId="29AC05BE" w14:textId="77777777" w:rsidR="004379FD" w:rsidRPr="00185CBB" w:rsidRDefault="004379FD" w:rsidP="0040642F">
      <w:pPr>
        <w:pStyle w:val="SNormalText"/>
        <w:numPr>
          <w:ilvl w:val="0"/>
          <w:numId w:val="42"/>
        </w:numPr>
        <w:spacing w:line="259" w:lineRule="auto"/>
        <w:ind w:right="305"/>
      </w:pPr>
      <w:r w:rsidRPr="00185CBB">
        <w:t>the site must be prepared, this involves the distribution of ground control points (GCPs), which enable the accurate comparison of multiple drone surveys over time.</w:t>
      </w:r>
    </w:p>
    <w:p w14:paraId="47651148" w14:textId="77777777" w:rsidR="004379FD" w:rsidRPr="00185CBB" w:rsidRDefault="004379FD" w:rsidP="0040642F">
      <w:pPr>
        <w:pStyle w:val="SNormalText"/>
        <w:numPr>
          <w:ilvl w:val="0"/>
          <w:numId w:val="42"/>
        </w:numPr>
        <w:spacing w:line="259" w:lineRule="auto"/>
        <w:ind w:right="305"/>
      </w:pPr>
      <w:r w:rsidRPr="00185CBB">
        <w:t>the drone must be flown in a particular way to capture the entire face of the chosen area of interest on the bank. This involves several flights using an oblique image capture protocol.</w:t>
      </w:r>
    </w:p>
    <w:p w14:paraId="0B54C709" w14:textId="77777777" w:rsidR="004379FD" w:rsidRPr="00185CBB" w:rsidRDefault="004379FD" w:rsidP="0040642F">
      <w:pPr>
        <w:pStyle w:val="SNormalText"/>
        <w:numPr>
          <w:ilvl w:val="0"/>
          <w:numId w:val="42"/>
        </w:numPr>
        <w:spacing w:line="259" w:lineRule="auto"/>
        <w:ind w:right="305"/>
      </w:pPr>
      <w:r w:rsidRPr="00185CBB">
        <w:t>the enormous amount of data must be processed. This processing focusses on a) stitching images together using a combination of geospatial data and visual bank features b) processing these into points to enable the creation of digital elevation models (DEMs) or point clouds</w:t>
      </w:r>
    </w:p>
    <w:p w14:paraId="4E644982" w14:textId="77777777" w:rsidR="004379FD" w:rsidRPr="00185CBB" w:rsidRDefault="004379FD" w:rsidP="0040642F">
      <w:pPr>
        <w:pStyle w:val="SNormalText"/>
        <w:numPr>
          <w:ilvl w:val="0"/>
          <w:numId w:val="42"/>
        </w:numPr>
        <w:spacing w:line="259" w:lineRule="auto"/>
        <w:ind w:right="305"/>
      </w:pPr>
      <w:r w:rsidRPr="00185CBB">
        <w:t>steps 2 and 3 are repeated so that datasets from two different time periods can be compared, enabling the creation of DEMs of difference (DEMODs), which highlight areas of erosion and deposition across a bank face</w:t>
      </w:r>
      <w:r>
        <w:t>.</w:t>
      </w:r>
    </w:p>
    <w:p w14:paraId="7864E4A1"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6B82FC81" wp14:editId="5667B190">
            <wp:extent cx="5645150" cy="2642062"/>
            <wp:effectExtent l="0" t="0" r="0" b="6350"/>
            <wp:docPr id="58" name="Picture 8">
              <a:extLst xmlns:a="http://schemas.openxmlformats.org/drawingml/2006/main">
                <a:ext uri="{FF2B5EF4-FFF2-40B4-BE49-F238E27FC236}">
                  <a16:creationId xmlns:a16="http://schemas.microsoft.com/office/drawing/2014/main" id="{D93BB3A0-2033-4EDF-889C-AF129666F8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93BB3A0-2033-4EDF-889C-AF129666F857}"/>
                        </a:ext>
                      </a:extLst>
                    </pic:cNvPr>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a:off x="0" y="0"/>
                      <a:ext cx="5702882" cy="2669082"/>
                    </a:xfrm>
                    <a:prstGeom prst="rect">
                      <a:avLst/>
                    </a:prstGeom>
                  </pic:spPr>
                </pic:pic>
              </a:graphicData>
            </a:graphic>
          </wp:inline>
        </w:drawing>
      </w:r>
    </w:p>
    <w:p w14:paraId="51A3DD9D" w14:textId="4C8327D5" w:rsidR="004379FD" w:rsidRPr="00F22B53" w:rsidRDefault="004379FD" w:rsidP="004379FD">
      <w:pPr>
        <w:pStyle w:val="SHCaption"/>
        <w:rPr>
          <w:color w:val="000000" w:themeColor="text1"/>
        </w:rPr>
      </w:pPr>
      <w:bookmarkStart w:id="43" w:name="_Ref52357940"/>
      <w:bookmarkStart w:id="44" w:name="_Toc52433887"/>
      <w:r w:rsidRPr="00F22B53">
        <w:rPr>
          <w:b/>
          <w:color w:val="000000" w:themeColor="text1"/>
        </w:rPr>
        <w:t xml:space="preserve">Figure </w:t>
      </w:r>
      <w:r w:rsidR="00AD6D18">
        <w:rPr>
          <w:b/>
          <w:noProof/>
          <w:color w:val="000000" w:themeColor="text1"/>
        </w:rPr>
        <w:t>9</w:t>
      </w:r>
      <w:r w:rsidRPr="00F22B53">
        <w:rPr>
          <w:b/>
          <w:color w:val="000000" w:themeColor="text1"/>
        </w:rPr>
        <w:t>.</w:t>
      </w:r>
      <w:r w:rsidRPr="00F22B53">
        <w:rPr>
          <w:b/>
          <w:noProof/>
          <w:color w:val="000000" w:themeColor="text1"/>
        </w:rPr>
        <w:fldChar w:fldCharType="begin"/>
      </w:r>
      <w:r w:rsidRPr="00F22B53">
        <w:rPr>
          <w:b/>
          <w:noProof/>
          <w:color w:val="000000" w:themeColor="text1"/>
        </w:rPr>
        <w:instrText xml:space="preserve"> SEQ Figure \* ARABIC \s 1 </w:instrText>
      </w:r>
      <w:r w:rsidRPr="00F22B53">
        <w:rPr>
          <w:b/>
          <w:noProof/>
          <w:color w:val="000000" w:themeColor="text1"/>
        </w:rPr>
        <w:fldChar w:fldCharType="separate"/>
      </w:r>
      <w:r w:rsidR="000A6D80">
        <w:rPr>
          <w:b/>
          <w:noProof/>
          <w:color w:val="000000" w:themeColor="text1"/>
        </w:rPr>
        <w:t>3</w:t>
      </w:r>
      <w:r w:rsidRPr="00F22B53">
        <w:rPr>
          <w:b/>
          <w:noProof/>
          <w:color w:val="000000" w:themeColor="text1"/>
        </w:rPr>
        <w:fldChar w:fldCharType="end"/>
      </w:r>
      <w:bookmarkEnd w:id="43"/>
      <w:r w:rsidRPr="00F22B53">
        <w:rPr>
          <w:color w:val="000000" w:themeColor="text1"/>
        </w:rPr>
        <w:t xml:space="preserve"> Infographic illustrating the t</w:t>
      </w:r>
      <w:r>
        <w:rPr>
          <w:color w:val="000000" w:themeColor="text1"/>
        </w:rPr>
        <w:t>hree steps to collect fiel</w:t>
      </w:r>
      <w:r w:rsidRPr="00F22B53">
        <w:rPr>
          <w:color w:val="000000" w:themeColor="text1"/>
        </w:rPr>
        <w:t>d data using drones and to process this data into 3D models</w:t>
      </w:r>
      <w:bookmarkEnd w:id="44"/>
      <w:r>
        <w:rPr>
          <w:color w:val="000000" w:themeColor="text1"/>
        </w:rPr>
        <w:t>.</w:t>
      </w:r>
    </w:p>
    <w:p w14:paraId="1679A3E2" w14:textId="77777777" w:rsidR="004379FD" w:rsidRPr="004379FD" w:rsidRDefault="004379FD" w:rsidP="004379FD">
      <w:pPr>
        <w:pStyle w:val="BodyText1"/>
        <w:spacing w:line="320" w:lineRule="exact"/>
        <w:rPr>
          <w:rFonts w:asciiTheme="minorHAnsi" w:hAnsiTheme="minorHAnsi" w:cstheme="minorHAnsi"/>
          <w:b/>
          <w:color w:val="31849B" w:themeColor="accent5" w:themeShade="BF"/>
          <w:sz w:val="24"/>
          <w:szCs w:val="24"/>
        </w:rPr>
      </w:pPr>
      <w:bookmarkStart w:id="45" w:name="_Toc52433849"/>
      <w:bookmarkStart w:id="46" w:name="_Toc52445273"/>
      <w:r w:rsidRPr="004379FD">
        <w:rPr>
          <w:rFonts w:asciiTheme="minorHAnsi" w:hAnsiTheme="minorHAnsi" w:cstheme="minorHAnsi"/>
          <w:b/>
          <w:color w:val="31849B" w:themeColor="accent5" w:themeShade="BF"/>
          <w:sz w:val="24"/>
          <w:szCs w:val="24"/>
        </w:rPr>
        <w:t>Monitoring sites</w:t>
      </w:r>
      <w:bookmarkEnd w:id="45"/>
      <w:bookmarkEnd w:id="46"/>
    </w:p>
    <w:p w14:paraId="5390D264" w14:textId="5F6C62DF" w:rsidR="004379FD" w:rsidRDefault="004379FD" w:rsidP="004379FD">
      <w:pPr>
        <w:pStyle w:val="SNormalText"/>
        <w:spacing w:line="259" w:lineRule="auto"/>
      </w:pPr>
      <w:r>
        <w:t>This project included three</w:t>
      </w:r>
      <w:r w:rsidRPr="00185CBB">
        <w:t xml:space="preserve"> monitoring sites</w:t>
      </w:r>
      <w:r>
        <w:t>; two</w:t>
      </w:r>
      <w:r w:rsidRPr="00185CBB">
        <w:t xml:space="preserve"> on the Edward</w:t>
      </w:r>
      <w:r>
        <w:t>/Kolety</w:t>
      </w:r>
      <w:r w:rsidRPr="00185CBB">
        <w:t xml:space="preserve"> River and </w:t>
      </w:r>
      <w:r>
        <w:t xml:space="preserve">one on </w:t>
      </w:r>
      <w:r w:rsidRPr="00185CBB">
        <w:t>Colligen Creek (</w:t>
      </w:r>
      <w:r w:rsidRPr="00355350">
        <w:fldChar w:fldCharType="begin"/>
      </w:r>
      <w:r w:rsidRPr="00355350">
        <w:instrText xml:space="preserve"> REF _Ref52437465 \h  \* MERGEFORMAT </w:instrText>
      </w:r>
      <w:r w:rsidRPr="00355350">
        <w:fldChar w:fldCharType="separate"/>
      </w:r>
      <w:r w:rsidR="000A6D80" w:rsidRPr="000A6D80">
        <w:rPr>
          <w:color w:val="000000" w:themeColor="text1"/>
        </w:rPr>
        <w:t xml:space="preserve">Figure </w:t>
      </w:r>
      <w:r w:rsidR="000A6D80" w:rsidRPr="000A6D80">
        <w:rPr>
          <w:noProof/>
          <w:color w:val="000000" w:themeColor="text1"/>
        </w:rPr>
        <w:t>9.4</w:t>
      </w:r>
      <w:r w:rsidRPr="00355350">
        <w:fldChar w:fldCharType="end"/>
      </w:r>
      <w:r w:rsidRPr="00185CBB">
        <w:t>)</w:t>
      </w:r>
      <w:r>
        <w:t>.</w:t>
      </w:r>
    </w:p>
    <w:p w14:paraId="75E4367E"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6455DAA9" wp14:editId="1B01FA1D">
            <wp:extent cx="2204949" cy="2311400"/>
            <wp:effectExtent l="0" t="0" r="5080" b="0"/>
            <wp:docPr id="465" name="Picture 2">
              <a:extLst xmlns:a="http://schemas.openxmlformats.org/drawingml/2006/main">
                <a:ext uri="{FF2B5EF4-FFF2-40B4-BE49-F238E27FC236}">
                  <a16:creationId xmlns:a16="http://schemas.microsoft.com/office/drawing/2014/main" id="{73170F10-F00C-4446-A404-78F927229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3170F10-F00C-4446-A404-78F9272298F9}"/>
                        </a:ext>
                      </a:extLst>
                    </pic:cNvPr>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a:off x="0" y="0"/>
                      <a:ext cx="2225343" cy="2332779"/>
                    </a:xfrm>
                    <a:prstGeom prst="rect">
                      <a:avLst/>
                    </a:prstGeom>
                  </pic:spPr>
                </pic:pic>
              </a:graphicData>
            </a:graphic>
          </wp:inline>
        </w:drawing>
      </w:r>
    </w:p>
    <w:p w14:paraId="4F0B7CC1" w14:textId="1DA9598C" w:rsidR="004379FD" w:rsidRPr="00F22B53" w:rsidRDefault="004379FD" w:rsidP="004379FD">
      <w:pPr>
        <w:pStyle w:val="SHCaption"/>
        <w:rPr>
          <w:color w:val="000000" w:themeColor="text1"/>
        </w:rPr>
      </w:pPr>
      <w:bookmarkStart w:id="47" w:name="_Ref52437465"/>
      <w:r w:rsidRPr="00F22B53">
        <w:rPr>
          <w:b/>
          <w:color w:val="000000" w:themeColor="text1"/>
        </w:rPr>
        <w:t xml:space="preserve">Figure </w:t>
      </w:r>
      <w:r w:rsidR="00AD6D18">
        <w:rPr>
          <w:b/>
          <w:noProof/>
          <w:color w:val="000000" w:themeColor="text1"/>
        </w:rPr>
        <w:t>9</w:t>
      </w:r>
      <w:r w:rsidRPr="00F22B53">
        <w:rPr>
          <w:b/>
          <w:color w:val="000000" w:themeColor="text1"/>
        </w:rPr>
        <w:t>.</w:t>
      </w:r>
      <w:r w:rsidRPr="00F22B53">
        <w:rPr>
          <w:b/>
          <w:noProof/>
          <w:color w:val="000000" w:themeColor="text1"/>
        </w:rPr>
        <w:fldChar w:fldCharType="begin"/>
      </w:r>
      <w:r w:rsidRPr="00F22B53">
        <w:rPr>
          <w:b/>
          <w:noProof/>
          <w:color w:val="000000" w:themeColor="text1"/>
        </w:rPr>
        <w:instrText xml:space="preserve"> SEQ Figure \* ARABIC \s 1 </w:instrText>
      </w:r>
      <w:r w:rsidRPr="00F22B53">
        <w:rPr>
          <w:b/>
          <w:noProof/>
          <w:color w:val="000000" w:themeColor="text1"/>
        </w:rPr>
        <w:fldChar w:fldCharType="separate"/>
      </w:r>
      <w:r w:rsidR="000A6D80">
        <w:rPr>
          <w:b/>
          <w:noProof/>
          <w:color w:val="000000" w:themeColor="text1"/>
        </w:rPr>
        <w:t>4</w:t>
      </w:r>
      <w:r w:rsidRPr="00F22B53">
        <w:rPr>
          <w:b/>
          <w:noProof/>
          <w:color w:val="000000" w:themeColor="text1"/>
        </w:rPr>
        <w:fldChar w:fldCharType="end"/>
      </w:r>
      <w:bookmarkEnd w:id="47"/>
      <w:r w:rsidRPr="00F22B53">
        <w:rPr>
          <w:color w:val="000000" w:themeColor="text1"/>
        </w:rPr>
        <w:t xml:space="preserve">. Location of </w:t>
      </w:r>
      <w:r>
        <w:rPr>
          <w:color w:val="000000" w:themeColor="text1"/>
        </w:rPr>
        <w:t xml:space="preserve">study sites in the </w:t>
      </w:r>
      <w:r w:rsidRPr="00F22B53">
        <w:rPr>
          <w:color w:val="000000" w:themeColor="text1"/>
        </w:rPr>
        <w:t>Edward</w:t>
      </w:r>
      <w:r>
        <w:rPr>
          <w:color w:val="000000" w:themeColor="text1"/>
        </w:rPr>
        <w:t>/Kolety</w:t>
      </w:r>
      <w:r w:rsidRPr="00F22B53">
        <w:rPr>
          <w:color w:val="000000" w:themeColor="text1"/>
        </w:rPr>
        <w:t xml:space="preserve"> River and Colligen Creek.</w:t>
      </w:r>
    </w:p>
    <w:p w14:paraId="06BDD10F" w14:textId="77777777" w:rsidR="004379FD" w:rsidRPr="004379FD" w:rsidRDefault="004379FD" w:rsidP="000B3BA9">
      <w:pPr>
        <w:pStyle w:val="BodyText1"/>
        <w:spacing w:line="320" w:lineRule="exact"/>
        <w:rPr>
          <w:rFonts w:asciiTheme="minorHAnsi" w:hAnsiTheme="minorHAnsi" w:cstheme="minorHAnsi"/>
          <w:b/>
          <w:color w:val="31849B" w:themeColor="accent5" w:themeShade="BF"/>
          <w:sz w:val="24"/>
          <w:szCs w:val="24"/>
        </w:rPr>
      </w:pPr>
      <w:bookmarkStart w:id="48" w:name="_Toc52433850"/>
      <w:bookmarkStart w:id="49" w:name="_Toc52445274"/>
      <w:r w:rsidRPr="004379FD">
        <w:rPr>
          <w:rFonts w:asciiTheme="minorHAnsi" w:hAnsiTheme="minorHAnsi" w:cstheme="minorHAnsi"/>
          <w:b/>
          <w:color w:val="31849B" w:themeColor="accent5" w:themeShade="BF"/>
          <w:sz w:val="24"/>
          <w:szCs w:val="24"/>
        </w:rPr>
        <w:t>Visit timing related to daily discharge</w:t>
      </w:r>
      <w:bookmarkEnd w:id="48"/>
      <w:bookmarkEnd w:id="49"/>
    </w:p>
    <w:p w14:paraId="3B09D0DD" w14:textId="68D1B3FE" w:rsidR="004379FD" w:rsidRDefault="004379FD" w:rsidP="004379FD">
      <w:pPr>
        <w:pStyle w:val="SNormalText"/>
        <w:spacing w:after="120" w:line="259" w:lineRule="auto"/>
      </w:pPr>
      <w:r>
        <w:t>The</w:t>
      </w:r>
      <w:r w:rsidRPr="00185CBB">
        <w:t xml:space="preserve"> varying </w:t>
      </w:r>
      <w:r>
        <w:t>discharge</w:t>
      </w:r>
      <w:r w:rsidRPr="00185CBB">
        <w:t xml:space="preserve"> made determining ideal trip visits challenging as </w:t>
      </w:r>
      <w:r>
        <w:t>flows</w:t>
      </w:r>
      <w:r w:rsidRPr="00185CBB">
        <w:t xml:space="preserve"> had to be considered prior to each visit in addition to weather conditions</w:t>
      </w:r>
      <w:r>
        <w:t>. Where possible, v</w:t>
      </w:r>
      <w:r w:rsidRPr="00185CBB">
        <w:t>isit dates were alig</w:t>
      </w:r>
      <w:r>
        <w:t>ned with troughs in flow</w:t>
      </w:r>
      <w:r w:rsidRPr="00185CBB">
        <w:t>, to ensure that the largest amount of bank face was visible during the drone monitoring flights.</w:t>
      </w:r>
      <w:r>
        <w:t xml:space="preserve"> </w:t>
      </w:r>
      <w:r w:rsidRPr="00185CBB">
        <w:t>As illustrated in the hydrograph</w:t>
      </w:r>
      <w:r>
        <w:t xml:space="preserve"> (Figure 9.5)</w:t>
      </w:r>
      <w:r w:rsidRPr="00185CBB">
        <w:t xml:space="preserve"> the largest flow event </w:t>
      </w:r>
      <w:r>
        <w:t>at</w:t>
      </w:r>
      <w:r w:rsidRPr="00185CBB">
        <w:t xml:space="preserve"> the Edward</w:t>
      </w:r>
      <w:r>
        <w:t xml:space="preserve">/Kolety River site </w:t>
      </w:r>
      <w:r w:rsidRPr="00185CBB">
        <w:t>downstream of Stevens Wei</w:t>
      </w:r>
      <w:r>
        <w:t>r</w:t>
      </w:r>
      <w:r w:rsidRPr="00185CBB">
        <w:t xml:space="preserve"> peaked </w:t>
      </w:r>
      <w:r>
        <w:t>in October 2019 when</w:t>
      </w:r>
      <w:r w:rsidRPr="00185CBB">
        <w:t xml:space="preserve"> discharge reached over 3,500 </w:t>
      </w:r>
      <w:r>
        <w:t>ML/day</w:t>
      </w:r>
      <w:r w:rsidRPr="00185CBB">
        <w:t xml:space="preserve">. This event was </w:t>
      </w:r>
      <w:r>
        <w:t>recorded</w:t>
      </w:r>
      <w:r w:rsidRPr="00185CBB">
        <w:t xml:space="preserve"> between visit 1 and visit 2 and the response regarding bank condition is discussed later in this report (</w:t>
      </w:r>
      <w:r w:rsidRPr="00355350">
        <w:fldChar w:fldCharType="begin"/>
      </w:r>
      <w:r w:rsidRPr="00355350">
        <w:instrText xml:space="preserve"> REF _Ref48121095 \h  \* MERGEFORMAT </w:instrText>
      </w:r>
      <w:r w:rsidRPr="00355350">
        <w:fldChar w:fldCharType="separate"/>
      </w:r>
      <w:r w:rsidR="000A6D80" w:rsidRPr="000A6D80">
        <w:rPr>
          <w:color w:val="000000" w:themeColor="text1"/>
        </w:rPr>
        <w:t xml:space="preserve">Figure </w:t>
      </w:r>
      <w:r w:rsidR="000A6D80" w:rsidRPr="000A6D80">
        <w:rPr>
          <w:noProof/>
          <w:color w:val="000000" w:themeColor="text1"/>
        </w:rPr>
        <w:t>9.5</w:t>
      </w:r>
      <w:r w:rsidRPr="00355350">
        <w:fldChar w:fldCharType="end"/>
      </w:r>
      <w:r w:rsidRPr="00185CBB">
        <w:t>)</w:t>
      </w:r>
      <w:r>
        <w:t>.</w:t>
      </w:r>
    </w:p>
    <w:p w14:paraId="029E92C5" w14:textId="77777777" w:rsidR="004379FD" w:rsidRPr="00185CBB" w:rsidRDefault="004379FD" w:rsidP="004379FD">
      <w:pPr>
        <w:pStyle w:val="SNormalText"/>
        <w:spacing w:line="259" w:lineRule="auto"/>
      </w:pPr>
      <w:bookmarkStart w:id="50" w:name="_Hlk50729458"/>
      <w:r w:rsidRPr="00185CBB">
        <w:rPr>
          <w:noProof/>
          <w:lang w:eastAsia="en-AU"/>
        </w:rPr>
        <w:drawing>
          <wp:inline distT="0" distB="0" distL="0" distR="0" wp14:anchorId="7779F33A" wp14:editId="1C74E385">
            <wp:extent cx="4572041" cy="2387600"/>
            <wp:effectExtent l="19050" t="19050" r="1905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email">
                      <a:extLst>
                        <a:ext uri="{28A0092B-C50C-407E-A947-70E740481C1C}">
                          <a14:useLocalDpi xmlns:a14="http://schemas.microsoft.com/office/drawing/2010/main"/>
                        </a:ext>
                      </a:extLst>
                    </a:blip>
                    <a:stretch>
                      <a:fillRect/>
                    </a:stretch>
                  </pic:blipFill>
                  <pic:spPr>
                    <a:xfrm>
                      <a:off x="0" y="0"/>
                      <a:ext cx="4623485" cy="2414465"/>
                    </a:xfrm>
                    <a:prstGeom prst="rect">
                      <a:avLst/>
                    </a:prstGeom>
                    <a:ln w="3175">
                      <a:solidFill>
                        <a:schemeClr val="tx1"/>
                      </a:solidFill>
                    </a:ln>
                  </pic:spPr>
                </pic:pic>
              </a:graphicData>
            </a:graphic>
          </wp:inline>
        </w:drawing>
      </w:r>
    </w:p>
    <w:p w14:paraId="187132EF" w14:textId="2F095E14" w:rsidR="004379FD" w:rsidRPr="006E360B" w:rsidRDefault="004379FD" w:rsidP="004379FD">
      <w:pPr>
        <w:pStyle w:val="SHCaption"/>
        <w:ind w:right="305"/>
        <w:rPr>
          <w:color w:val="000000" w:themeColor="text1"/>
        </w:rPr>
      </w:pPr>
      <w:bookmarkStart w:id="51" w:name="_Ref48121095"/>
      <w:bookmarkStart w:id="52" w:name="_Toc52433889"/>
      <w:r w:rsidRPr="006E360B">
        <w:rPr>
          <w:b/>
          <w:color w:val="000000" w:themeColor="text1"/>
        </w:rPr>
        <w:t xml:space="preserve">Figure </w:t>
      </w:r>
      <w:r w:rsidR="00AD6D18">
        <w:rPr>
          <w:b/>
          <w:noProof/>
          <w:color w:val="000000" w:themeColor="text1"/>
        </w:rPr>
        <w:t>9</w:t>
      </w:r>
      <w:r w:rsidRPr="006E360B">
        <w:rPr>
          <w:b/>
          <w:color w:val="000000" w:themeColor="text1"/>
        </w:rPr>
        <w:t>.</w:t>
      </w:r>
      <w:r w:rsidRPr="006E360B">
        <w:rPr>
          <w:b/>
          <w:noProof/>
          <w:color w:val="000000" w:themeColor="text1"/>
        </w:rPr>
        <w:fldChar w:fldCharType="begin"/>
      </w:r>
      <w:r w:rsidRPr="006E360B">
        <w:rPr>
          <w:b/>
          <w:noProof/>
          <w:color w:val="000000" w:themeColor="text1"/>
        </w:rPr>
        <w:instrText xml:space="preserve"> SEQ Figure \* ARABIC \s 1 </w:instrText>
      </w:r>
      <w:r w:rsidRPr="006E360B">
        <w:rPr>
          <w:b/>
          <w:noProof/>
          <w:color w:val="000000" w:themeColor="text1"/>
        </w:rPr>
        <w:fldChar w:fldCharType="separate"/>
      </w:r>
      <w:r w:rsidR="000A6D80">
        <w:rPr>
          <w:b/>
          <w:noProof/>
          <w:color w:val="000000" w:themeColor="text1"/>
        </w:rPr>
        <w:t>5</w:t>
      </w:r>
      <w:r w:rsidRPr="006E360B">
        <w:rPr>
          <w:b/>
          <w:noProof/>
          <w:color w:val="000000" w:themeColor="text1"/>
        </w:rPr>
        <w:fldChar w:fldCharType="end"/>
      </w:r>
      <w:bookmarkEnd w:id="51"/>
      <w:r w:rsidRPr="006E360B">
        <w:rPr>
          <w:color w:val="000000" w:themeColor="text1"/>
        </w:rPr>
        <w:t xml:space="preserve"> Hydrograph illustrating daily mean discharge for each site and the timing each of each visit for drone monitoring</w:t>
      </w:r>
      <w:bookmarkEnd w:id="50"/>
      <w:bookmarkEnd w:id="52"/>
      <w:r>
        <w:rPr>
          <w:color w:val="000000" w:themeColor="text1"/>
        </w:rPr>
        <w:t>. Data sources from WaterNSW Realtime website; site downstream of Stevens Weir is gauge 409023, the Edward River offtake is gauge 409008, Colligen Creek is gauge 409024.</w:t>
      </w:r>
    </w:p>
    <w:p w14:paraId="49BBCA7A" w14:textId="77777777" w:rsidR="004379FD" w:rsidRPr="004379FD" w:rsidRDefault="004379FD" w:rsidP="004379FD">
      <w:pPr>
        <w:spacing w:after="120" w:line="259" w:lineRule="auto"/>
        <w:rPr>
          <w:rFonts w:cstheme="minorHAnsi"/>
          <w:b/>
          <w:color w:val="31849B"/>
          <w:sz w:val="28"/>
          <w:szCs w:val="28"/>
        </w:rPr>
      </w:pPr>
      <w:bookmarkStart w:id="53" w:name="_Toc52433851"/>
      <w:bookmarkStart w:id="54" w:name="_Toc52445275"/>
      <w:r w:rsidRPr="004379FD">
        <w:rPr>
          <w:rFonts w:cstheme="minorHAnsi"/>
          <w:b/>
          <w:color w:val="31849B"/>
          <w:sz w:val="28"/>
          <w:szCs w:val="28"/>
        </w:rPr>
        <w:t>9.5 Drone visits relative to hydrologic events</w:t>
      </w:r>
      <w:bookmarkEnd w:id="53"/>
      <w:bookmarkEnd w:id="54"/>
    </w:p>
    <w:p w14:paraId="44537805"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55" w:name="_Toc52433852"/>
      <w:bookmarkStart w:id="56" w:name="_Toc52445276"/>
      <w:r w:rsidRPr="004379FD">
        <w:rPr>
          <w:rFonts w:asciiTheme="minorHAnsi" w:hAnsiTheme="minorHAnsi" w:cstheme="minorHAnsi"/>
          <w:b/>
          <w:color w:val="31849B" w:themeColor="accent5" w:themeShade="BF"/>
          <w:sz w:val="24"/>
          <w:szCs w:val="24"/>
        </w:rPr>
        <w:t>Edward/Kolety River upstream site</w:t>
      </w:r>
      <w:bookmarkEnd w:id="55"/>
      <w:bookmarkEnd w:id="56"/>
    </w:p>
    <w:p w14:paraId="51303F84" w14:textId="39BEED2D" w:rsidR="004379FD" w:rsidRPr="00185CBB" w:rsidRDefault="004379FD" w:rsidP="004379FD">
      <w:pPr>
        <w:pStyle w:val="SNormalText"/>
        <w:spacing w:after="120" w:line="259" w:lineRule="auto"/>
        <w:ind w:right="305"/>
      </w:pPr>
      <w:r w:rsidRPr="00185CBB">
        <w:t xml:space="preserve">The hydrograph in </w:t>
      </w:r>
      <w:r w:rsidRPr="00185CBB">
        <w:fldChar w:fldCharType="begin"/>
      </w:r>
      <w:r w:rsidRPr="00185CBB">
        <w:instrText xml:space="preserve"> REF _Ref48130401 \h  \* MERGEFORMAT </w:instrText>
      </w:r>
      <w:r w:rsidRPr="00185CBB">
        <w:fldChar w:fldCharType="separate"/>
      </w:r>
      <w:r w:rsidR="000A6D80" w:rsidRPr="000A6D80">
        <w:t xml:space="preserve">Figure </w:t>
      </w:r>
      <w:r w:rsidR="000A6D80" w:rsidRPr="000A6D80">
        <w:rPr>
          <w:noProof/>
        </w:rPr>
        <w:t>9.6</w:t>
      </w:r>
      <w:r w:rsidRPr="00185CBB">
        <w:fldChar w:fldCharType="end"/>
      </w:r>
      <w:r w:rsidRPr="00185CBB">
        <w:t xml:space="preserve"> shows the discharge throughout the monitoring period was fairly uniform (near 1,600 </w:t>
      </w:r>
      <w:r>
        <w:t>ML/day</w:t>
      </w:r>
      <w:r w:rsidRPr="00185CBB">
        <w:t xml:space="preserve">) until March 2020 where a large </w:t>
      </w:r>
      <w:r>
        <w:t xml:space="preserve">reduction in flow was </w:t>
      </w:r>
      <w:r w:rsidRPr="00185CBB">
        <w:t>evident prior to visit 3</w:t>
      </w:r>
      <w:r>
        <w:t>. Between visit 3 and 4 there was an</w:t>
      </w:r>
      <w:r w:rsidRPr="00185CBB">
        <w:t xml:space="preserve"> unregulated flo</w:t>
      </w:r>
      <w:r>
        <w:t xml:space="preserve">w event, </w:t>
      </w:r>
      <w:r w:rsidRPr="00185CBB">
        <w:t>resulting in a pulse from the River Murray through the offtake into the Edward</w:t>
      </w:r>
      <w:r>
        <w:t>/Kolety River.</w:t>
      </w:r>
    </w:p>
    <w:p w14:paraId="430193C7"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4B492B13" wp14:editId="510655DD">
            <wp:extent cx="4533900" cy="2391216"/>
            <wp:effectExtent l="19050" t="19050" r="1905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4549096" cy="2399230"/>
                    </a:xfrm>
                    <a:prstGeom prst="rect">
                      <a:avLst/>
                    </a:prstGeom>
                    <a:ln w="3175">
                      <a:solidFill>
                        <a:schemeClr val="tx1"/>
                      </a:solidFill>
                    </a:ln>
                  </pic:spPr>
                </pic:pic>
              </a:graphicData>
            </a:graphic>
          </wp:inline>
        </w:drawing>
      </w:r>
    </w:p>
    <w:p w14:paraId="2E8F178E" w14:textId="41E101FA" w:rsidR="004379FD" w:rsidRPr="00185CBB" w:rsidRDefault="004379FD" w:rsidP="004379FD">
      <w:pPr>
        <w:pStyle w:val="SHCaption"/>
        <w:ind w:right="589"/>
        <w:rPr>
          <w:noProof/>
          <w:sz w:val="4"/>
          <w:szCs w:val="4"/>
        </w:rPr>
      </w:pPr>
      <w:bookmarkStart w:id="57" w:name="_Ref48130401"/>
      <w:bookmarkStart w:id="58" w:name="_Toc52433890"/>
      <w:r w:rsidRPr="00E151FE">
        <w:rPr>
          <w:b/>
          <w:color w:val="000000" w:themeColor="text1"/>
        </w:rPr>
        <w:t xml:space="preserve">Figure </w:t>
      </w:r>
      <w:r w:rsidR="00AD6D18">
        <w:rPr>
          <w:b/>
          <w:noProof/>
          <w:color w:val="000000" w:themeColor="text1"/>
        </w:rPr>
        <w:t>9</w:t>
      </w:r>
      <w:r w:rsidRPr="00E151FE">
        <w:rPr>
          <w:b/>
          <w:color w:val="000000" w:themeColor="text1"/>
        </w:rPr>
        <w:t>.</w:t>
      </w:r>
      <w:r w:rsidRPr="00E151FE">
        <w:rPr>
          <w:b/>
          <w:noProof/>
          <w:color w:val="000000" w:themeColor="text1"/>
        </w:rPr>
        <w:fldChar w:fldCharType="begin"/>
      </w:r>
      <w:r w:rsidRPr="00E151FE">
        <w:rPr>
          <w:b/>
          <w:noProof/>
          <w:color w:val="000000" w:themeColor="text1"/>
        </w:rPr>
        <w:instrText xml:space="preserve"> SEQ Figure \* ARABIC \s 1 </w:instrText>
      </w:r>
      <w:r w:rsidRPr="00E151FE">
        <w:rPr>
          <w:b/>
          <w:noProof/>
          <w:color w:val="000000" w:themeColor="text1"/>
        </w:rPr>
        <w:fldChar w:fldCharType="separate"/>
      </w:r>
      <w:r w:rsidR="000A6D80">
        <w:rPr>
          <w:b/>
          <w:noProof/>
          <w:color w:val="000000" w:themeColor="text1"/>
        </w:rPr>
        <w:t>6</w:t>
      </w:r>
      <w:r w:rsidRPr="00E151FE">
        <w:rPr>
          <w:b/>
          <w:noProof/>
          <w:color w:val="000000" w:themeColor="text1"/>
        </w:rPr>
        <w:fldChar w:fldCharType="end"/>
      </w:r>
      <w:bookmarkEnd w:id="57"/>
      <w:r>
        <w:rPr>
          <w:color w:val="000000" w:themeColor="text1"/>
        </w:rPr>
        <w:t xml:space="preserve"> </w:t>
      </w:r>
      <w:r w:rsidRPr="00E151FE">
        <w:rPr>
          <w:color w:val="000000" w:themeColor="text1"/>
        </w:rPr>
        <w:t>Hydrograph illustrating the flow regime at upstream Edward</w:t>
      </w:r>
      <w:r>
        <w:rPr>
          <w:color w:val="000000" w:themeColor="text1"/>
        </w:rPr>
        <w:t>/Kolety</w:t>
      </w:r>
      <w:r w:rsidRPr="00E151FE">
        <w:rPr>
          <w:color w:val="000000" w:themeColor="text1"/>
        </w:rPr>
        <w:t xml:space="preserve"> River site and visit timings. </w:t>
      </w:r>
      <w:bookmarkEnd w:id="58"/>
      <w:r>
        <w:rPr>
          <w:color w:val="000000" w:themeColor="text1"/>
        </w:rPr>
        <w:t>Daily discharge data for the Edward River offtake are from gauge 409008 (https://realtimedata.waternsw.com.au/).</w:t>
      </w:r>
    </w:p>
    <w:p w14:paraId="42876965" w14:textId="77777777" w:rsidR="004379FD" w:rsidRPr="00185CBB" w:rsidRDefault="004379FD" w:rsidP="004379FD">
      <w:pPr>
        <w:pStyle w:val="SNormalText"/>
        <w:spacing w:line="259" w:lineRule="auto"/>
        <w:ind w:right="589"/>
      </w:pPr>
      <w:r w:rsidRPr="00185CBB">
        <w:t xml:space="preserve">The two flow </w:t>
      </w:r>
      <w:r>
        <w:t xml:space="preserve">pulses that occurred between visit 3 and </w:t>
      </w:r>
      <w:r w:rsidRPr="00185CBB">
        <w:t xml:space="preserve">visit 4 were 1,750 – 2,000 </w:t>
      </w:r>
      <w:r>
        <w:t>ML/day</w:t>
      </w:r>
      <w:r w:rsidRPr="00185CBB">
        <w:t xml:space="preserve"> which represe</w:t>
      </w:r>
      <w:r>
        <w:t xml:space="preserve">nts the unregulated flow event and </w:t>
      </w:r>
      <w:r w:rsidRPr="00185CBB">
        <w:t xml:space="preserve">between 1,000 – 1,250 </w:t>
      </w:r>
      <w:r>
        <w:t>ML/day</w:t>
      </w:r>
      <w:r w:rsidRPr="00185CBB">
        <w:t xml:space="preserve"> which represents </w:t>
      </w:r>
      <w:r>
        <w:t xml:space="preserve">regulated flow. </w:t>
      </w:r>
      <w:r w:rsidRPr="001A069A">
        <w:t>The unregulated event will be the major focus for deposition/erosion bank condition analysis and vegetation analysis at this site.</w:t>
      </w:r>
    </w:p>
    <w:p w14:paraId="2587A73B"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59" w:name="_Toc52433853"/>
      <w:bookmarkStart w:id="60" w:name="_Toc52445277"/>
      <w:r w:rsidRPr="004379FD">
        <w:rPr>
          <w:rFonts w:asciiTheme="minorHAnsi" w:hAnsiTheme="minorHAnsi" w:cstheme="minorHAnsi"/>
          <w:b/>
          <w:color w:val="31849B" w:themeColor="accent5" w:themeShade="BF"/>
          <w:sz w:val="24"/>
          <w:szCs w:val="24"/>
        </w:rPr>
        <w:t>Edward/Kolety River downstream of Stevens Weir</w:t>
      </w:r>
      <w:bookmarkEnd w:id="59"/>
      <w:bookmarkEnd w:id="60"/>
    </w:p>
    <w:p w14:paraId="60273E3A" w14:textId="77777777" w:rsidR="004379FD" w:rsidRPr="00185CBB" w:rsidRDefault="004379FD" w:rsidP="004379FD">
      <w:pPr>
        <w:pStyle w:val="SNormalText"/>
        <w:spacing w:after="120" w:line="259" w:lineRule="auto"/>
        <w:ind w:right="589"/>
      </w:pPr>
      <w:r>
        <w:t>Due to the diversity in volume and characteristics</w:t>
      </w:r>
      <w:r w:rsidRPr="00185CBB">
        <w:t xml:space="preserve"> of flow events and the physical qualities of this reach, this site will be </w:t>
      </w:r>
      <w:r>
        <w:t>the</w:t>
      </w:r>
      <w:r w:rsidRPr="00185CBB">
        <w:t xml:space="preserve"> primary focus</w:t>
      </w:r>
      <w:r>
        <w:t xml:space="preserve"> of this report.</w:t>
      </w:r>
    </w:p>
    <w:p w14:paraId="5C8B0EF6" w14:textId="79136B10" w:rsidR="004379FD" w:rsidRDefault="004379FD" w:rsidP="004379FD">
      <w:pPr>
        <w:pStyle w:val="SNormalText"/>
        <w:spacing w:after="120" w:line="259" w:lineRule="auto"/>
        <w:ind w:right="589"/>
      </w:pPr>
      <w:r>
        <w:t>This</w:t>
      </w:r>
      <w:r w:rsidRPr="00185CBB">
        <w:t xml:space="preserve"> reach receive</w:t>
      </w:r>
      <w:r>
        <w:t>d</w:t>
      </w:r>
      <w:r w:rsidRPr="00185CBB">
        <w:t xml:space="preserve"> flows </w:t>
      </w:r>
      <w:r>
        <w:t xml:space="preserve">as part of the Southern Connected Flow in the Murray system. </w:t>
      </w:r>
      <w:r w:rsidRPr="00185CBB">
        <w:t xml:space="preserve">This is referred to in the hydrograph in </w:t>
      </w:r>
      <w:r w:rsidRPr="00185CBB">
        <w:fldChar w:fldCharType="begin"/>
      </w:r>
      <w:r w:rsidRPr="00185CBB">
        <w:instrText xml:space="preserve"> REF _Ref48142615 \h  \* MERGEFORMAT </w:instrText>
      </w:r>
      <w:r w:rsidRPr="00185CBB">
        <w:fldChar w:fldCharType="separate"/>
      </w:r>
      <w:r w:rsidR="000A6D80" w:rsidRPr="000A6D80">
        <w:t xml:space="preserve">Figure </w:t>
      </w:r>
      <w:r w:rsidR="000A6D80" w:rsidRPr="000A6D80">
        <w:rPr>
          <w:noProof/>
        </w:rPr>
        <w:t>9.7</w:t>
      </w:r>
      <w:r w:rsidRPr="00185CBB">
        <w:fldChar w:fldCharType="end"/>
      </w:r>
      <w:r w:rsidRPr="00185CBB">
        <w:t xml:space="preserve"> as </w:t>
      </w:r>
      <w:r>
        <w:t>Southern Connected Flow</w:t>
      </w:r>
      <w:r w:rsidRPr="00185CBB">
        <w:t xml:space="preserve"> (</w:t>
      </w:r>
      <w:r>
        <w:t>SCC) flow event.</w:t>
      </w:r>
    </w:p>
    <w:p w14:paraId="51573B49" w14:textId="77777777" w:rsidR="000B3BA9" w:rsidRPr="00185CBB" w:rsidRDefault="000B3BA9" w:rsidP="004379FD">
      <w:pPr>
        <w:pStyle w:val="SNormalText"/>
        <w:spacing w:after="120" w:line="259" w:lineRule="auto"/>
        <w:ind w:right="589"/>
      </w:pPr>
    </w:p>
    <w:p w14:paraId="5DC9CFAD" w14:textId="77777777" w:rsidR="004379FD" w:rsidRPr="00185CBB" w:rsidRDefault="004379FD" w:rsidP="004379FD">
      <w:pPr>
        <w:pStyle w:val="BodyText1"/>
        <w:spacing w:after="0" w:line="240" w:lineRule="auto"/>
      </w:pPr>
      <w:r>
        <w:rPr>
          <w:noProof/>
          <w:lang w:eastAsia="en-AU" w:bidi="ar-SA"/>
        </w:rPr>
        <w:drawing>
          <wp:inline distT="0" distB="0" distL="0" distR="0" wp14:anchorId="7B18D094" wp14:editId="0BB2E544">
            <wp:extent cx="5513801" cy="2654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535660" cy="2664823"/>
                    </a:xfrm>
                    <a:prstGeom prst="rect">
                      <a:avLst/>
                    </a:prstGeom>
                    <a:noFill/>
                  </pic:spPr>
                </pic:pic>
              </a:graphicData>
            </a:graphic>
          </wp:inline>
        </w:drawing>
      </w:r>
    </w:p>
    <w:p w14:paraId="223117A9" w14:textId="099D2A9D" w:rsidR="004379FD" w:rsidRPr="00E151FE" w:rsidRDefault="004379FD" w:rsidP="004379FD">
      <w:pPr>
        <w:pStyle w:val="SHCaption"/>
        <w:ind w:right="447"/>
        <w:rPr>
          <w:color w:val="000000" w:themeColor="text1"/>
        </w:rPr>
      </w:pPr>
      <w:bookmarkStart w:id="61" w:name="_Ref48142615"/>
      <w:bookmarkStart w:id="62" w:name="_Toc52433891"/>
      <w:r w:rsidRPr="00E151FE">
        <w:rPr>
          <w:b/>
          <w:color w:val="000000" w:themeColor="text1"/>
        </w:rPr>
        <w:t xml:space="preserve">Figure </w:t>
      </w:r>
      <w:r w:rsidR="00AD6D18">
        <w:rPr>
          <w:b/>
          <w:noProof/>
          <w:color w:val="000000" w:themeColor="text1"/>
        </w:rPr>
        <w:t>9</w:t>
      </w:r>
      <w:r w:rsidRPr="00E151FE">
        <w:rPr>
          <w:b/>
          <w:color w:val="000000" w:themeColor="text1"/>
        </w:rPr>
        <w:t>.</w:t>
      </w:r>
      <w:r w:rsidRPr="00E151FE">
        <w:rPr>
          <w:b/>
          <w:noProof/>
          <w:color w:val="000000" w:themeColor="text1"/>
        </w:rPr>
        <w:fldChar w:fldCharType="begin"/>
      </w:r>
      <w:r w:rsidRPr="00E151FE">
        <w:rPr>
          <w:b/>
          <w:noProof/>
          <w:color w:val="000000" w:themeColor="text1"/>
        </w:rPr>
        <w:instrText xml:space="preserve"> SEQ Figure \* ARABIC \s 1 </w:instrText>
      </w:r>
      <w:r w:rsidRPr="00E151FE">
        <w:rPr>
          <w:b/>
          <w:noProof/>
          <w:color w:val="000000" w:themeColor="text1"/>
        </w:rPr>
        <w:fldChar w:fldCharType="separate"/>
      </w:r>
      <w:r w:rsidR="000A6D80">
        <w:rPr>
          <w:b/>
          <w:noProof/>
          <w:color w:val="000000" w:themeColor="text1"/>
        </w:rPr>
        <w:t>7</w:t>
      </w:r>
      <w:r w:rsidRPr="00E151FE">
        <w:rPr>
          <w:b/>
          <w:noProof/>
          <w:color w:val="000000" w:themeColor="text1"/>
        </w:rPr>
        <w:fldChar w:fldCharType="end"/>
      </w:r>
      <w:bookmarkEnd w:id="61"/>
      <w:r w:rsidRPr="00E151FE">
        <w:rPr>
          <w:color w:val="000000" w:themeColor="text1"/>
        </w:rPr>
        <w:t xml:space="preserve"> Hydrograph illustrating fl</w:t>
      </w:r>
      <w:r>
        <w:rPr>
          <w:color w:val="000000" w:themeColor="text1"/>
        </w:rPr>
        <w:t>ow at Edward/Kolety River downstream Stevens Weir</w:t>
      </w:r>
      <w:r w:rsidRPr="00E151FE">
        <w:rPr>
          <w:color w:val="000000" w:themeColor="text1"/>
        </w:rPr>
        <w:t xml:space="preserve"> site with visit dates and flow events plotted</w:t>
      </w:r>
      <w:bookmarkEnd w:id="62"/>
    </w:p>
    <w:p w14:paraId="506572E1" w14:textId="77777777" w:rsidR="004379FD" w:rsidRPr="005F7717" w:rsidRDefault="004379FD" w:rsidP="004379FD">
      <w:pPr>
        <w:pStyle w:val="SNormalText"/>
        <w:spacing w:line="259" w:lineRule="auto"/>
        <w:ind w:right="447"/>
        <w:rPr>
          <w:b/>
          <w:bCs/>
          <w:i/>
          <w:iCs/>
        </w:rPr>
      </w:pPr>
      <w:r w:rsidRPr="005F7717">
        <w:rPr>
          <w:b/>
          <w:bCs/>
          <w:i/>
          <w:iCs/>
        </w:rPr>
        <w:t xml:space="preserve">Visits 1 – 2: </w:t>
      </w:r>
      <w:r>
        <w:rPr>
          <w:b/>
          <w:bCs/>
          <w:i/>
          <w:iCs/>
        </w:rPr>
        <w:t>Southern Connected</w:t>
      </w:r>
      <w:r w:rsidRPr="005F7717">
        <w:rPr>
          <w:b/>
          <w:bCs/>
          <w:i/>
          <w:iCs/>
        </w:rPr>
        <w:t xml:space="preserve"> flow</w:t>
      </w:r>
    </w:p>
    <w:p w14:paraId="5EF4FC53" w14:textId="72E24963" w:rsidR="004379FD" w:rsidRPr="005F7717" w:rsidRDefault="004379FD" w:rsidP="004379FD">
      <w:pPr>
        <w:pStyle w:val="SNormalText"/>
        <w:spacing w:after="120" w:line="259" w:lineRule="auto"/>
        <w:ind w:right="447"/>
        <w:rPr>
          <w:b/>
          <w:bCs/>
        </w:rPr>
      </w:pPr>
      <w:r>
        <w:t xml:space="preserve">The Southern Connected Flow during August and </w:t>
      </w:r>
      <w:r w:rsidRPr="00185CBB">
        <w:t>Sep</w:t>
      </w:r>
      <w:r>
        <w:t xml:space="preserve">tember 2019 </w:t>
      </w:r>
      <w:r w:rsidRPr="00185CBB">
        <w:t xml:space="preserve">resulted in an extended period of discharge of up to 3,500 </w:t>
      </w:r>
      <w:r>
        <w:t>ML/day (</w:t>
      </w:r>
      <w:r w:rsidRPr="00185CBB">
        <w:fldChar w:fldCharType="begin"/>
      </w:r>
      <w:r w:rsidRPr="00185CBB">
        <w:instrText xml:space="preserve"> REF _Ref48142615 \h  \* MERGEFORMAT </w:instrText>
      </w:r>
      <w:r w:rsidRPr="00185CBB">
        <w:fldChar w:fldCharType="separate"/>
      </w:r>
      <w:r w:rsidR="000A6D80" w:rsidRPr="000A6D80">
        <w:t xml:space="preserve">Figure </w:t>
      </w:r>
      <w:r w:rsidR="000A6D80" w:rsidRPr="000A6D80">
        <w:rPr>
          <w:noProof/>
        </w:rPr>
        <w:t>9.7</w:t>
      </w:r>
      <w:r w:rsidRPr="00185CBB">
        <w:fldChar w:fldCharType="end"/>
      </w:r>
      <w:r>
        <w:t>). T</w:t>
      </w:r>
      <w:r w:rsidRPr="00185CBB">
        <w:t>his represents the max</w:t>
      </w:r>
      <w:r>
        <w:t>imum</w:t>
      </w:r>
      <w:r w:rsidRPr="00185CBB">
        <w:t xml:space="preserve"> flow event monitored across all sites th</w:t>
      </w:r>
      <w:r>
        <w:t>roughout the 12 month study</w:t>
      </w:r>
      <w:r w:rsidRPr="00185CBB">
        <w:t xml:space="preserve">. The major flow </w:t>
      </w:r>
      <w:r>
        <w:t>pulse</w:t>
      </w:r>
      <w:r w:rsidRPr="00185CBB">
        <w:t xml:space="preserve"> of consideration will be 3,000 – 3,500 </w:t>
      </w:r>
      <w:r>
        <w:t>ML/day</w:t>
      </w:r>
      <w:r w:rsidRPr="00185CBB">
        <w:t xml:space="preserve"> wh</w:t>
      </w:r>
      <w:r>
        <w:t>ich was 28% of total days</w:t>
      </w:r>
      <w:r w:rsidRPr="00185CBB">
        <w:t xml:space="preserve"> (23 days). As such</w:t>
      </w:r>
      <w:r>
        <w:t>,</w:t>
      </w:r>
      <w:r w:rsidRPr="00185CBB">
        <w:t xml:space="preserve"> the bank zone corresponding to this flow </w:t>
      </w:r>
      <w:r>
        <w:t>will be the focus of the</w:t>
      </w:r>
      <w:r w:rsidRPr="00185CBB">
        <w:t xml:space="preserve"> analysis for this event</w:t>
      </w:r>
      <w:r>
        <w:t>.</w:t>
      </w:r>
    </w:p>
    <w:p w14:paraId="7780ED24" w14:textId="77777777" w:rsidR="004379FD" w:rsidRPr="005F7717" w:rsidRDefault="004379FD" w:rsidP="004379FD">
      <w:pPr>
        <w:pStyle w:val="SNormalText"/>
        <w:spacing w:line="259" w:lineRule="auto"/>
        <w:ind w:right="447"/>
      </w:pPr>
      <w:r w:rsidRPr="005F7717">
        <w:rPr>
          <w:b/>
          <w:bCs/>
          <w:i/>
          <w:iCs/>
        </w:rPr>
        <w:t xml:space="preserve">Visits 2 – 3: </w:t>
      </w:r>
      <w:r>
        <w:rPr>
          <w:b/>
          <w:bCs/>
          <w:i/>
          <w:iCs/>
        </w:rPr>
        <w:t>Operational</w:t>
      </w:r>
      <w:r w:rsidRPr="005F7717">
        <w:rPr>
          <w:b/>
          <w:bCs/>
          <w:i/>
          <w:iCs/>
        </w:rPr>
        <w:t xml:space="preserve"> flow and Visits 1 – 3 (</w:t>
      </w:r>
      <w:r>
        <w:rPr>
          <w:b/>
          <w:bCs/>
          <w:i/>
          <w:iCs/>
        </w:rPr>
        <w:t>SCF</w:t>
      </w:r>
      <w:r w:rsidRPr="005F7717">
        <w:rPr>
          <w:b/>
          <w:bCs/>
          <w:i/>
          <w:iCs/>
        </w:rPr>
        <w:t xml:space="preserve"> + </w:t>
      </w:r>
      <w:r>
        <w:rPr>
          <w:b/>
          <w:bCs/>
          <w:i/>
          <w:iCs/>
        </w:rPr>
        <w:t>Operational</w:t>
      </w:r>
      <w:r w:rsidRPr="005F7717">
        <w:rPr>
          <w:b/>
          <w:bCs/>
          <w:i/>
          <w:iCs/>
        </w:rPr>
        <w:t xml:space="preserve"> Flow)</w:t>
      </w:r>
    </w:p>
    <w:p w14:paraId="28167AFC" w14:textId="514209D5" w:rsidR="004379FD" w:rsidRPr="00185CBB" w:rsidRDefault="004379FD" w:rsidP="004379FD">
      <w:pPr>
        <w:pStyle w:val="SNormalText"/>
        <w:spacing w:after="120" w:line="259" w:lineRule="auto"/>
        <w:ind w:right="447"/>
      </w:pPr>
      <w:r>
        <w:t xml:space="preserve">On more than </w:t>
      </w:r>
      <w:r w:rsidRPr="00185CBB">
        <w:t xml:space="preserve">50% of days the daily mean discharge </w:t>
      </w:r>
      <w:r>
        <w:t>was</w:t>
      </w:r>
      <w:r w:rsidRPr="00185CBB">
        <w:t xml:space="preserve"> between 2,100 – 3,100 </w:t>
      </w:r>
      <w:r>
        <w:t>ML/day</w:t>
      </w:r>
      <w:r w:rsidRPr="00185CBB">
        <w:t xml:space="preserve"> representing the invariable nature of this </w:t>
      </w:r>
      <w:r>
        <w:t xml:space="preserve">operational flow period. </w:t>
      </w:r>
      <w:r w:rsidRPr="00185CBB">
        <w:t xml:space="preserve">The </w:t>
      </w:r>
      <w:r>
        <w:t>operational</w:t>
      </w:r>
      <w:r w:rsidRPr="00185CBB">
        <w:t xml:space="preserve"> flows </w:t>
      </w:r>
      <w:r>
        <w:t>occurred over</w:t>
      </w:r>
      <w:r w:rsidRPr="00185CBB">
        <w:t xml:space="preserve"> almost 3.5 months (Oct</w:t>
      </w:r>
      <w:r>
        <w:t xml:space="preserve">ober 2019 to </w:t>
      </w:r>
      <w:r w:rsidRPr="00185CBB">
        <w:t>Feb</w:t>
      </w:r>
      <w:r>
        <w:t>ruary</w:t>
      </w:r>
      <w:r w:rsidRPr="00185CBB">
        <w:t xml:space="preserve"> 2020) duri</w:t>
      </w:r>
      <w:r>
        <w:t>ng the hottest days of the year. T</w:t>
      </w:r>
      <w:r w:rsidRPr="00185CBB">
        <w:t>he bank zone corresponding</w:t>
      </w:r>
      <w:r>
        <w:t xml:space="preserve"> to the upper half of this flow</w:t>
      </w:r>
      <w:r w:rsidRPr="00185CBB">
        <w:t xml:space="preserve"> </w:t>
      </w:r>
      <w:r w:rsidRPr="00F22934">
        <w:t>will be the key focus duri</w:t>
      </w:r>
      <w:r>
        <w:t>ng this period. D</w:t>
      </w:r>
      <w:r w:rsidRPr="00F22934">
        <w:t xml:space="preserve">ue </w:t>
      </w:r>
      <w:r>
        <w:t xml:space="preserve">to the high </w:t>
      </w:r>
      <w:r w:rsidRPr="00F22934">
        <w:t>water level during the 2</w:t>
      </w:r>
      <w:r w:rsidRPr="00F22934">
        <w:rPr>
          <w:vertAlign w:val="superscript"/>
        </w:rPr>
        <w:t>nd</w:t>
      </w:r>
      <w:r w:rsidRPr="00F22934">
        <w:t xml:space="preserve"> field visit, analysis can only be done on the bank face relating to flows &gt;2,650 ML/day. </w:t>
      </w:r>
      <w:r>
        <w:t>To help</w:t>
      </w:r>
      <w:r w:rsidRPr="00F22934">
        <w:t xml:space="preserve"> understand the impact of the prolonged </w:t>
      </w:r>
      <w:r>
        <w:t>operational</w:t>
      </w:r>
      <w:r w:rsidRPr="00F22934">
        <w:t xml:space="preserve"> flows during this period</w:t>
      </w:r>
      <w:r>
        <w:t xml:space="preserve">, DEMOD V1 – V3 was analysed, </w:t>
      </w:r>
      <w:r w:rsidRPr="00F22934">
        <w:t xml:space="preserve">which covers both the </w:t>
      </w:r>
      <w:r>
        <w:t>SCF</w:t>
      </w:r>
      <w:r w:rsidRPr="00F22934">
        <w:t xml:space="preserve"> and the </w:t>
      </w:r>
      <w:r>
        <w:t>operational flows</w:t>
      </w:r>
      <w:r w:rsidRPr="00F22934">
        <w:t xml:space="preserve"> where the flow between 2,300-2,850 (ML/day</w:t>
      </w:r>
      <w:r>
        <w:t>) is represented</w:t>
      </w:r>
      <w:r w:rsidRPr="00F22934">
        <w:t xml:space="preserve"> greater than 40% of the time period as illustrated in </w:t>
      </w:r>
      <w:r w:rsidRPr="00F22934">
        <w:fldChar w:fldCharType="begin"/>
      </w:r>
      <w:r w:rsidRPr="00F22934">
        <w:instrText xml:space="preserve"> REF _Ref48657834 \h  \* MERGEFORMAT </w:instrText>
      </w:r>
      <w:r w:rsidRPr="00F22934">
        <w:fldChar w:fldCharType="separate"/>
      </w:r>
      <w:r w:rsidR="000A6D80" w:rsidRPr="000A6D80">
        <w:t xml:space="preserve">Figure </w:t>
      </w:r>
      <w:r w:rsidR="000A6D80" w:rsidRPr="000A6D80">
        <w:rPr>
          <w:noProof/>
        </w:rPr>
        <w:t>9.8</w:t>
      </w:r>
      <w:r w:rsidRPr="00F22934">
        <w:fldChar w:fldCharType="end"/>
      </w:r>
      <w:r w:rsidRPr="00F22934">
        <w:t>.</w:t>
      </w:r>
    </w:p>
    <w:p w14:paraId="0178E799" w14:textId="77777777" w:rsidR="004379FD" w:rsidRPr="00185CBB" w:rsidRDefault="004379FD" w:rsidP="004379FD">
      <w:pPr>
        <w:pStyle w:val="BodyText1"/>
        <w:spacing w:after="0" w:line="240" w:lineRule="auto"/>
      </w:pPr>
      <w:r>
        <w:rPr>
          <w:noProof/>
          <w:lang w:eastAsia="en-AU" w:bidi="ar-SA"/>
        </w:rPr>
        <w:drawing>
          <wp:inline distT="0" distB="0" distL="0" distR="0" wp14:anchorId="58287F76" wp14:editId="24AEC21D">
            <wp:extent cx="5298473" cy="27622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302187" cy="2764186"/>
                    </a:xfrm>
                    <a:prstGeom prst="rect">
                      <a:avLst/>
                    </a:prstGeom>
                    <a:noFill/>
                  </pic:spPr>
                </pic:pic>
              </a:graphicData>
            </a:graphic>
          </wp:inline>
        </w:drawing>
      </w:r>
    </w:p>
    <w:p w14:paraId="16598817" w14:textId="44A9241A" w:rsidR="004379FD" w:rsidRPr="007D64B2" w:rsidRDefault="004379FD" w:rsidP="004379FD">
      <w:pPr>
        <w:pStyle w:val="SHCaption"/>
        <w:ind w:right="447"/>
        <w:rPr>
          <w:color w:val="000000" w:themeColor="text1"/>
        </w:rPr>
      </w:pPr>
      <w:bookmarkStart w:id="63" w:name="_Ref48657834"/>
      <w:bookmarkStart w:id="64" w:name="_Toc52433892"/>
      <w:r w:rsidRPr="007D64B2">
        <w:rPr>
          <w:b/>
          <w:color w:val="000000" w:themeColor="text1"/>
        </w:rPr>
        <w:t xml:space="preserve">Figure </w:t>
      </w:r>
      <w:r w:rsidR="00AD6D18">
        <w:rPr>
          <w:b/>
          <w:noProof/>
          <w:color w:val="000000" w:themeColor="text1"/>
        </w:rPr>
        <w:t>9</w:t>
      </w:r>
      <w:r w:rsidRPr="007D64B2">
        <w:rPr>
          <w:b/>
          <w:color w:val="000000" w:themeColor="text1"/>
        </w:rPr>
        <w:t>.</w:t>
      </w:r>
      <w:r w:rsidRPr="007D64B2">
        <w:rPr>
          <w:b/>
          <w:noProof/>
          <w:color w:val="000000" w:themeColor="text1"/>
        </w:rPr>
        <w:fldChar w:fldCharType="begin"/>
      </w:r>
      <w:r w:rsidRPr="007D64B2">
        <w:rPr>
          <w:b/>
          <w:noProof/>
          <w:color w:val="000000" w:themeColor="text1"/>
        </w:rPr>
        <w:instrText xml:space="preserve"> SEQ Figure \* ARABIC \s 1 </w:instrText>
      </w:r>
      <w:r w:rsidRPr="007D64B2">
        <w:rPr>
          <w:b/>
          <w:noProof/>
          <w:color w:val="000000" w:themeColor="text1"/>
        </w:rPr>
        <w:fldChar w:fldCharType="separate"/>
      </w:r>
      <w:r w:rsidR="000A6D80">
        <w:rPr>
          <w:b/>
          <w:noProof/>
          <w:color w:val="000000" w:themeColor="text1"/>
        </w:rPr>
        <w:t>8</w:t>
      </w:r>
      <w:r w:rsidRPr="007D64B2">
        <w:rPr>
          <w:b/>
          <w:noProof/>
          <w:color w:val="000000" w:themeColor="text1"/>
        </w:rPr>
        <w:fldChar w:fldCharType="end"/>
      </w:r>
      <w:bookmarkEnd w:id="63"/>
      <w:r w:rsidRPr="007D64B2">
        <w:rPr>
          <w:color w:val="000000" w:themeColor="text1"/>
        </w:rPr>
        <w:t xml:space="preserve"> Histogram illustrating mean daily discharge by flow range and the number of days and % of time the flow was received between </w:t>
      </w:r>
      <w:r>
        <w:rPr>
          <w:color w:val="000000" w:themeColor="text1"/>
        </w:rPr>
        <w:t>v</w:t>
      </w:r>
      <w:r w:rsidRPr="007D64B2">
        <w:rPr>
          <w:color w:val="000000" w:themeColor="text1"/>
        </w:rPr>
        <w:t>isit 1 and 3 at the Edward</w:t>
      </w:r>
      <w:r>
        <w:rPr>
          <w:color w:val="000000" w:themeColor="text1"/>
        </w:rPr>
        <w:t>/Kolety</w:t>
      </w:r>
      <w:r w:rsidRPr="007D64B2">
        <w:rPr>
          <w:color w:val="000000" w:themeColor="text1"/>
        </w:rPr>
        <w:t xml:space="preserve"> River downstream </w:t>
      </w:r>
      <w:r>
        <w:rPr>
          <w:color w:val="000000" w:themeColor="text1"/>
        </w:rPr>
        <w:t xml:space="preserve">of </w:t>
      </w:r>
      <w:r w:rsidRPr="007D64B2">
        <w:rPr>
          <w:color w:val="000000" w:themeColor="text1"/>
        </w:rPr>
        <w:t>S</w:t>
      </w:r>
      <w:r>
        <w:rPr>
          <w:color w:val="000000" w:themeColor="text1"/>
        </w:rPr>
        <w:t>tevens Weir</w:t>
      </w:r>
      <w:r w:rsidRPr="007D64B2">
        <w:rPr>
          <w:color w:val="000000" w:themeColor="text1"/>
        </w:rPr>
        <w:t>.</w:t>
      </w:r>
      <w:bookmarkEnd w:id="64"/>
    </w:p>
    <w:p w14:paraId="03C693FB" w14:textId="77777777" w:rsidR="004379FD" w:rsidRPr="00185CBB" w:rsidRDefault="004379FD" w:rsidP="000B3BA9">
      <w:pPr>
        <w:spacing w:after="120" w:line="259" w:lineRule="auto"/>
        <w:ind w:right="448"/>
        <w:rPr>
          <w:b/>
          <w:bCs/>
          <w:i/>
          <w:iCs/>
          <w:u w:val="single"/>
        </w:rPr>
      </w:pPr>
      <w:r w:rsidRPr="00185CBB">
        <w:rPr>
          <w:b/>
          <w:bCs/>
          <w:i/>
          <w:iCs/>
          <w:u w:val="single"/>
        </w:rPr>
        <w:t>Visits 3 -4: Unregulated flow:</w:t>
      </w:r>
    </w:p>
    <w:p w14:paraId="7427B6F2" w14:textId="648D9295" w:rsidR="004379FD" w:rsidRDefault="004379FD" w:rsidP="004379FD">
      <w:pPr>
        <w:pStyle w:val="SNormalText"/>
        <w:spacing w:line="259" w:lineRule="auto"/>
        <w:ind w:right="447"/>
      </w:pPr>
      <w:r>
        <w:t>T</w:t>
      </w:r>
      <w:r w:rsidRPr="00185CBB">
        <w:t>he largest range of mean daily flow (500 – 3,500</w:t>
      </w:r>
      <w:r>
        <w:t xml:space="preserve"> ML/day</w:t>
      </w:r>
      <w:r w:rsidRPr="00185CBB">
        <w:t xml:space="preserve">) </w:t>
      </w:r>
      <w:r>
        <w:t xml:space="preserve">was experienced during this period </w:t>
      </w:r>
      <w:r w:rsidRPr="00185CBB">
        <w:t>and due to low water levels during each visit the DEMODs shows the largest range of bank. The two large peaks</w:t>
      </w:r>
      <w:r>
        <w:t xml:space="preserve"> in discharge between visits 3 and</w:t>
      </w:r>
      <w:r w:rsidRPr="00185CBB">
        <w:t xml:space="preserve"> 4 (</w:t>
      </w:r>
      <w:r w:rsidRPr="00185CBB">
        <w:fldChar w:fldCharType="begin"/>
      </w:r>
      <w:r w:rsidRPr="00185CBB">
        <w:instrText xml:space="preserve"> REF _Ref48142615 \h  \* MERGEFORMAT </w:instrText>
      </w:r>
      <w:r w:rsidRPr="00185CBB">
        <w:fldChar w:fldCharType="separate"/>
      </w:r>
      <w:r w:rsidR="000A6D80" w:rsidRPr="000A6D80">
        <w:t xml:space="preserve">Figure </w:t>
      </w:r>
      <w:r w:rsidR="000A6D80" w:rsidRPr="000A6D80">
        <w:rPr>
          <w:noProof/>
        </w:rPr>
        <w:t>9.7</w:t>
      </w:r>
      <w:r w:rsidRPr="00185CBB">
        <w:fldChar w:fldCharType="end"/>
      </w:r>
      <w:r w:rsidRPr="00185CBB">
        <w:t>) are a re</w:t>
      </w:r>
      <w:r>
        <w:t>sult of unregulated flow events</w:t>
      </w:r>
      <w:r w:rsidRPr="00185CBB">
        <w:t>. These unregulated flow</w:t>
      </w:r>
      <w:r>
        <w:t xml:space="preserve">s are managed quickly </w:t>
      </w:r>
      <w:r w:rsidRPr="00185CBB">
        <w:t>and</w:t>
      </w:r>
      <w:r>
        <w:t>,</w:t>
      </w:r>
      <w:r w:rsidRPr="00185CBB">
        <w:t xml:space="preserve"> as such</w:t>
      </w:r>
      <w:r>
        <w:t>,</w:t>
      </w:r>
      <w:r w:rsidRPr="00185CBB">
        <w:t xml:space="preserve"> result in the rapid </w:t>
      </w:r>
      <w:r>
        <w:t>recession</w:t>
      </w:r>
      <w:r w:rsidRPr="00185CBB">
        <w:t xml:space="preserve"> of</w:t>
      </w:r>
      <w:r>
        <w:t xml:space="preserve"> water level in the reach. These</w:t>
      </w:r>
      <w:r w:rsidRPr="00185CBB">
        <w:t xml:space="preserve"> spikes in discharge are being analysed as they have historically resulted in extensive erosion along the Edward</w:t>
      </w:r>
      <w:r>
        <w:t>/Kolety</w:t>
      </w:r>
      <w:r w:rsidRPr="00185CBB">
        <w:t xml:space="preserve"> system, and as such these are the focus of analysis during this time period (bank zone correlating to &gt;1,200 </w:t>
      </w:r>
      <w:r>
        <w:t>ML/day</w:t>
      </w:r>
      <w:r w:rsidRPr="00185CBB">
        <w:t xml:space="preserve"> flows).</w:t>
      </w:r>
    </w:p>
    <w:p w14:paraId="54C67CF6" w14:textId="77777777" w:rsidR="000B3BA9" w:rsidRPr="00185CBB" w:rsidRDefault="000B3BA9" w:rsidP="004379FD">
      <w:pPr>
        <w:pStyle w:val="SNormalText"/>
        <w:spacing w:line="259" w:lineRule="auto"/>
        <w:ind w:right="447"/>
      </w:pPr>
    </w:p>
    <w:p w14:paraId="181597B8" w14:textId="55D0A9B8" w:rsidR="004379FD" w:rsidRPr="004379FD" w:rsidRDefault="004379FD" w:rsidP="004379FD">
      <w:pPr>
        <w:pStyle w:val="BodyText1"/>
        <w:rPr>
          <w:rFonts w:asciiTheme="minorHAnsi" w:hAnsiTheme="minorHAnsi" w:cstheme="minorHAnsi"/>
          <w:b/>
          <w:color w:val="31849B" w:themeColor="accent5" w:themeShade="BF"/>
          <w:sz w:val="24"/>
          <w:szCs w:val="24"/>
        </w:rPr>
      </w:pPr>
      <w:r w:rsidRPr="004379FD">
        <w:rPr>
          <w:rFonts w:asciiTheme="minorHAnsi" w:hAnsiTheme="minorHAnsi" w:cstheme="minorHAnsi"/>
          <w:b/>
          <w:noProof/>
          <w:color w:val="31849B" w:themeColor="accent5" w:themeShade="BF"/>
          <w:sz w:val="24"/>
          <w:szCs w:val="24"/>
          <w:lang w:eastAsia="en-AU" w:bidi="ar-SA"/>
        </w:rPr>
        <mc:AlternateContent>
          <mc:Choice Requires="wps">
            <w:drawing>
              <wp:anchor distT="0" distB="0" distL="114300" distR="114300" simplePos="0" relativeHeight="251658242" behindDoc="0" locked="0" layoutInCell="1" allowOverlap="1" wp14:anchorId="5F59A0C2" wp14:editId="0C792499">
                <wp:simplePos x="0" y="0"/>
                <wp:positionH relativeFrom="column">
                  <wp:posOffset>1820862</wp:posOffset>
                </wp:positionH>
                <wp:positionV relativeFrom="paragraph">
                  <wp:posOffset>16613505</wp:posOffset>
                </wp:positionV>
                <wp:extent cx="2531085" cy="261610"/>
                <wp:effectExtent l="0" t="0" r="0" b="0"/>
                <wp:wrapNone/>
                <wp:docPr id="11" name="TextBox 6">
                  <a:extLst xmlns:a="http://schemas.openxmlformats.org/drawingml/2006/main">
                    <a:ext uri="{FF2B5EF4-FFF2-40B4-BE49-F238E27FC236}">
                      <a16:creationId xmlns:a16="http://schemas.microsoft.com/office/drawing/2014/main" id="{68ECCBF4-3A17-49A8-9FD4-E5DF7797BB43}"/>
                    </a:ext>
                  </a:extLst>
                </wp:docPr>
                <wp:cNvGraphicFramePr/>
                <a:graphic xmlns:a="http://schemas.openxmlformats.org/drawingml/2006/main">
                  <a:graphicData uri="http://schemas.microsoft.com/office/word/2010/wordprocessingShape">
                    <wps:wsp>
                      <wps:cNvSpPr txBox="1"/>
                      <wps:spPr>
                        <a:xfrm>
                          <a:off x="0" y="0"/>
                          <a:ext cx="2531085" cy="261610"/>
                        </a:xfrm>
                        <a:prstGeom prst="rect">
                          <a:avLst/>
                        </a:prstGeom>
                        <a:noFill/>
                      </wps:spPr>
                      <wps:txbx>
                        <w:txbxContent>
                          <w:p w14:paraId="2052BC87" w14:textId="77777777" w:rsidR="00E30D62" w:rsidRDefault="00E30D62" w:rsidP="004379FD">
                            <w:r>
                              <w:rPr>
                                <w:rFonts w:hAnsi="Cambria"/>
                                <w:color w:val="000000" w:themeColor="text1"/>
                                <w:kern w:val="24"/>
                                <w:sz w:val="21"/>
                                <w:szCs w:val="21"/>
                              </w:rPr>
                              <w:t xml:space="preserve">Visit 3 (07/04/2020) </w:t>
                            </w:r>
                            <w:r>
                              <w:rPr>
                                <w:rFonts w:hAnsi="Cambria"/>
                                <w:color w:val="000000" w:themeColor="text1"/>
                                <w:kern w:val="24"/>
                                <w:sz w:val="21"/>
                                <w:szCs w:val="21"/>
                              </w:rPr>
                              <w:t>–</w:t>
                            </w:r>
                            <w:r>
                              <w:rPr>
                                <w:rFonts w:hAnsi="Cambria"/>
                                <w:color w:val="000000" w:themeColor="text1"/>
                                <w:kern w:val="24"/>
                                <w:sz w:val="21"/>
                                <w:szCs w:val="21"/>
                              </w:rPr>
                              <w:t xml:space="preserve"> visit 4 (14/07/2020) </w:t>
                            </w:r>
                          </w:p>
                        </w:txbxContent>
                      </wps:txbx>
                      <wps:bodyPr wrap="square">
                        <a:spAutoFit/>
                      </wps:bodyPr>
                    </wps:wsp>
                  </a:graphicData>
                </a:graphic>
              </wp:anchor>
            </w:drawing>
          </mc:Choice>
          <mc:Fallback>
            <w:pict>
              <v:shapetype w14:anchorId="5F59A0C2" id="_x0000_t202" coordsize="21600,21600" o:spt="202" path="m,l,21600r21600,l21600,xe">
                <v:stroke joinstyle="miter"/>
                <v:path gradientshapeok="t" o:connecttype="rect"/>
              </v:shapetype>
              <v:shape id="TextBox 6" o:spid="_x0000_s1026" type="#_x0000_t202" style="position:absolute;left:0;text-align:left;margin-left:143.35pt;margin-top:1308.15pt;width:199.3pt;height:20.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" filled="f" stroked="f">
                <v:textbox style="mso-fit-shape-to-text:t">
                  <w:txbxContent>
                    <w:p w14:paraId="2052BC87" w14:textId="77777777" w:rsidR="00E30D62" w:rsidRDefault="00E30D62" w:rsidP="004379FD">
                      <w:r>
                        <w:rPr>
                          <w:rFonts w:hAnsi="Cambria"/>
                          <w:color w:val="000000" w:themeColor="text1"/>
                          <w:kern w:val="24"/>
                          <w:sz w:val="21"/>
                          <w:szCs w:val="21"/>
                        </w:rPr>
                        <w:t xml:space="preserve">Visit 3 (07/04/2020) </w:t>
                      </w:r>
                      <w:r>
                        <w:rPr>
                          <w:rFonts w:hAnsi="Cambria"/>
                          <w:color w:val="000000" w:themeColor="text1"/>
                          <w:kern w:val="24"/>
                          <w:sz w:val="21"/>
                          <w:szCs w:val="21"/>
                        </w:rPr>
                        <w:t>–</w:t>
                      </w:r>
                      <w:r>
                        <w:rPr>
                          <w:rFonts w:hAnsi="Cambria"/>
                          <w:color w:val="000000" w:themeColor="text1"/>
                          <w:kern w:val="24"/>
                          <w:sz w:val="21"/>
                          <w:szCs w:val="21"/>
                        </w:rPr>
                        <w:t xml:space="preserve"> visit 4 (14/07/2020) </w:t>
                      </w:r>
                    </w:p>
                  </w:txbxContent>
                </v:textbox>
              </v:shape>
            </w:pict>
          </mc:Fallback>
        </mc:AlternateContent>
      </w:r>
      <w:r w:rsidRPr="004379FD">
        <w:rPr>
          <w:rFonts w:asciiTheme="minorHAnsi" w:hAnsiTheme="minorHAnsi" w:cstheme="minorHAnsi"/>
          <w:b/>
          <w:noProof/>
          <w:color w:val="31849B" w:themeColor="accent5" w:themeShade="BF"/>
          <w:sz w:val="24"/>
          <w:szCs w:val="24"/>
          <w:lang w:eastAsia="en-AU" w:bidi="ar-SA"/>
        </w:rPr>
        <mc:AlternateContent>
          <mc:Choice Requires="wps">
            <w:drawing>
              <wp:anchor distT="0" distB="0" distL="114300" distR="114300" simplePos="0" relativeHeight="251658243" behindDoc="0" locked="0" layoutInCell="1" allowOverlap="1" wp14:anchorId="1E7DA733" wp14:editId="55840A0C">
                <wp:simplePos x="0" y="0"/>
                <wp:positionH relativeFrom="column">
                  <wp:posOffset>1253807</wp:posOffset>
                </wp:positionH>
                <wp:positionV relativeFrom="paragraph">
                  <wp:posOffset>17873345</wp:posOffset>
                </wp:positionV>
                <wp:extent cx="959459" cy="246221"/>
                <wp:effectExtent l="0" t="0" r="0" b="0"/>
                <wp:wrapNone/>
                <wp:docPr id="14" name="TextBox 8"/>
                <wp:cNvGraphicFramePr/>
                <a:graphic xmlns:a="http://schemas.openxmlformats.org/drawingml/2006/main">
                  <a:graphicData uri="http://schemas.microsoft.com/office/word/2010/wordprocessingShape">
                    <wps:wsp>
                      <wps:cNvSpPr txBox="1"/>
                      <wps:spPr>
                        <a:xfrm rot="16200000">
                          <a:off x="0" y="0"/>
                          <a:ext cx="959459" cy="246221"/>
                        </a:xfrm>
                        <a:prstGeom prst="rect">
                          <a:avLst/>
                        </a:prstGeom>
                        <a:noFill/>
                      </wps:spPr>
                      <wps:txbx>
                        <w:txbxContent>
                          <w:p w14:paraId="17B33DDF" w14:textId="77777777" w:rsidR="00E30D62" w:rsidRDefault="00E30D62" w:rsidP="004379FD">
                            <w:r>
                              <w:rPr>
                                <w:rFonts w:hAnsi="Cambria"/>
                                <w:color w:val="000000" w:themeColor="text1"/>
                                <w:kern w:val="24"/>
                                <w:sz w:val="20"/>
                              </w:rPr>
                              <w:t>Flow (ML/day)</w:t>
                            </w:r>
                          </w:p>
                        </w:txbxContent>
                      </wps:txbx>
                      <wps:bodyPr wrap="square">
                        <a:spAutoFit/>
                      </wps:bodyPr>
                    </wps:wsp>
                  </a:graphicData>
                </a:graphic>
              </wp:anchor>
            </w:drawing>
          </mc:Choice>
          <mc:Fallback>
            <w:pict>
              <v:shape w14:anchorId="1E7DA733" id="TextBox 8" o:spid="_x0000_s1027" type="#_x0000_t202" style="position:absolute;left:0;text-align:left;margin-left:98.7pt;margin-top:1407.35pt;width:75.55pt;height:19.4pt;rotation:-90;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" filled="f" stroked="f">
                <v:textbox style="mso-fit-shape-to-text:t">
                  <w:txbxContent>
                    <w:p w14:paraId="17B33DDF" w14:textId="77777777" w:rsidR="00E30D62" w:rsidRDefault="00E30D62" w:rsidP="004379FD">
                      <w:r>
                        <w:rPr>
                          <w:rFonts w:hAnsi="Cambria"/>
                          <w:color w:val="000000" w:themeColor="text1"/>
                          <w:kern w:val="24"/>
                          <w:sz w:val="20"/>
                        </w:rPr>
                        <w:t>Flow (ML/day)</w:t>
                      </w:r>
                    </w:p>
                  </w:txbxContent>
                </v:textbox>
              </v:shape>
            </w:pict>
          </mc:Fallback>
        </mc:AlternateContent>
      </w:r>
      <w:r w:rsidRPr="004379FD">
        <w:rPr>
          <w:rFonts w:asciiTheme="minorHAnsi" w:hAnsiTheme="minorHAnsi" w:cstheme="minorHAnsi"/>
          <w:b/>
          <w:noProof/>
          <w:color w:val="31849B" w:themeColor="accent5" w:themeShade="BF"/>
          <w:sz w:val="24"/>
          <w:szCs w:val="24"/>
          <w:lang w:eastAsia="en-AU" w:bidi="ar-SA"/>
        </w:rPr>
        <mc:AlternateContent>
          <mc:Choice Requires="wps">
            <w:drawing>
              <wp:anchor distT="0" distB="0" distL="114300" distR="114300" simplePos="0" relativeHeight="251658244" behindDoc="0" locked="0" layoutInCell="1" allowOverlap="1" wp14:anchorId="458242E1" wp14:editId="314C8762">
                <wp:simplePos x="0" y="0"/>
                <wp:positionH relativeFrom="column">
                  <wp:posOffset>3163887</wp:posOffset>
                </wp:positionH>
                <wp:positionV relativeFrom="paragraph">
                  <wp:posOffset>19660235</wp:posOffset>
                </wp:positionV>
                <wp:extent cx="2443161" cy="253916"/>
                <wp:effectExtent l="0" t="0" r="0" b="0"/>
                <wp:wrapNone/>
                <wp:docPr id="17" name="TextBox 10">
                  <a:extLst xmlns:a="http://schemas.openxmlformats.org/drawingml/2006/main">
                    <a:ext uri="{FF2B5EF4-FFF2-40B4-BE49-F238E27FC236}">
                      <a16:creationId xmlns:a16="http://schemas.microsoft.com/office/drawing/2014/main" id="{8629B712-914D-455F-8CDF-9F5A36EFF95E}"/>
                    </a:ext>
                  </a:extLst>
                </wp:docPr>
                <wp:cNvGraphicFramePr/>
                <a:graphic xmlns:a="http://schemas.openxmlformats.org/drawingml/2006/main">
                  <a:graphicData uri="http://schemas.microsoft.com/office/word/2010/wordprocessingShape">
                    <wps:wsp>
                      <wps:cNvSpPr txBox="1"/>
                      <wps:spPr>
                        <a:xfrm>
                          <a:off x="0" y="0"/>
                          <a:ext cx="2443161" cy="253916"/>
                        </a:xfrm>
                        <a:prstGeom prst="rect">
                          <a:avLst/>
                        </a:prstGeom>
                        <a:noFill/>
                      </wps:spPr>
                      <wps:txbx>
                        <w:txbxContent>
                          <w:p w14:paraId="4A1A89EA" w14:textId="77777777" w:rsidR="00E30D62" w:rsidRDefault="00E30D62" w:rsidP="004379FD">
                            <w:r>
                              <w:rPr>
                                <w:rFonts w:hAnsi="Cambria"/>
                                <w:color w:val="000000" w:themeColor="text1"/>
                                <w:kern w:val="24"/>
                                <w:sz w:val="20"/>
                              </w:rPr>
                              <w:t xml:space="preserve">Duration of flow ( # of days and % of time) </w:t>
                            </w:r>
                          </w:p>
                        </w:txbxContent>
                      </wps:txbx>
                      <wps:bodyPr wrap="square">
                        <a:spAutoFit/>
                      </wps:bodyPr>
                    </wps:wsp>
                  </a:graphicData>
                </a:graphic>
              </wp:anchor>
            </w:drawing>
          </mc:Choice>
          <mc:Fallback>
            <w:pict>
              <v:shape w14:anchorId="458242E1" id="TextBox 10" o:spid="_x0000_s1028" type="#_x0000_t202" style="position:absolute;left:0;text-align:left;margin-left:249.1pt;margin-top:1548.05pt;width:192.35pt;height:20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" filled="f" stroked="f">
                <v:textbox style="mso-fit-shape-to-text:t">
                  <w:txbxContent>
                    <w:p w14:paraId="4A1A89EA" w14:textId="77777777" w:rsidR="00E30D62" w:rsidRDefault="00E30D62" w:rsidP="004379FD">
                      <w:r>
                        <w:rPr>
                          <w:rFonts w:hAnsi="Cambria"/>
                          <w:color w:val="000000" w:themeColor="text1"/>
                          <w:kern w:val="24"/>
                          <w:sz w:val="20"/>
                        </w:rPr>
                        <w:t xml:space="preserve">Duration of flow ( # of days and % of time) </w:t>
                      </w:r>
                    </w:p>
                  </w:txbxContent>
                </v:textbox>
              </v:shape>
            </w:pict>
          </mc:Fallback>
        </mc:AlternateContent>
      </w:r>
      <w:bookmarkStart w:id="65" w:name="_Toc52433854"/>
      <w:bookmarkStart w:id="66" w:name="_Toc52445278"/>
      <w:r w:rsidRPr="004379FD">
        <w:rPr>
          <w:rFonts w:asciiTheme="minorHAnsi" w:hAnsiTheme="minorHAnsi" w:cstheme="minorHAnsi"/>
          <w:b/>
          <w:color w:val="31849B" w:themeColor="accent5" w:themeShade="BF"/>
          <w:sz w:val="24"/>
          <w:szCs w:val="24"/>
        </w:rPr>
        <w:t>Colligen Creek</w:t>
      </w:r>
      <w:bookmarkEnd w:id="65"/>
      <w:bookmarkEnd w:id="66"/>
    </w:p>
    <w:p w14:paraId="0F6A2FC9" w14:textId="3BDCB75E" w:rsidR="004379FD" w:rsidRPr="00185CBB" w:rsidRDefault="004379FD" w:rsidP="004379FD">
      <w:pPr>
        <w:pStyle w:val="SNormalText"/>
        <w:spacing w:after="120" w:line="259" w:lineRule="auto"/>
        <w:ind w:right="447"/>
      </w:pPr>
      <w:r w:rsidRPr="00185CBB">
        <w:t>The Colligen Creek reach receive</w:t>
      </w:r>
      <w:r>
        <w:t>d</w:t>
      </w:r>
      <w:r w:rsidRPr="00185CBB">
        <w:t xml:space="preserve"> a CEW delivery which influenced the hydrology at thi</w:t>
      </w:r>
      <w:r>
        <w:t>s site from early August 2019 to December 2019. T</w:t>
      </w:r>
      <w:r w:rsidRPr="00185CBB">
        <w:t xml:space="preserve">he resulting increase to the base flow at Colligen Creek influenced flow across Visits 1 and 2 </w:t>
      </w:r>
      <w:r>
        <w:t>(</w:t>
      </w:r>
      <w:r w:rsidRPr="005721C8">
        <w:fldChar w:fldCharType="begin"/>
      </w:r>
      <w:r w:rsidRPr="005721C8">
        <w:instrText xml:space="preserve"> REF _Ref48158835 \h  \* MERGEFORMAT </w:instrText>
      </w:r>
      <w:r w:rsidRPr="005721C8">
        <w:fldChar w:fldCharType="separate"/>
      </w:r>
      <w:r w:rsidR="000A6D80" w:rsidRPr="000A6D80">
        <w:rPr>
          <w:color w:val="000000" w:themeColor="text1"/>
        </w:rPr>
        <w:t xml:space="preserve">Figure </w:t>
      </w:r>
      <w:r w:rsidR="000A6D80" w:rsidRPr="000A6D80">
        <w:rPr>
          <w:noProof/>
          <w:color w:val="000000" w:themeColor="text1"/>
        </w:rPr>
        <w:t>9.9</w:t>
      </w:r>
      <w:r w:rsidRPr="005721C8">
        <w:fldChar w:fldCharType="end"/>
      </w:r>
      <w:r>
        <w:t>)</w:t>
      </w:r>
      <w:r w:rsidRPr="00185CBB">
        <w:t>.</w:t>
      </w:r>
    </w:p>
    <w:p w14:paraId="77B7DF7F" w14:textId="768B8FB4" w:rsidR="004379FD" w:rsidRPr="00185CBB" w:rsidRDefault="004379FD" w:rsidP="004379FD">
      <w:pPr>
        <w:pStyle w:val="SNormalText"/>
        <w:spacing w:after="120" w:line="259" w:lineRule="auto"/>
        <w:ind w:right="731"/>
      </w:pPr>
      <w:r w:rsidRPr="00185CBB">
        <w:t xml:space="preserve">The </w:t>
      </w:r>
      <w:r>
        <w:t>SCF</w:t>
      </w:r>
      <w:r w:rsidRPr="00185CBB">
        <w:t xml:space="preserve"> during August and Se</w:t>
      </w:r>
      <w:r>
        <w:t>ptember</w:t>
      </w:r>
      <w:r w:rsidRPr="00185CBB">
        <w:t xml:space="preserve"> resulted in the peaks in flow (</w:t>
      </w:r>
      <w:r w:rsidRPr="00185CBB">
        <w:fldChar w:fldCharType="begin"/>
      </w:r>
      <w:r w:rsidRPr="00185CBB">
        <w:instrText xml:space="preserve"> REF _Ref48158835 \h  \* MERGEFORMAT </w:instrText>
      </w:r>
      <w:r w:rsidRPr="00185CBB">
        <w:fldChar w:fldCharType="separate"/>
      </w:r>
      <w:r w:rsidR="000A6D80" w:rsidRPr="000A6D80">
        <w:t xml:space="preserve">Figure </w:t>
      </w:r>
      <w:r w:rsidR="000A6D80" w:rsidRPr="000A6D80">
        <w:rPr>
          <w:noProof/>
        </w:rPr>
        <w:t>9.9</w:t>
      </w:r>
      <w:r w:rsidRPr="00185CBB">
        <w:fldChar w:fldCharType="end"/>
      </w:r>
      <w:r>
        <w:t>) between v</w:t>
      </w:r>
      <w:r w:rsidRPr="00185CBB">
        <w:t xml:space="preserve">isit 1 and </w:t>
      </w:r>
      <w:r>
        <w:t>v</w:t>
      </w:r>
      <w:r w:rsidRPr="00185CBB">
        <w:t xml:space="preserve">isit 2 with discharge peaks of 400 </w:t>
      </w:r>
      <w:r>
        <w:t>ML/day</w:t>
      </w:r>
      <w:r w:rsidRPr="00185CBB">
        <w:t xml:space="preserve"> and 300 </w:t>
      </w:r>
      <w:r>
        <w:t>ML/day respectively. H</w:t>
      </w:r>
      <w:r w:rsidRPr="00185CBB">
        <w:t>owever, due to th</w:t>
      </w:r>
      <w:r>
        <w:t>e height of the water level on v</w:t>
      </w:r>
      <w:r w:rsidRPr="00185CBB">
        <w:t xml:space="preserve">isit 1, only the first event will be analysed for impact to vegetation and bank condition changes as a response to flow. </w:t>
      </w:r>
      <w:r w:rsidRPr="00185CBB">
        <w:fldChar w:fldCharType="begin"/>
      </w:r>
      <w:r w:rsidRPr="00185CBB">
        <w:instrText xml:space="preserve"> REF _Ref48159561 \h  \* MERGEFORMAT </w:instrText>
      </w:r>
      <w:r w:rsidRPr="00185CBB">
        <w:fldChar w:fldCharType="separate"/>
      </w:r>
      <w:r w:rsidR="000A6D80" w:rsidRPr="000A6D80">
        <w:t xml:space="preserve">Figure </w:t>
      </w:r>
      <w:r w:rsidR="000A6D80" w:rsidRPr="000A6D80">
        <w:rPr>
          <w:noProof/>
        </w:rPr>
        <w:t>9.10</w:t>
      </w:r>
      <w:r w:rsidRPr="00185CBB">
        <w:fldChar w:fldCharType="end"/>
      </w:r>
      <w:r w:rsidRPr="00185CBB">
        <w:t xml:space="preserve"> illustrates that this flow represents &lt;20% of days during this time period, </w:t>
      </w:r>
      <w:r>
        <w:t>so we considered that</w:t>
      </w:r>
      <w:r w:rsidRPr="00185CBB">
        <w:t xml:space="preserve"> significant change to bank condition </w:t>
      </w:r>
      <w:r>
        <w:t>was</w:t>
      </w:r>
      <w:r w:rsidRPr="00185CBB">
        <w:t xml:space="preserve"> unlikely.</w:t>
      </w:r>
    </w:p>
    <w:p w14:paraId="64061527" w14:textId="308F6564" w:rsidR="004379FD" w:rsidRPr="00185CBB" w:rsidRDefault="004379FD" w:rsidP="004379FD">
      <w:pPr>
        <w:pStyle w:val="SNormalText"/>
        <w:spacing w:line="259" w:lineRule="auto"/>
        <w:ind w:right="731"/>
      </w:pPr>
      <w:r w:rsidRPr="00185CBB">
        <w:t xml:space="preserve">As illustrated in the hydrograph in </w:t>
      </w:r>
      <w:r w:rsidRPr="00185CBB">
        <w:fldChar w:fldCharType="begin"/>
      </w:r>
      <w:r w:rsidRPr="00185CBB">
        <w:instrText xml:space="preserve"> REF _Ref48158835 \h  \* MERGEFORMAT </w:instrText>
      </w:r>
      <w:r w:rsidRPr="00185CBB">
        <w:fldChar w:fldCharType="separate"/>
      </w:r>
      <w:r w:rsidR="000A6D80" w:rsidRPr="000A6D80">
        <w:t xml:space="preserve">Figure </w:t>
      </w:r>
      <w:r w:rsidR="000A6D80" w:rsidRPr="000A6D80">
        <w:rPr>
          <w:noProof/>
        </w:rPr>
        <w:t>9.9</w:t>
      </w:r>
      <w:r w:rsidRPr="00185CBB">
        <w:fldChar w:fldCharType="end"/>
      </w:r>
      <w:r w:rsidRPr="00185CBB">
        <w:t xml:space="preserve">, unregulated flows </w:t>
      </w:r>
      <w:r>
        <w:t>in</w:t>
      </w:r>
      <w:r w:rsidRPr="00185CBB">
        <w:t xml:space="preserve"> Colligen Creek between </w:t>
      </w:r>
      <w:r>
        <w:t>v</w:t>
      </w:r>
      <w:r w:rsidRPr="00185CBB">
        <w:t xml:space="preserve">isits 3 and 4 were the largest </w:t>
      </w:r>
      <w:r>
        <w:t>experienced during the study period</w:t>
      </w:r>
      <w:r w:rsidRPr="00185CBB">
        <w:t xml:space="preserve"> with the first reaching +450 </w:t>
      </w:r>
      <w:r>
        <w:t>ML/day</w:t>
      </w:r>
      <w:r w:rsidRPr="00185CBB">
        <w:t xml:space="preserve"> and the second reaching +350 </w:t>
      </w:r>
      <w:r>
        <w:t>ML/day</w:t>
      </w:r>
      <w:r w:rsidRPr="00185CBB">
        <w:t xml:space="preserve">. Additionally, these events were sustained for longer periods than the </w:t>
      </w:r>
      <w:r>
        <w:t>SCF</w:t>
      </w:r>
      <w:r w:rsidRPr="00185CBB">
        <w:t xml:space="preserve"> between </w:t>
      </w:r>
      <w:r>
        <w:t>v</w:t>
      </w:r>
      <w:r w:rsidRPr="00185CBB">
        <w:t>isits 1 and 2</w:t>
      </w:r>
      <w:r>
        <w:t xml:space="preserve"> (Figure 9.10)</w:t>
      </w:r>
      <w:r w:rsidRPr="00185CBB">
        <w:t>. These flow events will be reviewed for bank a</w:t>
      </w:r>
      <w:r>
        <w:t>nd vegetation condition changes</w:t>
      </w:r>
      <w:r w:rsidRPr="00185CBB">
        <w:t>.</w:t>
      </w:r>
    </w:p>
    <w:p w14:paraId="5866697C" w14:textId="77777777" w:rsidR="004379FD" w:rsidRPr="00185CBB" w:rsidRDefault="004379FD" w:rsidP="004379FD">
      <w:pPr>
        <w:pStyle w:val="SNormalText"/>
        <w:spacing w:line="259" w:lineRule="auto"/>
      </w:pPr>
    </w:p>
    <w:p w14:paraId="6BE99E99" w14:textId="77777777" w:rsidR="004379FD" w:rsidRPr="00185CBB" w:rsidRDefault="004379FD" w:rsidP="004379FD">
      <w:pPr>
        <w:pStyle w:val="BodyText1"/>
        <w:spacing w:before="0" w:line="240" w:lineRule="auto"/>
      </w:pPr>
      <w:r>
        <w:rPr>
          <w:noProof/>
          <w:lang w:eastAsia="en-AU" w:bidi="ar-SA"/>
        </w:rPr>
        <w:drawing>
          <wp:inline distT="0" distB="0" distL="0" distR="0" wp14:anchorId="5FF285AE" wp14:editId="75FF3E32">
            <wp:extent cx="5734050" cy="2962071"/>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762569" cy="2976803"/>
                    </a:xfrm>
                    <a:prstGeom prst="rect">
                      <a:avLst/>
                    </a:prstGeom>
                    <a:noFill/>
                  </pic:spPr>
                </pic:pic>
              </a:graphicData>
            </a:graphic>
          </wp:inline>
        </w:drawing>
      </w:r>
    </w:p>
    <w:p w14:paraId="7C764AA4" w14:textId="1360CCBE" w:rsidR="004379FD" w:rsidRDefault="004379FD" w:rsidP="004379FD">
      <w:pPr>
        <w:pStyle w:val="SHCaption"/>
        <w:rPr>
          <w:color w:val="000000" w:themeColor="text1"/>
        </w:rPr>
      </w:pPr>
      <w:bookmarkStart w:id="67" w:name="_Ref48158835"/>
      <w:bookmarkStart w:id="68" w:name="_Toc52433893"/>
      <w:r w:rsidRPr="007D64B2">
        <w:rPr>
          <w:b/>
          <w:color w:val="000000" w:themeColor="text1"/>
        </w:rPr>
        <w:t xml:space="preserve">Figure </w:t>
      </w:r>
      <w:r w:rsidR="00AD6D18">
        <w:rPr>
          <w:b/>
          <w:noProof/>
          <w:color w:val="000000" w:themeColor="text1"/>
        </w:rPr>
        <w:t>9</w:t>
      </w:r>
      <w:r w:rsidRPr="007D64B2">
        <w:rPr>
          <w:b/>
          <w:color w:val="000000" w:themeColor="text1"/>
        </w:rPr>
        <w:t>.</w:t>
      </w:r>
      <w:r w:rsidRPr="007D64B2">
        <w:rPr>
          <w:b/>
          <w:noProof/>
          <w:color w:val="000000" w:themeColor="text1"/>
        </w:rPr>
        <w:fldChar w:fldCharType="begin"/>
      </w:r>
      <w:r w:rsidRPr="007D64B2">
        <w:rPr>
          <w:b/>
          <w:noProof/>
          <w:color w:val="000000" w:themeColor="text1"/>
        </w:rPr>
        <w:instrText xml:space="preserve"> SEQ Figure \* ARABIC \s 1 </w:instrText>
      </w:r>
      <w:r w:rsidRPr="007D64B2">
        <w:rPr>
          <w:b/>
          <w:noProof/>
          <w:color w:val="000000" w:themeColor="text1"/>
        </w:rPr>
        <w:fldChar w:fldCharType="separate"/>
      </w:r>
      <w:r w:rsidR="000A6D80">
        <w:rPr>
          <w:b/>
          <w:noProof/>
          <w:color w:val="000000" w:themeColor="text1"/>
        </w:rPr>
        <w:t>9</w:t>
      </w:r>
      <w:r w:rsidRPr="007D64B2">
        <w:rPr>
          <w:b/>
          <w:noProof/>
          <w:color w:val="000000" w:themeColor="text1"/>
        </w:rPr>
        <w:fldChar w:fldCharType="end"/>
      </w:r>
      <w:bookmarkEnd w:id="67"/>
      <w:r>
        <w:rPr>
          <w:color w:val="000000" w:themeColor="text1"/>
        </w:rPr>
        <w:t xml:space="preserve"> </w:t>
      </w:r>
      <w:r w:rsidRPr="007D64B2">
        <w:rPr>
          <w:color w:val="000000" w:themeColor="text1"/>
        </w:rPr>
        <w:t xml:space="preserve"> Hydrograph illustrating flow at Colligen Creek with visit dates and flow events plotted</w:t>
      </w:r>
      <w:bookmarkEnd w:id="68"/>
    </w:p>
    <w:p w14:paraId="611A678B" w14:textId="77777777" w:rsidR="004379FD" w:rsidRPr="00685C45" w:rsidRDefault="004379FD" w:rsidP="004379FD">
      <w:pPr>
        <w:pStyle w:val="SNormalText"/>
        <w:rPr>
          <w:lang w:val="en-US"/>
        </w:rPr>
      </w:pPr>
    </w:p>
    <w:p w14:paraId="4D0323F9" w14:textId="77777777" w:rsidR="004379FD" w:rsidRPr="00185CBB" w:rsidRDefault="004379FD" w:rsidP="004379FD">
      <w:pPr>
        <w:pStyle w:val="BodyText1"/>
        <w:spacing w:after="0" w:line="240" w:lineRule="auto"/>
      </w:pPr>
      <w:r>
        <w:rPr>
          <w:noProof/>
          <w:lang w:eastAsia="en-AU" w:bidi="ar-SA"/>
        </w:rPr>
        <w:drawing>
          <wp:inline distT="0" distB="0" distL="0" distR="0" wp14:anchorId="5C020A22" wp14:editId="554BB1DC">
            <wp:extent cx="5740400" cy="3265012"/>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766839" cy="3280050"/>
                    </a:xfrm>
                    <a:prstGeom prst="rect">
                      <a:avLst/>
                    </a:prstGeom>
                    <a:noFill/>
                  </pic:spPr>
                </pic:pic>
              </a:graphicData>
            </a:graphic>
          </wp:inline>
        </w:drawing>
      </w:r>
    </w:p>
    <w:p w14:paraId="0C87F78E" w14:textId="794450A2" w:rsidR="004379FD" w:rsidRPr="007D64B2" w:rsidRDefault="004379FD" w:rsidP="004379FD">
      <w:pPr>
        <w:pStyle w:val="SHCaption"/>
        <w:ind w:right="1298"/>
        <w:rPr>
          <w:color w:val="000000" w:themeColor="text1"/>
        </w:rPr>
      </w:pPr>
      <w:bookmarkStart w:id="69" w:name="_Ref48159561"/>
      <w:bookmarkStart w:id="70" w:name="_Toc52433894"/>
      <w:r w:rsidRPr="007D64B2">
        <w:rPr>
          <w:b/>
          <w:color w:val="000000" w:themeColor="text1"/>
        </w:rPr>
        <w:t xml:space="preserve">Figure </w:t>
      </w:r>
      <w:r w:rsidR="00AD6D18">
        <w:rPr>
          <w:b/>
          <w:noProof/>
          <w:color w:val="000000" w:themeColor="text1"/>
        </w:rPr>
        <w:t>9</w:t>
      </w:r>
      <w:r>
        <w:rPr>
          <w:b/>
          <w:noProof/>
          <w:color w:val="000000" w:themeColor="text1"/>
        </w:rPr>
        <w:t>.</w:t>
      </w:r>
      <w:r w:rsidRPr="007D64B2">
        <w:rPr>
          <w:b/>
          <w:noProof/>
          <w:color w:val="000000" w:themeColor="text1"/>
        </w:rPr>
        <w:fldChar w:fldCharType="begin"/>
      </w:r>
      <w:r w:rsidRPr="007D64B2">
        <w:rPr>
          <w:b/>
          <w:noProof/>
          <w:color w:val="000000" w:themeColor="text1"/>
        </w:rPr>
        <w:instrText xml:space="preserve"> SEQ Figure \* ARABIC \s 1 </w:instrText>
      </w:r>
      <w:r w:rsidRPr="007D64B2">
        <w:rPr>
          <w:b/>
          <w:noProof/>
          <w:color w:val="000000" w:themeColor="text1"/>
        </w:rPr>
        <w:fldChar w:fldCharType="separate"/>
      </w:r>
      <w:r w:rsidR="000A6D80">
        <w:rPr>
          <w:b/>
          <w:noProof/>
          <w:color w:val="000000" w:themeColor="text1"/>
        </w:rPr>
        <w:t>10</w:t>
      </w:r>
      <w:r w:rsidRPr="007D64B2">
        <w:rPr>
          <w:b/>
          <w:noProof/>
          <w:color w:val="000000" w:themeColor="text1"/>
        </w:rPr>
        <w:fldChar w:fldCharType="end"/>
      </w:r>
      <w:bookmarkEnd w:id="69"/>
      <w:r>
        <w:rPr>
          <w:color w:val="000000" w:themeColor="text1"/>
        </w:rPr>
        <w:t xml:space="preserve"> </w:t>
      </w:r>
      <w:r w:rsidRPr="007D64B2">
        <w:rPr>
          <w:color w:val="000000" w:themeColor="text1"/>
        </w:rPr>
        <w:t xml:space="preserve"> Histogram illustrating mean daily discharge </w:t>
      </w:r>
      <w:r>
        <w:rPr>
          <w:color w:val="000000" w:themeColor="text1"/>
        </w:rPr>
        <w:t xml:space="preserve">(ML/day) </w:t>
      </w:r>
      <w:r w:rsidRPr="007D64B2">
        <w:rPr>
          <w:color w:val="000000" w:themeColor="text1"/>
        </w:rPr>
        <w:t xml:space="preserve">by flow range and the number of days and % of time the flow was received between </w:t>
      </w:r>
      <w:r>
        <w:rPr>
          <w:color w:val="000000" w:themeColor="text1"/>
        </w:rPr>
        <w:t>v</w:t>
      </w:r>
      <w:r w:rsidRPr="007D64B2">
        <w:rPr>
          <w:color w:val="000000" w:themeColor="text1"/>
        </w:rPr>
        <w:t>isit 1 and 2 at the Colligen Creek site.</w:t>
      </w:r>
      <w:bookmarkEnd w:id="70"/>
    </w:p>
    <w:p w14:paraId="5730ABDF" w14:textId="77777777" w:rsidR="004379FD" w:rsidRDefault="004379FD" w:rsidP="004379FD">
      <w:pPr>
        <w:spacing w:after="160" w:line="259" w:lineRule="auto"/>
        <w:rPr>
          <w:rFonts w:asciiTheme="minorHAnsi" w:eastAsiaTheme="minorHAnsi" w:hAnsiTheme="minorHAnsi" w:cstheme="minorHAnsi"/>
          <w:b/>
          <w:color w:val="31849B"/>
          <w:sz w:val="28"/>
          <w:szCs w:val="28"/>
        </w:rPr>
      </w:pPr>
      <w:bookmarkStart w:id="71" w:name="_Toc52445279"/>
      <w:r>
        <w:br w:type="page"/>
      </w:r>
    </w:p>
    <w:p w14:paraId="013E6714" w14:textId="77777777" w:rsidR="004379FD" w:rsidRPr="004379FD" w:rsidRDefault="004379FD" w:rsidP="004379FD">
      <w:pPr>
        <w:spacing w:after="120" w:line="259" w:lineRule="auto"/>
        <w:rPr>
          <w:rFonts w:cstheme="minorHAnsi"/>
          <w:b/>
          <w:color w:val="31849B"/>
          <w:sz w:val="28"/>
          <w:szCs w:val="28"/>
        </w:rPr>
      </w:pPr>
      <w:r w:rsidRPr="004379FD">
        <w:rPr>
          <w:rFonts w:cstheme="minorHAnsi"/>
          <w:b/>
          <w:color w:val="31849B"/>
          <w:sz w:val="28"/>
          <w:szCs w:val="28"/>
        </w:rPr>
        <w:t>9.6 Results</w:t>
      </w:r>
      <w:bookmarkEnd w:id="71"/>
    </w:p>
    <w:p w14:paraId="52050E4E"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72" w:name="_Toc52445280"/>
      <w:r w:rsidRPr="004379FD">
        <w:rPr>
          <w:rFonts w:asciiTheme="minorHAnsi" w:hAnsiTheme="minorHAnsi" w:cstheme="minorHAnsi"/>
          <w:b/>
          <w:color w:val="31849B" w:themeColor="accent5" w:themeShade="BF"/>
          <w:sz w:val="24"/>
          <w:szCs w:val="24"/>
        </w:rPr>
        <w:t>Bank Condition</w:t>
      </w:r>
      <w:bookmarkEnd w:id="72"/>
      <w:r w:rsidRPr="004379FD">
        <w:rPr>
          <w:rFonts w:asciiTheme="minorHAnsi" w:hAnsiTheme="minorHAnsi" w:cstheme="minorHAnsi"/>
          <w:b/>
          <w:color w:val="31849B" w:themeColor="accent5" w:themeShade="BF"/>
          <w:sz w:val="24"/>
          <w:szCs w:val="24"/>
        </w:rPr>
        <w:t xml:space="preserve"> </w:t>
      </w:r>
    </w:p>
    <w:p w14:paraId="2702AE57" w14:textId="77777777" w:rsidR="004379FD" w:rsidRPr="00185CBB" w:rsidRDefault="004379FD" w:rsidP="004379FD">
      <w:pPr>
        <w:spacing w:after="120" w:line="259" w:lineRule="auto"/>
        <w:rPr>
          <w:b/>
          <w:bCs/>
          <w:i/>
          <w:iCs/>
          <w:u w:val="single"/>
        </w:rPr>
      </w:pPr>
      <w:r>
        <w:rPr>
          <w:b/>
          <w:bCs/>
          <w:i/>
          <w:iCs/>
          <w:u w:val="single"/>
        </w:rPr>
        <w:t>Edward/Kolety R</w:t>
      </w:r>
      <w:r w:rsidRPr="00185CBB">
        <w:rPr>
          <w:b/>
          <w:bCs/>
          <w:i/>
          <w:iCs/>
          <w:u w:val="single"/>
        </w:rPr>
        <w:t>iver (upstream site)</w:t>
      </w:r>
    </w:p>
    <w:p w14:paraId="2CE7030B" w14:textId="6AEB1E87" w:rsidR="004379FD" w:rsidRPr="00185CBB" w:rsidRDefault="004379FD" w:rsidP="004379FD">
      <w:pPr>
        <w:pStyle w:val="SNormalText"/>
        <w:spacing w:line="259" w:lineRule="auto"/>
      </w:pPr>
      <w:r w:rsidRPr="00185CBB">
        <w:t>The upstream Edward</w:t>
      </w:r>
      <w:r>
        <w:t>/Kolety</w:t>
      </w:r>
      <w:r w:rsidRPr="00185CBB">
        <w:t xml:space="preserve"> River monitoring site is based in the Murray Valley National Park downstream of the confluence with the River Murray and upstream of Deniliquin. One bank of interest was chosen for analysis and one vegetation zone (</w:t>
      </w:r>
      <w:r w:rsidRPr="0077763F">
        <w:fldChar w:fldCharType="begin"/>
      </w:r>
      <w:r w:rsidRPr="0077763F">
        <w:instrText xml:space="preserve"> REF _Ref52438303 \h  \* MERGEFORMAT </w:instrText>
      </w:r>
      <w:r w:rsidRPr="0077763F">
        <w:fldChar w:fldCharType="separate"/>
      </w:r>
      <w:r w:rsidR="000A6D80" w:rsidRPr="000A6D80">
        <w:rPr>
          <w:color w:val="000000" w:themeColor="text1"/>
        </w:rPr>
        <w:t xml:space="preserve">Figure </w:t>
      </w:r>
      <w:r w:rsidR="000A6D80" w:rsidRPr="000A6D80">
        <w:rPr>
          <w:noProof/>
          <w:color w:val="000000" w:themeColor="text1"/>
        </w:rPr>
        <w:t>9.11</w:t>
      </w:r>
      <w:r w:rsidRPr="0077763F">
        <w:fldChar w:fldCharType="end"/>
      </w:r>
      <w:r w:rsidRPr="00185CBB">
        <w:t>).</w:t>
      </w:r>
    </w:p>
    <w:p w14:paraId="356C82C1"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53F33A42" wp14:editId="350EE10D">
            <wp:extent cx="2870200" cy="3298237"/>
            <wp:effectExtent l="0" t="0" r="6350" b="0"/>
            <wp:docPr id="476" name="Picture 3">
              <a:extLst xmlns:a="http://schemas.openxmlformats.org/drawingml/2006/main">
                <a:ext uri="{FF2B5EF4-FFF2-40B4-BE49-F238E27FC236}">
                  <a16:creationId xmlns:a16="http://schemas.microsoft.com/office/drawing/2014/main" id="{F0699F64-5825-4C29-A4D3-FC46147F64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0699F64-5825-4C29-A4D3-FC46147F64BA}"/>
                        </a:ext>
                      </a:extLst>
                    </pic:cNvPr>
                    <pic:cNvPicPr>
                      <a:picLocks noChangeAspect="1"/>
                    </pic:cNvPicPr>
                  </pic:nvPicPr>
                  <pic:blipFill>
                    <a:blip r:embed="rId129" cstate="email">
                      <a:extLst>
                        <a:ext uri="{28A0092B-C50C-407E-A947-70E740481C1C}">
                          <a14:useLocalDpi xmlns:a14="http://schemas.microsoft.com/office/drawing/2010/main"/>
                        </a:ext>
                      </a:extLst>
                    </a:blip>
                    <a:stretch>
                      <a:fillRect/>
                    </a:stretch>
                  </pic:blipFill>
                  <pic:spPr>
                    <a:xfrm>
                      <a:off x="0" y="0"/>
                      <a:ext cx="2875496" cy="3304323"/>
                    </a:xfrm>
                    <a:prstGeom prst="rect">
                      <a:avLst/>
                    </a:prstGeom>
                  </pic:spPr>
                </pic:pic>
              </a:graphicData>
            </a:graphic>
          </wp:inline>
        </w:drawing>
      </w:r>
    </w:p>
    <w:p w14:paraId="1EE10413" w14:textId="529AAB14" w:rsidR="004379FD" w:rsidRPr="004C2299" w:rsidRDefault="004379FD" w:rsidP="004379FD">
      <w:pPr>
        <w:pStyle w:val="SHCaption"/>
        <w:rPr>
          <w:color w:val="000000" w:themeColor="text1"/>
        </w:rPr>
      </w:pPr>
      <w:bookmarkStart w:id="73" w:name="_Ref52438303"/>
      <w:r w:rsidRPr="004C2299">
        <w:rPr>
          <w:b/>
          <w:color w:val="000000" w:themeColor="text1"/>
        </w:rPr>
        <w:t xml:space="preserve">Figure </w:t>
      </w:r>
      <w:r w:rsidR="00AD6D18">
        <w:rPr>
          <w:b/>
          <w:noProof/>
          <w:color w:val="000000" w:themeColor="text1"/>
        </w:rPr>
        <w:t>9</w:t>
      </w:r>
      <w:r w:rsidRPr="004C2299">
        <w:rPr>
          <w:b/>
          <w:color w:val="000000" w:themeColor="text1"/>
        </w:rPr>
        <w:t>.</w:t>
      </w:r>
      <w:r w:rsidRPr="004C2299">
        <w:rPr>
          <w:b/>
          <w:noProof/>
          <w:color w:val="000000" w:themeColor="text1"/>
        </w:rPr>
        <w:fldChar w:fldCharType="begin"/>
      </w:r>
      <w:r w:rsidRPr="004C2299">
        <w:rPr>
          <w:b/>
          <w:noProof/>
          <w:color w:val="000000" w:themeColor="text1"/>
        </w:rPr>
        <w:instrText xml:space="preserve"> SEQ Figure \* ARABIC \s 1 </w:instrText>
      </w:r>
      <w:r w:rsidRPr="004C2299">
        <w:rPr>
          <w:b/>
          <w:noProof/>
          <w:color w:val="000000" w:themeColor="text1"/>
        </w:rPr>
        <w:fldChar w:fldCharType="separate"/>
      </w:r>
      <w:r w:rsidR="000A6D80">
        <w:rPr>
          <w:b/>
          <w:noProof/>
          <w:color w:val="000000" w:themeColor="text1"/>
        </w:rPr>
        <w:t>11</w:t>
      </w:r>
      <w:r w:rsidRPr="004C2299">
        <w:rPr>
          <w:b/>
          <w:noProof/>
          <w:color w:val="000000" w:themeColor="text1"/>
        </w:rPr>
        <w:fldChar w:fldCharType="end"/>
      </w:r>
      <w:bookmarkEnd w:id="73"/>
      <w:r w:rsidRPr="004C2299">
        <w:rPr>
          <w:b/>
          <w:color w:val="000000" w:themeColor="text1"/>
        </w:rPr>
        <w:t>.</w:t>
      </w:r>
      <w:r w:rsidRPr="004C2299">
        <w:rPr>
          <w:color w:val="000000" w:themeColor="text1"/>
        </w:rPr>
        <w:t xml:space="preserve"> Location of banks of Interest within the Edward</w:t>
      </w:r>
      <w:r>
        <w:rPr>
          <w:color w:val="000000" w:themeColor="text1"/>
        </w:rPr>
        <w:t>/Kolety River (Upstream) m</w:t>
      </w:r>
      <w:r w:rsidRPr="004C2299">
        <w:rPr>
          <w:color w:val="000000" w:themeColor="text1"/>
        </w:rPr>
        <w:t>onitoring Site.</w:t>
      </w:r>
    </w:p>
    <w:p w14:paraId="1DA16771" w14:textId="77777777" w:rsidR="004379FD" w:rsidRPr="00185CBB" w:rsidRDefault="004379FD" w:rsidP="004379FD">
      <w:pPr>
        <w:pStyle w:val="SNormalText"/>
        <w:spacing w:line="259" w:lineRule="auto"/>
        <w:rPr>
          <w:b/>
          <w:bCs/>
        </w:rPr>
      </w:pPr>
      <w:r w:rsidRPr="00185CBB">
        <w:rPr>
          <w:b/>
          <w:bCs/>
        </w:rPr>
        <w:t>Visit 1 – Visit 2</w:t>
      </w:r>
    </w:p>
    <w:p w14:paraId="540A1684" w14:textId="4EFE9BCF" w:rsidR="004379FD" w:rsidRPr="004C2299" w:rsidRDefault="004379FD" w:rsidP="004379FD">
      <w:pPr>
        <w:spacing w:after="120" w:line="259" w:lineRule="auto"/>
        <w:ind w:right="164"/>
        <w:rPr>
          <w:rFonts w:cs="Calibri"/>
        </w:rPr>
      </w:pPr>
      <w:r w:rsidRPr="004C2299">
        <w:rPr>
          <w:rFonts w:cs="Calibri"/>
        </w:rPr>
        <w:t>As detailed in the hydrograph (</w:t>
      </w:r>
      <w:r w:rsidRPr="004C2299">
        <w:rPr>
          <w:rFonts w:cs="Calibri"/>
        </w:rPr>
        <w:fldChar w:fldCharType="begin"/>
      </w:r>
      <w:r w:rsidRPr="004C2299">
        <w:rPr>
          <w:rFonts w:cs="Calibri"/>
        </w:rPr>
        <w:instrText xml:space="preserve"> REF _Ref48130401 \h </w:instrText>
      </w:r>
      <w:r>
        <w:rPr>
          <w:rFonts w:cs="Calibri"/>
        </w:rPr>
        <w:instrText xml:space="preserve"> \* MERGEFORMAT </w:instrText>
      </w:r>
      <w:r w:rsidRPr="004C2299">
        <w:rPr>
          <w:rFonts w:cs="Calibri"/>
        </w:rPr>
      </w:r>
      <w:r w:rsidRPr="004C2299">
        <w:rPr>
          <w:rFonts w:cs="Calibri"/>
        </w:rPr>
        <w:fldChar w:fldCharType="separate"/>
      </w:r>
      <w:r w:rsidR="000A6D80" w:rsidRPr="000A6D80">
        <w:rPr>
          <w:rFonts w:cs="Calibri"/>
        </w:rPr>
        <w:t xml:space="preserve">Figure </w:t>
      </w:r>
      <w:r w:rsidR="000A6D80" w:rsidRPr="000A6D80">
        <w:rPr>
          <w:rFonts w:cs="Calibri"/>
          <w:noProof/>
        </w:rPr>
        <w:t>9.6</w:t>
      </w:r>
      <w:r w:rsidRPr="004C2299">
        <w:rPr>
          <w:rFonts w:cs="Calibri"/>
        </w:rPr>
        <w:fldChar w:fldCharType="end"/>
      </w:r>
      <w:bookmarkStart w:id="74" w:name="USEdward"/>
      <w:bookmarkEnd w:id="74"/>
      <w:r w:rsidRPr="004C2299">
        <w:rPr>
          <w:rFonts w:cs="Calibri"/>
        </w:rPr>
        <w:t xml:space="preserve">) </w:t>
      </w:r>
      <w:r>
        <w:rPr>
          <w:rFonts w:cs="Calibri"/>
        </w:rPr>
        <w:t>there was a uniform discharge between visits 1 and 2</w:t>
      </w:r>
      <w:r w:rsidRPr="004C2299">
        <w:rPr>
          <w:rFonts w:cs="Calibri"/>
        </w:rPr>
        <w:t>.</w:t>
      </w:r>
      <w:r>
        <w:rPr>
          <w:rFonts w:cs="Calibri"/>
        </w:rPr>
        <w:t xml:space="preserve"> The flow was uniform </w:t>
      </w:r>
      <w:r w:rsidRPr="004C2299">
        <w:rPr>
          <w:rFonts w:cs="Calibri"/>
        </w:rPr>
        <w:t xml:space="preserve">at 1,500 ML/day and accordingly resulted in no significant change that could be seen on the DEMOD, or registered through volume metric outputs. The DEMODs for this period </w:t>
      </w:r>
      <w:r>
        <w:rPr>
          <w:rFonts w:cs="Calibri"/>
        </w:rPr>
        <w:t>are</w:t>
      </w:r>
      <w:r w:rsidRPr="004C2299">
        <w:rPr>
          <w:rFonts w:cs="Calibri"/>
        </w:rPr>
        <w:t xml:space="preserve"> in the appendix.</w:t>
      </w:r>
    </w:p>
    <w:p w14:paraId="220EB633" w14:textId="77777777" w:rsidR="004379FD" w:rsidRPr="00185CBB" w:rsidRDefault="004379FD" w:rsidP="004379FD">
      <w:pPr>
        <w:pStyle w:val="SNormalText"/>
        <w:spacing w:after="120" w:line="259" w:lineRule="auto"/>
        <w:ind w:right="164"/>
        <w:rPr>
          <w:b/>
          <w:bCs/>
        </w:rPr>
      </w:pPr>
      <w:r w:rsidRPr="00185CBB">
        <w:rPr>
          <w:b/>
          <w:bCs/>
        </w:rPr>
        <w:t>Visit 3 – Visit 4 (Unregulated flow events)</w:t>
      </w:r>
    </w:p>
    <w:p w14:paraId="297079C0" w14:textId="1FB42FB7" w:rsidR="004379FD" w:rsidRPr="004C2299" w:rsidRDefault="004379FD" w:rsidP="004379FD">
      <w:pPr>
        <w:spacing w:after="120" w:line="259" w:lineRule="auto"/>
        <w:ind w:right="164"/>
        <w:rPr>
          <w:rFonts w:cs="Calibri"/>
        </w:rPr>
      </w:pPr>
      <w:r>
        <w:rPr>
          <w:rFonts w:cs="Calibri"/>
        </w:rPr>
        <w:t>The monitoring period between visit 3 and 4</w:t>
      </w:r>
      <w:r w:rsidRPr="004C2299">
        <w:rPr>
          <w:rFonts w:cs="Calibri"/>
        </w:rPr>
        <w:t xml:space="preserve"> is of most interest due to the </w:t>
      </w:r>
      <w:r>
        <w:rPr>
          <w:rFonts w:cs="Calibri"/>
        </w:rPr>
        <w:t>variation in flow during this period. H</w:t>
      </w:r>
      <w:r w:rsidRPr="004C2299">
        <w:rPr>
          <w:rFonts w:cs="Calibri"/>
        </w:rPr>
        <w:t xml:space="preserve">owever, due to increases in flow above the </w:t>
      </w:r>
      <w:r>
        <w:rPr>
          <w:rFonts w:cs="Calibri"/>
        </w:rPr>
        <w:t xml:space="preserve">constant </w:t>
      </w:r>
      <w:r w:rsidRPr="004C2299">
        <w:rPr>
          <w:rFonts w:cs="Calibri"/>
        </w:rPr>
        <w:t>water level threshold being relatively minor it appears that erosion/deposition has been relatively minimal in response to these unregulated flow events with only scattered areas of erosion in areas above the notch visible (</w:t>
      </w:r>
      <w:r w:rsidRPr="004C2299">
        <w:rPr>
          <w:rFonts w:cs="Calibri"/>
        </w:rPr>
        <w:fldChar w:fldCharType="begin"/>
      </w:r>
      <w:r w:rsidRPr="004C2299">
        <w:rPr>
          <w:rFonts w:cs="Calibri"/>
        </w:rPr>
        <w:instrText xml:space="preserve"> REF _Ref52363077 \h </w:instrText>
      </w:r>
      <w:r>
        <w:rPr>
          <w:rFonts w:cs="Calibri"/>
        </w:rPr>
        <w:instrText xml:space="preserve"> \* MERGEFORMAT </w:instrText>
      </w:r>
      <w:r w:rsidRPr="004C2299">
        <w:rPr>
          <w:rFonts w:cs="Calibri"/>
        </w:rPr>
      </w:r>
      <w:r w:rsidRPr="004C2299">
        <w:rPr>
          <w:rFonts w:cs="Calibri"/>
        </w:rPr>
        <w:fldChar w:fldCharType="separate"/>
      </w:r>
      <w:r w:rsidR="000A6D80" w:rsidRPr="000A6D80">
        <w:rPr>
          <w:rFonts w:cs="Calibri"/>
        </w:rPr>
        <w:t xml:space="preserve">Figure </w:t>
      </w:r>
      <w:r w:rsidR="000A6D80" w:rsidRPr="000A6D80">
        <w:rPr>
          <w:rFonts w:cs="Calibri"/>
          <w:noProof/>
        </w:rPr>
        <w:t>9.12</w:t>
      </w:r>
      <w:r w:rsidRPr="004C2299">
        <w:rPr>
          <w:rFonts w:cs="Calibri"/>
        </w:rPr>
        <w:fldChar w:fldCharType="end"/>
      </w:r>
      <w:r w:rsidRPr="004C2299">
        <w:rPr>
          <w:rFonts w:cs="Calibri"/>
        </w:rPr>
        <w:t>).</w:t>
      </w:r>
    </w:p>
    <w:p w14:paraId="5AFB8F91"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16DC78DB" wp14:editId="231527D3">
            <wp:extent cx="5746750" cy="1517232"/>
            <wp:effectExtent l="0" t="0" r="6350" b="6985"/>
            <wp:docPr id="60" name="Picture 19">
              <a:extLst xmlns:a="http://schemas.openxmlformats.org/drawingml/2006/main">
                <a:ext uri="{FF2B5EF4-FFF2-40B4-BE49-F238E27FC236}">
                  <a16:creationId xmlns:a16="http://schemas.microsoft.com/office/drawing/2014/main" id="{DBCBC4E8-9D50-4AAA-9C29-7BED1E8BF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DBCBC4E8-9D50-4AAA-9C29-7BED1E8BFBE4}"/>
                        </a:ext>
                      </a:extLst>
                    </pic:cNvPr>
                    <pic:cNvPicPr>
                      <a:picLocks noChangeAspect="1"/>
                    </pic:cNvPicPr>
                  </pic:nvPicPr>
                  <pic:blipFill>
                    <a:blip r:embed="rId130" cstate="email">
                      <a:extLst>
                        <a:ext uri="{28A0092B-C50C-407E-A947-70E740481C1C}">
                          <a14:useLocalDpi xmlns:a14="http://schemas.microsoft.com/office/drawing/2010/main"/>
                        </a:ext>
                      </a:extLst>
                    </a:blip>
                    <a:stretch>
                      <a:fillRect/>
                    </a:stretch>
                  </pic:blipFill>
                  <pic:spPr>
                    <a:xfrm>
                      <a:off x="0" y="0"/>
                      <a:ext cx="5770888" cy="1523605"/>
                    </a:xfrm>
                    <a:prstGeom prst="rect">
                      <a:avLst/>
                    </a:prstGeom>
                  </pic:spPr>
                </pic:pic>
              </a:graphicData>
            </a:graphic>
          </wp:inline>
        </w:drawing>
      </w:r>
    </w:p>
    <w:p w14:paraId="7FBF9F30" w14:textId="6B560E5D" w:rsidR="004379FD" w:rsidRPr="004C2299" w:rsidRDefault="004379FD" w:rsidP="004379FD">
      <w:pPr>
        <w:pStyle w:val="SHCaption"/>
        <w:rPr>
          <w:color w:val="000000" w:themeColor="text1"/>
        </w:rPr>
      </w:pPr>
      <w:bookmarkStart w:id="75" w:name="_Ref52363077"/>
      <w:bookmarkStart w:id="76" w:name="_Toc52433896"/>
      <w:r w:rsidRPr="004C2299">
        <w:rPr>
          <w:b/>
          <w:color w:val="000000" w:themeColor="text1"/>
        </w:rPr>
        <w:t xml:space="preserve">Figure </w:t>
      </w:r>
      <w:r w:rsidR="00AD6D18">
        <w:rPr>
          <w:b/>
          <w:noProof/>
          <w:color w:val="000000" w:themeColor="text1"/>
        </w:rPr>
        <w:t>9</w:t>
      </w:r>
      <w:r w:rsidRPr="004C2299">
        <w:rPr>
          <w:b/>
          <w:color w:val="000000" w:themeColor="text1"/>
        </w:rPr>
        <w:t>.</w:t>
      </w:r>
      <w:r w:rsidRPr="004C2299">
        <w:rPr>
          <w:b/>
          <w:noProof/>
          <w:color w:val="000000" w:themeColor="text1"/>
        </w:rPr>
        <w:fldChar w:fldCharType="begin"/>
      </w:r>
      <w:r w:rsidRPr="004C2299">
        <w:rPr>
          <w:b/>
          <w:noProof/>
          <w:color w:val="000000" w:themeColor="text1"/>
        </w:rPr>
        <w:instrText xml:space="preserve"> SEQ Figure \* ARABIC \s 1 </w:instrText>
      </w:r>
      <w:r w:rsidRPr="004C2299">
        <w:rPr>
          <w:b/>
          <w:noProof/>
          <w:color w:val="000000" w:themeColor="text1"/>
        </w:rPr>
        <w:fldChar w:fldCharType="separate"/>
      </w:r>
      <w:r w:rsidR="000A6D80">
        <w:rPr>
          <w:b/>
          <w:noProof/>
          <w:color w:val="000000" w:themeColor="text1"/>
        </w:rPr>
        <w:t>12</w:t>
      </w:r>
      <w:r w:rsidRPr="004C2299">
        <w:rPr>
          <w:b/>
          <w:noProof/>
          <w:color w:val="000000" w:themeColor="text1"/>
        </w:rPr>
        <w:fldChar w:fldCharType="end"/>
      </w:r>
      <w:bookmarkEnd w:id="75"/>
      <w:r>
        <w:rPr>
          <w:color w:val="000000" w:themeColor="text1"/>
        </w:rPr>
        <w:t xml:space="preserve"> </w:t>
      </w:r>
      <w:r w:rsidRPr="004C2299">
        <w:rPr>
          <w:color w:val="000000" w:themeColor="text1"/>
        </w:rPr>
        <w:t xml:space="preserve"> DEMOD co</w:t>
      </w:r>
      <w:r>
        <w:rPr>
          <w:color w:val="000000" w:themeColor="text1"/>
        </w:rPr>
        <w:t>mparing visit 3 to 4 at Edward/Kolety R</w:t>
      </w:r>
      <w:r w:rsidRPr="004C2299">
        <w:rPr>
          <w:color w:val="000000" w:themeColor="text1"/>
        </w:rPr>
        <w:t>iver upstream site.</w:t>
      </w:r>
      <w:bookmarkEnd w:id="76"/>
    </w:p>
    <w:p w14:paraId="754AFBC1" w14:textId="77777777" w:rsidR="004379FD" w:rsidRPr="004C2299" w:rsidRDefault="004379FD" w:rsidP="004379FD">
      <w:pPr>
        <w:spacing w:line="259" w:lineRule="auto"/>
        <w:rPr>
          <w:rFonts w:cs="Calibri"/>
        </w:rPr>
      </w:pPr>
      <w:r w:rsidRPr="004C2299">
        <w:rPr>
          <w:rFonts w:cs="Calibri"/>
        </w:rPr>
        <w:t>The volume metric change out</w:t>
      </w:r>
      <w:r>
        <w:rPr>
          <w:rFonts w:cs="Calibri"/>
        </w:rPr>
        <w:t>put from this model could not be resolved</w:t>
      </w:r>
      <w:r w:rsidRPr="004C2299">
        <w:rPr>
          <w:rFonts w:cs="Calibri"/>
        </w:rPr>
        <w:t xml:space="preserve"> as a result of a) very little change, and b) som</w:t>
      </w:r>
      <w:r>
        <w:rPr>
          <w:rFonts w:cs="Calibri"/>
        </w:rPr>
        <w:t>e distortion in aligning visits. A</w:t>
      </w:r>
      <w:r w:rsidRPr="004C2299">
        <w:rPr>
          <w:rFonts w:cs="Calibri"/>
        </w:rPr>
        <w:t>ccordingly</w:t>
      </w:r>
      <w:r>
        <w:rPr>
          <w:rFonts w:cs="Calibri"/>
        </w:rPr>
        <w:t>,</w:t>
      </w:r>
      <w:r w:rsidRPr="004C2299">
        <w:rPr>
          <w:rFonts w:cs="Calibri"/>
        </w:rPr>
        <w:t xml:space="preserve"> volume metric change for this period is not presented</w:t>
      </w:r>
      <w:r>
        <w:rPr>
          <w:rFonts w:cs="Calibri"/>
        </w:rPr>
        <w:t>. T</w:t>
      </w:r>
      <w:r w:rsidRPr="004C2299">
        <w:rPr>
          <w:rFonts w:cs="Calibri"/>
        </w:rPr>
        <w:t>he da</w:t>
      </w:r>
      <w:r>
        <w:rPr>
          <w:rFonts w:cs="Calibri"/>
        </w:rPr>
        <w:t>ta can be found in the Appendix</w:t>
      </w:r>
      <w:r w:rsidRPr="004C2299">
        <w:rPr>
          <w:rFonts w:cs="Calibri"/>
        </w:rPr>
        <w:t>.</w:t>
      </w:r>
    </w:p>
    <w:p w14:paraId="6ACEC111" w14:textId="77777777" w:rsidR="004379FD" w:rsidRPr="00CE6365" w:rsidRDefault="004379FD" w:rsidP="004379FD">
      <w:pPr>
        <w:pStyle w:val="SNormalText"/>
        <w:spacing w:after="120" w:line="259" w:lineRule="auto"/>
        <w:rPr>
          <w:rFonts w:ascii="Calibri Light" w:hAnsi="Calibri Light" w:cs="Calibri Light"/>
          <w:b/>
          <w:bCs/>
          <w:i/>
          <w:iCs/>
          <w:u w:val="single"/>
        </w:rPr>
      </w:pPr>
      <w:bookmarkStart w:id="77" w:name="_Toc52433858"/>
      <w:r w:rsidRPr="00CE6365">
        <w:rPr>
          <w:rFonts w:ascii="Calibri Light" w:hAnsi="Calibri Light" w:cs="Calibri Light"/>
          <w:b/>
          <w:bCs/>
          <w:i/>
          <w:iCs/>
          <w:u w:val="single"/>
        </w:rPr>
        <w:t>Edward/Kolety River downstream of Stevens Weir</w:t>
      </w:r>
      <w:bookmarkStart w:id="78" w:name="_Hlk40184403"/>
      <w:bookmarkEnd w:id="77"/>
    </w:p>
    <w:p w14:paraId="18D199B9" w14:textId="695F949D" w:rsidR="004379FD" w:rsidRPr="00185CBB" w:rsidRDefault="004379FD" w:rsidP="004379FD">
      <w:pPr>
        <w:pStyle w:val="SNormalText"/>
        <w:spacing w:line="259" w:lineRule="auto"/>
      </w:pPr>
      <w:r>
        <w:t>The downstream Edward/Kolety R</w:t>
      </w:r>
      <w:r w:rsidRPr="00185CBB">
        <w:t xml:space="preserve">iver site is located </w:t>
      </w:r>
      <w:r>
        <w:t>approximately</w:t>
      </w:r>
      <w:r w:rsidRPr="00185CBB">
        <w:t xml:space="preserve"> 15 </w:t>
      </w:r>
      <w:r>
        <w:t>kilometers</w:t>
      </w:r>
      <w:r w:rsidRPr="00185CBB">
        <w:t xml:space="preserve"> d</w:t>
      </w:r>
      <w:r>
        <w:t>ownstream of Stevens Weir, north-</w:t>
      </w:r>
      <w:r w:rsidRPr="00185CBB">
        <w:t>west of Deniliquin. One bank of interest was monitored at this site (</w:t>
      </w:r>
      <w:r w:rsidRPr="00CE6365">
        <w:fldChar w:fldCharType="begin"/>
      </w:r>
      <w:r w:rsidRPr="00CE6365">
        <w:instrText xml:space="preserve"> REF _Ref41905621 \h  \* MERGEFORMAT </w:instrText>
      </w:r>
      <w:r w:rsidRPr="00CE6365">
        <w:fldChar w:fldCharType="separate"/>
      </w:r>
      <w:r w:rsidR="000A6D80" w:rsidRPr="000A6D80">
        <w:rPr>
          <w:color w:val="000000" w:themeColor="text1"/>
        </w:rPr>
        <w:t xml:space="preserve">Figure </w:t>
      </w:r>
      <w:r w:rsidR="000A6D80" w:rsidRPr="000A6D80">
        <w:rPr>
          <w:noProof/>
          <w:color w:val="000000" w:themeColor="text1"/>
        </w:rPr>
        <w:t>9.13</w:t>
      </w:r>
      <w:r w:rsidRPr="00CE6365">
        <w:fldChar w:fldCharType="end"/>
      </w:r>
      <w:r w:rsidRPr="00185CBB">
        <w:t>)</w:t>
      </w:r>
      <w:r>
        <w:t>.</w:t>
      </w:r>
    </w:p>
    <w:p w14:paraId="3C02FB17" w14:textId="77777777" w:rsidR="004379FD" w:rsidRPr="00185CBB" w:rsidRDefault="004379FD" w:rsidP="004379FD">
      <w:pPr>
        <w:pStyle w:val="SNormalText"/>
        <w:spacing w:line="259" w:lineRule="auto"/>
      </w:pPr>
    </w:p>
    <w:bookmarkEnd w:id="78"/>
    <w:p w14:paraId="596773A0" w14:textId="77777777" w:rsidR="004379FD" w:rsidRPr="00185CBB" w:rsidRDefault="004379FD" w:rsidP="004379FD">
      <w:pPr>
        <w:pStyle w:val="SNormalText"/>
        <w:spacing w:line="259" w:lineRule="auto"/>
      </w:pPr>
      <w:r w:rsidRPr="00185CBB">
        <w:rPr>
          <w:noProof/>
          <w:lang w:eastAsia="en-AU"/>
        </w:rPr>
        <w:drawing>
          <wp:inline distT="0" distB="0" distL="0" distR="0" wp14:anchorId="7DA5A151" wp14:editId="7B624D4C">
            <wp:extent cx="2760514" cy="3536950"/>
            <wp:effectExtent l="0" t="0" r="1905" b="6350"/>
            <wp:docPr id="477" name="Picture 3">
              <a:extLst xmlns:a="http://schemas.openxmlformats.org/drawingml/2006/main">
                <a:ext uri="{FF2B5EF4-FFF2-40B4-BE49-F238E27FC236}">
                  <a16:creationId xmlns:a16="http://schemas.microsoft.com/office/drawing/2014/main" id="{4C73A312-B8C5-4557-AF84-3A918FE9BB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C73A312-B8C5-4557-AF84-3A918FE9BBAA}"/>
                        </a:ext>
                      </a:extLst>
                    </pic:cNvPr>
                    <pic:cNvPicPr>
                      <a:picLocks noChangeAspect="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2783336" cy="3566192"/>
                    </a:xfrm>
                    <a:prstGeom prst="rect">
                      <a:avLst/>
                    </a:prstGeom>
                    <a:ln>
                      <a:noFill/>
                    </a:ln>
                    <a:extLst>
                      <a:ext uri="{53640926-AAD7-44D8-BBD7-CCE9431645EC}">
                        <a14:shadowObscured xmlns:a14="http://schemas.microsoft.com/office/drawing/2010/main"/>
                      </a:ext>
                    </a:extLst>
                  </pic:spPr>
                </pic:pic>
              </a:graphicData>
            </a:graphic>
          </wp:inline>
        </w:drawing>
      </w:r>
    </w:p>
    <w:p w14:paraId="70CBABE5" w14:textId="34D26748" w:rsidR="004379FD" w:rsidRDefault="004379FD" w:rsidP="004379FD">
      <w:pPr>
        <w:pStyle w:val="SHCaption"/>
        <w:rPr>
          <w:color w:val="000000" w:themeColor="text1"/>
        </w:rPr>
      </w:pPr>
      <w:bookmarkStart w:id="79" w:name="_Ref41905621"/>
      <w:bookmarkStart w:id="80" w:name="_Toc52433897"/>
      <w:r w:rsidRPr="004C2299">
        <w:rPr>
          <w:b/>
          <w:color w:val="000000" w:themeColor="text1"/>
        </w:rPr>
        <w:t xml:space="preserve">Figure </w:t>
      </w:r>
      <w:r w:rsidR="00AD6D18">
        <w:rPr>
          <w:b/>
          <w:noProof/>
          <w:color w:val="000000" w:themeColor="text1"/>
        </w:rPr>
        <w:t>9</w:t>
      </w:r>
      <w:r w:rsidRPr="004C2299">
        <w:rPr>
          <w:b/>
          <w:color w:val="000000" w:themeColor="text1"/>
        </w:rPr>
        <w:t>.</w:t>
      </w:r>
      <w:r w:rsidRPr="004C2299">
        <w:rPr>
          <w:b/>
          <w:noProof/>
          <w:color w:val="000000" w:themeColor="text1"/>
        </w:rPr>
        <w:fldChar w:fldCharType="begin"/>
      </w:r>
      <w:r w:rsidRPr="004C2299">
        <w:rPr>
          <w:b/>
          <w:noProof/>
          <w:color w:val="000000" w:themeColor="text1"/>
        </w:rPr>
        <w:instrText xml:space="preserve"> SEQ Figure \* ARABIC \s 1 </w:instrText>
      </w:r>
      <w:r w:rsidRPr="004C2299">
        <w:rPr>
          <w:b/>
          <w:noProof/>
          <w:color w:val="000000" w:themeColor="text1"/>
        </w:rPr>
        <w:fldChar w:fldCharType="separate"/>
      </w:r>
      <w:r w:rsidR="000A6D80">
        <w:rPr>
          <w:b/>
          <w:noProof/>
          <w:color w:val="000000" w:themeColor="text1"/>
        </w:rPr>
        <w:t>13</w:t>
      </w:r>
      <w:r w:rsidRPr="004C2299">
        <w:rPr>
          <w:b/>
          <w:noProof/>
          <w:color w:val="000000" w:themeColor="text1"/>
        </w:rPr>
        <w:fldChar w:fldCharType="end"/>
      </w:r>
      <w:bookmarkEnd w:id="79"/>
      <w:r>
        <w:rPr>
          <w:color w:val="000000" w:themeColor="text1"/>
        </w:rPr>
        <w:t xml:space="preserve"> Location of b</w:t>
      </w:r>
      <w:r w:rsidRPr="004C2299">
        <w:rPr>
          <w:color w:val="000000" w:themeColor="text1"/>
        </w:rPr>
        <w:t>anks</w:t>
      </w:r>
      <w:r>
        <w:rPr>
          <w:color w:val="000000" w:themeColor="text1"/>
        </w:rPr>
        <w:t xml:space="preserve"> of interest within the Edward/Kolety River </w:t>
      </w:r>
      <w:r w:rsidRPr="004C2299">
        <w:rPr>
          <w:color w:val="000000" w:themeColor="text1"/>
        </w:rPr>
        <w:t xml:space="preserve">downstream </w:t>
      </w:r>
      <w:r>
        <w:rPr>
          <w:color w:val="000000" w:themeColor="text1"/>
        </w:rPr>
        <w:t>of Stevens Weir</w:t>
      </w:r>
      <w:r w:rsidRPr="004C2299">
        <w:rPr>
          <w:color w:val="000000" w:themeColor="text1"/>
        </w:rPr>
        <w:t>.</w:t>
      </w:r>
      <w:bookmarkEnd w:id="80"/>
    </w:p>
    <w:p w14:paraId="508E6A2D" w14:textId="77777777" w:rsidR="004379FD" w:rsidRPr="00511B98" w:rsidRDefault="004379FD" w:rsidP="004379FD">
      <w:pPr>
        <w:pStyle w:val="SNormalText"/>
        <w:spacing w:line="259" w:lineRule="auto"/>
        <w:ind w:right="305"/>
        <w:rPr>
          <w:b/>
          <w:bCs/>
        </w:rPr>
      </w:pPr>
      <w:r w:rsidRPr="00185CBB">
        <w:rPr>
          <w:b/>
          <w:bCs/>
        </w:rPr>
        <w:t>Visit 1 – Visit 2 (</w:t>
      </w:r>
      <w:r>
        <w:rPr>
          <w:b/>
          <w:bCs/>
        </w:rPr>
        <w:t>SCF</w:t>
      </w:r>
      <w:r w:rsidRPr="00185CBB">
        <w:rPr>
          <w:b/>
          <w:bCs/>
        </w:rPr>
        <w:t xml:space="preserve"> events)</w:t>
      </w:r>
    </w:p>
    <w:p w14:paraId="028C0F1A" w14:textId="77777777" w:rsidR="004379FD" w:rsidRPr="00185CBB" w:rsidRDefault="004379FD" w:rsidP="000B3BA9">
      <w:pPr>
        <w:spacing w:after="120" w:line="259" w:lineRule="auto"/>
        <w:ind w:right="306"/>
        <w:rPr>
          <w:rFonts w:asciiTheme="minorHAnsi" w:eastAsia="Times New Roman" w:hAnsiTheme="minorHAnsi" w:cstheme="minorHAnsi"/>
          <w:color w:val="000000"/>
          <w:lang w:eastAsia="en-AU"/>
        </w:rPr>
      </w:pPr>
      <w:r>
        <w:rPr>
          <w:rFonts w:asciiTheme="minorHAnsi" w:eastAsia="Times New Roman" w:hAnsiTheme="minorHAnsi" w:cstheme="minorHAnsi"/>
          <w:bCs/>
          <w:color w:val="000000"/>
          <w:lang w:eastAsia="en-AU"/>
        </w:rPr>
        <w:t>We predicted that the</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SCF</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with</w:t>
      </w:r>
      <w:r w:rsidRPr="00185CBB">
        <w:rPr>
          <w:rFonts w:asciiTheme="minorHAnsi" w:eastAsia="Times New Roman" w:hAnsiTheme="minorHAnsi" w:cstheme="minorHAnsi"/>
          <w:color w:val="000000"/>
          <w:lang w:eastAsia="en-AU"/>
        </w:rPr>
        <w:t xml:space="preserve"> an extended period of max flow (17 days above 3,500 </w:t>
      </w:r>
      <w:r>
        <w:rPr>
          <w:rFonts w:asciiTheme="minorHAnsi" w:eastAsia="Times New Roman" w:hAnsiTheme="minorHAnsi" w:cstheme="minorHAnsi"/>
          <w:color w:val="000000"/>
          <w:lang w:eastAsia="en-AU"/>
        </w:rPr>
        <w:t>ML/day</w:t>
      </w:r>
      <w:r w:rsidRPr="00185CBB">
        <w:rPr>
          <w:rFonts w:asciiTheme="minorHAnsi" w:eastAsia="Times New Roman" w:hAnsiTheme="minorHAnsi" w:cstheme="minorHAnsi"/>
          <w:color w:val="000000"/>
          <w:lang w:eastAsia="en-AU"/>
        </w:rPr>
        <w:t xml:space="preserve">) and a medium paced falling limb (&lt;14 days from &gt;3,500 to 2,500 </w:t>
      </w:r>
      <w:r>
        <w:rPr>
          <w:rFonts w:asciiTheme="minorHAnsi" w:eastAsia="Times New Roman" w:hAnsiTheme="minorHAnsi" w:cstheme="minorHAnsi"/>
          <w:color w:val="000000"/>
          <w:lang w:eastAsia="en-AU"/>
        </w:rPr>
        <w:t>ML/day</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 xml:space="preserve">(Figure 9.14) </w:t>
      </w:r>
      <w:r w:rsidRPr="00185CBB">
        <w:rPr>
          <w:rFonts w:asciiTheme="minorHAnsi" w:eastAsia="Times New Roman" w:hAnsiTheme="minorHAnsi" w:cstheme="minorHAnsi"/>
          <w:color w:val="000000"/>
          <w:lang w:eastAsia="en-AU"/>
        </w:rPr>
        <w:t>would le</w:t>
      </w:r>
      <w:r>
        <w:rPr>
          <w:rFonts w:asciiTheme="minorHAnsi" w:eastAsia="Times New Roman" w:hAnsiTheme="minorHAnsi" w:cstheme="minorHAnsi"/>
          <w:color w:val="000000"/>
          <w:lang w:eastAsia="en-AU"/>
        </w:rPr>
        <w:t xml:space="preserve">ad to erosion high on the bank, </w:t>
      </w:r>
      <w:r w:rsidRPr="00185CBB">
        <w:rPr>
          <w:rFonts w:asciiTheme="minorHAnsi" w:eastAsia="Times New Roman" w:hAnsiTheme="minorHAnsi" w:cstheme="minorHAnsi"/>
          <w:color w:val="000000"/>
          <w:lang w:eastAsia="en-AU"/>
        </w:rPr>
        <w:t>in</w:t>
      </w:r>
      <w:r>
        <w:rPr>
          <w:rFonts w:asciiTheme="minorHAnsi" w:eastAsia="Times New Roman" w:hAnsiTheme="minorHAnsi" w:cstheme="minorHAnsi"/>
          <w:color w:val="000000"/>
          <w:lang w:eastAsia="en-AU"/>
        </w:rPr>
        <w:t xml:space="preserve"> the</w:t>
      </w:r>
      <w:r w:rsidRPr="00185CBB">
        <w:rPr>
          <w:rFonts w:asciiTheme="minorHAnsi" w:eastAsia="Times New Roman" w:hAnsiTheme="minorHAnsi" w:cstheme="minorHAnsi"/>
          <w:color w:val="000000"/>
          <w:lang w:eastAsia="en-AU"/>
        </w:rPr>
        <w:t xml:space="preserve"> zone relating to 3,000-3,500 </w:t>
      </w:r>
      <w:r>
        <w:rPr>
          <w:rFonts w:asciiTheme="minorHAnsi" w:eastAsia="Times New Roman" w:hAnsiTheme="minorHAnsi" w:cstheme="minorHAnsi"/>
          <w:color w:val="000000"/>
          <w:lang w:eastAsia="en-AU"/>
        </w:rPr>
        <w:t xml:space="preserve">ML/day, and some deposition </w:t>
      </w:r>
      <w:r w:rsidRPr="00185CBB">
        <w:rPr>
          <w:rFonts w:asciiTheme="minorHAnsi" w:eastAsia="Times New Roman" w:hAnsiTheme="minorHAnsi" w:cstheme="minorHAnsi"/>
          <w:color w:val="000000"/>
          <w:lang w:eastAsia="en-AU"/>
        </w:rPr>
        <w:t>in a</w:t>
      </w:r>
      <w:r>
        <w:rPr>
          <w:rFonts w:asciiTheme="minorHAnsi" w:eastAsia="Times New Roman" w:hAnsiTheme="minorHAnsi" w:cstheme="minorHAnsi"/>
          <w:color w:val="000000"/>
          <w:lang w:eastAsia="en-AU"/>
        </w:rPr>
        <w:t>reas below points major erosion</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We also predicted that the e</w:t>
      </w:r>
      <w:r w:rsidRPr="00185CBB">
        <w:rPr>
          <w:rFonts w:asciiTheme="minorHAnsi" w:eastAsia="Times New Roman" w:hAnsiTheme="minorHAnsi" w:cstheme="minorHAnsi"/>
          <w:color w:val="000000"/>
          <w:lang w:eastAsia="en-AU"/>
        </w:rPr>
        <w:t xml:space="preserve">vent would result in significantly less erosion than the </w:t>
      </w:r>
      <w:r>
        <w:rPr>
          <w:rFonts w:asciiTheme="minorHAnsi" w:eastAsia="Times New Roman" w:hAnsiTheme="minorHAnsi" w:cstheme="minorHAnsi"/>
          <w:color w:val="000000"/>
          <w:lang w:eastAsia="en-AU"/>
        </w:rPr>
        <w:t>operational</w:t>
      </w:r>
      <w:r w:rsidRPr="00185CBB">
        <w:rPr>
          <w:rFonts w:asciiTheme="minorHAnsi" w:eastAsia="Times New Roman" w:hAnsiTheme="minorHAnsi" w:cstheme="minorHAnsi"/>
          <w:color w:val="000000"/>
          <w:lang w:eastAsia="en-AU"/>
        </w:rPr>
        <w:t xml:space="preserve"> flow, and more erosion than the unregulated flow event (</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3-</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4).</w:t>
      </w:r>
    </w:p>
    <w:p w14:paraId="522C0840" w14:textId="77777777" w:rsidR="004379FD" w:rsidRPr="00185CBB" w:rsidRDefault="004379FD" w:rsidP="004379FD">
      <w:pPr>
        <w:pStyle w:val="BodyText1"/>
        <w:spacing w:after="0" w:line="240" w:lineRule="auto"/>
      </w:pPr>
      <w:r>
        <w:rPr>
          <w:noProof/>
          <w:lang w:eastAsia="en-AU" w:bidi="ar-SA"/>
        </w:rPr>
        <w:drawing>
          <wp:inline distT="0" distB="0" distL="0" distR="0" wp14:anchorId="399DF20D" wp14:editId="7B5BA70C">
            <wp:extent cx="5828810" cy="190800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828810" cy="1908000"/>
                    </a:xfrm>
                    <a:prstGeom prst="rect">
                      <a:avLst/>
                    </a:prstGeom>
                    <a:noFill/>
                  </pic:spPr>
                </pic:pic>
              </a:graphicData>
            </a:graphic>
          </wp:inline>
        </w:drawing>
      </w:r>
    </w:p>
    <w:p w14:paraId="7E4554BE" w14:textId="5DA80364" w:rsidR="004379FD" w:rsidRPr="00511B98" w:rsidRDefault="004379FD" w:rsidP="004379FD">
      <w:pPr>
        <w:pStyle w:val="SHCaption"/>
      </w:pPr>
      <w:bookmarkStart w:id="81" w:name="_Ref49075128"/>
      <w:bookmarkStart w:id="82" w:name="_Ref49075101"/>
      <w:bookmarkStart w:id="83" w:name="_Toc52433900"/>
      <w:r w:rsidRPr="005C47E2">
        <w:rPr>
          <w:b/>
          <w:color w:val="000000" w:themeColor="text1"/>
        </w:rPr>
        <w:t xml:space="preserve">Figure </w:t>
      </w:r>
      <w:r w:rsidR="00AD6D18">
        <w:rPr>
          <w:b/>
          <w:noProof/>
          <w:color w:val="000000" w:themeColor="text1"/>
        </w:rPr>
        <w:t>9</w:t>
      </w:r>
      <w:r w:rsidRPr="005C47E2">
        <w:rPr>
          <w:b/>
          <w:color w:val="000000" w:themeColor="text1"/>
        </w:rPr>
        <w:t>.</w:t>
      </w:r>
      <w:bookmarkEnd w:id="81"/>
      <w:r>
        <w:rPr>
          <w:b/>
          <w:noProof/>
          <w:color w:val="000000" w:themeColor="text1"/>
        </w:rPr>
        <w:t>14</w:t>
      </w:r>
      <w:r w:rsidRPr="005C47E2">
        <w:rPr>
          <w:color w:val="000000" w:themeColor="text1"/>
        </w:rPr>
        <w:t xml:space="preserve"> Hydrology detailed between </w:t>
      </w:r>
      <w:r>
        <w:rPr>
          <w:color w:val="000000" w:themeColor="text1"/>
        </w:rPr>
        <w:t>visit 1 and 2</w:t>
      </w:r>
      <w:r w:rsidRPr="005C47E2">
        <w:rPr>
          <w:color w:val="000000" w:themeColor="text1"/>
        </w:rPr>
        <w:t xml:space="preserve"> (</w:t>
      </w:r>
      <w:r>
        <w:rPr>
          <w:color w:val="000000" w:themeColor="text1"/>
        </w:rPr>
        <w:t>SCF</w:t>
      </w:r>
      <w:r w:rsidRPr="005C47E2">
        <w:rPr>
          <w:color w:val="000000" w:themeColor="text1"/>
        </w:rPr>
        <w:t xml:space="preserve"> events). Histogram and hydrograph</w:t>
      </w:r>
      <w:r w:rsidRPr="00511B98">
        <w:t>.</w:t>
      </w:r>
      <w:bookmarkEnd w:id="82"/>
      <w:bookmarkEnd w:id="83"/>
    </w:p>
    <w:p w14:paraId="44D0F788" w14:textId="1966EF59" w:rsidR="004379FD" w:rsidRPr="00B4421C" w:rsidRDefault="004379FD" w:rsidP="004379FD">
      <w:pPr>
        <w:spacing w:line="259" w:lineRule="auto"/>
        <w:ind w:right="276"/>
        <w:rPr>
          <w:rFonts w:asciiTheme="minorHAnsi" w:eastAsia="Times New Roman" w:hAnsiTheme="minorHAnsi" w:cstheme="minorHAnsi"/>
          <w:color w:val="000000"/>
          <w:lang w:eastAsia="en-AU"/>
        </w:rPr>
      </w:pPr>
      <w:r w:rsidRPr="00704FA0">
        <w:rPr>
          <w:rFonts w:asciiTheme="minorHAnsi" w:eastAsia="Times New Roman" w:hAnsiTheme="minorHAnsi" w:cstheme="minorHAnsi"/>
          <w:bCs/>
          <w:color w:val="000000"/>
          <w:lang w:eastAsia="en-AU"/>
        </w:rPr>
        <w:t>T</w:t>
      </w:r>
      <w:r w:rsidRPr="00185CBB">
        <w:rPr>
          <w:rFonts w:asciiTheme="minorHAnsi" w:eastAsia="Times New Roman" w:hAnsiTheme="minorHAnsi" w:cstheme="minorHAnsi"/>
          <w:color w:val="000000"/>
          <w:lang w:eastAsia="en-AU"/>
        </w:rPr>
        <w:t>he highest volume of erosion (1.82cm</w:t>
      </w:r>
      <w:r w:rsidRPr="00185CBB">
        <w:rPr>
          <w:rFonts w:asciiTheme="minorHAnsi" w:eastAsia="Times New Roman" w:hAnsiTheme="minorHAnsi" w:cstheme="minorHAnsi"/>
          <w:color w:val="000000"/>
          <w:vertAlign w:val="superscript"/>
          <w:lang w:eastAsia="en-AU"/>
        </w:rPr>
        <w:t>3</w:t>
      </w:r>
      <w:r w:rsidRPr="00185CBB">
        <w:rPr>
          <w:rFonts w:asciiTheme="minorHAnsi" w:eastAsia="Times New Roman" w:hAnsiTheme="minorHAnsi" w:cstheme="minorHAnsi"/>
          <w:color w:val="000000"/>
          <w:lang w:eastAsia="en-AU"/>
        </w:rPr>
        <w:t>/m</w:t>
      </w:r>
      <w:r w:rsidRPr="00185CBB">
        <w:rPr>
          <w:rFonts w:asciiTheme="minorHAnsi" w:eastAsia="Times New Roman" w:hAnsiTheme="minorHAnsi" w:cstheme="minorHAnsi"/>
          <w:color w:val="000000"/>
          <w:vertAlign w:val="superscript"/>
          <w:lang w:eastAsia="en-AU"/>
        </w:rPr>
        <w:t>2</w:t>
      </w:r>
      <w:r w:rsidRPr="00185CBB">
        <w:rPr>
          <w:rFonts w:asciiTheme="minorHAnsi" w:eastAsia="Times New Roman" w:hAnsiTheme="minorHAnsi" w:cstheme="minorHAnsi"/>
          <w:color w:val="000000"/>
          <w:lang w:eastAsia="en-AU"/>
        </w:rPr>
        <w:t>) and deposition (1.2cm</w:t>
      </w:r>
      <w:r w:rsidRPr="00185CBB">
        <w:rPr>
          <w:rFonts w:asciiTheme="minorHAnsi" w:eastAsia="Times New Roman" w:hAnsiTheme="minorHAnsi" w:cstheme="minorHAnsi"/>
          <w:color w:val="000000"/>
          <w:vertAlign w:val="superscript"/>
          <w:lang w:eastAsia="en-AU"/>
        </w:rPr>
        <w:t>3</w:t>
      </w:r>
      <w:r w:rsidRPr="00185CBB">
        <w:rPr>
          <w:rFonts w:asciiTheme="minorHAnsi" w:eastAsia="Times New Roman" w:hAnsiTheme="minorHAnsi" w:cstheme="minorHAnsi"/>
          <w:color w:val="000000"/>
          <w:lang w:eastAsia="en-AU"/>
        </w:rPr>
        <w:t>/m</w:t>
      </w:r>
      <w:r w:rsidRPr="00185CBB">
        <w:rPr>
          <w:rFonts w:asciiTheme="minorHAnsi" w:eastAsia="Times New Roman" w:hAnsiTheme="minorHAnsi" w:cstheme="minorHAnsi"/>
          <w:color w:val="000000"/>
          <w:vertAlign w:val="superscript"/>
          <w:lang w:eastAsia="en-AU"/>
        </w:rPr>
        <w:t>2</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 xml:space="preserve">occurred between v1 and v2 </w:t>
      </w:r>
      <w:r w:rsidRPr="00185CBB">
        <w:rPr>
          <w:rFonts w:asciiTheme="minorHAnsi" w:eastAsia="Times New Roman" w:hAnsiTheme="minorHAnsi" w:cstheme="minorHAnsi"/>
          <w:color w:val="000000"/>
          <w:lang w:eastAsia="en-AU"/>
        </w:rPr>
        <w:t xml:space="preserve">compared to </w:t>
      </w:r>
      <w:r>
        <w:rPr>
          <w:rFonts w:asciiTheme="minorHAnsi" w:eastAsia="Times New Roman" w:hAnsiTheme="minorHAnsi" w:cstheme="minorHAnsi"/>
          <w:color w:val="000000"/>
          <w:lang w:eastAsia="en-AU"/>
        </w:rPr>
        <w:t>operational</w:t>
      </w:r>
      <w:r w:rsidRPr="00185CBB">
        <w:rPr>
          <w:rFonts w:asciiTheme="minorHAnsi" w:eastAsia="Times New Roman" w:hAnsiTheme="minorHAnsi" w:cstheme="minorHAnsi"/>
          <w:color w:val="000000"/>
          <w:lang w:eastAsia="en-AU"/>
        </w:rPr>
        <w:t xml:space="preserve"> flows (</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2-</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3) and unregulated flows (</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3-</w:t>
      </w:r>
      <w:r>
        <w:rPr>
          <w:rFonts w:asciiTheme="minorHAnsi" w:eastAsia="Times New Roman" w:hAnsiTheme="minorHAnsi" w:cstheme="minorHAnsi"/>
          <w:color w:val="000000"/>
          <w:lang w:eastAsia="en-AU"/>
        </w:rPr>
        <w:t>v</w:t>
      </w:r>
      <w:r w:rsidRPr="00185CBB">
        <w:rPr>
          <w:rFonts w:asciiTheme="minorHAnsi" w:eastAsia="Times New Roman" w:hAnsiTheme="minorHAnsi" w:cstheme="minorHAnsi"/>
          <w:color w:val="000000"/>
          <w:lang w:eastAsia="en-AU"/>
        </w:rPr>
        <w:t xml:space="preserve">4) </w:t>
      </w:r>
      <w:r>
        <w:rPr>
          <w:rFonts w:asciiTheme="minorHAnsi" w:eastAsia="Times New Roman" w:hAnsiTheme="minorHAnsi" w:cstheme="minorHAnsi"/>
          <w:color w:val="000000"/>
          <w:lang w:eastAsia="en-AU"/>
        </w:rPr>
        <w:t xml:space="preserve">equating to net erosion </w:t>
      </w:r>
      <w:r w:rsidRPr="00185CBB">
        <w:rPr>
          <w:rFonts w:asciiTheme="minorHAnsi" w:eastAsia="Times New Roman" w:hAnsiTheme="minorHAnsi" w:cstheme="minorHAnsi"/>
          <w:color w:val="000000"/>
          <w:lang w:eastAsia="en-AU"/>
        </w:rPr>
        <w:t>-0.62cm</w:t>
      </w:r>
      <w:r w:rsidRPr="00185CBB">
        <w:rPr>
          <w:rFonts w:asciiTheme="minorHAnsi" w:eastAsia="Times New Roman" w:hAnsiTheme="minorHAnsi" w:cstheme="minorHAnsi"/>
          <w:color w:val="000000"/>
          <w:vertAlign w:val="superscript"/>
          <w:lang w:eastAsia="en-AU"/>
        </w:rPr>
        <w:t>3</w:t>
      </w:r>
      <w:r w:rsidRPr="00185CBB">
        <w:rPr>
          <w:rFonts w:asciiTheme="minorHAnsi" w:eastAsia="Times New Roman" w:hAnsiTheme="minorHAnsi" w:cstheme="minorHAnsi"/>
          <w:color w:val="000000"/>
          <w:lang w:eastAsia="en-AU"/>
        </w:rPr>
        <w:t>/m</w:t>
      </w:r>
      <w:r w:rsidRPr="00185CBB">
        <w:rPr>
          <w:rFonts w:asciiTheme="minorHAnsi" w:eastAsia="Times New Roman" w:hAnsiTheme="minorHAnsi" w:cstheme="minorHAnsi"/>
          <w:color w:val="000000"/>
          <w:vertAlign w:val="superscript"/>
          <w:lang w:eastAsia="en-AU"/>
        </w:rPr>
        <w:t>2</w:t>
      </w:r>
      <w:r w:rsidRPr="00185CBB">
        <w:rPr>
          <w:rFonts w:asciiTheme="minorHAnsi" w:eastAsia="Times New Roman" w:hAnsiTheme="minorHAnsi" w:cstheme="minorHAnsi"/>
          <w:color w:val="000000"/>
          <w:lang w:eastAsia="en-AU"/>
        </w:rPr>
        <w:t xml:space="preserve">. Erosion is expressed primarily on the right bank half and above the existing notch in small and larger patches which correlate directly with the </w:t>
      </w:r>
      <w:r>
        <w:rPr>
          <w:rFonts w:asciiTheme="minorHAnsi" w:eastAsia="Times New Roman" w:hAnsiTheme="minorHAnsi" w:cstheme="minorHAnsi"/>
          <w:color w:val="000000"/>
          <w:lang w:eastAsia="en-AU"/>
        </w:rPr>
        <w:t>SCF</w:t>
      </w:r>
      <w:r w:rsidRPr="00185CBB">
        <w:rPr>
          <w:rFonts w:asciiTheme="minorHAnsi" w:eastAsia="Times New Roman" w:hAnsiTheme="minorHAnsi" w:cstheme="minorHAnsi"/>
          <w:color w:val="000000"/>
          <w:lang w:eastAsia="en-AU"/>
        </w:rPr>
        <w:t xml:space="preserve"> peak flow bank zone (3,000-3,500 </w:t>
      </w:r>
      <w:r>
        <w:rPr>
          <w:rFonts w:asciiTheme="minorHAnsi" w:eastAsia="Times New Roman" w:hAnsiTheme="minorHAnsi" w:cstheme="minorHAnsi"/>
          <w:color w:val="000000"/>
          <w:lang w:eastAsia="en-AU"/>
        </w:rPr>
        <w:t>ML/day</w:t>
      </w:r>
      <w:r w:rsidRPr="00185CBB">
        <w:rPr>
          <w:rFonts w:asciiTheme="minorHAnsi" w:eastAsia="Times New Roman" w:hAnsiTheme="minorHAnsi" w:cstheme="minorHAnsi"/>
          <w:color w:val="000000"/>
          <w:lang w:eastAsia="en-AU"/>
        </w:rPr>
        <w:t>). Larger patches of deep (+20cm) erosion appear to be a result of mass-failure</w:t>
      </w:r>
      <w:r>
        <w:rPr>
          <w:rFonts w:asciiTheme="minorHAnsi" w:eastAsia="Times New Roman" w:hAnsiTheme="minorHAnsi" w:cstheme="minorHAnsi"/>
          <w:color w:val="000000"/>
          <w:lang w:eastAsia="en-AU"/>
        </w:rPr>
        <w:t xml:space="preserve"> (slumping)</w:t>
      </w:r>
      <w:r w:rsidRPr="00185CBB">
        <w:rPr>
          <w:rFonts w:asciiTheme="minorHAnsi" w:eastAsia="Times New Roman" w:hAnsiTheme="minorHAnsi" w:cstheme="minorHAnsi"/>
          <w:color w:val="000000"/>
          <w:lang w:eastAsia="en-AU"/>
        </w:rPr>
        <w:t>. Beneath these are</w:t>
      </w:r>
      <w:r>
        <w:rPr>
          <w:rFonts w:asciiTheme="minorHAnsi" w:eastAsia="Times New Roman" w:hAnsiTheme="minorHAnsi" w:cstheme="minorHAnsi"/>
          <w:color w:val="000000"/>
          <w:lang w:eastAsia="en-AU"/>
        </w:rPr>
        <w:t xml:space="preserve">as of mass-failure </w:t>
      </w:r>
      <w:r w:rsidRPr="00185CBB">
        <w:rPr>
          <w:rFonts w:asciiTheme="minorHAnsi" w:eastAsia="Times New Roman" w:hAnsiTheme="minorHAnsi" w:cstheme="minorHAnsi"/>
          <w:color w:val="000000"/>
          <w:lang w:eastAsia="en-AU"/>
        </w:rPr>
        <w:t>can be found the major areas of deposition (</w:t>
      </w:r>
      <w:r w:rsidRPr="00185CBB">
        <w:rPr>
          <w:rFonts w:asciiTheme="minorHAnsi" w:eastAsia="Times New Roman" w:hAnsiTheme="minorHAnsi" w:cstheme="minorHAnsi"/>
          <w:color w:val="000000"/>
          <w:lang w:eastAsia="en-AU"/>
        </w:rPr>
        <w:fldChar w:fldCharType="begin"/>
      </w:r>
      <w:r w:rsidRPr="00185CBB">
        <w:rPr>
          <w:rFonts w:asciiTheme="minorHAnsi" w:eastAsia="Times New Roman" w:hAnsiTheme="minorHAnsi" w:cstheme="minorHAnsi"/>
          <w:color w:val="000000"/>
          <w:lang w:eastAsia="en-AU"/>
        </w:rPr>
        <w:instrText xml:space="preserve"> REF _Ref52364414 \h  \* MERGEFORMAT </w:instrText>
      </w:r>
      <w:r w:rsidRPr="00185CBB">
        <w:rPr>
          <w:rFonts w:asciiTheme="minorHAnsi" w:eastAsia="Times New Roman" w:hAnsiTheme="minorHAnsi" w:cstheme="minorHAnsi"/>
          <w:color w:val="000000"/>
          <w:lang w:eastAsia="en-AU"/>
        </w:rPr>
      </w:r>
      <w:r w:rsidRPr="00185CBB">
        <w:rPr>
          <w:rFonts w:asciiTheme="minorHAnsi" w:eastAsia="Times New Roman" w:hAnsiTheme="minorHAnsi" w:cstheme="minorHAnsi"/>
          <w:color w:val="000000"/>
          <w:lang w:eastAsia="en-AU"/>
        </w:rPr>
        <w:fldChar w:fldCharType="separate"/>
      </w:r>
      <w:r w:rsidR="000A6D80" w:rsidRPr="000A6D80">
        <w:rPr>
          <w:rFonts w:asciiTheme="minorHAnsi" w:hAnsiTheme="minorHAnsi" w:cstheme="minorHAnsi"/>
        </w:rPr>
        <w:t xml:space="preserve">Figure </w:t>
      </w:r>
      <w:r w:rsidR="000A6D80" w:rsidRPr="000A6D80">
        <w:rPr>
          <w:rFonts w:asciiTheme="minorHAnsi" w:hAnsiTheme="minorHAnsi" w:cstheme="minorHAnsi"/>
          <w:noProof/>
        </w:rPr>
        <w:t>9.</w:t>
      </w:r>
      <w:r w:rsidRPr="00185CBB">
        <w:rPr>
          <w:rFonts w:asciiTheme="minorHAnsi" w:eastAsia="Times New Roman" w:hAnsiTheme="minorHAnsi" w:cstheme="minorHAnsi"/>
          <w:color w:val="000000"/>
          <w:lang w:eastAsia="en-AU"/>
        </w:rPr>
        <w:fldChar w:fldCharType="end"/>
      </w:r>
      <w:r>
        <w:rPr>
          <w:rFonts w:asciiTheme="minorHAnsi" w:eastAsia="Times New Roman" w:hAnsiTheme="minorHAnsi" w:cstheme="minorHAnsi"/>
          <w:color w:val="000000"/>
          <w:lang w:eastAsia="en-AU"/>
        </w:rPr>
        <w:t>15</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and</w:t>
      </w:r>
      <w:r w:rsidRPr="00185CBB">
        <w:rPr>
          <w:rFonts w:asciiTheme="minorHAnsi" w:eastAsia="Times New Roman" w:hAnsiTheme="minorHAnsi" w:cstheme="minorHAnsi"/>
          <w:color w:val="000000"/>
          <w:lang w:eastAsia="en-AU"/>
        </w:rPr>
        <w:t xml:space="preserve"> </w:t>
      </w:r>
      <w:r>
        <w:rPr>
          <w:rFonts w:asciiTheme="minorHAnsi" w:eastAsia="Times New Roman" w:hAnsiTheme="minorHAnsi" w:cstheme="minorHAnsi"/>
          <w:color w:val="000000"/>
          <w:lang w:eastAsia="en-AU"/>
        </w:rPr>
        <w:t>9.16</w:t>
      </w:r>
      <w:r w:rsidRPr="00185CBB">
        <w:rPr>
          <w:rFonts w:asciiTheme="minorHAnsi" w:eastAsia="Times New Roman" w:hAnsiTheme="minorHAnsi" w:cstheme="minorHAnsi"/>
          <w:color w:val="000000"/>
          <w:lang w:eastAsia="en-AU"/>
        </w:rPr>
        <w:t>).</w:t>
      </w:r>
      <w:r>
        <w:rPr>
          <w:rFonts w:asciiTheme="minorHAnsi" w:eastAsia="Times New Roman" w:hAnsiTheme="minorHAnsi" w:cstheme="minorHAnsi"/>
          <w:b/>
          <w:bCs/>
          <w:color w:val="000000"/>
          <w:lang w:eastAsia="en-AU"/>
        </w:rPr>
        <w:t xml:space="preserve"> I</w:t>
      </w:r>
      <w:r w:rsidRPr="00185CBB">
        <w:rPr>
          <w:rFonts w:asciiTheme="minorHAnsi" w:eastAsia="Times New Roman" w:hAnsiTheme="minorHAnsi" w:cstheme="minorHAnsi"/>
          <w:color w:val="000000"/>
          <w:lang w:eastAsia="en-AU"/>
        </w:rPr>
        <w:t>t is likely that the notch would have reset/reduced in areas beneath the mass-failure events and the bank re-profiled as a result. Accordingly, there is an opportunity in these areas for the bank to gain more stability with an intact toe,</w:t>
      </w:r>
      <w:r>
        <w:rPr>
          <w:rFonts w:asciiTheme="minorHAnsi" w:eastAsia="Times New Roman" w:hAnsiTheme="minorHAnsi" w:cstheme="minorHAnsi"/>
          <w:color w:val="000000"/>
          <w:lang w:eastAsia="en-AU"/>
        </w:rPr>
        <w:t xml:space="preserve"> however, this dependant on subsequent </w:t>
      </w:r>
      <w:r w:rsidRPr="00185CBB">
        <w:rPr>
          <w:rFonts w:asciiTheme="minorHAnsi" w:eastAsia="Times New Roman" w:hAnsiTheme="minorHAnsi" w:cstheme="minorHAnsi"/>
          <w:color w:val="000000"/>
          <w:lang w:eastAsia="en-AU"/>
        </w:rPr>
        <w:t>flow events.</w:t>
      </w:r>
    </w:p>
    <w:p w14:paraId="7C40A197" w14:textId="1AD4D9DC" w:rsidR="004379FD" w:rsidRPr="005C47E2" w:rsidRDefault="004379FD" w:rsidP="004379FD">
      <w:pPr>
        <w:pStyle w:val="SHCaption"/>
        <w:spacing w:after="120"/>
        <w:rPr>
          <w:color w:val="000000" w:themeColor="text1"/>
        </w:rPr>
      </w:pPr>
      <w:r w:rsidRPr="00685C45">
        <w:rPr>
          <w:b/>
          <w:color w:val="000000" w:themeColor="text1"/>
        </w:rPr>
        <w:t xml:space="preserve">Table </w:t>
      </w:r>
      <w:r w:rsidR="00AD6D18">
        <w:rPr>
          <w:b/>
          <w:noProof/>
          <w:color w:val="000000" w:themeColor="text1"/>
        </w:rPr>
        <w:t>9</w:t>
      </w:r>
      <w:r w:rsidRPr="00685C45">
        <w:rPr>
          <w:b/>
          <w:color w:val="000000" w:themeColor="text1"/>
        </w:rPr>
        <w:t>.</w:t>
      </w:r>
      <w:r w:rsidRPr="00685C45">
        <w:rPr>
          <w:b/>
          <w:noProof/>
          <w:color w:val="000000" w:themeColor="text1"/>
        </w:rPr>
        <w:t>2</w:t>
      </w:r>
      <w:r>
        <w:rPr>
          <w:color w:val="000000" w:themeColor="text1"/>
        </w:rPr>
        <w:t xml:space="preserve"> </w:t>
      </w:r>
      <w:r w:rsidRPr="005C47E2">
        <w:rPr>
          <w:color w:val="000000" w:themeColor="text1"/>
        </w:rPr>
        <w:t>Volume change output from Edward</w:t>
      </w:r>
      <w:r>
        <w:rPr>
          <w:color w:val="000000" w:themeColor="text1"/>
        </w:rPr>
        <w:t>/Kolety</w:t>
      </w:r>
      <w:r w:rsidRPr="005C47E2">
        <w:rPr>
          <w:color w:val="000000" w:themeColor="text1"/>
        </w:rPr>
        <w:t xml:space="preserve"> River DS Site </w:t>
      </w:r>
      <w:r>
        <w:rPr>
          <w:color w:val="000000" w:themeColor="text1"/>
        </w:rPr>
        <w:t>v</w:t>
      </w:r>
      <w:r w:rsidRPr="005C47E2">
        <w:rPr>
          <w:color w:val="000000" w:themeColor="text1"/>
        </w:rPr>
        <w:t xml:space="preserve">1 to </w:t>
      </w:r>
      <w:r>
        <w:rPr>
          <w:color w:val="000000" w:themeColor="text1"/>
        </w:rPr>
        <w:t>v</w:t>
      </w:r>
      <w:r w:rsidRPr="005C47E2">
        <w:rPr>
          <w:color w:val="000000" w:themeColor="text1"/>
        </w:rPr>
        <w:t>2 DEMOD</w:t>
      </w:r>
    </w:p>
    <w:p w14:paraId="56841836" w14:textId="77777777" w:rsidR="004379FD" w:rsidRDefault="004379FD" w:rsidP="000B3BA9">
      <w:pPr>
        <w:spacing w:after="120" w:line="259" w:lineRule="auto"/>
        <w:rPr>
          <w:rFonts w:asciiTheme="minorHAnsi" w:eastAsia="Times New Roman" w:hAnsiTheme="minorHAnsi" w:cstheme="minorHAnsi"/>
          <w:b/>
          <w:bCs/>
          <w:color w:val="000000"/>
          <w:lang w:eastAsia="en-AU"/>
        </w:rPr>
      </w:pPr>
      <w:r w:rsidRPr="001A069A">
        <w:rPr>
          <w:noProof/>
          <w:lang w:eastAsia="en-AU"/>
        </w:rPr>
        <w:drawing>
          <wp:inline distT="0" distB="0" distL="0" distR="0" wp14:anchorId="06247EC2" wp14:editId="411F94A5">
            <wp:extent cx="5676900" cy="15748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l="996"/>
                    <a:stretch/>
                  </pic:blipFill>
                  <pic:spPr bwMode="auto">
                    <a:xfrm>
                      <a:off x="0" y="0"/>
                      <a:ext cx="5676900" cy="1574800"/>
                    </a:xfrm>
                    <a:prstGeom prst="rect">
                      <a:avLst/>
                    </a:prstGeom>
                    <a:noFill/>
                    <a:ln>
                      <a:noFill/>
                    </a:ln>
                    <a:extLst>
                      <a:ext uri="{53640926-AAD7-44D8-BBD7-CCE9431645EC}">
                        <a14:shadowObscured xmlns:a14="http://schemas.microsoft.com/office/drawing/2010/main"/>
                      </a:ext>
                    </a:extLst>
                  </pic:spPr>
                </pic:pic>
              </a:graphicData>
            </a:graphic>
          </wp:inline>
        </w:drawing>
      </w:r>
    </w:p>
    <w:p w14:paraId="24A1C149"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7396524F" wp14:editId="3B9604A0">
            <wp:extent cx="4984750" cy="2260008"/>
            <wp:effectExtent l="0" t="0" r="6350" b="698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4997662" cy="2265862"/>
                    </a:xfrm>
                    <a:prstGeom prst="rect">
                      <a:avLst/>
                    </a:prstGeom>
                  </pic:spPr>
                </pic:pic>
              </a:graphicData>
            </a:graphic>
          </wp:inline>
        </w:drawing>
      </w:r>
    </w:p>
    <w:p w14:paraId="6C80D60C" w14:textId="67294FE0" w:rsidR="004379FD" w:rsidRPr="005C47E2" w:rsidRDefault="004379FD" w:rsidP="004379FD">
      <w:pPr>
        <w:pStyle w:val="SHCaption"/>
        <w:rPr>
          <w:color w:val="000000" w:themeColor="text1"/>
        </w:rPr>
      </w:pPr>
      <w:bookmarkStart w:id="84" w:name="_Ref52364414"/>
      <w:bookmarkStart w:id="85" w:name="_Toc52433898"/>
      <w:r w:rsidRPr="005C47E2">
        <w:rPr>
          <w:b/>
          <w:color w:val="000000" w:themeColor="text1"/>
        </w:rPr>
        <w:t xml:space="preserve">Figure </w:t>
      </w:r>
      <w:r w:rsidR="00AD6D18">
        <w:rPr>
          <w:b/>
          <w:noProof/>
          <w:color w:val="000000" w:themeColor="text1"/>
        </w:rPr>
        <w:t>9</w:t>
      </w:r>
      <w:r w:rsidRPr="005C47E2">
        <w:rPr>
          <w:b/>
          <w:color w:val="000000" w:themeColor="text1"/>
        </w:rPr>
        <w:t>.</w:t>
      </w:r>
      <w:bookmarkEnd w:id="84"/>
      <w:r>
        <w:rPr>
          <w:b/>
          <w:noProof/>
          <w:color w:val="000000" w:themeColor="text1"/>
        </w:rPr>
        <w:t xml:space="preserve">15 </w:t>
      </w:r>
      <w:r w:rsidRPr="005C47E2">
        <w:rPr>
          <w:color w:val="000000" w:themeColor="text1"/>
        </w:rPr>
        <w:t>DEMOD compa</w:t>
      </w:r>
      <w:r>
        <w:rPr>
          <w:color w:val="000000" w:themeColor="text1"/>
        </w:rPr>
        <w:t>ring Edward/Kolety Rver DS Site v</w:t>
      </w:r>
      <w:r w:rsidRPr="005C47E2">
        <w:rPr>
          <w:color w:val="000000" w:themeColor="text1"/>
        </w:rPr>
        <w:t xml:space="preserve">1 to </w:t>
      </w:r>
      <w:r>
        <w:rPr>
          <w:color w:val="000000" w:themeColor="text1"/>
        </w:rPr>
        <w:t>v2 (l</w:t>
      </w:r>
      <w:r w:rsidRPr="005C47E2">
        <w:rPr>
          <w:color w:val="000000" w:themeColor="text1"/>
        </w:rPr>
        <w:t>eft side of bank).</w:t>
      </w:r>
      <w:bookmarkEnd w:id="85"/>
    </w:p>
    <w:p w14:paraId="25A083F8"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09D1EEF7" wp14:editId="32A85DE7">
            <wp:extent cx="4959350" cy="224849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email">
                      <a:extLst>
                        <a:ext uri="{28A0092B-C50C-407E-A947-70E740481C1C}">
                          <a14:useLocalDpi xmlns:a14="http://schemas.microsoft.com/office/drawing/2010/main"/>
                        </a:ext>
                      </a:extLst>
                    </a:blip>
                    <a:stretch>
                      <a:fillRect/>
                    </a:stretch>
                  </pic:blipFill>
                  <pic:spPr>
                    <a:xfrm>
                      <a:off x="0" y="0"/>
                      <a:ext cx="4987254" cy="2261143"/>
                    </a:xfrm>
                    <a:prstGeom prst="rect">
                      <a:avLst/>
                    </a:prstGeom>
                  </pic:spPr>
                </pic:pic>
              </a:graphicData>
            </a:graphic>
          </wp:inline>
        </w:drawing>
      </w:r>
    </w:p>
    <w:p w14:paraId="19F39371" w14:textId="527888E8" w:rsidR="004379FD" w:rsidRPr="005C47E2" w:rsidRDefault="004379FD" w:rsidP="004379FD">
      <w:pPr>
        <w:pStyle w:val="SHCaption"/>
        <w:rPr>
          <w:color w:val="000000" w:themeColor="text1"/>
        </w:rPr>
      </w:pPr>
      <w:bookmarkStart w:id="86" w:name="_Ref52364417"/>
      <w:bookmarkStart w:id="87" w:name="_Toc52433899"/>
      <w:r w:rsidRPr="005C47E2">
        <w:rPr>
          <w:b/>
          <w:color w:val="000000" w:themeColor="text1"/>
        </w:rPr>
        <w:t xml:space="preserve">Figure </w:t>
      </w:r>
      <w:bookmarkEnd w:id="86"/>
      <w:r w:rsidR="00AD6D18">
        <w:rPr>
          <w:b/>
          <w:noProof/>
          <w:color w:val="000000" w:themeColor="text1"/>
        </w:rPr>
        <w:t>9</w:t>
      </w:r>
      <w:r>
        <w:rPr>
          <w:b/>
          <w:color w:val="000000" w:themeColor="text1"/>
        </w:rPr>
        <w:t>.</w:t>
      </w:r>
      <w:r>
        <w:rPr>
          <w:b/>
          <w:noProof/>
          <w:color w:val="000000" w:themeColor="text1"/>
        </w:rPr>
        <w:t>16</w:t>
      </w:r>
      <w:r>
        <w:rPr>
          <w:color w:val="000000" w:themeColor="text1"/>
        </w:rPr>
        <w:t xml:space="preserve"> DEMOD comparing Edward/Kolety R</w:t>
      </w:r>
      <w:r w:rsidRPr="005C47E2">
        <w:rPr>
          <w:color w:val="000000" w:themeColor="text1"/>
        </w:rPr>
        <w:t xml:space="preserve">iver DS Site </w:t>
      </w:r>
      <w:r>
        <w:rPr>
          <w:color w:val="000000" w:themeColor="text1"/>
        </w:rPr>
        <w:t>v</w:t>
      </w:r>
      <w:r w:rsidRPr="005C47E2">
        <w:rPr>
          <w:color w:val="000000" w:themeColor="text1"/>
        </w:rPr>
        <w:t xml:space="preserve">1 to </w:t>
      </w:r>
      <w:r>
        <w:rPr>
          <w:color w:val="000000" w:themeColor="text1"/>
        </w:rPr>
        <w:t>v2 r</w:t>
      </w:r>
      <w:r w:rsidRPr="005C47E2">
        <w:rPr>
          <w:color w:val="000000" w:themeColor="text1"/>
        </w:rPr>
        <w:t>ight side of bank).</w:t>
      </w:r>
      <w:bookmarkEnd w:id="87"/>
    </w:p>
    <w:p w14:paraId="306C216E" w14:textId="77777777" w:rsidR="004379FD" w:rsidRPr="00185CBB" w:rsidRDefault="004379FD" w:rsidP="004379FD">
      <w:pPr>
        <w:pStyle w:val="SNormalText"/>
        <w:spacing w:after="120" w:line="259" w:lineRule="auto"/>
        <w:rPr>
          <w:b/>
          <w:bCs/>
        </w:rPr>
      </w:pPr>
      <w:r w:rsidRPr="00185CBB">
        <w:rPr>
          <w:b/>
          <w:bCs/>
        </w:rPr>
        <w:t>Visit 2 – Visit 3 (</w:t>
      </w:r>
      <w:r>
        <w:rPr>
          <w:b/>
          <w:bCs/>
        </w:rPr>
        <w:t>operational</w:t>
      </w:r>
      <w:r w:rsidRPr="00185CBB">
        <w:rPr>
          <w:b/>
          <w:bCs/>
        </w:rPr>
        <w:t xml:space="preserve"> flow)</w:t>
      </w:r>
    </w:p>
    <w:p w14:paraId="3F4B4876" w14:textId="77777777" w:rsidR="004379FD" w:rsidRPr="00185CBB" w:rsidRDefault="004379FD" w:rsidP="004379FD">
      <w:pPr>
        <w:spacing w:after="120" w:line="259" w:lineRule="auto"/>
        <w:ind w:right="447"/>
        <w:rPr>
          <w:rFonts w:asciiTheme="minorHAnsi" w:eastAsia="Times New Roman" w:hAnsiTheme="minorHAnsi" w:cstheme="minorHAnsi"/>
          <w:bCs/>
          <w:color w:val="000000"/>
          <w:lang w:eastAsia="en-AU"/>
        </w:rPr>
      </w:pPr>
      <w:r>
        <w:rPr>
          <w:rFonts w:asciiTheme="minorHAnsi" w:eastAsia="Times New Roman" w:hAnsiTheme="minorHAnsi" w:cstheme="minorHAnsi"/>
          <w:bCs/>
          <w:color w:val="000000"/>
          <w:lang w:eastAsia="en-AU"/>
        </w:rPr>
        <w:t>We predicted that d</w:t>
      </w:r>
      <w:r w:rsidRPr="000D5DFA">
        <w:rPr>
          <w:rFonts w:asciiTheme="minorHAnsi" w:eastAsia="Times New Roman" w:hAnsiTheme="minorHAnsi" w:cstheme="minorHAnsi"/>
          <w:bCs/>
          <w:color w:val="000000"/>
          <w:lang w:eastAsia="en-AU"/>
        </w:rPr>
        <w:t>ue</w:t>
      </w:r>
      <w:r w:rsidRPr="00185CBB">
        <w:rPr>
          <w:rFonts w:asciiTheme="minorHAnsi" w:eastAsia="Times New Roman" w:hAnsiTheme="minorHAnsi" w:cstheme="minorHAnsi"/>
          <w:bCs/>
          <w:color w:val="000000"/>
          <w:lang w:eastAsia="en-AU"/>
        </w:rPr>
        <w:t xml:space="preserve"> to the extended period of inundation between 2,300 – 2,800 </w:t>
      </w:r>
      <w:r>
        <w:rPr>
          <w:rFonts w:asciiTheme="minorHAnsi" w:eastAsia="Times New Roman" w:hAnsiTheme="minorHAnsi" w:cstheme="minorHAnsi"/>
          <w:bCs/>
          <w:color w:val="000000"/>
          <w:lang w:eastAsia="en-AU"/>
        </w:rPr>
        <w:t>ML/day</w:t>
      </w:r>
      <w:r w:rsidRPr="00185CBB">
        <w:rPr>
          <w:rFonts w:asciiTheme="minorHAnsi" w:eastAsia="Times New Roman" w:hAnsiTheme="minorHAnsi" w:cstheme="minorHAnsi"/>
          <w:bCs/>
          <w:color w:val="000000"/>
          <w:lang w:eastAsia="en-AU"/>
        </w:rPr>
        <w:t xml:space="preserve"> </w:t>
      </w:r>
      <w:r>
        <w:rPr>
          <w:rFonts w:asciiTheme="minorHAnsi" w:eastAsia="Times New Roman" w:hAnsiTheme="minorHAnsi" w:cstheme="minorHAnsi"/>
          <w:bCs/>
          <w:color w:val="000000"/>
          <w:lang w:eastAsia="en-AU"/>
        </w:rPr>
        <w:t>over more than</w:t>
      </w:r>
      <w:r w:rsidRPr="00185CBB">
        <w:rPr>
          <w:rFonts w:asciiTheme="minorHAnsi" w:eastAsia="Times New Roman" w:hAnsiTheme="minorHAnsi" w:cstheme="minorHAnsi"/>
          <w:bCs/>
          <w:color w:val="000000"/>
          <w:lang w:eastAsia="en-AU"/>
        </w:rPr>
        <w:t xml:space="preserve"> 90 days and the uniform profile of the hydrology during the majority of this monitoring period (</w:t>
      </w:r>
      <w:r>
        <w:rPr>
          <w:rFonts w:asciiTheme="minorHAnsi" w:eastAsia="Times New Roman" w:hAnsiTheme="minorHAnsi" w:cstheme="minorHAnsi"/>
          <w:bCs/>
          <w:color w:val="000000"/>
          <w:lang w:eastAsia="en-AU"/>
        </w:rPr>
        <w:t>Figure 9.17), that u</w:t>
      </w:r>
      <w:r w:rsidRPr="00185CBB">
        <w:rPr>
          <w:rFonts w:asciiTheme="minorHAnsi" w:eastAsia="Times New Roman" w:hAnsiTheme="minorHAnsi" w:cstheme="minorHAnsi"/>
          <w:bCs/>
          <w:color w:val="000000"/>
          <w:lang w:eastAsia="en-AU"/>
        </w:rPr>
        <w:t>nregulated flows would result in the largest volume of erosion and the least volume of deposition due to defined erosion at the related bank zone to this flow regime. The</w:t>
      </w:r>
      <w:r>
        <w:rPr>
          <w:rFonts w:asciiTheme="minorHAnsi" w:eastAsia="Times New Roman" w:hAnsiTheme="minorHAnsi" w:cstheme="minorHAnsi"/>
          <w:bCs/>
          <w:color w:val="000000"/>
          <w:lang w:eastAsia="en-AU"/>
        </w:rPr>
        <w:t xml:space="preserve"> cyclical nature</w:t>
      </w:r>
      <w:r w:rsidRPr="00185CBB">
        <w:rPr>
          <w:rFonts w:asciiTheme="minorHAnsi" w:eastAsia="Times New Roman" w:hAnsiTheme="minorHAnsi" w:cstheme="minorHAnsi"/>
          <w:bCs/>
          <w:color w:val="000000"/>
          <w:lang w:eastAsia="en-AU"/>
        </w:rPr>
        <w:t xml:space="preserve"> of flow is likely to remove the majority of deposition.</w:t>
      </w:r>
    </w:p>
    <w:p w14:paraId="4627A5FE" w14:textId="611EE932" w:rsidR="004379FD" w:rsidRDefault="004379FD" w:rsidP="004379FD">
      <w:pPr>
        <w:spacing w:after="120" w:line="259" w:lineRule="auto"/>
        <w:ind w:right="447"/>
        <w:rPr>
          <w:rFonts w:asciiTheme="minorHAnsi" w:eastAsia="Symbol" w:hAnsiTheme="minorHAnsi" w:cstheme="minorHAnsi"/>
          <w:color w:val="000000"/>
          <w:lang w:eastAsia="en-AU"/>
        </w:rPr>
      </w:pPr>
      <w:r w:rsidRPr="00185CBB">
        <w:rPr>
          <w:rFonts w:asciiTheme="minorHAnsi" w:eastAsia="Symbol" w:hAnsiTheme="minorHAnsi" w:cstheme="minorHAnsi"/>
          <w:color w:val="000000"/>
          <w:lang w:eastAsia="en-AU"/>
        </w:rPr>
        <w:t xml:space="preserve">The average erosion of </w:t>
      </w:r>
      <w:r w:rsidRPr="00185CBB">
        <w:rPr>
          <w:rFonts w:asciiTheme="minorHAnsi" w:eastAsia="Times New Roman" w:hAnsiTheme="minorHAnsi" w:cstheme="minorHAnsi"/>
          <w:bCs/>
          <w:color w:val="000000"/>
          <w:lang w:eastAsia="en-AU"/>
        </w:rPr>
        <w:t>0.82 (cm</w:t>
      </w:r>
      <w:r w:rsidRPr="00185CBB">
        <w:rPr>
          <w:rFonts w:asciiTheme="minorHAnsi" w:eastAsia="Times New Roman" w:hAnsiTheme="minorHAnsi" w:cstheme="minorHAnsi"/>
          <w:bCs/>
          <w:color w:val="000000"/>
          <w:vertAlign w:val="superscript"/>
          <w:lang w:eastAsia="en-AU"/>
        </w:rPr>
        <w:t>3</w:t>
      </w:r>
      <w:r w:rsidRPr="00185CBB">
        <w:rPr>
          <w:rFonts w:asciiTheme="minorHAnsi" w:eastAsia="Times New Roman" w:hAnsiTheme="minorHAnsi" w:cstheme="minorHAnsi"/>
          <w:bCs/>
          <w:color w:val="000000"/>
          <w:lang w:eastAsia="en-AU"/>
        </w:rPr>
        <w:t>/m</w:t>
      </w:r>
      <w:r w:rsidRPr="00185CBB">
        <w:rPr>
          <w:rFonts w:asciiTheme="minorHAnsi" w:eastAsia="Times New Roman" w:hAnsiTheme="minorHAnsi" w:cstheme="minorHAnsi"/>
          <w:bCs/>
          <w:color w:val="000000"/>
          <w:vertAlign w:val="superscript"/>
          <w:lang w:eastAsia="en-AU"/>
        </w:rPr>
        <w:t>2</w:t>
      </w:r>
      <w:r w:rsidRPr="00185CBB">
        <w:rPr>
          <w:rFonts w:asciiTheme="minorHAnsi" w:eastAsia="Times New Roman" w:hAnsiTheme="minorHAnsi" w:cstheme="minorHAnsi"/>
          <w:bCs/>
          <w:color w:val="000000"/>
          <w:lang w:eastAsia="en-AU"/>
        </w:rPr>
        <w:t xml:space="preserve"> of bank) </w:t>
      </w:r>
      <w:r>
        <w:rPr>
          <w:rFonts w:asciiTheme="minorHAnsi" w:eastAsia="Times New Roman" w:hAnsiTheme="minorHAnsi" w:cstheme="minorHAnsi"/>
          <w:bCs/>
          <w:color w:val="000000"/>
          <w:lang w:eastAsia="en-AU"/>
        </w:rPr>
        <w:t>was</w:t>
      </w:r>
      <w:r w:rsidRPr="00185CBB">
        <w:rPr>
          <w:rFonts w:asciiTheme="minorHAnsi" w:eastAsia="Times New Roman" w:hAnsiTheme="minorHAnsi" w:cstheme="minorHAnsi"/>
          <w:bCs/>
          <w:color w:val="000000"/>
          <w:lang w:eastAsia="en-AU"/>
        </w:rPr>
        <w:t xml:space="preserve"> relatively low compared to volumes recorded against the </w:t>
      </w:r>
      <w:r>
        <w:rPr>
          <w:rFonts w:asciiTheme="minorHAnsi" w:eastAsia="Times New Roman" w:hAnsiTheme="minorHAnsi" w:cstheme="minorHAnsi"/>
          <w:bCs/>
          <w:color w:val="000000"/>
          <w:lang w:eastAsia="en-AU"/>
        </w:rPr>
        <w:t>SCF</w:t>
      </w:r>
      <w:r w:rsidRPr="00185CBB">
        <w:rPr>
          <w:rFonts w:asciiTheme="minorHAnsi" w:eastAsia="Times New Roman" w:hAnsiTheme="minorHAnsi" w:cstheme="minorHAnsi"/>
          <w:bCs/>
          <w:color w:val="000000"/>
          <w:lang w:eastAsia="en-AU"/>
        </w:rPr>
        <w:t xml:space="preserve"> event</w:t>
      </w:r>
      <w:r>
        <w:rPr>
          <w:rFonts w:asciiTheme="minorHAnsi" w:eastAsia="Times New Roman" w:hAnsiTheme="minorHAnsi" w:cstheme="minorHAnsi"/>
          <w:bCs/>
          <w:color w:val="000000"/>
          <w:lang w:eastAsia="en-AU"/>
        </w:rPr>
        <w:t>,</w:t>
      </w:r>
      <w:r w:rsidRPr="00185CBB">
        <w:rPr>
          <w:rFonts w:asciiTheme="minorHAnsi" w:eastAsia="Times New Roman" w:hAnsiTheme="minorHAnsi" w:cstheme="minorHAnsi"/>
          <w:bCs/>
          <w:color w:val="000000"/>
          <w:lang w:eastAsia="en-AU"/>
        </w:rPr>
        <w:t xml:space="preserve"> and deposition was the lowest across all comparison windows. Considering the limitations of analysis due to the water level this is not surprising. Erosion was considerably higher than the deposition received (&gt;42%) resulting in -0.26 net erosion </w:t>
      </w:r>
      <w:r w:rsidRPr="00685C45">
        <w:rPr>
          <w:rFonts w:asciiTheme="minorHAnsi" w:eastAsia="Times New Roman" w:hAnsiTheme="minorHAnsi" w:cstheme="minorHAnsi"/>
          <w:bCs/>
          <w:color w:val="000000"/>
          <w:lang w:eastAsia="en-AU"/>
        </w:rPr>
        <w:t>(</w:t>
      </w:r>
      <w:r w:rsidRPr="00685C45">
        <w:rPr>
          <w:rFonts w:asciiTheme="minorHAnsi" w:eastAsia="Times New Roman" w:hAnsiTheme="minorHAnsi" w:cstheme="minorHAnsi"/>
          <w:bCs/>
          <w:color w:val="000000"/>
          <w:lang w:eastAsia="en-AU"/>
        </w:rPr>
        <w:fldChar w:fldCharType="begin"/>
      </w:r>
      <w:r w:rsidRPr="00685C45">
        <w:rPr>
          <w:rFonts w:asciiTheme="minorHAnsi" w:eastAsia="Times New Roman" w:hAnsiTheme="minorHAnsi" w:cstheme="minorHAnsi"/>
          <w:bCs/>
          <w:color w:val="000000"/>
          <w:lang w:eastAsia="en-AU"/>
        </w:rPr>
        <w:instrText xml:space="preserve"> REF _Ref52364734 \h  \* MERGEFORMAT </w:instrText>
      </w:r>
      <w:r w:rsidRPr="00685C45">
        <w:rPr>
          <w:rFonts w:asciiTheme="minorHAnsi" w:eastAsia="Times New Roman" w:hAnsiTheme="minorHAnsi" w:cstheme="minorHAnsi"/>
          <w:bCs/>
          <w:color w:val="000000"/>
          <w:lang w:eastAsia="en-AU"/>
        </w:rPr>
      </w:r>
      <w:r w:rsidRPr="00685C45">
        <w:rPr>
          <w:rFonts w:asciiTheme="minorHAnsi" w:eastAsia="Times New Roman" w:hAnsiTheme="minorHAnsi" w:cstheme="minorHAnsi"/>
          <w:bCs/>
          <w:color w:val="000000"/>
          <w:lang w:eastAsia="en-AU"/>
        </w:rPr>
        <w:fldChar w:fldCharType="separate"/>
      </w:r>
      <w:r w:rsidR="000A6D80" w:rsidRPr="000A6D80">
        <w:rPr>
          <w:rFonts w:asciiTheme="minorHAnsi" w:hAnsiTheme="minorHAnsi" w:cstheme="minorHAnsi"/>
        </w:rPr>
        <w:t xml:space="preserve">Table </w:t>
      </w:r>
      <w:r w:rsidR="000A6D80" w:rsidRPr="000A6D80">
        <w:rPr>
          <w:rFonts w:asciiTheme="minorHAnsi" w:hAnsiTheme="minorHAnsi" w:cstheme="minorHAnsi"/>
          <w:noProof/>
        </w:rPr>
        <w:t>9.</w:t>
      </w:r>
      <w:r w:rsidRPr="00685C45">
        <w:rPr>
          <w:rFonts w:asciiTheme="minorHAnsi" w:eastAsia="Times New Roman" w:hAnsiTheme="minorHAnsi" w:cstheme="minorHAnsi"/>
          <w:bCs/>
          <w:color w:val="000000"/>
          <w:lang w:eastAsia="en-AU"/>
        </w:rPr>
        <w:fldChar w:fldCharType="end"/>
      </w:r>
      <w:r w:rsidRPr="00185CBB">
        <w:rPr>
          <w:rFonts w:asciiTheme="minorHAnsi" w:eastAsia="Times New Roman" w:hAnsiTheme="minorHAnsi" w:cstheme="minorHAnsi"/>
          <w:bCs/>
          <w:color w:val="000000"/>
          <w:lang w:eastAsia="en-AU"/>
        </w:rPr>
        <w:t xml:space="preserve">). Erosion is primarily </w:t>
      </w:r>
      <w:r w:rsidRPr="00185CBB">
        <w:rPr>
          <w:rFonts w:asciiTheme="minorHAnsi" w:eastAsia="Symbol" w:hAnsiTheme="minorHAnsi" w:cstheme="minorHAnsi"/>
          <w:color w:val="000000"/>
          <w:lang w:eastAsia="en-AU"/>
        </w:rPr>
        <w:t xml:space="preserve">expressed below the notch, consistently (along right half of bank and some of left half), and deeply (between 15-20cms) relating to the flow zone relative to 2,300-3,800 </w:t>
      </w:r>
      <w:r>
        <w:rPr>
          <w:rFonts w:asciiTheme="minorHAnsi" w:eastAsia="Symbol" w:hAnsiTheme="minorHAnsi" w:cstheme="minorHAnsi"/>
          <w:color w:val="000000"/>
          <w:lang w:eastAsia="en-AU"/>
        </w:rPr>
        <w:t>ML/day</w:t>
      </w:r>
      <w:r w:rsidRPr="00185CBB">
        <w:rPr>
          <w:rFonts w:asciiTheme="minorHAnsi" w:eastAsia="Symbol" w:hAnsiTheme="minorHAnsi" w:cstheme="minorHAnsi"/>
          <w:color w:val="000000"/>
          <w:lang w:eastAsia="en-AU"/>
        </w:rPr>
        <w:t>. Deposition cannot be seen within the model (</w:t>
      </w:r>
      <w:r>
        <w:rPr>
          <w:rFonts w:asciiTheme="minorHAnsi" w:eastAsia="Symbol" w:hAnsiTheme="minorHAnsi" w:cstheme="minorHAnsi"/>
          <w:color w:val="000000"/>
          <w:lang w:eastAsia="en-AU"/>
        </w:rPr>
        <w:t>Figures 9.18 and 9.19).</w:t>
      </w:r>
    </w:p>
    <w:p w14:paraId="7A17D3EB" w14:textId="77777777" w:rsidR="004379FD" w:rsidRPr="000D5DFA" w:rsidRDefault="004379FD" w:rsidP="004379FD">
      <w:pPr>
        <w:spacing w:line="259" w:lineRule="auto"/>
        <w:ind w:right="447"/>
        <w:rPr>
          <w:rFonts w:asciiTheme="minorHAnsi" w:eastAsia="Times New Roman" w:hAnsiTheme="minorHAnsi" w:cstheme="minorHAnsi"/>
          <w:iCs/>
          <w:color w:val="000000"/>
          <w:lang w:eastAsia="en-AU"/>
        </w:rPr>
      </w:pPr>
      <w:r w:rsidRPr="000D5DFA">
        <w:rPr>
          <w:rFonts w:asciiTheme="minorHAnsi" w:eastAsia="Times New Roman" w:hAnsiTheme="minorHAnsi" w:cstheme="minorHAnsi"/>
          <w:iCs/>
          <w:color w:val="000000"/>
          <w:lang w:eastAsia="en-AU"/>
        </w:rPr>
        <w:t xml:space="preserve">As illustrated in </w:t>
      </w:r>
      <w:r>
        <w:rPr>
          <w:rFonts w:asciiTheme="minorHAnsi" w:eastAsia="Times New Roman" w:hAnsiTheme="minorHAnsi" w:cstheme="minorHAnsi"/>
          <w:iCs/>
          <w:color w:val="000000"/>
          <w:lang w:eastAsia="en-AU"/>
        </w:rPr>
        <w:t xml:space="preserve">Figure 9.17, </w:t>
      </w:r>
      <w:r w:rsidRPr="000D5DFA">
        <w:rPr>
          <w:rFonts w:asciiTheme="minorHAnsi" w:eastAsia="Times New Roman" w:hAnsiTheme="minorHAnsi" w:cstheme="minorHAnsi"/>
          <w:iCs/>
          <w:color w:val="000000"/>
          <w:lang w:eastAsia="en-AU"/>
        </w:rPr>
        <w:t xml:space="preserve">the water level during </w:t>
      </w:r>
      <w:r>
        <w:rPr>
          <w:rFonts w:asciiTheme="minorHAnsi" w:eastAsia="Times New Roman" w:hAnsiTheme="minorHAnsi" w:cstheme="minorHAnsi"/>
          <w:iCs/>
          <w:color w:val="000000"/>
          <w:lang w:eastAsia="en-AU"/>
        </w:rPr>
        <w:t>v2</w:t>
      </w:r>
      <w:r w:rsidRPr="000D5DFA">
        <w:rPr>
          <w:rFonts w:asciiTheme="minorHAnsi" w:eastAsia="Times New Roman" w:hAnsiTheme="minorHAnsi" w:cstheme="minorHAnsi"/>
          <w:iCs/>
          <w:color w:val="000000"/>
          <w:lang w:eastAsia="en-AU"/>
        </w:rPr>
        <w:t xml:space="preserve"> was &gt;2,600 ML/day, this has limited the range of available bank for monitoring</w:t>
      </w:r>
      <w:r>
        <w:rPr>
          <w:rFonts w:asciiTheme="minorHAnsi" w:eastAsia="Times New Roman" w:hAnsiTheme="minorHAnsi" w:cstheme="minorHAnsi"/>
          <w:iCs/>
          <w:color w:val="000000"/>
          <w:lang w:eastAsia="en-AU"/>
        </w:rPr>
        <w:t>,</w:t>
      </w:r>
      <w:r w:rsidRPr="000D5DFA">
        <w:rPr>
          <w:rFonts w:asciiTheme="minorHAnsi" w:eastAsia="Times New Roman" w:hAnsiTheme="minorHAnsi" w:cstheme="minorHAnsi"/>
          <w:iCs/>
          <w:color w:val="000000"/>
          <w:lang w:eastAsia="en-AU"/>
        </w:rPr>
        <w:t xml:space="preserve"> and thus data from this DEMOD will not show the full extent of the change resulting from the flow received. Only change related to flow above 2,600 ML/day can be fully analysed.</w:t>
      </w:r>
    </w:p>
    <w:p w14:paraId="7F29C59E" w14:textId="77777777" w:rsidR="004379FD" w:rsidRPr="00185CBB" w:rsidRDefault="004379FD" w:rsidP="004379FD">
      <w:pPr>
        <w:spacing w:line="259" w:lineRule="auto"/>
      </w:pPr>
    </w:p>
    <w:p w14:paraId="008F4A4B" w14:textId="77777777" w:rsidR="004379FD" w:rsidRPr="00185CBB" w:rsidRDefault="004379FD" w:rsidP="004379FD">
      <w:pPr>
        <w:pStyle w:val="BodyText1"/>
        <w:spacing w:after="0" w:line="240" w:lineRule="auto"/>
      </w:pPr>
      <w:r>
        <w:rPr>
          <w:noProof/>
          <w:lang w:eastAsia="en-AU" w:bidi="ar-SA"/>
        </w:rPr>
        <w:drawing>
          <wp:inline distT="0" distB="0" distL="0" distR="0" wp14:anchorId="22CC70EF" wp14:editId="18155532">
            <wp:extent cx="5867689" cy="190800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867689" cy="1908000"/>
                    </a:xfrm>
                    <a:prstGeom prst="rect">
                      <a:avLst/>
                    </a:prstGeom>
                    <a:noFill/>
                  </pic:spPr>
                </pic:pic>
              </a:graphicData>
            </a:graphic>
          </wp:inline>
        </w:drawing>
      </w:r>
    </w:p>
    <w:p w14:paraId="1421D785" w14:textId="40D430D5" w:rsidR="004379FD" w:rsidRPr="000D5DFA" w:rsidRDefault="004379FD" w:rsidP="004379FD">
      <w:pPr>
        <w:pStyle w:val="SHCaption"/>
        <w:rPr>
          <w:rFonts w:eastAsia="Times New Roman"/>
          <w:color w:val="000000" w:themeColor="text1"/>
          <w:lang w:eastAsia="en-AU"/>
        </w:rPr>
      </w:pPr>
      <w:bookmarkStart w:id="88" w:name="_Ref49076876"/>
      <w:bookmarkStart w:id="89" w:name="_Toc52433903"/>
      <w:r w:rsidRPr="000D5DFA">
        <w:rPr>
          <w:b/>
          <w:color w:val="000000" w:themeColor="text1"/>
        </w:rPr>
        <w:t xml:space="preserve">Figure </w:t>
      </w:r>
      <w:r w:rsidR="00AD6D18">
        <w:rPr>
          <w:b/>
          <w:noProof/>
          <w:color w:val="000000" w:themeColor="text1"/>
        </w:rPr>
        <w:t>9</w:t>
      </w:r>
      <w:r w:rsidRPr="000D5DFA">
        <w:rPr>
          <w:b/>
          <w:color w:val="000000" w:themeColor="text1"/>
        </w:rPr>
        <w:t>.</w:t>
      </w:r>
      <w:bookmarkEnd w:id="88"/>
      <w:r>
        <w:rPr>
          <w:b/>
          <w:noProof/>
          <w:color w:val="000000" w:themeColor="text1"/>
        </w:rPr>
        <w:t>17</w:t>
      </w:r>
      <w:r>
        <w:rPr>
          <w:color w:val="000000" w:themeColor="text1"/>
        </w:rPr>
        <w:t xml:space="preserve"> </w:t>
      </w:r>
      <w:r w:rsidRPr="000D5DFA">
        <w:rPr>
          <w:color w:val="000000" w:themeColor="text1"/>
        </w:rPr>
        <w:t xml:space="preserve">Hydrology detailed between </w:t>
      </w:r>
      <w:r>
        <w:rPr>
          <w:color w:val="000000" w:themeColor="text1"/>
        </w:rPr>
        <w:t>v</w:t>
      </w:r>
      <w:r w:rsidRPr="000D5DFA">
        <w:rPr>
          <w:color w:val="000000" w:themeColor="text1"/>
        </w:rPr>
        <w:t>2-</w:t>
      </w:r>
      <w:r>
        <w:rPr>
          <w:color w:val="000000" w:themeColor="text1"/>
        </w:rPr>
        <w:t>v</w:t>
      </w:r>
      <w:r w:rsidRPr="000D5DFA">
        <w:rPr>
          <w:color w:val="000000" w:themeColor="text1"/>
        </w:rPr>
        <w:t>3 (</w:t>
      </w:r>
      <w:r>
        <w:rPr>
          <w:color w:val="000000" w:themeColor="text1"/>
        </w:rPr>
        <w:t>operational</w:t>
      </w:r>
      <w:r w:rsidRPr="000D5DFA">
        <w:rPr>
          <w:color w:val="000000" w:themeColor="text1"/>
        </w:rPr>
        <w:t xml:space="preserve"> flow events). Histogram and hydrograph.</w:t>
      </w:r>
      <w:bookmarkEnd w:id="89"/>
    </w:p>
    <w:p w14:paraId="7155CC9A"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057226E0" wp14:editId="074A0C56">
            <wp:extent cx="5881425" cy="208280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5891999" cy="2086545"/>
                    </a:xfrm>
                    <a:prstGeom prst="rect">
                      <a:avLst/>
                    </a:prstGeom>
                  </pic:spPr>
                </pic:pic>
              </a:graphicData>
            </a:graphic>
          </wp:inline>
        </w:drawing>
      </w:r>
    </w:p>
    <w:p w14:paraId="039719A3" w14:textId="7CE87F4A" w:rsidR="004379FD" w:rsidRPr="000D5DFA" w:rsidRDefault="004379FD" w:rsidP="004379FD">
      <w:pPr>
        <w:pStyle w:val="SHCaption"/>
        <w:rPr>
          <w:color w:val="000000" w:themeColor="text1"/>
        </w:rPr>
      </w:pPr>
      <w:bookmarkStart w:id="90" w:name="_Ref52364484"/>
      <w:bookmarkStart w:id="91" w:name="_Toc52433901"/>
      <w:r w:rsidRPr="000D5DFA">
        <w:rPr>
          <w:b/>
          <w:color w:val="000000" w:themeColor="text1"/>
        </w:rPr>
        <w:t xml:space="preserve">Figure </w:t>
      </w:r>
      <w:bookmarkEnd w:id="90"/>
      <w:r w:rsidR="00AD6D18">
        <w:rPr>
          <w:b/>
          <w:noProof/>
          <w:color w:val="000000" w:themeColor="text1"/>
        </w:rPr>
        <w:t>9</w:t>
      </w:r>
      <w:r>
        <w:rPr>
          <w:b/>
          <w:color w:val="000000" w:themeColor="text1"/>
        </w:rPr>
        <w:t>.18</w:t>
      </w:r>
      <w:r>
        <w:rPr>
          <w:color w:val="000000" w:themeColor="text1"/>
        </w:rPr>
        <w:t xml:space="preserve"> </w:t>
      </w:r>
      <w:r w:rsidRPr="000D5DFA">
        <w:rPr>
          <w:color w:val="000000" w:themeColor="text1"/>
        </w:rPr>
        <w:t>DEMOD comparing Edward</w:t>
      </w:r>
      <w:r>
        <w:rPr>
          <w:color w:val="000000" w:themeColor="text1"/>
        </w:rPr>
        <w:t>/Kolety</w:t>
      </w:r>
      <w:r w:rsidRPr="000D5DFA">
        <w:rPr>
          <w:color w:val="000000" w:themeColor="text1"/>
        </w:rPr>
        <w:t xml:space="preserve"> River DS Site </w:t>
      </w:r>
      <w:r>
        <w:rPr>
          <w:color w:val="000000" w:themeColor="text1"/>
        </w:rPr>
        <w:t>v</w:t>
      </w:r>
      <w:r w:rsidRPr="000D5DFA">
        <w:rPr>
          <w:color w:val="000000" w:themeColor="text1"/>
        </w:rPr>
        <w:t xml:space="preserve">2 to </w:t>
      </w:r>
      <w:r>
        <w:rPr>
          <w:color w:val="000000" w:themeColor="text1"/>
        </w:rPr>
        <w:t>v</w:t>
      </w:r>
      <w:r w:rsidRPr="000D5DFA">
        <w:rPr>
          <w:color w:val="000000" w:themeColor="text1"/>
        </w:rPr>
        <w:t>3 (Left bank).</w:t>
      </w:r>
      <w:bookmarkEnd w:id="91"/>
    </w:p>
    <w:p w14:paraId="56BF2A73"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3EC7F21E" wp14:editId="17A04F8E">
            <wp:extent cx="5657850" cy="2089387"/>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5669520" cy="2093696"/>
                    </a:xfrm>
                    <a:prstGeom prst="rect">
                      <a:avLst/>
                    </a:prstGeom>
                  </pic:spPr>
                </pic:pic>
              </a:graphicData>
            </a:graphic>
          </wp:inline>
        </w:drawing>
      </w:r>
    </w:p>
    <w:p w14:paraId="7ECC6C5E" w14:textId="7EBFF8CA" w:rsidR="004379FD" w:rsidRPr="000D5DFA" w:rsidRDefault="004379FD" w:rsidP="004379FD">
      <w:pPr>
        <w:pStyle w:val="SHCaption"/>
        <w:rPr>
          <w:color w:val="000000" w:themeColor="text1"/>
        </w:rPr>
      </w:pPr>
      <w:bookmarkStart w:id="92" w:name="_Ref52364489"/>
      <w:bookmarkStart w:id="93" w:name="_Toc52433902"/>
      <w:r w:rsidRPr="000D5DFA">
        <w:rPr>
          <w:b/>
          <w:color w:val="000000" w:themeColor="text1"/>
        </w:rPr>
        <w:t xml:space="preserve">Figure </w:t>
      </w:r>
      <w:r w:rsidR="00AD6D18">
        <w:rPr>
          <w:b/>
          <w:noProof/>
          <w:color w:val="000000" w:themeColor="text1"/>
        </w:rPr>
        <w:t>9</w:t>
      </w:r>
      <w:r w:rsidRPr="000D5DFA">
        <w:rPr>
          <w:b/>
          <w:color w:val="000000" w:themeColor="text1"/>
        </w:rPr>
        <w:t>.</w:t>
      </w:r>
      <w:bookmarkEnd w:id="92"/>
      <w:r>
        <w:rPr>
          <w:b/>
          <w:noProof/>
          <w:color w:val="000000" w:themeColor="text1"/>
        </w:rPr>
        <w:t>19</w:t>
      </w:r>
      <w:r>
        <w:rPr>
          <w:color w:val="000000" w:themeColor="text1"/>
        </w:rPr>
        <w:t xml:space="preserve"> </w:t>
      </w:r>
      <w:r w:rsidRPr="000D5DFA">
        <w:rPr>
          <w:color w:val="000000" w:themeColor="text1"/>
        </w:rPr>
        <w:t>DEMOD comparing Edward</w:t>
      </w:r>
      <w:r>
        <w:rPr>
          <w:color w:val="000000" w:themeColor="text1"/>
        </w:rPr>
        <w:t>/Kolety</w:t>
      </w:r>
      <w:r w:rsidRPr="000D5DFA">
        <w:rPr>
          <w:color w:val="000000" w:themeColor="text1"/>
        </w:rPr>
        <w:t xml:space="preserve"> River DS Site </w:t>
      </w:r>
      <w:r>
        <w:rPr>
          <w:color w:val="000000" w:themeColor="text1"/>
        </w:rPr>
        <w:t>v</w:t>
      </w:r>
      <w:r w:rsidRPr="000D5DFA">
        <w:rPr>
          <w:color w:val="000000" w:themeColor="text1"/>
        </w:rPr>
        <w:t>2 to V3 (Right bank).</w:t>
      </w:r>
      <w:bookmarkEnd w:id="93"/>
    </w:p>
    <w:p w14:paraId="03665640" w14:textId="2B24E9AD" w:rsidR="004379FD" w:rsidRPr="000D5DFA" w:rsidRDefault="004379FD" w:rsidP="004379FD">
      <w:pPr>
        <w:pStyle w:val="SHCaption"/>
        <w:spacing w:after="0"/>
        <w:rPr>
          <w:color w:val="000000" w:themeColor="text1"/>
        </w:rPr>
      </w:pPr>
      <w:bookmarkStart w:id="94" w:name="_Ref52364734"/>
      <w:bookmarkStart w:id="95" w:name="_Toc52433874"/>
      <w:r w:rsidRPr="00685C45">
        <w:rPr>
          <w:b/>
          <w:color w:val="000000" w:themeColor="text1"/>
        </w:rPr>
        <w:t xml:space="preserve">Table </w:t>
      </w:r>
      <w:r w:rsidR="00AD6D18">
        <w:rPr>
          <w:b/>
          <w:noProof/>
          <w:color w:val="000000" w:themeColor="text1"/>
        </w:rPr>
        <w:t>9</w:t>
      </w:r>
      <w:r w:rsidRPr="00685C45">
        <w:rPr>
          <w:b/>
          <w:color w:val="000000" w:themeColor="text1"/>
        </w:rPr>
        <w:t>.</w:t>
      </w:r>
      <w:bookmarkEnd w:id="94"/>
      <w:r w:rsidRPr="00685C45">
        <w:rPr>
          <w:b/>
          <w:noProof/>
          <w:color w:val="000000" w:themeColor="text1"/>
        </w:rPr>
        <w:t>3</w:t>
      </w:r>
      <w:r>
        <w:rPr>
          <w:color w:val="000000" w:themeColor="text1"/>
        </w:rPr>
        <w:t xml:space="preserve"> </w:t>
      </w:r>
      <w:r w:rsidRPr="000D5DFA">
        <w:rPr>
          <w:color w:val="000000" w:themeColor="text1"/>
        </w:rPr>
        <w:t>Volume change output from Edward</w:t>
      </w:r>
      <w:r>
        <w:rPr>
          <w:color w:val="000000" w:themeColor="text1"/>
        </w:rPr>
        <w:t>/Kolety</w:t>
      </w:r>
      <w:r w:rsidRPr="000D5DFA">
        <w:rPr>
          <w:color w:val="000000" w:themeColor="text1"/>
        </w:rPr>
        <w:t xml:space="preserve"> River DS Site </w:t>
      </w:r>
      <w:r>
        <w:rPr>
          <w:color w:val="000000" w:themeColor="text1"/>
        </w:rPr>
        <w:t>v</w:t>
      </w:r>
      <w:r w:rsidRPr="000D5DFA">
        <w:rPr>
          <w:color w:val="000000" w:themeColor="text1"/>
        </w:rPr>
        <w:t xml:space="preserve">2 to </w:t>
      </w:r>
      <w:r>
        <w:rPr>
          <w:color w:val="000000" w:themeColor="text1"/>
        </w:rPr>
        <w:t>v</w:t>
      </w:r>
      <w:r w:rsidRPr="000D5DFA">
        <w:rPr>
          <w:color w:val="000000" w:themeColor="text1"/>
        </w:rPr>
        <w:t>3 DEMOD</w:t>
      </w:r>
      <w:bookmarkEnd w:id="95"/>
    </w:p>
    <w:p w14:paraId="080791B9" w14:textId="77777777" w:rsidR="004379FD" w:rsidRPr="00BF0FC1" w:rsidRDefault="004379FD" w:rsidP="000B3BA9">
      <w:pPr>
        <w:spacing w:after="120" w:line="259" w:lineRule="auto"/>
        <w:rPr>
          <w:rFonts w:asciiTheme="minorHAnsi" w:eastAsia="Times New Roman" w:hAnsiTheme="minorHAnsi" w:cstheme="minorHAnsi"/>
          <w:iCs/>
          <w:color w:val="000000"/>
          <w:lang w:eastAsia="en-AU"/>
        </w:rPr>
      </w:pPr>
      <w:r w:rsidRPr="00E47A3B">
        <w:rPr>
          <w:noProof/>
          <w:lang w:eastAsia="en-AU"/>
        </w:rPr>
        <w:drawing>
          <wp:inline distT="0" distB="0" distL="0" distR="0" wp14:anchorId="7C18A837" wp14:editId="58FA3792">
            <wp:extent cx="5689600" cy="1403350"/>
            <wp:effectExtent l="0" t="0" r="635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689600" cy="1403350"/>
                    </a:xfrm>
                    <a:prstGeom prst="rect">
                      <a:avLst/>
                    </a:prstGeom>
                    <a:noFill/>
                    <a:ln>
                      <a:noFill/>
                    </a:ln>
                  </pic:spPr>
                </pic:pic>
              </a:graphicData>
            </a:graphic>
          </wp:inline>
        </w:drawing>
      </w:r>
    </w:p>
    <w:p w14:paraId="256E09BA" w14:textId="77777777" w:rsidR="004379FD" w:rsidRDefault="004379FD" w:rsidP="004379FD">
      <w:pPr>
        <w:pStyle w:val="SNormalText"/>
        <w:spacing w:after="120" w:line="259" w:lineRule="auto"/>
        <w:rPr>
          <w:b/>
          <w:bCs/>
        </w:rPr>
      </w:pPr>
      <w:r w:rsidRPr="00185CBB">
        <w:rPr>
          <w:b/>
          <w:bCs/>
        </w:rPr>
        <w:t>Visi</w:t>
      </w:r>
      <w:r>
        <w:rPr>
          <w:b/>
          <w:bCs/>
        </w:rPr>
        <w:t>t 3 – Visit 4 (unregulated flow</w:t>
      </w:r>
      <w:r w:rsidRPr="00185CBB">
        <w:rPr>
          <w:b/>
          <w:bCs/>
        </w:rPr>
        <w:t>)</w:t>
      </w:r>
    </w:p>
    <w:p w14:paraId="0977DBCC" w14:textId="77777777" w:rsidR="004379FD" w:rsidRPr="00185CBB" w:rsidRDefault="004379FD" w:rsidP="004379FD">
      <w:pPr>
        <w:pStyle w:val="SNormalText"/>
        <w:spacing w:after="120" w:line="259" w:lineRule="auto"/>
        <w:ind w:right="447"/>
      </w:pPr>
      <w:r>
        <w:rPr>
          <w:bCs/>
        </w:rPr>
        <w:t>We predicted that t</w:t>
      </w:r>
      <w:r w:rsidRPr="00185CBB">
        <w:t xml:space="preserve">he </w:t>
      </w:r>
      <w:r>
        <w:t xml:space="preserve">unregulated </w:t>
      </w:r>
      <w:r w:rsidRPr="00185CBB">
        <w:t xml:space="preserve">flows during period </w:t>
      </w:r>
      <w:r>
        <w:t>v</w:t>
      </w:r>
      <w:r w:rsidRPr="00185CBB">
        <w:t>3-</w:t>
      </w:r>
      <w:r>
        <w:t>v</w:t>
      </w:r>
      <w:r w:rsidRPr="00185CBB">
        <w:t xml:space="preserve">4 </w:t>
      </w:r>
      <w:r>
        <w:t>(Figure 9.20)</w:t>
      </w:r>
      <w:r w:rsidRPr="00185CBB">
        <w:t xml:space="preserve"> </w:t>
      </w:r>
      <w:r>
        <w:t>would</w:t>
      </w:r>
      <w:r w:rsidRPr="00185CBB">
        <w:t xml:space="preserve"> lead to areas of mass-failure, due the rapid receding limb of the first event (which reached &gt;3,000 </w:t>
      </w:r>
      <w:r>
        <w:t>ML/day). H</w:t>
      </w:r>
      <w:r w:rsidRPr="00185CBB">
        <w:t xml:space="preserve">owever, this hypothesis largely depends on a) whether bank sediment is submerged long enough to reach saturation, and b) the stability of banks in these zones of inundation following the summer </w:t>
      </w:r>
      <w:r>
        <w:t>operational flows</w:t>
      </w:r>
      <w:r w:rsidRPr="00185CBB">
        <w:t>. It was expected that deposition would be high in response to erosion in areas above.</w:t>
      </w:r>
    </w:p>
    <w:p w14:paraId="5637CF90" w14:textId="61A27755" w:rsidR="004379FD" w:rsidRPr="00185CBB" w:rsidRDefault="004379FD" w:rsidP="004379FD">
      <w:pPr>
        <w:spacing w:after="120" w:line="259" w:lineRule="auto"/>
        <w:ind w:right="447"/>
        <w:rPr>
          <w:rFonts w:asciiTheme="minorHAnsi" w:eastAsia="Times New Roman" w:hAnsiTheme="minorHAnsi" w:cstheme="minorHAnsi"/>
          <w:color w:val="000000"/>
          <w:lang w:eastAsia="en-AU"/>
        </w:rPr>
      </w:pPr>
      <w:r>
        <w:rPr>
          <w:rFonts w:asciiTheme="minorHAnsi" w:eastAsia="Times New Roman" w:hAnsiTheme="minorHAnsi" w:cstheme="minorHAnsi"/>
          <w:bCs/>
          <w:color w:val="000000"/>
          <w:lang w:eastAsia="en-AU"/>
        </w:rPr>
        <w:t>There were</w:t>
      </w:r>
      <w:r w:rsidRPr="00185CBB">
        <w:rPr>
          <w:rFonts w:asciiTheme="minorHAnsi" w:eastAsia="Times New Roman" w:hAnsiTheme="minorHAnsi" w:cstheme="minorHAnsi"/>
          <w:bCs/>
          <w:color w:val="000000"/>
          <w:lang w:eastAsia="en-AU"/>
        </w:rPr>
        <w:t xml:space="preserve"> relatively low levels of erosion and deposition in comparison to other monitored periods</w:t>
      </w:r>
      <w:r>
        <w:rPr>
          <w:rFonts w:asciiTheme="minorHAnsi" w:eastAsia="Times New Roman" w:hAnsiTheme="minorHAnsi" w:cstheme="minorHAnsi"/>
          <w:bCs/>
          <w:color w:val="000000"/>
          <w:lang w:eastAsia="en-AU"/>
        </w:rPr>
        <w:t xml:space="preserve"> (Figure </w:t>
      </w:r>
      <w:r w:rsidR="00BA1828">
        <w:rPr>
          <w:rFonts w:asciiTheme="minorHAnsi" w:eastAsia="Times New Roman" w:hAnsiTheme="minorHAnsi" w:cstheme="minorHAnsi"/>
          <w:bCs/>
          <w:color w:val="000000"/>
          <w:lang w:eastAsia="en-AU"/>
        </w:rPr>
        <w:t>9.</w:t>
      </w:r>
      <w:r>
        <w:rPr>
          <w:rFonts w:asciiTheme="minorHAnsi" w:eastAsia="Times New Roman" w:hAnsiTheme="minorHAnsi" w:cstheme="minorHAnsi"/>
          <w:bCs/>
          <w:color w:val="000000"/>
          <w:lang w:eastAsia="en-AU"/>
        </w:rPr>
        <w:t>2</w:t>
      </w:r>
      <w:r w:rsidR="00BA1828">
        <w:rPr>
          <w:rFonts w:asciiTheme="minorHAnsi" w:eastAsia="Times New Roman" w:hAnsiTheme="minorHAnsi" w:cstheme="minorHAnsi"/>
          <w:bCs/>
          <w:color w:val="000000"/>
          <w:lang w:eastAsia="en-AU"/>
        </w:rPr>
        <w:t>1</w:t>
      </w:r>
      <w:r>
        <w:rPr>
          <w:rFonts w:asciiTheme="minorHAnsi" w:eastAsia="Times New Roman" w:hAnsiTheme="minorHAnsi" w:cstheme="minorHAnsi"/>
          <w:bCs/>
          <w:color w:val="000000"/>
          <w:lang w:eastAsia="en-AU"/>
        </w:rPr>
        <w:t>)</w:t>
      </w:r>
      <w:r w:rsidRPr="00185CBB">
        <w:rPr>
          <w:rFonts w:asciiTheme="minorHAnsi" w:eastAsia="Times New Roman" w:hAnsiTheme="minorHAnsi" w:cstheme="minorHAnsi"/>
          <w:bCs/>
          <w:color w:val="000000"/>
          <w:lang w:eastAsia="en-AU"/>
        </w:rPr>
        <w:t>, however, deposition relative to erosion was higher than any other period (</w:t>
      </w:r>
      <w:r w:rsidRPr="00685C45">
        <w:rPr>
          <w:rFonts w:asciiTheme="minorHAnsi" w:eastAsia="Times New Roman" w:hAnsiTheme="minorHAnsi" w:cstheme="minorHAnsi"/>
          <w:bCs/>
          <w:color w:val="000000"/>
          <w:lang w:eastAsia="en-AU"/>
        </w:rPr>
        <w:fldChar w:fldCharType="begin"/>
      </w:r>
      <w:r w:rsidRPr="00685C45">
        <w:rPr>
          <w:rFonts w:asciiTheme="minorHAnsi" w:eastAsia="Times New Roman" w:hAnsiTheme="minorHAnsi" w:cstheme="minorHAnsi"/>
          <w:bCs/>
          <w:color w:val="000000"/>
          <w:lang w:eastAsia="en-AU"/>
        </w:rPr>
        <w:instrText xml:space="preserve"> REF _Ref52364704 \h  \* MERGEFORMAT </w:instrText>
      </w:r>
      <w:r w:rsidRPr="00685C45">
        <w:rPr>
          <w:rFonts w:asciiTheme="minorHAnsi" w:eastAsia="Times New Roman" w:hAnsiTheme="minorHAnsi" w:cstheme="minorHAnsi"/>
          <w:bCs/>
          <w:color w:val="000000"/>
          <w:lang w:eastAsia="en-AU"/>
        </w:rPr>
      </w:r>
      <w:r w:rsidRPr="00685C45">
        <w:rPr>
          <w:rFonts w:asciiTheme="minorHAnsi" w:eastAsia="Times New Roman" w:hAnsiTheme="minorHAnsi" w:cstheme="minorHAnsi"/>
          <w:bCs/>
          <w:color w:val="000000"/>
          <w:lang w:eastAsia="en-AU"/>
        </w:rPr>
        <w:fldChar w:fldCharType="separate"/>
      </w:r>
      <w:r w:rsidR="000A6D80" w:rsidRPr="000A6D80">
        <w:rPr>
          <w:rFonts w:asciiTheme="minorHAnsi" w:hAnsiTheme="minorHAnsi" w:cstheme="minorHAnsi"/>
        </w:rPr>
        <w:t>Table</w:t>
      </w:r>
      <w:r w:rsidRPr="00685C45">
        <w:rPr>
          <w:rFonts w:asciiTheme="minorHAnsi" w:eastAsia="Times New Roman" w:hAnsiTheme="minorHAnsi" w:cstheme="minorHAnsi"/>
          <w:bCs/>
          <w:color w:val="000000"/>
          <w:lang w:eastAsia="en-AU"/>
        </w:rPr>
        <w:fldChar w:fldCharType="end"/>
      </w:r>
      <w:r w:rsidRPr="00685C45">
        <w:rPr>
          <w:rFonts w:asciiTheme="minorHAnsi" w:eastAsia="Times New Roman" w:hAnsiTheme="minorHAnsi" w:cstheme="minorHAnsi"/>
          <w:bCs/>
          <w:color w:val="000000"/>
          <w:lang w:eastAsia="en-AU"/>
        </w:rPr>
        <w:t>.4).</w:t>
      </w:r>
      <w:r w:rsidRPr="00185CBB">
        <w:rPr>
          <w:rFonts w:asciiTheme="minorHAnsi" w:eastAsia="Times New Roman" w:hAnsiTheme="minorHAnsi" w:cstheme="minorHAnsi"/>
          <w:bCs/>
          <w:color w:val="000000"/>
          <w:lang w:eastAsia="en-AU"/>
        </w:rPr>
        <w:t xml:space="preserve"> Erosion (&lt;20cms) was expressed primarily, beneath the notch (</w:t>
      </w:r>
      <w:r w:rsidRPr="00185CBB">
        <w:rPr>
          <w:rFonts w:asciiTheme="minorHAnsi" w:eastAsia="Symbol" w:hAnsiTheme="minorHAnsi" w:cstheme="minorHAnsi"/>
          <w:color w:val="000000"/>
          <w:lang w:eastAsia="en-AU"/>
        </w:rPr>
        <w:t xml:space="preserve">flow zone between 1,500 – 2,000 </w:t>
      </w:r>
      <w:r>
        <w:rPr>
          <w:rFonts w:asciiTheme="minorHAnsi" w:eastAsia="Symbol" w:hAnsiTheme="minorHAnsi" w:cstheme="minorHAnsi"/>
          <w:color w:val="000000"/>
          <w:lang w:eastAsia="en-AU"/>
        </w:rPr>
        <w:t>ML/day: Figure 9.22</w:t>
      </w:r>
      <w:r w:rsidRPr="00185CBB">
        <w:rPr>
          <w:rFonts w:asciiTheme="minorHAnsi" w:eastAsia="Symbol" w:hAnsiTheme="minorHAnsi" w:cstheme="minorHAnsi"/>
          <w:color w:val="000000"/>
          <w:lang w:eastAsia="en-AU"/>
        </w:rPr>
        <w:t>)</w:t>
      </w:r>
      <w:r w:rsidRPr="00185CBB">
        <w:rPr>
          <w:rFonts w:asciiTheme="minorHAnsi" w:eastAsia="Times New Roman" w:hAnsiTheme="minorHAnsi" w:cstheme="minorHAnsi"/>
          <w:bCs/>
          <w:color w:val="000000"/>
          <w:lang w:eastAsia="en-AU"/>
        </w:rPr>
        <w:t xml:space="preserve"> in addition to above and below. Deposition was present primarily beneath the notch</w:t>
      </w:r>
      <w:r>
        <w:rPr>
          <w:rFonts w:asciiTheme="minorHAnsi" w:eastAsia="Times New Roman" w:hAnsiTheme="minorHAnsi" w:cstheme="minorHAnsi"/>
          <w:bCs/>
          <w:color w:val="000000"/>
          <w:lang w:eastAsia="en-AU"/>
        </w:rPr>
        <w:t xml:space="preserve">, but also with high diversity </w:t>
      </w:r>
      <w:r w:rsidRPr="00185CBB">
        <w:rPr>
          <w:rFonts w:asciiTheme="minorHAnsi" w:eastAsia="Times New Roman" w:hAnsiTheme="minorHAnsi" w:cstheme="minorHAnsi"/>
          <w:bCs/>
          <w:color w:val="000000"/>
          <w:lang w:eastAsia="en-AU"/>
        </w:rPr>
        <w:t xml:space="preserve">both laterally and </w:t>
      </w:r>
      <w:r>
        <w:rPr>
          <w:rFonts w:asciiTheme="minorHAnsi" w:eastAsia="Times New Roman" w:hAnsiTheme="minorHAnsi" w:cstheme="minorHAnsi"/>
          <w:bCs/>
          <w:color w:val="000000"/>
          <w:lang w:eastAsia="en-AU"/>
        </w:rPr>
        <w:t>vertically across the bank face</w:t>
      </w:r>
      <w:r w:rsidRPr="00185CBB">
        <w:rPr>
          <w:rFonts w:asciiTheme="minorHAnsi" w:eastAsia="Times New Roman" w:hAnsiTheme="minorHAnsi" w:cstheme="minorHAnsi"/>
          <w:bCs/>
          <w:color w:val="000000"/>
          <w:lang w:eastAsia="en-AU"/>
        </w:rPr>
        <w:t xml:space="preserve">. </w:t>
      </w:r>
      <w:r w:rsidRPr="00185CBB">
        <w:rPr>
          <w:rFonts w:asciiTheme="minorHAnsi" w:eastAsia="Times New Roman" w:hAnsiTheme="minorHAnsi" w:cstheme="minorHAnsi"/>
          <w:color w:val="000000"/>
          <w:lang w:eastAsia="en-AU"/>
        </w:rPr>
        <w:t>The patterns of change evident within the DEMODs (</w:t>
      </w:r>
      <w:r>
        <w:rPr>
          <w:rFonts w:asciiTheme="minorHAnsi" w:eastAsia="Times New Roman" w:hAnsiTheme="minorHAnsi" w:cstheme="minorHAnsi"/>
          <w:color w:val="000000"/>
          <w:lang w:eastAsia="en-AU"/>
        </w:rPr>
        <w:t>Figure 9.21 and 9.22)</w:t>
      </w:r>
      <w:r w:rsidRPr="00185CBB">
        <w:rPr>
          <w:rFonts w:asciiTheme="minorHAnsi" w:eastAsia="Times New Roman" w:hAnsiTheme="minorHAnsi" w:cstheme="minorHAnsi"/>
          <w:color w:val="000000"/>
          <w:lang w:eastAsia="en-AU"/>
        </w:rPr>
        <w:t xml:space="preserve"> are relative to the large fluctuations of discharge experienced during the unregulated flow events.</w:t>
      </w:r>
    </w:p>
    <w:p w14:paraId="3622B8D4"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1232C3F8" wp14:editId="4094B219">
            <wp:extent cx="5332566" cy="1784350"/>
            <wp:effectExtent l="19050" t="19050" r="20955" b="25400"/>
            <wp:docPr id="497" name="Picture 32">
              <a:extLst xmlns:a="http://schemas.openxmlformats.org/drawingml/2006/main">
                <a:ext uri="{FF2B5EF4-FFF2-40B4-BE49-F238E27FC236}">
                  <a16:creationId xmlns:a16="http://schemas.microsoft.com/office/drawing/2014/main" id="{6E225009-B813-44B7-BBC6-CCFD6BD40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6E225009-B813-44B7-BBC6-CCFD6BD400BC}"/>
                        </a:ext>
                      </a:extLst>
                    </pic:cNvPr>
                    <pic:cNvPicPr>
                      <a:picLocks noChangeAspect="1"/>
                    </pic:cNvPicPr>
                  </pic:nvPicPr>
                  <pic:blipFill>
                    <a:blip r:embed="rId140" cstate="email">
                      <a:extLst>
                        <a:ext uri="{28A0092B-C50C-407E-A947-70E740481C1C}">
                          <a14:useLocalDpi xmlns:a14="http://schemas.microsoft.com/office/drawing/2010/main"/>
                        </a:ext>
                      </a:extLst>
                    </a:blip>
                    <a:stretch>
                      <a:fillRect/>
                    </a:stretch>
                  </pic:blipFill>
                  <pic:spPr>
                    <a:xfrm>
                      <a:off x="0" y="0"/>
                      <a:ext cx="5336659" cy="1785720"/>
                    </a:xfrm>
                    <a:prstGeom prst="rect">
                      <a:avLst/>
                    </a:prstGeom>
                    <a:ln w="3175">
                      <a:solidFill>
                        <a:schemeClr val="tx1"/>
                      </a:solidFill>
                    </a:ln>
                  </pic:spPr>
                </pic:pic>
              </a:graphicData>
            </a:graphic>
          </wp:inline>
        </w:drawing>
      </w:r>
    </w:p>
    <w:p w14:paraId="6D197DF8" w14:textId="2BB32963" w:rsidR="004379FD" w:rsidRPr="00BF0FC1" w:rsidRDefault="004379FD" w:rsidP="000B3BA9">
      <w:pPr>
        <w:pStyle w:val="captions"/>
        <w:rPr>
          <w:i/>
          <w:iCs/>
        </w:rPr>
      </w:pPr>
      <w:bookmarkStart w:id="96" w:name="_Ref49081965"/>
      <w:bookmarkStart w:id="97" w:name="_Toc52433906"/>
      <w:r w:rsidRPr="00BF0FC1">
        <w:t xml:space="preserve">Figure </w:t>
      </w:r>
      <w:r w:rsidR="00AD6D18">
        <w:t>9</w:t>
      </w:r>
      <w:r w:rsidRPr="00BF0FC1">
        <w:t>.</w:t>
      </w:r>
      <w:bookmarkEnd w:id="96"/>
      <w:r>
        <w:t>20</w:t>
      </w:r>
      <w:r w:rsidRPr="00BF0FC1">
        <w:t xml:space="preserve"> </w:t>
      </w:r>
      <w:r w:rsidRPr="000B3BA9">
        <w:rPr>
          <w:b w:val="0"/>
        </w:rPr>
        <w:t>Hydrology detailed between v3-v4 (unregulated flow events). Histogram and hydrograph.</w:t>
      </w:r>
      <w:bookmarkEnd w:id="97"/>
    </w:p>
    <w:p w14:paraId="060294F3"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23813AFB" wp14:editId="16481537">
            <wp:extent cx="4870450" cy="2038793"/>
            <wp:effectExtent l="0" t="0" r="635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4906575" cy="2053915"/>
                    </a:xfrm>
                    <a:prstGeom prst="rect">
                      <a:avLst/>
                    </a:prstGeom>
                  </pic:spPr>
                </pic:pic>
              </a:graphicData>
            </a:graphic>
          </wp:inline>
        </w:drawing>
      </w:r>
    </w:p>
    <w:p w14:paraId="2C18D983" w14:textId="373C4D06" w:rsidR="004379FD" w:rsidRPr="00BF0FC1" w:rsidRDefault="004379FD" w:rsidP="00AD6D18">
      <w:pPr>
        <w:pStyle w:val="captions"/>
        <w:spacing w:before="0"/>
      </w:pPr>
      <w:bookmarkStart w:id="98" w:name="_Ref52364533"/>
      <w:bookmarkStart w:id="99" w:name="_Toc52433904"/>
      <w:r w:rsidRPr="00BF0FC1">
        <w:t xml:space="preserve">Figure </w:t>
      </w:r>
      <w:r w:rsidR="00AD6D18">
        <w:t>9</w:t>
      </w:r>
      <w:r w:rsidRPr="00BF0FC1">
        <w:t>.</w:t>
      </w:r>
      <w:bookmarkEnd w:id="98"/>
      <w:r>
        <w:t xml:space="preserve">21 </w:t>
      </w:r>
      <w:r w:rsidRPr="00E249CE">
        <w:rPr>
          <w:b w:val="0"/>
        </w:rPr>
        <w:t>DEMOD comparing Edward/Kolety River DS Site v3 to v4 (Left bank).</w:t>
      </w:r>
      <w:bookmarkEnd w:id="99"/>
    </w:p>
    <w:p w14:paraId="505D4903" w14:textId="77777777" w:rsidR="004379FD" w:rsidRPr="00185CBB" w:rsidRDefault="004379FD" w:rsidP="00AD6D18">
      <w:pPr>
        <w:pStyle w:val="BodyText1"/>
        <w:spacing w:after="0" w:line="240" w:lineRule="auto"/>
      </w:pPr>
      <w:r w:rsidRPr="00185CBB">
        <w:rPr>
          <w:noProof/>
          <w:lang w:eastAsia="en-AU" w:bidi="ar-SA"/>
        </w:rPr>
        <w:drawing>
          <wp:inline distT="0" distB="0" distL="0" distR="0" wp14:anchorId="05A67BC4" wp14:editId="2935E499">
            <wp:extent cx="4895850" cy="209822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4919897" cy="2108527"/>
                    </a:xfrm>
                    <a:prstGeom prst="rect">
                      <a:avLst/>
                    </a:prstGeom>
                  </pic:spPr>
                </pic:pic>
              </a:graphicData>
            </a:graphic>
          </wp:inline>
        </w:drawing>
      </w:r>
    </w:p>
    <w:p w14:paraId="25C6CA70" w14:textId="4F592B04" w:rsidR="004379FD" w:rsidRPr="00BF0FC1" w:rsidRDefault="004379FD" w:rsidP="00AD6D18">
      <w:pPr>
        <w:pStyle w:val="captions"/>
        <w:spacing w:before="0"/>
      </w:pPr>
      <w:bookmarkStart w:id="100" w:name="_Ref52364534"/>
      <w:bookmarkStart w:id="101" w:name="_Toc52433905"/>
      <w:r w:rsidRPr="00BF0FC1">
        <w:t xml:space="preserve">Figure </w:t>
      </w:r>
      <w:bookmarkEnd w:id="100"/>
      <w:r w:rsidR="00AD6D18">
        <w:t>9</w:t>
      </w:r>
      <w:r w:rsidRPr="00BF0FC1">
        <w:t>.22</w:t>
      </w:r>
      <w:r>
        <w:t xml:space="preserve"> </w:t>
      </w:r>
      <w:r w:rsidRPr="00E249CE">
        <w:rPr>
          <w:b w:val="0"/>
        </w:rPr>
        <w:t>DEMOD comparing Edward/Kolety River DS Site v3 to v4 (Right bank).</w:t>
      </w:r>
      <w:bookmarkEnd w:id="101"/>
    </w:p>
    <w:p w14:paraId="5650F610" w14:textId="666299A6" w:rsidR="004379FD" w:rsidRPr="00BF0FC1" w:rsidRDefault="004379FD" w:rsidP="00E249CE">
      <w:pPr>
        <w:pStyle w:val="captions"/>
      </w:pPr>
      <w:bookmarkStart w:id="102" w:name="_Ref52364704"/>
      <w:bookmarkStart w:id="103" w:name="_Toc52433875"/>
      <w:r w:rsidRPr="00685C45">
        <w:t>Table</w:t>
      </w:r>
      <w:bookmarkEnd w:id="102"/>
      <w:r w:rsidR="00AD6D18">
        <w:t xml:space="preserve"> 9</w:t>
      </w:r>
      <w:r w:rsidRPr="00685C45">
        <w:t>.4</w:t>
      </w:r>
      <w:r>
        <w:t xml:space="preserve"> </w:t>
      </w:r>
      <w:r w:rsidRPr="00E249CE">
        <w:rPr>
          <w:b w:val="0"/>
        </w:rPr>
        <w:t>Volume change output from Edward/Kolety River DS Site v3 to v4 DEMOD</w:t>
      </w:r>
      <w:bookmarkEnd w:id="103"/>
    </w:p>
    <w:tbl>
      <w:tblPr>
        <w:tblStyle w:val="LightList"/>
        <w:tblW w:w="0" w:type="auto"/>
        <w:jc w:val="center"/>
        <w:tblLook w:val="04A0" w:firstRow="1" w:lastRow="0" w:firstColumn="1" w:lastColumn="0" w:noHBand="0" w:noVBand="1"/>
      </w:tblPr>
      <w:tblGrid>
        <w:gridCol w:w="1885"/>
        <w:gridCol w:w="1006"/>
        <w:gridCol w:w="1286"/>
        <w:gridCol w:w="1481"/>
        <w:gridCol w:w="1421"/>
        <w:gridCol w:w="1416"/>
        <w:gridCol w:w="1117"/>
      </w:tblGrid>
      <w:tr w:rsidR="004379FD" w:rsidRPr="00185CBB" w14:paraId="20B64659" w14:textId="77777777" w:rsidTr="004379FD">
        <w:trPr>
          <w:cnfStyle w:val="100000000000" w:firstRow="1" w:lastRow="0"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885" w:type="dxa"/>
            <w:shd w:val="clear" w:color="auto" w:fill="92CDDC"/>
          </w:tcPr>
          <w:p w14:paraId="7AFCB9AC" w14:textId="77777777" w:rsidR="004379FD" w:rsidRPr="00185CBB" w:rsidRDefault="004379FD" w:rsidP="004379FD">
            <w:pPr>
              <w:pStyle w:val="SNormalText"/>
              <w:spacing w:line="259" w:lineRule="auto"/>
              <w:rPr>
                <w:b w:val="0"/>
                <w:bCs w:val="0"/>
                <w:color w:val="auto"/>
                <w:sz w:val="20"/>
                <w:szCs w:val="20"/>
                <w:lang w:val="en-AU"/>
              </w:rPr>
            </w:pPr>
            <w:r>
              <w:rPr>
                <w:b w:val="0"/>
                <w:bCs w:val="0"/>
                <w:color w:val="auto"/>
                <w:sz w:val="20"/>
                <w:szCs w:val="20"/>
                <w:lang w:val="en-AU"/>
              </w:rPr>
              <w:t>DEMOD comparison and</w:t>
            </w:r>
            <w:r w:rsidRPr="00185CBB">
              <w:rPr>
                <w:b w:val="0"/>
                <w:bCs w:val="0"/>
                <w:color w:val="auto"/>
                <w:sz w:val="20"/>
                <w:szCs w:val="20"/>
                <w:lang w:val="en-AU"/>
              </w:rPr>
              <w:t xml:space="preserve"> bank side </w:t>
            </w:r>
          </w:p>
        </w:tc>
        <w:tc>
          <w:tcPr>
            <w:tcW w:w="1006" w:type="dxa"/>
            <w:shd w:val="clear" w:color="auto" w:fill="92CDDC"/>
          </w:tcPr>
          <w:p w14:paraId="4C6BF0F9"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AU"/>
              </w:rPr>
            </w:pPr>
            <w:r w:rsidRPr="00185CBB">
              <w:rPr>
                <w:b w:val="0"/>
                <w:bCs w:val="0"/>
                <w:color w:val="auto"/>
                <w:sz w:val="20"/>
                <w:szCs w:val="20"/>
                <w:lang w:val="en-AU"/>
              </w:rPr>
              <w:t>Bank area (m</w:t>
            </w:r>
            <w:r w:rsidRPr="00054C79">
              <w:rPr>
                <w:b w:val="0"/>
                <w:bCs w:val="0"/>
                <w:color w:val="auto"/>
                <w:sz w:val="20"/>
                <w:szCs w:val="20"/>
                <w:vertAlign w:val="superscript"/>
                <w:lang w:val="en-AU"/>
              </w:rPr>
              <w:t>2</w:t>
            </w:r>
            <w:r w:rsidRPr="00185CBB">
              <w:rPr>
                <w:b w:val="0"/>
                <w:bCs w:val="0"/>
                <w:color w:val="auto"/>
                <w:sz w:val="20"/>
                <w:szCs w:val="20"/>
                <w:lang w:val="en-AU"/>
              </w:rPr>
              <w:t>)</w:t>
            </w:r>
          </w:p>
        </w:tc>
        <w:tc>
          <w:tcPr>
            <w:tcW w:w="1286" w:type="dxa"/>
            <w:shd w:val="clear" w:color="auto" w:fill="92CDDC"/>
          </w:tcPr>
          <w:p w14:paraId="6408531A"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AU"/>
              </w:rPr>
            </w:pPr>
            <w:r w:rsidRPr="00185CBB">
              <w:rPr>
                <w:b w:val="0"/>
                <w:bCs w:val="0"/>
                <w:color w:val="auto"/>
                <w:sz w:val="20"/>
                <w:szCs w:val="20"/>
                <w:lang w:val="en-AU"/>
              </w:rPr>
              <w:t>Total Erosion (m</w:t>
            </w:r>
            <w:r w:rsidRPr="00054C79">
              <w:rPr>
                <w:b w:val="0"/>
                <w:bCs w:val="0"/>
                <w:color w:val="auto"/>
                <w:sz w:val="20"/>
                <w:szCs w:val="20"/>
                <w:vertAlign w:val="superscript"/>
                <w:lang w:val="en-AU"/>
              </w:rPr>
              <w:t>3</w:t>
            </w:r>
            <w:r w:rsidRPr="00185CBB">
              <w:rPr>
                <w:b w:val="0"/>
                <w:bCs w:val="0"/>
                <w:color w:val="auto"/>
                <w:sz w:val="20"/>
                <w:szCs w:val="20"/>
                <w:lang w:val="en-AU"/>
              </w:rPr>
              <w:t xml:space="preserve">) </w:t>
            </w:r>
          </w:p>
        </w:tc>
        <w:tc>
          <w:tcPr>
            <w:tcW w:w="1481" w:type="dxa"/>
            <w:shd w:val="clear" w:color="auto" w:fill="92CDDC"/>
          </w:tcPr>
          <w:p w14:paraId="2E68F3B3"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AU"/>
              </w:rPr>
            </w:pPr>
            <w:r w:rsidRPr="00185CBB">
              <w:rPr>
                <w:b w:val="0"/>
                <w:bCs w:val="0"/>
                <w:color w:val="auto"/>
                <w:sz w:val="20"/>
                <w:szCs w:val="20"/>
                <w:lang w:val="en-AU"/>
              </w:rPr>
              <w:t>Total Deposition (m</w:t>
            </w:r>
            <w:r w:rsidRPr="00054C79">
              <w:rPr>
                <w:b w:val="0"/>
                <w:bCs w:val="0"/>
                <w:color w:val="auto"/>
                <w:sz w:val="20"/>
                <w:szCs w:val="20"/>
                <w:vertAlign w:val="superscript"/>
                <w:lang w:val="en-AU"/>
              </w:rPr>
              <w:t>3</w:t>
            </w:r>
            <w:r w:rsidRPr="00185CBB">
              <w:rPr>
                <w:b w:val="0"/>
                <w:bCs w:val="0"/>
                <w:color w:val="auto"/>
                <w:sz w:val="20"/>
                <w:szCs w:val="20"/>
                <w:lang w:val="en-AU"/>
              </w:rPr>
              <w:t>)</w:t>
            </w:r>
          </w:p>
        </w:tc>
        <w:tc>
          <w:tcPr>
            <w:tcW w:w="1421" w:type="dxa"/>
            <w:shd w:val="clear" w:color="auto" w:fill="92CDDC"/>
          </w:tcPr>
          <w:p w14:paraId="0B59D90C"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vertAlign w:val="superscript"/>
                <w:lang w:val="en-AU"/>
              </w:rPr>
            </w:pPr>
            <w:r w:rsidRPr="00185CBB">
              <w:rPr>
                <w:b w:val="0"/>
                <w:bCs w:val="0"/>
                <w:color w:val="auto"/>
                <w:sz w:val="20"/>
                <w:szCs w:val="20"/>
                <w:lang w:val="en-AU"/>
              </w:rPr>
              <w:t>Tot erosion (cm</w:t>
            </w:r>
            <w:r w:rsidRPr="00054C79">
              <w:rPr>
                <w:b w:val="0"/>
                <w:bCs w:val="0"/>
                <w:color w:val="auto"/>
                <w:sz w:val="20"/>
                <w:szCs w:val="20"/>
                <w:vertAlign w:val="superscript"/>
                <w:lang w:val="en-AU"/>
              </w:rPr>
              <w:t>3</w:t>
            </w:r>
            <w:r w:rsidRPr="00185CBB">
              <w:rPr>
                <w:b w:val="0"/>
                <w:bCs w:val="0"/>
                <w:color w:val="auto"/>
                <w:sz w:val="20"/>
                <w:szCs w:val="20"/>
                <w:lang w:val="en-AU"/>
              </w:rPr>
              <w:t>) per m</w:t>
            </w:r>
            <w:r w:rsidRPr="00054C79">
              <w:rPr>
                <w:b w:val="0"/>
                <w:bCs w:val="0"/>
                <w:color w:val="auto"/>
                <w:sz w:val="20"/>
                <w:szCs w:val="20"/>
                <w:vertAlign w:val="superscript"/>
                <w:lang w:val="en-AU"/>
              </w:rPr>
              <w:t>2</w:t>
            </w:r>
            <w:r w:rsidRPr="00185CBB">
              <w:rPr>
                <w:b w:val="0"/>
                <w:bCs w:val="0"/>
                <w:color w:val="auto"/>
                <w:sz w:val="20"/>
                <w:szCs w:val="20"/>
                <w:lang w:val="en-AU"/>
              </w:rPr>
              <w:t xml:space="preserve"> of bank</w:t>
            </w:r>
          </w:p>
        </w:tc>
        <w:tc>
          <w:tcPr>
            <w:tcW w:w="1416" w:type="dxa"/>
            <w:shd w:val="clear" w:color="auto" w:fill="92CDDC"/>
          </w:tcPr>
          <w:p w14:paraId="10E84B9F"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AU"/>
              </w:rPr>
            </w:pPr>
            <w:r w:rsidRPr="00185CBB">
              <w:rPr>
                <w:b w:val="0"/>
                <w:bCs w:val="0"/>
                <w:color w:val="auto"/>
                <w:sz w:val="20"/>
                <w:szCs w:val="20"/>
                <w:lang w:val="en-AU"/>
              </w:rPr>
              <w:t>Tot depos (cm</w:t>
            </w:r>
            <w:r w:rsidRPr="00054C79">
              <w:rPr>
                <w:b w:val="0"/>
                <w:bCs w:val="0"/>
                <w:color w:val="auto"/>
                <w:sz w:val="20"/>
                <w:szCs w:val="20"/>
                <w:vertAlign w:val="superscript"/>
                <w:lang w:val="en-AU"/>
              </w:rPr>
              <w:t>3</w:t>
            </w:r>
            <w:r w:rsidRPr="00185CBB">
              <w:rPr>
                <w:b w:val="0"/>
                <w:bCs w:val="0"/>
                <w:color w:val="auto"/>
                <w:sz w:val="20"/>
                <w:szCs w:val="20"/>
                <w:lang w:val="en-AU"/>
              </w:rPr>
              <w:t>) per m</w:t>
            </w:r>
            <w:r w:rsidRPr="00054C79">
              <w:rPr>
                <w:b w:val="0"/>
                <w:bCs w:val="0"/>
                <w:color w:val="auto"/>
                <w:sz w:val="20"/>
                <w:szCs w:val="20"/>
                <w:vertAlign w:val="superscript"/>
                <w:lang w:val="en-AU"/>
              </w:rPr>
              <w:t>2</w:t>
            </w:r>
            <w:r w:rsidRPr="00185CBB">
              <w:rPr>
                <w:b w:val="0"/>
                <w:bCs w:val="0"/>
                <w:color w:val="auto"/>
                <w:sz w:val="20"/>
                <w:szCs w:val="20"/>
                <w:lang w:val="en-AU"/>
              </w:rPr>
              <w:t xml:space="preserve"> of bank</w:t>
            </w:r>
          </w:p>
        </w:tc>
        <w:tc>
          <w:tcPr>
            <w:tcW w:w="1117" w:type="dxa"/>
            <w:shd w:val="clear" w:color="auto" w:fill="92CDDC"/>
          </w:tcPr>
          <w:p w14:paraId="3AA9D752" w14:textId="77777777" w:rsidR="004379FD" w:rsidRPr="00185CBB" w:rsidRDefault="004379FD" w:rsidP="004379FD">
            <w:pPr>
              <w:pStyle w:val="SNormalText"/>
              <w:spacing w:line="259"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AU"/>
              </w:rPr>
            </w:pPr>
            <w:r>
              <w:rPr>
                <w:b w:val="0"/>
                <w:bCs w:val="0"/>
                <w:color w:val="auto"/>
                <w:sz w:val="20"/>
                <w:szCs w:val="20"/>
                <w:lang w:val="en-AU"/>
              </w:rPr>
              <w:t xml:space="preserve">Erosion as </w:t>
            </w:r>
            <w:r w:rsidRPr="00185CBB">
              <w:rPr>
                <w:b w:val="0"/>
                <w:bCs w:val="0"/>
                <w:color w:val="auto"/>
                <w:sz w:val="20"/>
                <w:szCs w:val="20"/>
                <w:lang w:val="en-AU"/>
              </w:rPr>
              <w:t>% of depos</w:t>
            </w:r>
          </w:p>
        </w:tc>
      </w:tr>
      <w:tr w:rsidR="004379FD" w:rsidRPr="00185CBB" w14:paraId="57D974DA" w14:textId="77777777" w:rsidTr="004379FD">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85" w:type="dxa"/>
          </w:tcPr>
          <w:p w14:paraId="0BB58AD8" w14:textId="77777777" w:rsidR="004379FD" w:rsidRPr="00185CBB" w:rsidRDefault="004379FD" w:rsidP="004379FD">
            <w:pPr>
              <w:pStyle w:val="SNormalText"/>
              <w:spacing w:line="259" w:lineRule="auto"/>
              <w:rPr>
                <w:b w:val="0"/>
                <w:bCs w:val="0"/>
                <w:sz w:val="20"/>
                <w:szCs w:val="20"/>
                <w:lang w:val="en-AU"/>
              </w:rPr>
            </w:pPr>
            <w:r w:rsidRPr="00185CBB">
              <w:rPr>
                <w:b w:val="0"/>
                <w:bCs w:val="0"/>
                <w:sz w:val="20"/>
                <w:szCs w:val="20"/>
                <w:lang w:val="en-AU"/>
              </w:rPr>
              <w:t>V3 – V4: Left bank</w:t>
            </w:r>
          </w:p>
        </w:tc>
        <w:tc>
          <w:tcPr>
            <w:tcW w:w="1006" w:type="dxa"/>
          </w:tcPr>
          <w:p w14:paraId="4E9C3106"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144.48</w:t>
            </w:r>
          </w:p>
        </w:tc>
        <w:tc>
          <w:tcPr>
            <w:tcW w:w="1286" w:type="dxa"/>
          </w:tcPr>
          <w:p w14:paraId="591181A1"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1.25</w:t>
            </w:r>
          </w:p>
        </w:tc>
        <w:tc>
          <w:tcPr>
            <w:tcW w:w="1481" w:type="dxa"/>
          </w:tcPr>
          <w:p w14:paraId="0FA6DE26"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2.92</w:t>
            </w:r>
          </w:p>
        </w:tc>
        <w:tc>
          <w:tcPr>
            <w:tcW w:w="1421" w:type="dxa"/>
          </w:tcPr>
          <w:p w14:paraId="0FA5176C"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0.87</w:t>
            </w:r>
          </w:p>
        </w:tc>
        <w:tc>
          <w:tcPr>
            <w:tcW w:w="1416" w:type="dxa"/>
          </w:tcPr>
          <w:p w14:paraId="4B8045E0"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2.06</w:t>
            </w:r>
          </w:p>
        </w:tc>
        <w:tc>
          <w:tcPr>
            <w:tcW w:w="1117" w:type="dxa"/>
          </w:tcPr>
          <w:p w14:paraId="130592B2"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-26%*</w:t>
            </w:r>
          </w:p>
        </w:tc>
      </w:tr>
      <w:tr w:rsidR="004379FD" w:rsidRPr="00185CBB" w14:paraId="0455E2A4" w14:textId="77777777" w:rsidTr="004379FD">
        <w:trPr>
          <w:trHeight w:val="236"/>
          <w:jc w:val="center"/>
        </w:trPr>
        <w:tc>
          <w:tcPr>
            <w:cnfStyle w:val="001000000000" w:firstRow="0" w:lastRow="0" w:firstColumn="1" w:lastColumn="0" w:oddVBand="0" w:evenVBand="0" w:oddHBand="0" w:evenHBand="0" w:firstRowFirstColumn="0" w:firstRowLastColumn="0" w:lastRowFirstColumn="0" w:lastRowLastColumn="0"/>
            <w:tcW w:w="1885" w:type="dxa"/>
          </w:tcPr>
          <w:p w14:paraId="4C64C642" w14:textId="77777777" w:rsidR="004379FD" w:rsidRPr="00185CBB" w:rsidRDefault="004379FD" w:rsidP="004379FD">
            <w:pPr>
              <w:pStyle w:val="SNormalText"/>
              <w:spacing w:line="259" w:lineRule="auto"/>
              <w:rPr>
                <w:b w:val="0"/>
                <w:bCs w:val="0"/>
                <w:sz w:val="20"/>
                <w:szCs w:val="20"/>
                <w:lang w:val="en-AU"/>
              </w:rPr>
            </w:pPr>
            <w:r w:rsidRPr="00185CBB">
              <w:rPr>
                <w:b w:val="0"/>
                <w:bCs w:val="0"/>
                <w:sz w:val="20"/>
                <w:szCs w:val="20"/>
                <w:lang w:val="en-AU"/>
              </w:rPr>
              <w:t>V3 –V4: Right bank</w:t>
            </w:r>
          </w:p>
        </w:tc>
        <w:tc>
          <w:tcPr>
            <w:tcW w:w="1006" w:type="dxa"/>
          </w:tcPr>
          <w:p w14:paraId="51169D81"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181.46</w:t>
            </w:r>
          </w:p>
        </w:tc>
        <w:tc>
          <w:tcPr>
            <w:tcW w:w="1286" w:type="dxa"/>
          </w:tcPr>
          <w:p w14:paraId="6BA53B4C"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0.94</w:t>
            </w:r>
          </w:p>
        </w:tc>
        <w:tc>
          <w:tcPr>
            <w:tcW w:w="1481" w:type="dxa"/>
          </w:tcPr>
          <w:p w14:paraId="3CE0BFDB"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1.74</w:t>
            </w:r>
          </w:p>
        </w:tc>
        <w:tc>
          <w:tcPr>
            <w:tcW w:w="1421" w:type="dxa"/>
          </w:tcPr>
          <w:p w14:paraId="152D081B"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0.52</w:t>
            </w:r>
          </w:p>
        </w:tc>
        <w:tc>
          <w:tcPr>
            <w:tcW w:w="1416" w:type="dxa"/>
          </w:tcPr>
          <w:p w14:paraId="7B9CBB96"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1.02</w:t>
            </w:r>
          </w:p>
        </w:tc>
        <w:tc>
          <w:tcPr>
            <w:tcW w:w="1117" w:type="dxa"/>
          </w:tcPr>
          <w:p w14:paraId="46D56A25" w14:textId="77777777" w:rsidR="004379FD" w:rsidRPr="00185CBB" w:rsidRDefault="004379FD" w:rsidP="004379FD">
            <w:pPr>
              <w:pStyle w:val="SNormalText"/>
              <w:spacing w:line="259" w:lineRule="auto"/>
              <w:cnfStyle w:val="000000000000" w:firstRow="0" w:lastRow="0" w:firstColumn="0" w:lastColumn="0" w:oddVBand="0" w:evenVBand="0" w:oddHBand="0" w:evenHBand="0" w:firstRowFirstColumn="0" w:firstRowLastColumn="0" w:lastRowFirstColumn="0" w:lastRowLastColumn="0"/>
              <w:rPr>
                <w:sz w:val="20"/>
                <w:szCs w:val="20"/>
                <w:lang w:val="en-AU"/>
              </w:rPr>
            </w:pPr>
            <w:r w:rsidRPr="00185CBB">
              <w:rPr>
                <w:sz w:val="20"/>
                <w:szCs w:val="20"/>
                <w:lang w:val="en-AU"/>
              </w:rPr>
              <w:t>-55%*</w:t>
            </w:r>
          </w:p>
        </w:tc>
      </w:tr>
      <w:tr w:rsidR="004379FD" w:rsidRPr="00185CBB" w14:paraId="136AFE0A" w14:textId="77777777" w:rsidTr="004379FD">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1885" w:type="dxa"/>
          </w:tcPr>
          <w:p w14:paraId="6DE44ED8" w14:textId="77777777" w:rsidR="004379FD" w:rsidRPr="00185CBB" w:rsidRDefault="004379FD" w:rsidP="004379FD">
            <w:pPr>
              <w:pStyle w:val="SNormalText"/>
              <w:spacing w:line="259" w:lineRule="auto"/>
              <w:rPr>
                <w:b w:val="0"/>
                <w:bCs w:val="0"/>
                <w:sz w:val="20"/>
                <w:szCs w:val="20"/>
                <w:lang w:val="en-AU"/>
              </w:rPr>
            </w:pPr>
            <w:r w:rsidRPr="00185CBB">
              <w:rPr>
                <w:b w:val="0"/>
                <w:bCs w:val="0"/>
                <w:sz w:val="20"/>
                <w:szCs w:val="20"/>
                <w:lang w:val="en-AU"/>
              </w:rPr>
              <w:t xml:space="preserve">V3 – V4: Total </w:t>
            </w:r>
          </w:p>
        </w:tc>
        <w:tc>
          <w:tcPr>
            <w:tcW w:w="1006" w:type="dxa"/>
          </w:tcPr>
          <w:p w14:paraId="6AB1A72F"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325.94</w:t>
            </w:r>
          </w:p>
        </w:tc>
        <w:tc>
          <w:tcPr>
            <w:tcW w:w="1286" w:type="dxa"/>
          </w:tcPr>
          <w:p w14:paraId="3C679383"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2.19</w:t>
            </w:r>
          </w:p>
        </w:tc>
        <w:tc>
          <w:tcPr>
            <w:tcW w:w="1481" w:type="dxa"/>
          </w:tcPr>
          <w:p w14:paraId="6C92CF78"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2.19*</w:t>
            </w:r>
          </w:p>
        </w:tc>
        <w:tc>
          <w:tcPr>
            <w:tcW w:w="1421" w:type="dxa"/>
          </w:tcPr>
          <w:p w14:paraId="572E285A"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0.67</w:t>
            </w:r>
          </w:p>
        </w:tc>
        <w:tc>
          <w:tcPr>
            <w:tcW w:w="1416" w:type="dxa"/>
          </w:tcPr>
          <w:p w14:paraId="20CEE4FB"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0.67*</w:t>
            </w:r>
          </w:p>
        </w:tc>
        <w:tc>
          <w:tcPr>
            <w:tcW w:w="1117" w:type="dxa"/>
          </w:tcPr>
          <w:p w14:paraId="3C333452" w14:textId="77777777" w:rsidR="004379FD" w:rsidRPr="00185CBB" w:rsidRDefault="004379FD" w:rsidP="004379FD">
            <w:pPr>
              <w:pStyle w:val="SNormalText"/>
              <w:spacing w:line="259" w:lineRule="auto"/>
              <w:cnfStyle w:val="000000100000" w:firstRow="0" w:lastRow="0" w:firstColumn="0" w:lastColumn="0" w:oddVBand="0" w:evenVBand="0" w:oddHBand="1" w:evenHBand="0" w:firstRowFirstColumn="0" w:firstRowLastColumn="0" w:lastRowFirstColumn="0" w:lastRowLastColumn="0"/>
              <w:rPr>
                <w:sz w:val="20"/>
                <w:szCs w:val="20"/>
                <w:lang w:val="en-AU"/>
              </w:rPr>
            </w:pPr>
            <w:r w:rsidRPr="00185CBB">
              <w:rPr>
                <w:sz w:val="20"/>
                <w:szCs w:val="20"/>
                <w:lang w:val="en-AU"/>
              </w:rPr>
              <w:t>0%*</w:t>
            </w:r>
          </w:p>
        </w:tc>
      </w:tr>
    </w:tbl>
    <w:p w14:paraId="0AA08DB8" w14:textId="77777777" w:rsidR="004379FD" w:rsidRDefault="004379FD" w:rsidP="004379FD">
      <w:pPr>
        <w:pStyle w:val="SNormalText"/>
        <w:ind w:right="-149"/>
        <w:rPr>
          <w:i/>
          <w:iCs/>
          <w:sz w:val="20"/>
          <w:szCs w:val="20"/>
        </w:rPr>
      </w:pPr>
      <w:r w:rsidRPr="00BF0FC1">
        <w:rPr>
          <w:i/>
          <w:iCs/>
          <w:sz w:val="20"/>
          <w:szCs w:val="20"/>
        </w:rPr>
        <w:t xml:space="preserve">*Deposition </w:t>
      </w:r>
      <w:r>
        <w:rPr>
          <w:i/>
          <w:iCs/>
          <w:sz w:val="20"/>
          <w:szCs w:val="20"/>
        </w:rPr>
        <w:t>results</w:t>
      </w:r>
      <w:r w:rsidRPr="00BF0FC1">
        <w:rPr>
          <w:i/>
          <w:iCs/>
          <w:sz w:val="20"/>
          <w:szCs w:val="20"/>
        </w:rPr>
        <w:t xml:space="preserve"> </w:t>
      </w:r>
      <w:r>
        <w:rPr>
          <w:i/>
          <w:iCs/>
          <w:sz w:val="20"/>
          <w:szCs w:val="20"/>
        </w:rPr>
        <w:t>were</w:t>
      </w:r>
      <w:r w:rsidRPr="00BF0FC1">
        <w:rPr>
          <w:i/>
          <w:iCs/>
          <w:sz w:val="20"/>
          <w:szCs w:val="20"/>
        </w:rPr>
        <w:t xml:space="preserve"> distorted as a result of vegetation and slight mod</w:t>
      </w:r>
      <w:r>
        <w:rPr>
          <w:i/>
          <w:iCs/>
          <w:sz w:val="20"/>
          <w:szCs w:val="20"/>
        </w:rPr>
        <w:t>el miss-alignment in this DEMOD.</w:t>
      </w:r>
      <w:r w:rsidRPr="00BF0FC1">
        <w:rPr>
          <w:i/>
          <w:iCs/>
          <w:sz w:val="20"/>
          <w:szCs w:val="20"/>
        </w:rPr>
        <w:t xml:space="preserve"> </w:t>
      </w:r>
      <w:r>
        <w:rPr>
          <w:i/>
          <w:iCs/>
          <w:sz w:val="20"/>
          <w:szCs w:val="20"/>
        </w:rPr>
        <w:t>D</w:t>
      </w:r>
      <w:r w:rsidRPr="00BF0FC1">
        <w:rPr>
          <w:i/>
          <w:iCs/>
          <w:sz w:val="20"/>
          <w:szCs w:val="20"/>
        </w:rPr>
        <w:t xml:space="preserve">eposition numbers </w:t>
      </w:r>
      <w:r>
        <w:rPr>
          <w:i/>
          <w:iCs/>
          <w:sz w:val="20"/>
          <w:szCs w:val="20"/>
        </w:rPr>
        <w:t>were</w:t>
      </w:r>
      <w:r w:rsidRPr="00BF0FC1">
        <w:rPr>
          <w:i/>
          <w:iCs/>
          <w:sz w:val="20"/>
          <w:szCs w:val="20"/>
        </w:rPr>
        <w:t xml:space="preserve"> cautiously reduced to be in</w:t>
      </w:r>
      <w:r>
        <w:rPr>
          <w:i/>
          <w:iCs/>
          <w:sz w:val="20"/>
          <w:szCs w:val="20"/>
        </w:rPr>
        <w:t>-line with erosion;</w:t>
      </w:r>
      <w:r w:rsidRPr="00BF0FC1">
        <w:rPr>
          <w:i/>
          <w:iCs/>
          <w:sz w:val="20"/>
          <w:szCs w:val="20"/>
        </w:rPr>
        <w:t xml:space="preserve"> therefore this site is net </w:t>
      </w:r>
      <w:r>
        <w:rPr>
          <w:i/>
          <w:iCs/>
          <w:sz w:val="20"/>
          <w:szCs w:val="20"/>
        </w:rPr>
        <w:t>neutral (erosion = deposition).</w:t>
      </w:r>
    </w:p>
    <w:p w14:paraId="4C697547" w14:textId="77777777" w:rsidR="004379FD" w:rsidRDefault="004379FD" w:rsidP="004379FD">
      <w:pPr>
        <w:pStyle w:val="SNormalText"/>
        <w:spacing w:line="259" w:lineRule="auto"/>
        <w:rPr>
          <w:b/>
          <w:bCs/>
        </w:rPr>
      </w:pPr>
    </w:p>
    <w:p w14:paraId="04C50FCB" w14:textId="77777777" w:rsidR="004379FD" w:rsidRPr="00185CBB" w:rsidRDefault="004379FD" w:rsidP="004379FD">
      <w:pPr>
        <w:pStyle w:val="SNormalText"/>
        <w:spacing w:line="259" w:lineRule="auto"/>
        <w:rPr>
          <w:b/>
          <w:bCs/>
        </w:rPr>
      </w:pPr>
      <w:r>
        <w:rPr>
          <w:b/>
          <w:bCs/>
        </w:rPr>
        <w:t>Visit 1 – Visit 3 (SCF</w:t>
      </w:r>
      <w:r w:rsidRPr="00185CBB">
        <w:rPr>
          <w:b/>
          <w:bCs/>
        </w:rPr>
        <w:t xml:space="preserve"> &gt; </w:t>
      </w:r>
      <w:r>
        <w:rPr>
          <w:b/>
          <w:bCs/>
        </w:rPr>
        <w:t>operational</w:t>
      </w:r>
      <w:r w:rsidRPr="00185CBB">
        <w:rPr>
          <w:b/>
          <w:bCs/>
        </w:rPr>
        <w:t xml:space="preserve"> flow events)</w:t>
      </w:r>
    </w:p>
    <w:p w14:paraId="4E58CD08" w14:textId="39287D0C" w:rsidR="004379FD" w:rsidRPr="00185CBB" w:rsidRDefault="004379FD" w:rsidP="00AD6D18">
      <w:pPr>
        <w:spacing w:after="120" w:line="259" w:lineRule="auto"/>
        <w:ind w:right="305"/>
        <w:jc w:val="left"/>
        <w:rPr>
          <w:rFonts w:asciiTheme="minorHAnsi" w:eastAsia="Times New Roman" w:hAnsiTheme="minorHAnsi" w:cstheme="minorHAnsi"/>
          <w:bCs/>
          <w:color w:val="000000"/>
          <w:lang w:eastAsia="en-AU"/>
        </w:rPr>
      </w:pPr>
      <w:r>
        <w:rPr>
          <w:rFonts w:asciiTheme="minorHAnsi" w:eastAsia="Times New Roman" w:hAnsiTheme="minorHAnsi" w:cstheme="minorHAnsi"/>
          <w:color w:val="000000"/>
          <w:lang w:eastAsia="en-AU"/>
        </w:rPr>
        <w:t>It was</w:t>
      </w:r>
      <w:r w:rsidRPr="00185CBB">
        <w:rPr>
          <w:rFonts w:asciiTheme="minorHAnsi" w:eastAsia="Times New Roman" w:hAnsiTheme="minorHAnsi" w:cstheme="minorHAnsi"/>
          <w:bCs/>
          <w:color w:val="000000"/>
          <w:lang w:eastAsia="en-AU"/>
        </w:rPr>
        <w:t xml:space="preserve"> expected that due to the long period of inundation between 2,300-2,850 </w:t>
      </w:r>
      <w:r>
        <w:rPr>
          <w:rFonts w:asciiTheme="minorHAnsi" w:eastAsia="Times New Roman" w:hAnsiTheme="minorHAnsi" w:cstheme="minorHAnsi"/>
          <w:bCs/>
          <w:color w:val="000000"/>
          <w:lang w:eastAsia="en-AU"/>
        </w:rPr>
        <w:t>ML/day</w:t>
      </w:r>
      <w:r w:rsidRPr="00185CBB">
        <w:rPr>
          <w:rFonts w:asciiTheme="minorHAnsi" w:eastAsia="Times New Roman" w:hAnsiTheme="minorHAnsi" w:cstheme="minorHAnsi"/>
          <w:bCs/>
          <w:color w:val="000000"/>
          <w:lang w:eastAsia="en-AU"/>
        </w:rPr>
        <w:t xml:space="preserve"> (relating to the </w:t>
      </w:r>
      <w:r>
        <w:rPr>
          <w:rFonts w:asciiTheme="minorHAnsi" w:eastAsia="Times New Roman" w:hAnsiTheme="minorHAnsi" w:cstheme="minorHAnsi"/>
          <w:bCs/>
          <w:color w:val="000000"/>
          <w:lang w:eastAsia="en-AU"/>
        </w:rPr>
        <w:t>operational</w:t>
      </w:r>
      <w:r w:rsidRPr="00185CBB">
        <w:rPr>
          <w:rFonts w:asciiTheme="minorHAnsi" w:eastAsia="Times New Roman" w:hAnsiTheme="minorHAnsi" w:cstheme="minorHAnsi"/>
          <w:bCs/>
          <w:color w:val="000000"/>
          <w:lang w:eastAsia="en-AU"/>
        </w:rPr>
        <w:t xml:space="preserve"> flow event</w:t>
      </w:r>
      <w:r w:rsidR="00AD6D18">
        <w:rPr>
          <w:rFonts w:asciiTheme="minorHAnsi" w:eastAsia="Times New Roman" w:hAnsiTheme="minorHAnsi" w:cstheme="minorHAnsi"/>
          <w:bCs/>
          <w:color w:val="000000"/>
          <w:lang w:eastAsia="en-AU"/>
        </w:rPr>
        <w:t xml:space="preserve"> (Figure 9.23</w:t>
      </w:r>
      <w:r w:rsidRPr="00185CBB">
        <w:rPr>
          <w:rFonts w:asciiTheme="minorHAnsi" w:eastAsia="Times New Roman" w:hAnsiTheme="minorHAnsi" w:cstheme="minorHAnsi"/>
          <w:bCs/>
          <w:color w:val="000000"/>
          <w:lang w:eastAsia="en-AU"/>
        </w:rPr>
        <w:t>) that erosion would be hi</w:t>
      </w:r>
      <w:r>
        <w:rPr>
          <w:rFonts w:asciiTheme="minorHAnsi" w:eastAsia="Times New Roman" w:hAnsiTheme="minorHAnsi" w:cstheme="minorHAnsi"/>
          <w:bCs/>
          <w:color w:val="000000"/>
          <w:lang w:eastAsia="en-AU"/>
        </w:rPr>
        <w:t xml:space="preserve">gher than all other comparisons, </w:t>
      </w:r>
      <w:r w:rsidRPr="00185CBB">
        <w:rPr>
          <w:rFonts w:asciiTheme="minorHAnsi" w:eastAsia="Times New Roman" w:hAnsiTheme="minorHAnsi" w:cstheme="minorHAnsi"/>
          <w:bCs/>
          <w:color w:val="000000"/>
          <w:lang w:eastAsia="en-AU"/>
        </w:rPr>
        <w:t xml:space="preserve">and evident in a specific area </w:t>
      </w:r>
      <w:r>
        <w:rPr>
          <w:rFonts w:asciiTheme="minorHAnsi" w:eastAsia="Times New Roman" w:hAnsiTheme="minorHAnsi" w:cstheme="minorHAnsi"/>
          <w:bCs/>
          <w:color w:val="000000"/>
          <w:lang w:eastAsia="en-AU"/>
        </w:rPr>
        <w:t xml:space="preserve">below and just above the notch </w:t>
      </w:r>
      <w:r w:rsidRPr="00185CBB">
        <w:rPr>
          <w:rFonts w:asciiTheme="minorHAnsi" w:eastAsia="Times New Roman" w:hAnsiTheme="minorHAnsi" w:cstheme="minorHAnsi"/>
          <w:bCs/>
          <w:color w:val="000000"/>
          <w:lang w:eastAsia="en-AU"/>
        </w:rPr>
        <w:t>due to the destabilisation of bank i</w:t>
      </w:r>
      <w:r>
        <w:rPr>
          <w:rFonts w:asciiTheme="minorHAnsi" w:eastAsia="Times New Roman" w:hAnsiTheme="minorHAnsi" w:cstheme="minorHAnsi"/>
          <w:bCs/>
          <w:color w:val="000000"/>
          <w:lang w:eastAsia="en-AU"/>
        </w:rPr>
        <w:t>n response to a deepening notch.</w:t>
      </w:r>
    </w:p>
    <w:p w14:paraId="1F19B5FC" w14:textId="1EA7F358" w:rsidR="00AD6D18" w:rsidRPr="00685C45" w:rsidRDefault="004379FD" w:rsidP="00AD6D18">
      <w:pPr>
        <w:spacing w:line="259" w:lineRule="auto"/>
        <w:ind w:right="305"/>
        <w:jc w:val="left"/>
        <w:rPr>
          <w:rFonts w:asciiTheme="minorHAnsi" w:eastAsia="Times New Roman" w:hAnsiTheme="minorHAnsi" w:cstheme="minorHAnsi"/>
          <w:bCs/>
          <w:color w:val="000000"/>
          <w:lang w:eastAsia="en-AU"/>
        </w:rPr>
      </w:pPr>
      <w:r w:rsidRPr="00185CBB">
        <w:rPr>
          <w:rFonts w:asciiTheme="minorHAnsi" w:hAnsiTheme="minorHAnsi" w:cstheme="minorHAnsi"/>
        </w:rPr>
        <w:t>These DEMODs (</w:t>
      </w:r>
      <w:r w:rsidRPr="00054C79">
        <w:rPr>
          <w:rFonts w:asciiTheme="minorHAnsi" w:hAnsiTheme="minorHAnsi" w:cstheme="minorHAnsi"/>
        </w:rPr>
        <w:fldChar w:fldCharType="begin"/>
      </w:r>
      <w:r w:rsidRPr="00054C79">
        <w:rPr>
          <w:rFonts w:asciiTheme="minorHAnsi" w:hAnsiTheme="minorHAnsi" w:cstheme="minorHAnsi"/>
        </w:rPr>
        <w:instrText xml:space="preserve"> REF _Ref52364585 \h  \* MERGEFORMAT </w:instrText>
      </w:r>
      <w:r w:rsidRPr="00054C79">
        <w:rPr>
          <w:rFonts w:asciiTheme="minorHAnsi" w:hAnsiTheme="minorHAnsi" w:cstheme="minorHAnsi"/>
        </w:rPr>
      </w:r>
      <w:r w:rsidRPr="00054C79">
        <w:rPr>
          <w:rFonts w:asciiTheme="minorHAnsi" w:hAnsiTheme="minorHAnsi" w:cstheme="minorHAnsi"/>
        </w:rPr>
        <w:fldChar w:fldCharType="separate"/>
      </w:r>
      <w:r w:rsidR="000A6D80" w:rsidRPr="000A6D80">
        <w:rPr>
          <w:rFonts w:asciiTheme="minorHAnsi" w:hAnsiTheme="minorHAnsi" w:cstheme="minorHAnsi"/>
        </w:rPr>
        <w:t xml:space="preserve">Figure </w:t>
      </w:r>
      <w:r w:rsidRPr="00054C79">
        <w:rPr>
          <w:rFonts w:asciiTheme="minorHAnsi" w:hAnsiTheme="minorHAnsi" w:cstheme="minorHAnsi"/>
        </w:rPr>
        <w:fldChar w:fldCharType="end"/>
      </w:r>
      <w:r w:rsidR="00F61293">
        <w:rPr>
          <w:rFonts w:asciiTheme="minorHAnsi" w:hAnsiTheme="minorHAnsi" w:cstheme="minorHAnsi"/>
        </w:rPr>
        <w:t>9</w:t>
      </w:r>
      <w:r>
        <w:rPr>
          <w:rFonts w:asciiTheme="minorHAnsi" w:hAnsiTheme="minorHAnsi" w:cstheme="minorHAnsi"/>
        </w:rPr>
        <w:t>.24</w:t>
      </w:r>
      <w:r w:rsidRPr="00054C79">
        <w:rPr>
          <w:rFonts w:asciiTheme="minorHAnsi" w:hAnsiTheme="minorHAnsi" w:cstheme="minorHAnsi"/>
        </w:rPr>
        <w:t xml:space="preserve"> and 9.25) compare visits 1-3 and should give more clarity on the true impact of the </w:t>
      </w:r>
      <w:r>
        <w:rPr>
          <w:rFonts w:asciiTheme="minorHAnsi" w:hAnsiTheme="minorHAnsi" w:cstheme="minorHAnsi"/>
        </w:rPr>
        <w:t>operational</w:t>
      </w:r>
      <w:r w:rsidRPr="00054C79">
        <w:rPr>
          <w:rFonts w:asciiTheme="minorHAnsi" w:hAnsiTheme="minorHAnsi" w:cstheme="minorHAnsi"/>
        </w:rPr>
        <w:t xml:space="preserve"> flow period (</w:t>
      </w:r>
      <w:r>
        <w:rPr>
          <w:rFonts w:asciiTheme="minorHAnsi" w:hAnsiTheme="minorHAnsi" w:cstheme="minorHAnsi"/>
        </w:rPr>
        <w:t>v2 - v</w:t>
      </w:r>
      <w:r w:rsidRPr="00054C79">
        <w:rPr>
          <w:rFonts w:asciiTheme="minorHAnsi" w:hAnsiTheme="minorHAnsi" w:cstheme="minorHAnsi"/>
        </w:rPr>
        <w:t xml:space="preserve">3) due to the available </w:t>
      </w:r>
      <w:r>
        <w:rPr>
          <w:rFonts w:asciiTheme="minorHAnsi" w:hAnsiTheme="minorHAnsi" w:cstheme="minorHAnsi"/>
        </w:rPr>
        <w:t xml:space="preserve">bank face that can be analysed  because </w:t>
      </w:r>
      <w:r w:rsidRPr="00054C79">
        <w:rPr>
          <w:rFonts w:asciiTheme="minorHAnsi" w:hAnsiTheme="minorHAnsi" w:cstheme="minorHAnsi"/>
        </w:rPr>
        <w:t xml:space="preserve">water levels were considerably lower for these visits. </w:t>
      </w:r>
      <w:r w:rsidRPr="00054C79">
        <w:rPr>
          <w:rFonts w:asciiTheme="minorHAnsi" w:hAnsiTheme="minorHAnsi" w:cstheme="minorHAnsi"/>
          <w:color w:val="000000" w:themeColor="text1"/>
        </w:rPr>
        <w:t xml:space="preserve">With water level on visit 1 at 2,200 ML/day the entire impact of the prolonged </w:t>
      </w:r>
      <w:r>
        <w:rPr>
          <w:rFonts w:asciiTheme="minorHAnsi" w:hAnsiTheme="minorHAnsi" w:cstheme="minorHAnsi"/>
          <w:color w:val="000000" w:themeColor="text1"/>
        </w:rPr>
        <w:t>operational</w:t>
      </w:r>
      <w:r w:rsidRPr="00054C79">
        <w:rPr>
          <w:rFonts w:asciiTheme="minorHAnsi" w:hAnsiTheme="minorHAnsi" w:cstheme="minorHAnsi"/>
          <w:color w:val="000000" w:themeColor="text1"/>
        </w:rPr>
        <w:t xml:space="preserve"> flow events can be </w:t>
      </w:r>
      <w:r>
        <w:rPr>
          <w:rFonts w:asciiTheme="minorHAnsi" w:hAnsiTheme="minorHAnsi" w:cstheme="minorHAnsi"/>
          <w:color w:val="000000" w:themeColor="text1"/>
        </w:rPr>
        <w:t>recorded,</w:t>
      </w:r>
      <w:r w:rsidRPr="00054C79">
        <w:rPr>
          <w:rFonts w:asciiTheme="minorHAnsi" w:hAnsiTheme="minorHAnsi" w:cstheme="minorHAnsi"/>
          <w:color w:val="000000" w:themeColor="text1"/>
        </w:rPr>
        <w:t xml:space="preserve"> which adds up to 111 days as illustrated in the histogram (</w:t>
      </w:r>
      <w:r w:rsidR="00BA1828">
        <w:rPr>
          <w:rFonts w:asciiTheme="minorHAnsi" w:hAnsiTheme="minorHAnsi" w:cstheme="minorHAnsi"/>
          <w:color w:val="000000" w:themeColor="text1"/>
        </w:rPr>
        <w:t>Figure 9.23</w:t>
      </w:r>
      <w:r w:rsidRPr="00054C79">
        <w:rPr>
          <w:rFonts w:asciiTheme="minorHAnsi" w:hAnsiTheme="minorHAnsi" w:cstheme="minorHAnsi"/>
          <w:color w:val="000000" w:themeColor="text1"/>
        </w:rPr>
        <w:t xml:space="preserve">). </w:t>
      </w:r>
      <w:r w:rsidRPr="00054C79">
        <w:rPr>
          <w:rFonts w:asciiTheme="minorHAnsi" w:eastAsia="Times New Roman" w:hAnsiTheme="minorHAnsi" w:cstheme="minorHAnsi"/>
          <w:bCs/>
          <w:color w:val="000000"/>
          <w:lang w:eastAsia="en-AU"/>
        </w:rPr>
        <w:t>Erosion is expressed extensively and deeply (&gt;40cms) below and above the notch resulting in significant loss of 2.31 (cm</w:t>
      </w:r>
      <w:r w:rsidRPr="00054C79">
        <w:rPr>
          <w:rFonts w:asciiTheme="minorHAnsi" w:eastAsia="Times New Roman" w:hAnsiTheme="minorHAnsi" w:cstheme="minorHAnsi"/>
          <w:bCs/>
          <w:color w:val="000000"/>
          <w:vertAlign w:val="superscript"/>
          <w:lang w:eastAsia="en-AU"/>
        </w:rPr>
        <w:t>3</w:t>
      </w:r>
      <w:r w:rsidRPr="00054C79">
        <w:rPr>
          <w:rFonts w:asciiTheme="minorHAnsi" w:eastAsia="Times New Roman" w:hAnsiTheme="minorHAnsi" w:cstheme="minorHAnsi"/>
          <w:bCs/>
          <w:color w:val="000000"/>
          <w:lang w:eastAsia="en-AU"/>
        </w:rPr>
        <w:t>/m</w:t>
      </w:r>
      <w:r w:rsidRPr="00054C79">
        <w:rPr>
          <w:rFonts w:asciiTheme="minorHAnsi" w:eastAsia="Times New Roman" w:hAnsiTheme="minorHAnsi" w:cstheme="minorHAnsi"/>
          <w:bCs/>
          <w:color w:val="000000"/>
          <w:vertAlign w:val="superscript"/>
          <w:lang w:eastAsia="en-AU"/>
        </w:rPr>
        <w:t>2</w:t>
      </w:r>
      <w:r w:rsidRPr="00054C79">
        <w:rPr>
          <w:rFonts w:asciiTheme="minorHAnsi" w:eastAsia="Times New Roman" w:hAnsiTheme="minorHAnsi" w:cstheme="minorHAnsi"/>
          <w:bCs/>
          <w:color w:val="000000"/>
          <w:lang w:eastAsia="en-AU"/>
        </w:rPr>
        <w:t>) which was &gt;50% vs deposition</w:t>
      </w:r>
      <w:r w:rsidRPr="00185CBB">
        <w:rPr>
          <w:rFonts w:asciiTheme="minorHAnsi" w:eastAsia="Times New Roman" w:hAnsiTheme="minorHAnsi" w:cstheme="minorHAnsi"/>
          <w:bCs/>
          <w:color w:val="000000"/>
          <w:lang w:eastAsia="en-AU"/>
        </w:rPr>
        <w:t xml:space="preserve">, resulting in net erosion of -1.49 which is &gt;140% higher than </w:t>
      </w:r>
      <w:r>
        <w:rPr>
          <w:rFonts w:asciiTheme="minorHAnsi" w:eastAsia="Times New Roman" w:hAnsiTheme="minorHAnsi" w:cstheme="minorHAnsi"/>
          <w:bCs/>
          <w:color w:val="000000"/>
          <w:lang w:eastAsia="en-AU"/>
        </w:rPr>
        <w:t xml:space="preserve">that observed during </w:t>
      </w:r>
      <w:r w:rsidRPr="00185CBB">
        <w:rPr>
          <w:rFonts w:asciiTheme="minorHAnsi" w:eastAsia="Times New Roman" w:hAnsiTheme="minorHAnsi" w:cstheme="minorHAnsi"/>
          <w:bCs/>
          <w:color w:val="000000"/>
          <w:lang w:eastAsia="en-AU"/>
        </w:rPr>
        <w:t xml:space="preserve">the </w:t>
      </w:r>
      <w:r>
        <w:rPr>
          <w:rFonts w:asciiTheme="minorHAnsi" w:eastAsia="Times New Roman" w:hAnsiTheme="minorHAnsi" w:cstheme="minorHAnsi"/>
          <w:bCs/>
          <w:color w:val="000000"/>
          <w:lang w:eastAsia="en-AU"/>
        </w:rPr>
        <w:t>SCF</w:t>
      </w:r>
      <w:r w:rsidRPr="00185CBB">
        <w:rPr>
          <w:rFonts w:asciiTheme="minorHAnsi" w:eastAsia="Times New Roman" w:hAnsiTheme="minorHAnsi" w:cstheme="minorHAnsi"/>
          <w:bCs/>
          <w:color w:val="000000"/>
          <w:lang w:eastAsia="en-AU"/>
        </w:rPr>
        <w:t xml:space="preserve"> alone (</w:t>
      </w:r>
      <w:r w:rsidR="00AD6D18">
        <w:rPr>
          <w:rFonts w:asciiTheme="minorHAnsi" w:eastAsia="Times New Roman" w:hAnsiTheme="minorHAnsi" w:cstheme="minorHAnsi"/>
          <w:bCs/>
          <w:color w:val="000000"/>
          <w:lang w:eastAsia="en-AU"/>
        </w:rPr>
        <w:t>9.5).</w:t>
      </w:r>
    </w:p>
    <w:p w14:paraId="3FBE8333" w14:textId="467B894F" w:rsidR="004379FD" w:rsidRPr="00054C79" w:rsidRDefault="004379FD" w:rsidP="00AD6D18">
      <w:pPr>
        <w:spacing w:line="259" w:lineRule="auto"/>
        <w:ind w:right="305"/>
        <w:jc w:val="left"/>
        <w:rPr>
          <w:rFonts w:asciiTheme="minorHAnsi" w:eastAsia="Times New Roman" w:hAnsiTheme="minorHAnsi" w:cstheme="minorHAnsi"/>
          <w:bCs/>
          <w:color w:val="000000"/>
          <w:lang w:eastAsia="en-AU"/>
        </w:rPr>
      </w:pPr>
      <w:r w:rsidRPr="00185CBB">
        <w:rPr>
          <w:rFonts w:asciiTheme="minorHAnsi" w:eastAsia="Times New Roman" w:hAnsiTheme="minorHAnsi" w:cstheme="minorHAnsi"/>
          <w:bCs/>
          <w:color w:val="000000"/>
          <w:lang w:eastAsia="en-AU"/>
        </w:rPr>
        <w:t xml:space="preserve">Large areas of mass-failure are evident along the bank and shaving beneath the notch is clear and consistent. The erosion zone relates to both the </w:t>
      </w:r>
      <w:r>
        <w:rPr>
          <w:rFonts w:asciiTheme="minorHAnsi" w:eastAsia="Times New Roman" w:hAnsiTheme="minorHAnsi" w:cstheme="minorHAnsi"/>
          <w:bCs/>
          <w:color w:val="000000"/>
          <w:lang w:eastAsia="en-AU"/>
        </w:rPr>
        <w:t>SCF</w:t>
      </w:r>
      <w:r w:rsidRPr="00185CBB">
        <w:rPr>
          <w:rFonts w:asciiTheme="minorHAnsi" w:eastAsia="Times New Roman" w:hAnsiTheme="minorHAnsi" w:cstheme="minorHAnsi"/>
          <w:bCs/>
          <w:color w:val="000000"/>
          <w:lang w:eastAsia="en-AU"/>
        </w:rPr>
        <w:t xml:space="preserve"> peak flows (&gt;3,000 </w:t>
      </w:r>
      <w:r>
        <w:rPr>
          <w:rFonts w:asciiTheme="minorHAnsi" w:eastAsia="Times New Roman" w:hAnsiTheme="minorHAnsi" w:cstheme="minorHAnsi"/>
          <w:bCs/>
          <w:color w:val="000000"/>
          <w:lang w:eastAsia="en-AU"/>
        </w:rPr>
        <w:t>ML/day</w:t>
      </w:r>
      <w:r w:rsidRPr="00185CBB">
        <w:rPr>
          <w:rFonts w:asciiTheme="minorHAnsi" w:eastAsia="Times New Roman" w:hAnsiTheme="minorHAnsi" w:cstheme="minorHAnsi"/>
          <w:bCs/>
          <w:color w:val="000000"/>
          <w:lang w:eastAsia="en-AU"/>
        </w:rPr>
        <w:t xml:space="preserve">) and the prolonged (&gt;90 days) </w:t>
      </w:r>
      <w:r>
        <w:rPr>
          <w:rFonts w:asciiTheme="minorHAnsi" w:eastAsia="Times New Roman" w:hAnsiTheme="minorHAnsi" w:cstheme="minorHAnsi"/>
          <w:bCs/>
          <w:color w:val="000000"/>
          <w:lang w:eastAsia="en-AU"/>
        </w:rPr>
        <w:t>operational</w:t>
      </w:r>
      <w:r w:rsidRPr="00185CBB">
        <w:rPr>
          <w:rFonts w:asciiTheme="minorHAnsi" w:eastAsia="Times New Roman" w:hAnsiTheme="minorHAnsi" w:cstheme="minorHAnsi"/>
          <w:bCs/>
          <w:color w:val="000000"/>
          <w:lang w:eastAsia="en-AU"/>
        </w:rPr>
        <w:t xml:space="preserve"> flow period (2,300-2,800 </w:t>
      </w:r>
      <w:r>
        <w:rPr>
          <w:rFonts w:asciiTheme="minorHAnsi" w:eastAsia="Times New Roman" w:hAnsiTheme="minorHAnsi" w:cstheme="minorHAnsi"/>
          <w:bCs/>
          <w:color w:val="000000"/>
          <w:lang w:eastAsia="en-AU"/>
        </w:rPr>
        <w:t>ML/day</w:t>
      </w:r>
      <w:r w:rsidRPr="00185CBB">
        <w:rPr>
          <w:rFonts w:asciiTheme="minorHAnsi" w:eastAsia="Times New Roman" w:hAnsiTheme="minorHAnsi" w:cstheme="minorHAnsi"/>
          <w:bCs/>
          <w:color w:val="000000"/>
          <w:lang w:eastAsia="en-AU"/>
        </w:rPr>
        <w:t>). Deposition was relatively low and difficult to visualise on the DEMODs (</w:t>
      </w:r>
      <w:r w:rsidRPr="00185CBB">
        <w:rPr>
          <w:rFonts w:asciiTheme="minorHAnsi" w:eastAsia="Times New Roman" w:hAnsiTheme="minorHAnsi" w:cstheme="minorHAnsi"/>
          <w:bCs/>
          <w:color w:val="000000"/>
          <w:lang w:eastAsia="en-AU"/>
        </w:rPr>
        <w:fldChar w:fldCharType="begin"/>
      </w:r>
      <w:r w:rsidRPr="00185CBB">
        <w:rPr>
          <w:rFonts w:asciiTheme="minorHAnsi" w:eastAsia="Times New Roman" w:hAnsiTheme="minorHAnsi" w:cstheme="minorHAnsi"/>
          <w:bCs/>
          <w:color w:val="000000"/>
          <w:lang w:eastAsia="en-AU"/>
        </w:rPr>
        <w:instrText xml:space="preserve"> REF _Ref52364585 \h  \* MERGEFORMAT </w:instrText>
      </w:r>
      <w:r w:rsidRPr="00185CBB">
        <w:rPr>
          <w:rFonts w:asciiTheme="minorHAnsi" w:eastAsia="Times New Roman" w:hAnsiTheme="minorHAnsi" w:cstheme="minorHAnsi"/>
          <w:bCs/>
          <w:color w:val="000000"/>
          <w:lang w:eastAsia="en-AU"/>
        </w:rPr>
      </w:r>
      <w:r w:rsidRPr="00185CBB">
        <w:rPr>
          <w:rFonts w:asciiTheme="minorHAnsi" w:eastAsia="Times New Roman" w:hAnsiTheme="minorHAnsi" w:cstheme="minorHAnsi"/>
          <w:bCs/>
          <w:color w:val="000000"/>
          <w:lang w:eastAsia="en-AU"/>
        </w:rPr>
        <w:fldChar w:fldCharType="separate"/>
      </w:r>
      <w:r w:rsidR="000A6D80" w:rsidRPr="000A6D80">
        <w:rPr>
          <w:rFonts w:asciiTheme="minorHAnsi" w:hAnsiTheme="minorHAnsi" w:cstheme="minorHAnsi"/>
        </w:rPr>
        <w:t xml:space="preserve">Figure </w:t>
      </w:r>
      <w:r w:rsidRPr="00185CBB">
        <w:rPr>
          <w:rFonts w:asciiTheme="minorHAnsi" w:eastAsia="Times New Roman" w:hAnsiTheme="minorHAnsi" w:cstheme="minorHAnsi"/>
          <w:bCs/>
          <w:color w:val="000000"/>
          <w:lang w:eastAsia="en-AU"/>
        </w:rPr>
        <w:fldChar w:fldCharType="end"/>
      </w:r>
      <w:r>
        <w:rPr>
          <w:rFonts w:asciiTheme="minorHAnsi" w:eastAsia="Times New Roman" w:hAnsiTheme="minorHAnsi" w:cstheme="minorHAnsi"/>
          <w:bCs/>
          <w:color w:val="000000"/>
          <w:lang w:eastAsia="en-AU"/>
        </w:rPr>
        <w:t>.24</w:t>
      </w:r>
      <w:r w:rsidRPr="00185CBB">
        <w:rPr>
          <w:rFonts w:asciiTheme="minorHAnsi" w:eastAsia="Times New Roman" w:hAnsiTheme="minorHAnsi" w:cstheme="minorHAnsi"/>
          <w:bCs/>
          <w:color w:val="000000"/>
          <w:lang w:eastAsia="en-AU"/>
        </w:rPr>
        <w:t xml:space="preserve"> </w:t>
      </w:r>
      <w:r>
        <w:rPr>
          <w:rFonts w:asciiTheme="minorHAnsi" w:eastAsia="Times New Roman" w:hAnsiTheme="minorHAnsi" w:cstheme="minorHAnsi"/>
          <w:bCs/>
          <w:color w:val="000000"/>
          <w:lang w:eastAsia="en-AU"/>
        </w:rPr>
        <w:t>and 9.25).</w:t>
      </w:r>
    </w:p>
    <w:p w14:paraId="6A50828E" w14:textId="77777777" w:rsidR="004379FD" w:rsidRPr="00185CBB" w:rsidRDefault="004379FD" w:rsidP="004379FD">
      <w:pPr>
        <w:pStyle w:val="BodyText1"/>
        <w:spacing w:after="0" w:line="240" w:lineRule="auto"/>
      </w:pPr>
      <w:r>
        <w:rPr>
          <w:noProof/>
          <w:lang w:eastAsia="en-AU" w:bidi="ar-SA"/>
        </w:rPr>
        <w:drawing>
          <wp:inline distT="0" distB="0" distL="0" distR="0" wp14:anchorId="53AFB841" wp14:editId="173C8569">
            <wp:extent cx="5740400" cy="1869997"/>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789497" cy="1885991"/>
                    </a:xfrm>
                    <a:prstGeom prst="rect">
                      <a:avLst/>
                    </a:prstGeom>
                    <a:noFill/>
                  </pic:spPr>
                </pic:pic>
              </a:graphicData>
            </a:graphic>
          </wp:inline>
        </w:drawing>
      </w:r>
    </w:p>
    <w:p w14:paraId="2DAD6970" w14:textId="02DF796B" w:rsidR="004379FD" w:rsidRPr="00185CBB" w:rsidRDefault="004379FD" w:rsidP="00E249CE">
      <w:pPr>
        <w:pStyle w:val="captions"/>
        <w:rPr>
          <w:i/>
          <w:iCs/>
        </w:rPr>
      </w:pPr>
      <w:bookmarkStart w:id="104" w:name="_Ref52365312"/>
      <w:bookmarkStart w:id="105" w:name="_Toc52433909"/>
      <w:r w:rsidRPr="00054C79">
        <w:t xml:space="preserve">Figure </w:t>
      </w:r>
      <w:r w:rsidR="00AD6D18">
        <w:t>9</w:t>
      </w:r>
      <w:r w:rsidRPr="00054C79">
        <w:t>.</w:t>
      </w:r>
      <w:bookmarkEnd w:id="104"/>
      <w:r w:rsidR="00AD6D18">
        <w:t>23</w:t>
      </w:r>
      <w:r w:rsidRPr="00054C79">
        <w:t xml:space="preserve"> </w:t>
      </w:r>
      <w:r w:rsidRPr="00E249CE">
        <w:rPr>
          <w:b w:val="0"/>
        </w:rPr>
        <w:t>Hydrology detailed between v1-v3 (SCF and operational flow events). Histogram and hydrograph.</w:t>
      </w:r>
      <w:bookmarkEnd w:id="105"/>
    </w:p>
    <w:p w14:paraId="70B2BE15" w14:textId="77777777" w:rsidR="004379FD" w:rsidRPr="00185CBB" w:rsidRDefault="004379FD" w:rsidP="00E249CE">
      <w:pPr>
        <w:pStyle w:val="BodyText1"/>
        <w:spacing w:after="0" w:line="240" w:lineRule="auto"/>
      </w:pPr>
      <w:r w:rsidRPr="00185CBB">
        <w:rPr>
          <w:noProof/>
          <w:lang w:eastAsia="en-AU" w:bidi="ar-SA"/>
        </w:rPr>
        <w:drawing>
          <wp:inline distT="0" distB="0" distL="0" distR="0" wp14:anchorId="07D6C0EC" wp14:editId="690FB465">
            <wp:extent cx="5162550" cy="2147668"/>
            <wp:effectExtent l="0" t="0" r="0" b="508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5211330" cy="2167961"/>
                    </a:xfrm>
                    <a:prstGeom prst="rect">
                      <a:avLst/>
                    </a:prstGeom>
                  </pic:spPr>
                </pic:pic>
              </a:graphicData>
            </a:graphic>
          </wp:inline>
        </w:drawing>
      </w:r>
    </w:p>
    <w:p w14:paraId="14332803" w14:textId="7E850780" w:rsidR="004379FD" w:rsidRPr="00E249CE" w:rsidRDefault="004379FD" w:rsidP="00E249CE">
      <w:pPr>
        <w:pStyle w:val="captions"/>
        <w:rPr>
          <w:b w:val="0"/>
        </w:rPr>
      </w:pPr>
      <w:bookmarkStart w:id="106" w:name="_Ref52364585"/>
      <w:bookmarkStart w:id="107" w:name="_Toc52433907"/>
      <w:r w:rsidRPr="00054C79">
        <w:t xml:space="preserve">Figure </w:t>
      </w:r>
      <w:bookmarkEnd w:id="106"/>
      <w:r w:rsidR="00AD6D18">
        <w:t>9</w:t>
      </w:r>
      <w:r w:rsidRPr="00054C79">
        <w:t>.24</w:t>
      </w:r>
      <w:r>
        <w:t xml:space="preserve"> </w:t>
      </w:r>
      <w:r w:rsidRPr="00E249CE">
        <w:rPr>
          <w:b w:val="0"/>
        </w:rPr>
        <w:t>DEMOD comparing Edward/Kolety River DS Site v1 to v3 (Left bank).</w:t>
      </w:r>
      <w:bookmarkEnd w:id="107"/>
    </w:p>
    <w:p w14:paraId="0992C2A6"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1461D448" wp14:editId="6795583A">
            <wp:extent cx="5194300" cy="2328051"/>
            <wp:effectExtent l="0" t="0" r="635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5231840" cy="2344876"/>
                    </a:xfrm>
                    <a:prstGeom prst="rect">
                      <a:avLst/>
                    </a:prstGeom>
                  </pic:spPr>
                </pic:pic>
              </a:graphicData>
            </a:graphic>
          </wp:inline>
        </w:drawing>
      </w:r>
    </w:p>
    <w:p w14:paraId="29C6846C" w14:textId="6D7DB5D1" w:rsidR="004379FD" w:rsidRDefault="004379FD" w:rsidP="00E249CE">
      <w:pPr>
        <w:pStyle w:val="captions"/>
        <w:rPr>
          <w:b w:val="0"/>
          <w:bCs/>
          <w:color w:val="000000" w:themeColor="text1"/>
          <w:highlight w:val="yellow"/>
        </w:rPr>
      </w:pPr>
      <w:bookmarkStart w:id="108" w:name="_Ref52364587"/>
      <w:bookmarkStart w:id="109" w:name="_Toc52433908"/>
      <w:r w:rsidRPr="00054C79">
        <w:t xml:space="preserve">Figure </w:t>
      </w:r>
      <w:bookmarkEnd w:id="108"/>
      <w:r w:rsidR="00AD6D18">
        <w:t>9</w:t>
      </w:r>
      <w:r w:rsidRPr="00054C79">
        <w:t>.25</w:t>
      </w:r>
      <w:r>
        <w:t xml:space="preserve"> </w:t>
      </w:r>
      <w:r w:rsidRPr="00E249CE">
        <w:rPr>
          <w:b w:val="0"/>
        </w:rPr>
        <w:t>DEMOD comparing Edward/Kolety River DS Site v1 to v3 (Right bank).</w:t>
      </w:r>
      <w:bookmarkStart w:id="110" w:name="_Ref52364676"/>
      <w:bookmarkStart w:id="111" w:name="_Toc52433876"/>
      <w:bookmarkEnd w:id="109"/>
      <w:r>
        <w:rPr>
          <w:b w:val="0"/>
          <w:color w:val="000000" w:themeColor="text1"/>
          <w:highlight w:val="yellow"/>
        </w:rPr>
        <w:br w:type="page"/>
      </w:r>
    </w:p>
    <w:p w14:paraId="3FD2E2C6" w14:textId="5D306764" w:rsidR="004379FD" w:rsidRPr="00054C79" w:rsidRDefault="004379FD" w:rsidP="00E249CE">
      <w:pPr>
        <w:pStyle w:val="captions"/>
      </w:pPr>
      <w:r w:rsidRPr="00685C45">
        <w:t xml:space="preserve">Table </w:t>
      </w:r>
      <w:r w:rsidR="00AD6D18">
        <w:t>9</w:t>
      </w:r>
      <w:r w:rsidRPr="00685C45">
        <w:t>.</w:t>
      </w:r>
      <w:bookmarkEnd w:id="110"/>
      <w:r w:rsidRPr="00685C45">
        <w:t>5</w:t>
      </w:r>
      <w:r>
        <w:t xml:space="preserve"> </w:t>
      </w:r>
      <w:r w:rsidRPr="00E249CE">
        <w:rPr>
          <w:b w:val="0"/>
        </w:rPr>
        <w:t>Volume change output from Edward/Kolety River DS Site v1 to v3 DEMOD</w:t>
      </w:r>
      <w:bookmarkEnd w:id="111"/>
    </w:p>
    <w:p w14:paraId="1852A0F8" w14:textId="77777777" w:rsidR="004379FD" w:rsidRPr="00185CBB" w:rsidRDefault="004379FD" w:rsidP="004379FD">
      <w:pPr>
        <w:spacing w:line="259" w:lineRule="auto"/>
        <w:rPr>
          <w:rFonts w:asciiTheme="minorHAnsi" w:hAnsiTheme="minorHAnsi" w:cstheme="minorHAnsi"/>
        </w:rPr>
      </w:pPr>
      <w:r w:rsidRPr="00CF584E">
        <w:rPr>
          <w:noProof/>
          <w:lang w:eastAsia="en-AU"/>
        </w:rPr>
        <w:drawing>
          <wp:inline distT="0" distB="0" distL="0" distR="0" wp14:anchorId="540AE6FB" wp14:editId="414C17D4">
            <wp:extent cx="5734050" cy="12382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734050" cy="1238250"/>
                    </a:xfrm>
                    <a:prstGeom prst="rect">
                      <a:avLst/>
                    </a:prstGeom>
                    <a:noFill/>
                    <a:ln>
                      <a:noFill/>
                    </a:ln>
                  </pic:spPr>
                </pic:pic>
              </a:graphicData>
            </a:graphic>
          </wp:inline>
        </w:drawing>
      </w:r>
    </w:p>
    <w:p w14:paraId="34F6182C" w14:textId="77777777" w:rsidR="004379FD" w:rsidRPr="00185CBB" w:rsidRDefault="004379FD" w:rsidP="004379FD">
      <w:pPr>
        <w:spacing w:after="120" w:line="259" w:lineRule="auto"/>
        <w:rPr>
          <w:b/>
          <w:bCs/>
          <w:i/>
          <w:iCs/>
          <w:u w:val="single"/>
        </w:rPr>
      </w:pPr>
      <w:bookmarkStart w:id="112" w:name="_Toc52433859"/>
      <w:r w:rsidRPr="00185CBB">
        <w:rPr>
          <w:b/>
          <w:bCs/>
          <w:i/>
          <w:iCs/>
          <w:u w:val="single"/>
        </w:rPr>
        <w:t>Colligen Creek</w:t>
      </w:r>
      <w:bookmarkEnd w:id="112"/>
    </w:p>
    <w:p w14:paraId="600A0DCC" w14:textId="2F72D2F9" w:rsidR="004379FD" w:rsidRPr="00185CBB" w:rsidRDefault="004379FD" w:rsidP="004379FD">
      <w:pPr>
        <w:pStyle w:val="SNormalText"/>
        <w:spacing w:after="120" w:line="259" w:lineRule="auto"/>
      </w:pPr>
      <w:r w:rsidRPr="00185CBB">
        <w:t>The Colligen Creek monitoring s</w:t>
      </w:r>
      <w:r>
        <w:t>ite is located in Calimo, NSW, northwe</w:t>
      </w:r>
      <w:r w:rsidRPr="00185CBB">
        <w:t xml:space="preserve">st of the township Deniliquin. One bank of interest and one primary vegetation zone was monitored for this project as detailed in </w:t>
      </w:r>
      <w:r w:rsidR="00AD6D18">
        <w:t>Figure 9.26</w:t>
      </w:r>
      <w:r w:rsidRPr="00185CBB">
        <w:t>. Colligen Creek was the only site to have received CEW water through return flows resulting from an environmental water action delivered to Millewa Forest.</w:t>
      </w:r>
    </w:p>
    <w:p w14:paraId="7CC045B0" w14:textId="77777777" w:rsidR="004379FD" w:rsidRPr="00185CBB" w:rsidRDefault="004379FD" w:rsidP="004379FD">
      <w:pPr>
        <w:pStyle w:val="SNormalText"/>
      </w:pPr>
      <w:r w:rsidRPr="00185CBB">
        <w:rPr>
          <w:noProof/>
          <w:lang w:eastAsia="en-AU"/>
        </w:rPr>
        <w:drawing>
          <wp:inline distT="0" distB="0" distL="0" distR="0" wp14:anchorId="1F3B0865" wp14:editId="36BDBF24">
            <wp:extent cx="3536023" cy="3162300"/>
            <wp:effectExtent l="0" t="0" r="7620" b="0"/>
            <wp:docPr id="478" name="Picture 2">
              <a:extLst xmlns:a="http://schemas.openxmlformats.org/drawingml/2006/main">
                <a:ext uri="{FF2B5EF4-FFF2-40B4-BE49-F238E27FC236}">
                  <a16:creationId xmlns:a16="http://schemas.microsoft.com/office/drawing/2014/main" id="{33C359FB-F847-4FE8-B7C2-A071F0511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3C359FB-F847-4FE8-B7C2-A071F0511E2A}"/>
                        </a:ext>
                      </a:extLst>
                    </pic:cNvPr>
                    <pic:cNvPicPr>
                      <a:picLocks noChangeAspect="1"/>
                    </pic:cNvPicPr>
                  </pic:nvPicPr>
                  <pic:blipFill>
                    <a:blip r:embed="rId147" cstate="email">
                      <a:extLst>
                        <a:ext uri="{28A0092B-C50C-407E-A947-70E740481C1C}">
                          <a14:useLocalDpi xmlns:a14="http://schemas.microsoft.com/office/drawing/2010/main"/>
                        </a:ext>
                      </a:extLst>
                    </a:blip>
                    <a:stretch>
                      <a:fillRect/>
                    </a:stretch>
                  </pic:blipFill>
                  <pic:spPr>
                    <a:xfrm>
                      <a:off x="0" y="0"/>
                      <a:ext cx="3562469" cy="3185951"/>
                    </a:xfrm>
                    <a:prstGeom prst="rect">
                      <a:avLst/>
                    </a:prstGeom>
                  </pic:spPr>
                </pic:pic>
              </a:graphicData>
            </a:graphic>
          </wp:inline>
        </w:drawing>
      </w:r>
    </w:p>
    <w:p w14:paraId="773E776E" w14:textId="5686FA37" w:rsidR="004379FD" w:rsidRDefault="004379FD" w:rsidP="00E249CE">
      <w:pPr>
        <w:pStyle w:val="captions"/>
        <w:spacing w:after="240"/>
        <w:rPr>
          <w:bCs/>
        </w:rPr>
      </w:pPr>
      <w:bookmarkStart w:id="113" w:name="_Ref52365519"/>
      <w:bookmarkStart w:id="114" w:name="_Toc52433910"/>
      <w:r w:rsidRPr="00054C79">
        <w:t xml:space="preserve">Figure </w:t>
      </w:r>
      <w:r w:rsidR="00AD6D18">
        <w:t>9</w:t>
      </w:r>
      <w:r w:rsidRPr="00054C79">
        <w:t>.</w:t>
      </w:r>
      <w:bookmarkEnd w:id="113"/>
      <w:r>
        <w:t xml:space="preserve">26 </w:t>
      </w:r>
      <w:r w:rsidRPr="00E249CE">
        <w:rPr>
          <w:b w:val="0"/>
        </w:rPr>
        <w:t>Image illustrating the location of the bank and vegetation monitored at Colligen Creek</w:t>
      </w:r>
      <w:bookmarkEnd w:id="114"/>
      <w:r w:rsidRPr="00E249CE">
        <w:rPr>
          <w:b w:val="0"/>
        </w:rPr>
        <w:t xml:space="preserve"> Visit 1 – Visit 2 (SCF and CEW flow events)</w:t>
      </w:r>
    </w:p>
    <w:p w14:paraId="3278B8F6" w14:textId="5E17C614" w:rsidR="004379FD" w:rsidRPr="00185CBB" w:rsidRDefault="004379FD" w:rsidP="004379FD">
      <w:pPr>
        <w:pStyle w:val="SNormalText"/>
        <w:spacing w:line="259" w:lineRule="auto"/>
      </w:pPr>
      <w:r w:rsidRPr="00185CBB">
        <w:t xml:space="preserve">Change detected across each of the monitoring periods </w:t>
      </w:r>
      <w:r>
        <w:t>was</w:t>
      </w:r>
      <w:r w:rsidRPr="00185CBB">
        <w:t xml:space="preserve"> minimal. Insights cannot be gathered from either visual expressions of change apparent on the DEMODs (</w:t>
      </w:r>
      <w:r w:rsidRPr="00185CBB">
        <w:fldChar w:fldCharType="begin"/>
      </w:r>
      <w:r w:rsidRPr="00185CBB">
        <w:instrText xml:space="preserve"> REF _Ref52365922 \h  \* MERGEFORMAT </w:instrText>
      </w:r>
      <w:r w:rsidRPr="00185CBB">
        <w:fldChar w:fldCharType="separate"/>
      </w:r>
      <w:r w:rsidR="000A6D80" w:rsidRPr="008006A2">
        <w:t xml:space="preserve">Figure </w:t>
      </w:r>
      <w:r w:rsidR="000A6D80">
        <w:t>9</w:t>
      </w:r>
      <w:r w:rsidR="000A6D80" w:rsidRPr="008006A2">
        <w:t>.</w:t>
      </w:r>
      <w:r w:rsidRPr="00185CBB">
        <w:fldChar w:fldCharType="end"/>
      </w:r>
      <w:r w:rsidR="00BA1828">
        <w:t>9.27</w:t>
      </w:r>
      <w:r w:rsidRPr="00185CBB">
        <w:t xml:space="preserve">, </w:t>
      </w:r>
      <w:r w:rsidRPr="00185CBB">
        <w:fldChar w:fldCharType="begin"/>
      </w:r>
      <w:r w:rsidRPr="00185CBB">
        <w:instrText xml:space="preserve"> REF _Ref52365924 \h  \* MERGEFORMAT </w:instrText>
      </w:r>
      <w:r w:rsidRPr="00185CBB">
        <w:fldChar w:fldCharType="separate"/>
      </w:r>
      <w:r w:rsidR="000A6D80" w:rsidRPr="008006A2">
        <w:t xml:space="preserve">Figure </w:t>
      </w:r>
      <w:r w:rsidR="000A6D80">
        <w:t>9</w:t>
      </w:r>
      <w:r w:rsidR="000A6D80" w:rsidRPr="008006A2">
        <w:t>.</w:t>
      </w:r>
      <w:r w:rsidRPr="00185CBB">
        <w:fldChar w:fldCharType="end"/>
      </w:r>
      <w:r w:rsidRPr="00185CBB">
        <w:t xml:space="preserve">, </w:t>
      </w:r>
      <w:r w:rsidR="00BA1828">
        <w:t xml:space="preserve">Figure 9.29 </w:t>
      </w:r>
      <w:r>
        <w:t>and</w:t>
      </w:r>
      <w:r w:rsidRPr="00185CBB">
        <w:t xml:space="preserve"> </w:t>
      </w:r>
      <w:r w:rsidRPr="00185CBB">
        <w:fldChar w:fldCharType="begin"/>
      </w:r>
      <w:r w:rsidRPr="00185CBB">
        <w:instrText xml:space="preserve"> REF _Ref52365928 \h  \* MERGEFORMAT </w:instrText>
      </w:r>
      <w:r w:rsidRPr="00185CBB">
        <w:fldChar w:fldCharType="separate"/>
      </w:r>
      <w:r w:rsidR="000A6D80" w:rsidRPr="008006A2">
        <w:t xml:space="preserve">Figure </w:t>
      </w:r>
      <w:r w:rsidR="000A6D80">
        <w:t>9.</w:t>
      </w:r>
      <w:r w:rsidRPr="00185CBB">
        <w:fldChar w:fldCharType="end"/>
      </w:r>
      <w:r w:rsidRPr="00185CBB">
        <w:t>) or volume metric change numbers (</w:t>
      </w:r>
      <w:r w:rsidR="00FD1776">
        <w:t xml:space="preserve">Tables 9.6 </w:t>
      </w:r>
      <w:r w:rsidRPr="00685C45">
        <w:t>and 9.7</w:t>
      </w:r>
      <w:r w:rsidRPr="00185CBB">
        <w:t>) from the calculated outputs. With this considered, any conclusions made from this data around geomorphic processes in respo</w:t>
      </w:r>
      <w:r>
        <w:t>nse to flow events could be misinterpreted</w:t>
      </w:r>
      <w:r w:rsidRPr="00185CBB">
        <w:t>. Very low margins of change (-0.5cm/m</w:t>
      </w:r>
      <w:r w:rsidRPr="00185CBB">
        <w:rPr>
          <w:vertAlign w:val="superscript"/>
        </w:rPr>
        <w:t xml:space="preserve">2 </w:t>
      </w:r>
      <w:r w:rsidRPr="00185CBB">
        <w:t>of bank) are unreliable as distortion in response to vegetation or slight miss-alignment can impact the data.</w:t>
      </w:r>
    </w:p>
    <w:p w14:paraId="5C5C94E6" w14:textId="77777777" w:rsidR="004379FD" w:rsidRPr="008006A2" w:rsidRDefault="004379FD" w:rsidP="004379FD">
      <w:pPr>
        <w:rPr>
          <w:lang w:val="en-US"/>
        </w:rPr>
      </w:pPr>
    </w:p>
    <w:p w14:paraId="66C92C18"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285AA79D" wp14:editId="582E6B9F">
            <wp:extent cx="4756150" cy="2182536"/>
            <wp:effectExtent l="0" t="0" r="635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4796991" cy="2201277"/>
                    </a:xfrm>
                    <a:prstGeom prst="rect">
                      <a:avLst/>
                    </a:prstGeom>
                  </pic:spPr>
                </pic:pic>
              </a:graphicData>
            </a:graphic>
          </wp:inline>
        </w:drawing>
      </w:r>
    </w:p>
    <w:p w14:paraId="4EAD8E2D" w14:textId="1ED3266B" w:rsidR="004379FD" w:rsidRPr="008006A2" w:rsidRDefault="004379FD" w:rsidP="00E249CE">
      <w:pPr>
        <w:pStyle w:val="captions"/>
        <w:spacing w:before="0"/>
      </w:pPr>
      <w:bookmarkStart w:id="115" w:name="_Ref52365922"/>
      <w:bookmarkStart w:id="116" w:name="_Toc52433911"/>
      <w:r w:rsidRPr="008006A2">
        <w:t xml:space="preserve">Figure </w:t>
      </w:r>
      <w:r w:rsidR="00AD6D18">
        <w:t>9</w:t>
      </w:r>
      <w:r w:rsidRPr="008006A2">
        <w:t>.</w:t>
      </w:r>
      <w:bookmarkEnd w:id="115"/>
      <w:r>
        <w:t xml:space="preserve">27 </w:t>
      </w:r>
      <w:r w:rsidRPr="00E249CE">
        <w:rPr>
          <w:b w:val="0"/>
        </w:rPr>
        <w:t>DEMOD comparing Colligen Creek Site v1 to v2 (Left bank).</w:t>
      </w:r>
      <w:bookmarkEnd w:id="116"/>
    </w:p>
    <w:p w14:paraId="73343F0B" w14:textId="77777777" w:rsidR="004379FD" w:rsidRPr="00511B98" w:rsidRDefault="004379FD" w:rsidP="004379FD">
      <w:pPr>
        <w:pStyle w:val="BodyText1"/>
        <w:spacing w:after="0" w:line="240" w:lineRule="auto"/>
      </w:pPr>
      <w:r w:rsidRPr="00511B98">
        <w:rPr>
          <w:noProof/>
          <w:lang w:eastAsia="en-AU" w:bidi="ar-SA"/>
        </w:rPr>
        <w:drawing>
          <wp:inline distT="0" distB="0" distL="0" distR="0" wp14:anchorId="10C49D14" wp14:editId="5ED6986E">
            <wp:extent cx="4775200" cy="2233913"/>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4818654" cy="2254242"/>
                    </a:xfrm>
                    <a:prstGeom prst="rect">
                      <a:avLst/>
                    </a:prstGeom>
                  </pic:spPr>
                </pic:pic>
              </a:graphicData>
            </a:graphic>
          </wp:inline>
        </w:drawing>
      </w:r>
    </w:p>
    <w:p w14:paraId="36637C03" w14:textId="2C098A52" w:rsidR="004379FD" w:rsidRPr="008006A2" w:rsidRDefault="004379FD" w:rsidP="00E249CE">
      <w:pPr>
        <w:pStyle w:val="captions"/>
        <w:spacing w:before="0"/>
      </w:pPr>
      <w:bookmarkStart w:id="117" w:name="_Ref52365924"/>
      <w:bookmarkStart w:id="118" w:name="_Toc52433912"/>
      <w:r w:rsidRPr="008006A2">
        <w:t xml:space="preserve">Figure </w:t>
      </w:r>
      <w:r w:rsidR="00AD6D18">
        <w:t>9</w:t>
      </w:r>
      <w:r w:rsidRPr="008006A2">
        <w:t>.</w:t>
      </w:r>
      <w:bookmarkEnd w:id="117"/>
      <w:r>
        <w:t xml:space="preserve">28 </w:t>
      </w:r>
      <w:r w:rsidRPr="00E249CE">
        <w:rPr>
          <w:b w:val="0"/>
        </w:rPr>
        <w:t>DEMOD comparing Colligen Creek Site v1 to v2 (Right bank).</w:t>
      </w:r>
      <w:bookmarkEnd w:id="118"/>
    </w:p>
    <w:p w14:paraId="2199520A" w14:textId="40F23904" w:rsidR="004379FD" w:rsidRPr="008006A2" w:rsidRDefault="004379FD" w:rsidP="00E249CE">
      <w:pPr>
        <w:pStyle w:val="captions"/>
      </w:pPr>
      <w:bookmarkStart w:id="119" w:name="_Ref52366015"/>
      <w:bookmarkStart w:id="120" w:name="_Toc52433877"/>
      <w:r w:rsidRPr="00685C45">
        <w:t xml:space="preserve">Table </w:t>
      </w:r>
      <w:r w:rsidR="00AD6D18">
        <w:t>9</w:t>
      </w:r>
      <w:r w:rsidRPr="00685C45">
        <w:t>.</w:t>
      </w:r>
      <w:bookmarkEnd w:id="119"/>
      <w:r w:rsidRPr="00685C45">
        <w:t>6</w:t>
      </w:r>
      <w:r>
        <w:t xml:space="preserve"> </w:t>
      </w:r>
      <w:r w:rsidRPr="00E249CE">
        <w:rPr>
          <w:b w:val="0"/>
        </w:rPr>
        <w:t>Volume change output from Colligen Creek v1-v2 DEMOD.</w:t>
      </w:r>
      <w:bookmarkEnd w:id="120"/>
    </w:p>
    <w:tbl>
      <w:tblPr>
        <w:tblStyle w:val="LightList"/>
        <w:tblW w:w="0" w:type="auto"/>
        <w:jc w:val="center"/>
        <w:tblLook w:val="04A0" w:firstRow="1" w:lastRow="0" w:firstColumn="1" w:lastColumn="0" w:noHBand="0" w:noVBand="1"/>
      </w:tblPr>
      <w:tblGrid>
        <w:gridCol w:w="1889"/>
        <w:gridCol w:w="1007"/>
        <w:gridCol w:w="1289"/>
        <w:gridCol w:w="1483"/>
        <w:gridCol w:w="1425"/>
        <w:gridCol w:w="1420"/>
        <w:gridCol w:w="1119"/>
      </w:tblGrid>
      <w:tr w:rsidR="004379FD" w:rsidRPr="00185CBB" w14:paraId="6DE2CC92" w14:textId="77777777" w:rsidTr="00E249CE">
        <w:trPr>
          <w:cnfStyle w:val="100000000000" w:firstRow="1" w:lastRow="0" w:firstColumn="0" w:lastColumn="0" w:oddVBand="0" w:evenVBand="0" w:oddHBand="0"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1889" w:type="dxa"/>
            <w:shd w:val="clear" w:color="auto" w:fill="92CDDC"/>
          </w:tcPr>
          <w:p w14:paraId="11ED0009" w14:textId="77777777" w:rsidR="004379FD" w:rsidRPr="00185CBB" w:rsidRDefault="004379FD" w:rsidP="00E249CE">
            <w:pPr>
              <w:spacing w:after="120" w:line="259" w:lineRule="auto"/>
              <w:rPr>
                <w:rFonts w:asciiTheme="minorHAnsi" w:hAnsiTheme="minorHAnsi" w:cstheme="minorHAnsi"/>
                <w:b w:val="0"/>
                <w:bCs w:val="0"/>
                <w:color w:val="auto"/>
                <w:sz w:val="20"/>
                <w:szCs w:val="20"/>
                <w:lang w:val="en-AU"/>
              </w:rPr>
            </w:pPr>
            <w:r>
              <w:rPr>
                <w:rFonts w:asciiTheme="minorHAnsi" w:hAnsiTheme="minorHAnsi" w:cstheme="minorHAnsi"/>
                <w:b w:val="0"/>
                <w:bCs w:val="0"/>
                <w:color w:val="auto"/>
                <w:sz w:val="20"/>
                <w:szCs w:val="20"/>
                <w:lang w:val="en-AU"/>
              </w:rPr>
              <w:t>DEMOD comparison and</w:t>
            </w:r>
            <w:r w:rsidRPr="00185CBB">
              <w:rPr>
                <w:rFonts w:asciiTheme="minorHAnsi" w:hAnsiTheme="minorHAnsi" w:cstheme="minorHAnsi"/>
                <w:b w:val="0"/>
                <w:bCs w:val="0"/>
                <w:color w:val="auto"/>
                <w:sz w:val="20"/>
                <w:szCs w:val="20"/>
                <w:lang w:val="en-AU"/>
              </w:rPr>
              <w:t xml:space="preserve"> bank side </w:t>
            </w:r>
          </w:p>
        </w:tc>
        <w:tc>
          <w:tcPr>
            <w:tcW w:w="1007" w:type="dxa"/>
            <w:shd w:val="clear" w:color="auto" w:fill="92CDDC"/>
          </w:tcPr>
          <w:p w14:paraId="4C2707CD" w14:textId="77777777" w:rsidR="004379FD" w:rsidRPr="00185CBB" w:rsidRDefault="004379FD" w:rsidP="00E249CE">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Bank area (m2)</w:t>
            </w:r>
          </w:p>
        </w:tc>
        <w:tc>
          <w:tcPr>
            <w:tcW w:w="1289" w:type="dxa"/>
            <w:shd w:val="clear" w:color="auto" w:fill="92CDDC"/>
          </w:tcPr>
          <w:p w14:paraId="10631599" w14:textId="77777777" w:rsidR="004379FD" w:rsidRPr="00185CBB" w:rsidRDefault="004379FD" w:rsidP="00E249CE">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 xml:space="preserve">Total Erosion (m3) </w:t>
            </w:r>
          </w:p>
        </w:tc>
        <w:tc>
          <w:tcPr>
            <w:tcW w:w="1483" w:type="dxa"/>
            <w:shd w:val="clear" w:color="auto" w:fill="92CDDC"/>
          </w:tcPr>
          <w:p w14:paraId="4440450E" w14:textId="77777777" w:rsidR="004379FD" w:rsidRPr="00185CBB" w:rsidRDefault="004379FD" w:rsidP="00E249CE">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Total Deposition (m3)</w:t>
            </w:r>
          </w:p>
        </w:tc>
        <w:tc>
          <w:tcPr>
            <w:tcW w:w="1425" w:type="dxa"/>
            <w:shd w:val="clear" w:color="auto" w:fill="92CDDC"/>
          </w:tcPr>
          <w:p w14:paraId="70A605F2" w14:textId="77777777" w:rsidR="004379FD" w:rsidRPr="00185CBB" w:rsidRDefault="004379FD" w:rsidP="00E249CE">
            <w:pPr>
              <w:spacing w:after="12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vertAlign w:val="superscript"/>
                <w:lang w:val="en-AU"/>
              </w:rPr>
            </w:pPr>
            <w:r w:rsidRPr="00185CBB">
              <w:rPr>
                <w:rFonts w:asciiTheme="minorHAnsi" w:hAnsiTheme="minorHAnsi" w:cstheme="minorHAnsi"/>
                <w:b w:val="0"/>
                <w:bCs w:val="0"/>
                <w:color w:val="auto"/>
                <w:sz w:val="20"/>
                <w:szCs w:val="20"/>
                <w:lang w:val="en-AU"/>
              </w:rPr>
              <w:t>Tot erosion (cm3) per m2 of bank</w:t>
            </w:r>
          </w:p>
        </w:tc>
        <w:tc>
          <w:tcPr>
            <w:tcW w:w="1420" w:type="dxa"/>
            <w:shd w:val="clear" w:color="auto" w:fill="92CDDC"/>
          </w:tcPr>
          <w:p w14:paraId="2C3F0947" w14:textId="77777777" w:rsidR="004379FD" w:rsidRPr="00185CBB" w:rsidRDefault="004379FD" w:rsidP="00E249CE">
            <w:pPr>
              <w:spacing w:after="12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Tot depos (cm3) per m2 of bank</w:t>
            </w:r>
          </w:p>
        </w:tc>
        <w:tc>
          <w:tcPr>
            <w:tcW w:w="1119" w:type="dxa"/>
            <w:shd w:val="clear" w:color="auto" w:fill="92CDDC"/>
          </w:tcPr>
          <w:p w14:paraId="0953C615" w14:textId="77777777" w:rsidR="004379FD" w:rsidRPr="00185CBB" w:rsidRDefault="004379FD" w:rsidP="00E249CE">
            <w:pPr>
              <w:spacing w:after="12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Erosion as a % of depos</w:t>
            </w:r>
          </w:p>
        </w:tc>
      </w:tr>
      <w:tr w:rsidR="004379FD" w:rsidRPr="00185CBB" w14:paraId="4FEA5C01" w14:textId="77777777" w:rsidTr="004379FD">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89" w:type="dxa"/>
          </w:tcPr>
          <w:p w14:paraId="30CEFF0A" w14:textId="77777777" w:rsidR="004379FD" w:rsidRPr="00185CBB" w:rsidRDefault="004379FD" w:rsidP="00E249CE">
            <w:pPr>
              <w:spacing w:after="120" w:line="259"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V1 – V2: Left bank</w:t>
            </w:r>
          </w:p>
        </w:tc>
        <w:tc>
          <w:tcPr>
            <w:tcW w:w="1007" w:type="dxa"/>
          </w:tcPr>
          <w:p w14:paraId="101B022B"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192.84</w:t>
            </w:r>
          </w:p>
        </w:tc>
        <w:tc>
          <w:tcPr>
            <w:tcW w:w="1289" w:type="dxa"/>
          </w:tcPr>
          <w:p w14:paraId="772EF5CC"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0.15</w:t>
            </w:r>
          </w:p>
        </w:tc>
        <w:tc>
          <w:tcPr>
            <w:tcW w:w="1483" w:type="dxa"/>
          </w:tcPr>
          <w:p w14:paraId="5F988C91"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0.31</w:t>
            </w:r>
          </w:p>
        </w:tc>
        <w:tc>
          <w:tcPr>
            <w:tcW w:w="1425" w:type="dxa"/>
          </w:tcPr>
          <w:p w14:paraId="7A558172"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0.08</w:t>
            </w:r>
          </w:p>
        </w:tc>
        <w:tc>
          <w:tcPr>
            <w:tcW w:w="1420" w:type="dxa"/>
          </w:tcPr>
          <w:p w14:paraId="3D53EC66"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0.16</w:t>
            </w:r>
          </w:p>
        </w:tc>
        <w:tc>
          <w:tcPr>
            <w:tcW w:w="1119" w:type="dxa"/>
          </w:tcPr>
          <w:p w14:paraId="57A0D3CE"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-52%</w:t>
            </w:r>
          </w:p>
        </w:tc>
      </w:tr>
      <w:tr w:rsidR="004379FD" w:rsidRPr="00185CBB" w14:paraId="7D87EC21" w14:textId="77777777" w:rsidTr="004379FD">
        <w:trPr>
          <w:trHeight w:val="236"/>
          <w:jc w:val="center"/>
        </w:trPr>
        <w:tc>
          <w:tcPr>
            <w:cnfStyle w:val="001000000000" w:firstRow="0" w:lastRow="0" w:firstColumn="1" w:lastColumn="0" w:oddVBand="0" w:evenVBand="0" w:oddHBand="0" w:evenHBand="0" w:firstRowFirstColumn="0" w:firstRowLastColumn="0" w:lastRowFirstColumn="0" w:lastRowLastColumn="0"/>
            <w:tcW w:w="1889" w:type="dxa"/>
          </w:tcPr>
          <w:p w14:paraId="6CD867DB" w14:textId="77777777" w:rsidR="004379FD" w:rsidRPr="00185CBB" w:rsidRDefault="004379FD" w:rsidP="00E249CE">
            <w:pPr>
              <w:spacing w:after="120" w:line="259"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V1 –V2: Right bank</w:t>
            </w:r>
          </w:p>
        </w:tc>
        <w:tc>
          <w:tcPr>
            <w:tcW w:w="1007" w:type="dxa"/>
          </w:tcPr>
          <w:p w14:paraId="45152010"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160.86</w:t>
            </w:r>
          </w:p>
        </w:tc>
        <w:tc>
          <w:tcPr>
            <w:tcW w:w="1289" w:type="dxa"/>
          </w:tcPr>
          <w:p w14:paraId="567BE80B"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0.04</w:t>
            </w:r>
          </w:p>
        </w:tc>
        <w:tc>
          <w:tcPr>
            <w:tcW w:w="1483" w:type="dxa"/>
          </w:tcPr>
          <w:p w14:paraId="6A81CCDA"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0.05</w:t>
            </w:r>
          </w:p>
        </w:tc>
        <w:tc>
          <w:tcPr>
            <w:tcW w:w="1425" w:type="dxa"/>
          </w:tcPr>
          <w:p w14:paraId="109CC5C1"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0.03</w:t>
            </w:r>
          </w:p>
        </w:tc>
        <w:tc>
          <w:tcPr>
            <w:tcW w:w="1420" w:type="dxa"/>
          </w:tcPr>
          <w:p w14:paraId="695B2892"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0.03</w:t>
            </w:r>
          </w:p>
        </w:tc>
        <w:tc>
          <w:tcPr>
            <w:tcW w:w="1119" w:type="dxa"/>
          </w:tcPr>
          <w:p w14:paraId="6930505D" w14:textId="77777777" w:rsidR="004379FD" w:rsidRPr="00185CBB" w:rsidRDefault="004379FD" w:rsidP="00E249CE">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-23%</w:t>
            </w:r>
          </w:p>
        </w:tc>
      </w:tr>
      <w:tr w:rsidR="004379FD" w:rsidRPr="00185CBB" w14:paraId="08BC6A79" w14:textId="77777777" w:rsidTr="004379FD">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1889" w:type="dxa"/>
          </w:tcPr>
          <w:p w14:paraId="627AA0DA" w14:textId="77777777" w:rsidR="004379FD" w:rsidRPr="00185CBB" w:rsidRDefault="004379FD" w:rsidP="00E249CE">
            <w:pPr>
              <w:spacing w:after="120" w:line="259"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 xml:space="preserve">V1 – V2: Total </w:t>
            </w:r>
          </w:p>
        </w:tc>
        <w:tc>
          <w:tcPr>
            <w:tcW w:w="1007" w:type="dxa"/>
          </w:tcPr>
          <w:p w14:paraId="1579B692"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353.72</w:t>
            </w:r>
          </w:p>
        </w:tc>
        <w:tc>
          <w:tcPr>
            <w:tcW w:w="1289" w:type="dxa"/>
          </w:tcPr>
          <w:p w14:paraId="795DBDAD"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0.19</w:t>
            </w:r>
          </w:p>
        </w:tc>
        <w:tc>
          <w:tcPr>
            <w:tcW w:w="1483" w:type="dxa"/>
          </w:tcPr>
          <w:p w14:paraId="1C42905C"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0.36</w:t>
            </w:r>
          </w:p>
        </w:tc>
        <w:tc>
          <w:tcPr>
            <w:tcW w:w="1425" w:type="dxa"/>
          </w:tcPr>
          <w:p w14:paraId="40A8CC4C"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0.05</w:t>
            </w:r>
          </w:p>
        </w:tc>
        <w:tc>
          <w:tcPr>
            <w:tcW w:w="1420" w:type="dxa"/>
          </w:tcPr>
          <w:p w14:paraId="26B26643"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0.10</w:t>
            </w:r>
          </w:p>
        </w:tc>
        <w:tc>
          <w:tcPr>
            <w:tcW w:w="1119" w:type="dxa"/>
          </w:tcPr>
          <w:p w14:paraId="2509EC56" w14:textId="77777777" w:rsidR="004379FD" w:rsidRPr="00185CBB" w:rsidRDefault="004379FD" w:rsidP="00E249CE">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-47%</w:t>
            </w:r>
          </w:p>
        </w:tc>
      </w:tr>
    </w:tbl>
    <w:p w14:paraId="098D9EB5" w14:textId="77777777" w:rsidR="00E249CE" w:rsidRDefault="00E249CE" w:rsidP="004379FD">
      <w:pPr>
        <w:pStyle w:val="SNormalText"/>
        <w:spacing w:line="259" w:lineRule="auto"/>
        <w:rPr>
          <w:b/>
          <w:bCs/>
        </w:rPr>
      </w:pPr>
    </w:p>
    <w:p w14:paraId="173C76B0" w14:textId="77777777" w:rsidR="004379FD" w:rsidRPr="00185CBB" w:rsidRDefault="004379FD" w:rsidP="004379FD">
      <w:pPr>
        <w:pStyle w:val="SNormalText"/>
        <w:spacing w:line="259" w:lineRule="auto"/>
        <w:rPr>
          <w:b/>
          <w:bCs/>
        </w:rPr>
      </w:pPr>
      <w:r w:rsidRPr="00185CBB">
        <w:rPr>
          <w:b/>
          <w:bCs/>
        </w:rPr>
        <w:t>Visit 3 – Visit 4 (Unregulated flow events)</w:t>
      </w:r>
    </w:p>
    <w:p w14:paraId="05A1E97A" w14:textId="77777777" w:rsidR="004379FD" w:rsidRPr="00185CBB" w:rsidRDefault="004379FD" w:rsidP="00E249CE">
      <w:pPr>
        <w:pStyle w:val="BodyText1"/>
        <w:spacing w:after="0" w:line="240" w:lineRule="auto"/>
      </w:pPr>
      <w:r w:rsidRPr="00185CBB">
        <w:rPr>
          <w:noProof/>
          <w:lang w:eastAsia="en-AU" w:bidi="ar-SA"/>
        </w:rPr>
        <w:drawing>
          <wp:inline distT="0" distB="0" distL="0" distR="0" wp14:anchorId="3C17FC99" wp14:editId="54097970">
            <wp:extent cx="4857750" cy="164160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4883926" cy="1650454"/>
                    </a:xfrm>
                    <a:prstGeom prst="rect">
                      <a:avLst/>
                    </a:prstGeom>
                  </pic:spPr>
                </pic:pic>
              </a:graphicData>
            </a:graphic>
          </wp:inline>
        </w:drawing>
      </w:r>
    </w:p>
    <w:p w14:paraId="2F868EE4" w14:textId="48226D7A" w:rsidR="004379FD" w:rsidRPr="008006A2" w:rsidRDefault="004379FD" w:rsidP="00E249CE">
      <w:pPr>
        <w:pStyle w:val="captions"/>
      </w:pPr>
      <w:bookmarkStart w:id="121" w:name="_Ref52365925"/>
      <w:bookmarkStart w:id="122" w:name="_Toc52433913"/>
      <w:r w:rsidRPr="008006A2">
        <w:t xml:space="preserve">Figure </w:t>
      </w:r>
      <w:bookmarkEnd w:id="121"/>
      <w:r w:rsidR="00AD6D18">
        <w:t>9.29</w:t>
      </w:r>
      <w:r>
        <w:t xml:space="preserve"> </w:t>
      </w:r>
      <w:r w:rsidRPr="00E249CE">
        <w:rPr>
          <w:b w:val="0"/>
        </w:rPr>
        <w:t>DEMOD comparing Colligen Creek Site v3 to v4 (Left bank).</w:t>
      </w:r>
      <w:bookmarkEnd w:id="122"/>
    </w:p>
    <w:p w14:paraId="582482B0"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2D7BD3EF" wp14:editId="027E50EB">
            <wp:extent cx="5099050" cy="1952377"/>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5123500" cy="1961739"/>
                    </a:xfrm>
                    <a:prstGeom prst="rect">
                      <a:avLst/>
                    </a:prstGeom>
                  </pic:spPr>
                </pic:pic>
              </a:graphicData>
            </a:graphic>
          </wp:inline>
        </w:drawing>
      </w:r>
    </w:p>
    <w:p w14:paraId="0BB68D2E" w14:textId="75C67BDD" w:rsidR="004379FD" w:rsidRPr="008006A2" w:rsidRDefault="004379FD" w:rsidP="00E249CE">
      <w:pPr>
        <w:pStyle w:val="captions"/>
        <w:spacing w:before="0"/>
      </w:pPr>
      <w:bookmarkStart w:id="123" w:name="_Ref52365928"/>
      <w:bookmarkStart w:id="124" w:name="_Toc52433914"/>
      <w:r w:rsidRPr="008006A2">
        <w:t xml:space="preserve">Figure </w:t>
      </w:r>
      <w:r w:rsidR="00AD6D18">
        <w:t>9</w:t>
      </w:r>
      <w:r>
        <w:t>.</w:t>
      </w:r>
      <w:bookmarkEnd w:id="123"/>
      <w:r>
        <w:t xml:space="preserve">30 </w:t>
      </w:r>
      <w:r w:rsidRPr="00E249CE">
        <w:rPr>
          <w:b w:val="0"/>
        </w:rPr>
        <w:t>DEMOD comparing Colligen Creek Site v3 to v4 (Right bank).</w:t>
      </w:r>
      <w:bookmarkEnd w:id="124"/>
    </w:p>
    <w:p w14:paraId="7552DF1F" w14:textId="19984A8F" w:rsidR="004379FD" w:rsidRPr="008006A2" w:rsidRDefault="004379FD" w:rsidP="00E249CE">
      <w:pPr>
        <w:pStyle w:val="captions"/>
      </w:pPr>
      <w:bookmarkStart w:id="125" w:name="_Ref52366016"/>
      <w:bookmarkStart w:id="126" w:name="_Toc52433878"/>
      <w:r w:rsidRPr="00685C45">
        <w:t xml:space="preserve">Table </w:t>
      </w:r>
      <w:r w:rsidR="00AD6D18">
        <w:t>9</w:t>
      </w:r>
      <w:r w:rsidRPr="00685C45">
        <w:t>.</w:t>
      </w:r>
      <w:bookmarkEnd w:id="125"/>
      <w:r w:rsidRPr="00685C45">
        <w:t>7</w:t>
      </w:r>
      <w:r>
        <w:t xml:space="preserve"> </w:t>
      </w:r>
      <w:r w:rsidRPr="00E249CE">
        <w:rPr>
          <w:b w:val="0"/>
        </w:rPr>
        <w:t>Volume change output from Colligen Creek v3-v4 DEMOD.</w:t>
      </w:r>
      <w:bookmarkEnd w:id="126"/>
    </w:p>
    <w:tbl>
      <w:tblPr>
        <w:tblStyle w:val="LightList"/>
        <w:tblW w:w="0" w:type="auto"/>
        <w:jc w:val="center"/>
        <w:tblLook w:val="04A0" w:firstRow="1" w:lastRow="0" w:firstColumn="1" w:lastColumn="0" w:noHBand="0" w:noVBand="1"/>
      </w:tblPr>
      <w:tblGrid>
        <w:gridCol w:w="1889"/>
        <w:gridCol w:w="1007"/>
        <w:gridCol w:w="1205"/>
        <w:gridCol w:w="1134"/>
        <w:gridCol w:w="1276"/>
        <w:gridCol w:w="1559"/>
        <w:gridCol w:w="1119"/>
      </w:tblGrid>
      <w:tr w:rsidR="004379FD" w:rsidRPr="00185CBB" w14:paraId="54CFCA02" w14:textId="77777777" w:rsidTr="004909D1">
        <w:trPr>
          <w:cnfStyle w:val="100000000000" w:firstRow="1" w:lastRow="0"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889" w:type="dxa"/>
            <w:shd w:val="clear" w:color="auto" w:fill="92CDDC"/>
          </w:tcPr>
          <w:p w14:paraId="0746980F" w14:textId="77777777" w:rsidR="004379FD" w:rsidRPr="00185CBB" w:rsidRDefault="004379FD" w:rsidP="00E249CE">
            <w:pPr>
              <w:spacing w:after="120" w:line="240" w:lineRule="auto"/>
              <w:rPr>
                <w:rFonts w:asciiTheme="minorHAnsi" w:hAnsiTheme="minorHAnsi" w:cstheme="minorHAnsi"/>
                <w:b w:val="0"/>
                <w:bCs w:val="0"/>
                <w:color w:val="auto"/>
                <w:sz w:val="20"/>
                <w:szCs w:val="20"/>
                <w:lang w:val="en-AU"/>
              </w:rPr>
            </w:pPr>
            <w:r>
              <w:rPr>
                <w:rFonts w:asciiTheme="minorHAnsi" w:hAnsiTheme="minorHAnsi" w:cstheme="minorHAnsi"/>
                <w:b w:val="0"/>
                <w:bCs w:val="0"/>
                <w:color w:val="auto"/>
                <w:sz w:val="20"/>
                <w:szCs w:val="20"/>
                <w:lang w:val="en-AU"/>
              </w:rPr>
              <w:t>DEMOD comparison and</w:t>
            </w:r>
            <w:r w:rsidRPr="00185CBB">
              <w:rPr>
                <w:rFonts w:asciiTheme="minorHAnsi" w:hAnsiTheme="minorHAnsi" w:cstheme="minorHAnsi"/>
                <w:b w:val="0"/>
                <w:bCs w:val="0"/>
                <w:color w:val="auto"/>
                <w:sz w:val="20"/>
                <w:szCs w:val="20"/>
                <w:lang w:val="en-AU"/>
              </w:rPr>
              <w:t xml:space="preserve"> bank side </w:t>
            </w:r>
          </w:p>
        </w:tc>
        <w:tc>
          <w:tcPr>
            <w:tcW w:w="1007" w:type="dxa"/>
            <w:shd w:val="clear" w:color="auto" w:fill="92CDDC"/>
          </w:tcPr>
          <w:p w14:paraId="3A442B3A" w14:textId="77777777" w:rsidR="004379FD" w:rsidRPr="00185CBB" w:rsidRDefault="004379FD" w:rsidP="00E249CE">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Bank area (m2)</w:t>
            </w:r>
          </w:p>
        </w:tc>
        <w:tc>
          <w:tcPr>
            <w:tcW w:w="1205" w:type="dxa"/>
            <w:shd w:val="clear" w:color="auto" w:fill="92CDDC"/>
          </w:tcPr>
          <w:p w14:paraId="643B1740" w14:textId="77777777" w:rsidR="004379FD" w:rsidRPr="00185CBB" w:rsidRDefault="004379FD" w:rsidP="00E249CE">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 xml:space="preserve">Total Erosion (m3) </w:t>
            </w:r>
          </w:p>
        </w:tc>
        <w:tc>
          <w:tcPr>
            <w:tcW w:w="1134" w:type="dxa"/>
            <w:shd w:val="clear" w:color="auto" w:fill="92CDDC"/>
          </w:tcPr>
          <w:p w14:paraId="49F7E185" w14:textId="77777777" w:rsidR="004379FD" w:rsidRPr="00185CBB" w:rsidRDefault="004379FD" w:rsidP="00E249CE">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Total Deposition (m3)</w:t>
            </w:r>
          </w:p>
        </w:tc>
        <w:tc>
          <w:tcPr>
            <w:tcW w:w="1276" w:type="dxa"/>
            <w:shd w:val="clear" w:color="auto" w:fill="92CDDC"/>
          </w:tcPr>
          <w:p w14:paraId="45937B0A" w14:textId="77777777" w:rsidR="004379FD" w:rsidRPr="00185CBB" w:rsidRDefault="004379FD" w:rsidP="00E249CE">
            <w:pPr>
              <w:spacing w:after="12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vertAlign w:val="superscript"/>
                <w:lang w:val="en-AU"/>
              </w:rPr>
            </w:pPr>
            <w:r w:rsidRPr="00185CBB">
              <w:rPr>
                <w:rFonts w:asciiTheme="minorHAnsi" w:hAnsiTheme="minorHAnsi" w:cstheme="minorHAnsi"/>
                <w:b w:val="0"/>
                <w:bCs w:val="0"/>
                <w:color w:val="auto"/>
                <w:sz w:val="20"/>
                <w:szCs w:val="20"/>
                <w:lang w:val="en-AU"/>
              </w:rPr>
              <w:t>Tot erosion (cm3) per m2 of bank</w:t>
            </w:r>
          </w:p>
        </w:tc>
        <w:tc>
          <w:tcPr>
            <w:tcW w:w="1559" w:type="dxa"/>
            <w:shd w:val="clear" w:color="auto" w:fill="92CDDC"/>
          </w:tcPr>
          <w:p w14:paraId="45E412A9" w14:textId="77777777" w:rsidR="004379FD" w:rsidRPr="00185CBB" w:rsidRDefault="004379FD" w:rsidP="00E249CE">
            <w:pPr>
              <w:spacing w:after="12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Tot depos (cm3) per m2 of bank</w:t>
            </w:r>
          </w:p>
        </w:tc>
        <w:tc>
          <w:tcPr>
            <w:tcW w:w="1119" w:type="dxa"/>
            <w:shd w:val="clear" w:color="auto" w:fill="92CDDC"/>
          </w:tcPr>
          <w:p w14:paraId="59ACCA0A" w14:textId="77777777" w:rsidR="004379FD" w:rsidRPr="00185CBB" w:rsidRDefault="004379FD" w:rsidP="00E249CE">
            <w:pPr>
              <w:spacing w:after="12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185CBB">
              <w:rPr>
                <w:rFonts w:asciiTheme="minorHAnsi" w:hAnsiTheme="minorHAnsi" w:cstheme="minorHAnsi"/>
                <w:b w:val="0"/>
                <w:bCs w:val="0"/>
                <w:color w:val="auto"/>
                <w:sz w:val="20"/>
                <w:szCs w:val="20"/>
                <w:lang w:val="en-AU"/>
              </w:rPr>
              <w:t>Erosion as a % of depos</w:t>
            </w:r>
          </w:p>
        </w:tc>
      </w:tr>
      <w:tr w:rsidR="004379FD" w:rsidRPr="00185CBB" w14:paraId="46EA8244" w14:textId="77777777" w:rsidTr="004909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89" w:type="dxa"/>
          </w:tcPr>
          <w:p w14:paraId="4285898A" w14:textId="77777777" w:rsidR="004379FD" w:rsidRPr="00185CBB" w:rsidRDefault="004379FD" w:rsidP="00E249CE">
            <w:pPr>
              <w:spacing w:after="120" w:line="240"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V3 – V4: Left bank</w:t>
            </w:r>
          </w:p>
        </w:tc>
        <w:tc>
          <w:tcPr>
            <w:tcW w:w="1007" w:type="dxa"/>
          </w:tcPr>
          <w:p w14:paraId="17FA52AB"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230.74</w:t>
            </w:r>
          </w:p>
        </w:tc>
        <w:tc>
          <w:tcPr>
            <w:tcW w:w="1205" w:type="dxa"/>
          </w:tcPr>
          <w:p w14:paraId="7942344C"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0.12</w:t>
            </w:r>
          </w:p>
        </w:tc>
        <w:tc>
          <w:tcPr>
            <w:tcW w:w="1134" w:type="dxa"/>
          </w:tcPr>
          <w:p w14:paraId="7BDD4111"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0.05</w:t>
            </w:r>
          </w:p>
        </w:tc>
        <w:tc>
          <w:tcPr>
            <w:tcW w:w="1276" w:type="dxa"/>
          </w:tcPr>
          <w:p w14:paraId="721613F2"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0.05</w:t>
            </w:r>
          </w:p>
        </w:tc>
        <w:tc>
          <w:tcPr>
            <w:tcW w:w="1559" w:type="dxa"/>
          </w:tcPr>
          <w:p w14:paraId="540824F9"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0.02</w:t>
            </w:r>
          </w:p>
        </w:tc>
        <w:tc>
          <w:tcPr>
            <w:tcW w:w="1119" w:type="dxa"/>
          </w:tcPr>
          <w:p w14:paraId="577F3A40"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&gt;143%</w:t>
            </w:r>
          </w:p>
        </w:tc>
      </w:tr>
      <w:tr w:rsidR="004379FD" w:rsidRPr="00185CBB" w14:paraId="3623BE1D" w14:textId="77777777" w:rsidTr="004909D1">
        <w:trPr>
          <w:trHeight w:val="236"/>
          <w:jc w:val="center"/>
        </w:trPr>
        <w:tc>
          <w:tcPr>
            <w:cnfStyle w:val="001000000000" w:firstRow="0" w:lastRow="0" w:firstColumn="1" w:lastColumn="0" w:oddVBand="0" w:evenVBand="0" w:oddHBand="0" w:evenHBand="0" w:firstRowFirstColumn="0" w:firstRowLastColumn="0" w:lastRowFirstColumn="0" w:lastRowLastColumn="0"/>
            <w:tcW w:w="1889" w:type="dxa"/>
          </w:tcPr>
          <w:p w14:paraId="2D943C74" w14:textId="77777777" w:rsidR="004379FD" w:rsidRPr="00185CBB" w:rsidRDefault="004379FD" w:rsidP="00E249CE">
            <w:pPr>
              <w:spacing w:after="120" w:line="240"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V3 –V4: Right bank</w:t>
            </w:r>
          </w:p>
        </w:tc>
        <w:tc>
          <w:tcPr>
            <w:tcW w:w="1007" w:type="dxa"/>
          </w:tcPr>
          <w:p w14:paraId="2ADFE823"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168.06</w:t>
            </w:r>
          </w:p>
        </w:tc>
        <w:tc>
          <w:tcPr>
            <w:tcW w:w="1205" w:type="dxa"/>
          </w:tcPr>
          <w:p w14:paraId="6AD950D1"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0.04</w:t>
            </w:r>
          </w:p>
        </w:tc>
        <w:tc>
          <w:tcPr>
            <w:tcW w:w="1134" w:type="dxa"/>
          </w:tcPr>
          <w:p w14:paraId="2DFE546B"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0.22</w:t>
            </w:r>
          </w:p>
        </w:tc>
        <w:tc>
          <w:tcPr>
            <w:tcW w:w="1276" w:type="dxa"/>
          </w:tcPr>
          <w:p w14:paraId="10F95554"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0.03</w:t>
            </w:r>
          </w:p>
        </w:tc>
        <w:tc>
          <w:tcPr>
            <w:tcW w:w="1559" w:type="dxa"/>
          </w:tcPr>
          <w:p w14:paraId="484B43CB"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0.13</w:t>
            </w:r>
          </w:p>
        </w:tc>
        <w:tc>
          <w:tcPr>
            <w:tcW w:w="1119" w:type="dxa"/>
          </w:tcPr>
          <w:p w14:paraId="0A749924" w14:textId="77777777" w:rsidR="004379FD" w:rsidRPr="00185CBB" w:rsidRDefault="004379FD" w:rsidP="00E249C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-81%</w:t>
            </w:r>
          </w:p>
        </w:tc>
      </w:tr>
      <w:tr w:rsidR="004379FD" w:rsidRPr="00185CBB" w14:paraId="257B1C0D" w14:textId="77777777" w:rsidTr="004909D1">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1889" w:type="dxa"/>
          </w:tcPr>
          <w:p w14:paraId="144135AE" w14:textId="77777777" w:rsidR="004379FD" w:rsidRPr="00185CBB" w:rsidRDefault="004379FD" w:rsidP="00E249CE">
            <w:pPr>
              <w:spacing w:after="120" w:line="240" w:lineRule="auto"/>
              <w:rPr>
                <w:rFonts w:asciiTheme="minorHAnsi" w:hAnsiTheme="minorHAnsi" w:cstheme="minorHAnsi"/>
                <w:b w:val="0"/>
                <w:bCs w:val="0"/>
                <w:sz w:val="20"/>
                <w:szCs w:val="20"/>
                <w:lang w:val="en-AU"/>
              </w:rPr>
            </w:pPr>
            <w:r w:rsidRPr="00185CBB">
              <w:rPr>
                <w:rFonts w:asciiTheme="minorHAnsi" w:hAnsiTheme="minorHAnsi" w:cstheme="minorHAnsi"/>
                <w:b w:val="0"/>
                <w:bCs w:val="0"/>
                <w:sz w:val="20"/>
                <w:szCs w:val="20"/>
                <w:lang w:val="en-AU"/>
              </w:rPr>
              <w:t xml:space="preserve">V3 – V4: Total </w:t>
            </w:r>
          </w:p>
        </w:tc>
        <w:tc>
          <w:tcPr>
            <w:tcW w:w="1007" w:type="dxa"/>
          </w:tcPr>
          <w:p w14:paraId="24B51134"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398.79</w:t>
            </w:r>
          </w:p>
        </w:tc>
        <w:tc>
          <w:tcPr>
            <w:tcW w:w="1205" w:type="dxa"/>
          </w:tcPr>
          <w:p w14:paraId="5161CC2F"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0.67</w:t>
            </w:r>
          </w:p>
        </w:tc>
        <w:tc>
          <w:tcPr>
            <w:tcW w:w="1134" w:type="dxa"/>
          </w:tcPr>
          <w:p w14:paraId="2FE30E2D"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0.27</w:t>
            </w:r>
          </w:p>
        </w:tc>
        <w:tc>
          <w:tcPr>
            <w:tcW w:w="1276" w:type="dxa"/>
          </w:tcPr>
          <w:p w14:paraId="34A3ABCA"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0.04</w:t>
            </w:r>
          </w:p>
        </w:tc>
        <w:tc>
          <w:tcPr>
            <w:tcW w:w="1559" w:type="dxa"/>
          </w:tcPr>
          <w:p w14:paraId="06023D40"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0.07</w:t>
            </w:r>
          </w:p>
        </w:tc>
        <w:tc>
          <w:tcPr>
            <w:tcW w:w="1119" w:type="dxa"/>
          </w:tcPr>
          <w:p w14:paraId="1EF48410" w14:textId="77777777" w:rsidR="004379FD" w:rsidRPr="00185CBB" w:rsidRDefault="004379FD" w:rsidP="00E249C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185CBB">
              <w:rPr>
                <w:rFonts w:asciiTheme="minorHAnsi" w:hAnsiTheme="minorHAnsi" w:cstheme="minorHAnsi"/>
                <w:sz w:val="20"/>
                <w:szCs w:val="20"/>
                <w:lang w:val="en-AU"/>
              </w:rPr>
              <w:t>-39%</w:t>
            </w:r>
          </w:p>
        </w:tc>
      </w:tr>
    </w:tbl>
    <w:p w14:paraId="7EEFE813" w14:textId="77777777" w:rsidR="004379FD" w:rsidRPr="00185CBB" w:rsidRDefault="004379FD" w:rsidP="004379FD">
      <w:pPr>
        <w:pStyle w:val="SNormalText"/>
        <w:spacing w:line="259" w:lineRule="auto"/>
      </w:pPr>
    </w:p>
    <w:p w14:paraId="54A71A6F" w14:textId="77777777" w:rsidR="004379FD" w:rsidRPr="004379FD" w:rsidRDefault="004379FD" w:rsidP="00E249CE">
      <w:pPr>
        <w:pStyle w:val="BodyText1"/>
        <w:spacing w:line="320" w:lineRule="exact"/>
        <w:rPr>
          <w:rFonts w:asciiTheme="minorHAnsi" w:hAnsiTheme="minorHAnsi" w:cstheme="minorHAnsi"/>
          <w:b/>
          <w:color w:val="31849B" w:themeColor="accent5" w:themeShade="BF"/>
          <w:sz w:val="24"/>
          <w:szCs w:val="24"/>
        </w:rPr>
      </w:pPr>
      <w:bookmarkStart w:id="127" w:name="_Toc52433860"/>
      <w:bookmarkStart w:id="128" w:name="_Toc52445281"/>
      <w:r w:rsidRPr="004379FD">
        <w:rPr>
          <w:rFonts w:asciiTheme="minorHAnsi" w:hAnsiTheme="minorHAnsi" w:cstheme="minorHAnsi"/>
          <w:b/>
          <w:color w:val="31849B" w:themeColor="accent5" w:themeShade="BF"/>
          <w:sz w:val="24"/>
          <w:szCs w:val="24"/>
        </w:rPr>
        <w:t>Summary of change linked to hydrology</w:t>
      </w:r>
      <w:bookmarkEnd w:id="127"/>
      <w:bookmarkEnd w:id="128"/>
    </w:p>
    <w:p w14:paraId="6FFBD4E0" w14:textId="4B5A5084" w:rsidR="00AD6D18" w:rsidRPr="00511B98" w:rsidRDefault="004379FD" w:rsidP="00AD6D18">
      <w:pPr>
        <w:pStyle w:val="SNormalText"/>
        <w:ind w:right="164"/>
      </w:pPr>
      <w:r w:rsidRPr="00185CBB">
        <w:t xml:space="preserve">Due to the accuracy and volume of </w:t>
      </w:r>
      <w:r>
        <w:t>data</w:t>
      </w:r>
      <w:r w:rsidRPr="00185CBB">
        <w:t xml:space="preserve"> </w:t>
      </w:r>
      <w:r>
        <w:t>gathered from the Edward/Kolety River downstream of Stevens Weir</w:t>
      </w:r>
      <w:r w:rsidRPr="00185CBB">
        <w:t xml:space="preserve"> this is being used for analysis of bank condition in response to flow events.</w:t>
      </w:r>
      <w:r>
        <w:t xml:space="preserve"> </w:t>
      </w:r>
    </w:p>
    <w:p w14:paraId="29AE0624" w14:textId="73FAB04B" w:rsidR="004379FD" w:rsidRDefault="004379FD" w:rsidP="004379FD">
      <w:pPr>
        <w:pStyle w:val="SNormalText"/>
        <w:spacing w:line="259" w:lineRule="auto"/>
        <w:ind w:right="164"/>
        <w:rPr>
          <w:rFonts w:eastAsia="Times New Roman"/>
          <w:color w:val="000000"/>
          <w:lang w:eastAsia="en-AU"/>
        </w:rPr>
      </w:pPr>
      <w:r w:rsidRPr="00511B98">
        <w:t xml:space="preserve">relates the pattern of erosion and deposition to flow and discusses the geomorphic processes driving the recorded change. </w:t>
      </w:r>
      <w:r w:rsidRPr="00685C45">
        <w:rPr>
          <w:rFonts w:eastAsia="Times New Roman"/>
          <w:color w:val="000000"/>
          <w:lang w:eastAsia="en-AU"/>
        </w:rPr>
        <w:t>Table 9</w:t>
      </w:r>
      <w:r w:rsidR="00FD1776">
        <w:rPr>
          <w:rFonts w:eastAsia="Times New Roman"/>
          <w:color w:val="000000"/>
          <w:lang w:eastAsia="en-AU"/>
        </w:rPr>
        <w:t>.8</w:t>
      </w:r>
      <w:r w:rsidRPr="00511B98">
        <w:rPr>
          <w:rFonts w:eastAsia="Times New Roman"/>
          <w:color w:val="000000"/>
          <w:lang w:eastAsia="en-AU"/>
        </w:rPr>
        <w:t xml:space="preserve"> </w:t>
      </w:r>
      <w:r>
        <w:rPr>
          <w:rFonts w:eastAsia="Times New Roman"/>
          <w:color w:val="000000"/>
          <w:lang w:eastAsia="en-AU"/>
        </w:rPr>
        <w:t>describes how</w:t>
      </w:r>
      <w:r w:rsidRPr="00511B98">
        <w:rPr>
          <w:rFonts w:eastAsia="Times New Roman"/>
          <w:color w:val="000000"/>
          <w:lang w:eastAsia="en-AU"/>
        </w:rPr>
        <w:t xml:space="preserve"> the raw numbers (cm</w:t>
      </w:r>
      <w:r w:rsidRPr="00511B98">
        <w:rPr>
          <w:rFonts w:eastAsia="Times New Roman"/>
          <w:color w:val="000000"/>
          <w:vertAlign w:val="superscript"/>
          <w:lang w:eastAsia="en-AU"/>
        </w:rPr>
        <w:t>3</w:t>
      </w:r>
      <w:r w:rsidRPr="00511B98">
        <w:rPr>
          <w:rFonts w:eastAsia="Times New Roman"/>
          <w:color w:val="000000"/>
          <w:lang w:eastAsia="en-AU"/>
        </w:rPr>
        <w:t>/m</w:t>
      </w:r>
      <w:r w:rsidRPr="00511B98">
        <w:rPr>
          <w:rFonts w:eastAsia="Times New Roman"/>
          <w:color w:val="000000"/>
          <w:vertAlign w:val="superscript"/>
          <w:lang w:eastAsia="en-AU"/>
        </w:rPr>
        <w:t>2</w:t>
      </w:r>
      <w:r w:rsidRPr="00511B98">
        <w:rPr>
          <w:rFonts w:eastAsia="Times New Roman"/>
          <w:color w:val="000000"/>
          <w:lang w:eastAsia="en-AU"/>
        </w:rPr>
        <w:t>) relate to different flow packets.</w:t>
      </w:r>
      <w:r>
        <w:rPr>
          <w:rFonts w:eastAsia="Times New Roman"/>
          <w:color w:val="000000"/>
          <w:lang w:eastAsia="en-AU"/>
        </w:rPr>
        <w:t xml:space="preserve"> </w:t>
      </w:r>
      <w:r w:rsidRPr="00511B98">
        <w:rPr>
          <w:rFonts w:eastAsia="Times New Roman"/>
          <w:color w:val="000000"/>
          <w:lang w:eastAsia="en-AU"/>
        </w:rPr>
        <w:t xml:space="preserve">It is clear to see in </w:t>
      </w:r>
      <w:r>
        <w:rPr>
          <w:rFonts w:eastAsia="Times New Roman"/>
          <w:color w:val="000000"/>
          <w:lang w:eastAsia="en-AU"/>
        </w:rPr>
        <w:t xml:space="preserve">Figure 9.31 </w:t>
      </w:r>
      <w:r w:rsidRPr="00185CBB">
        <w:rPr>
          <w:rFonts w:eastAsia="Times New Roman"/>
          <w:color w:val="000000"/>
          <w:lang w:eastAsia="en-AU"/>
        </w:rPr>
        <w:t xml:space="preserve">the huge impact that the </w:t>
      </w:r>
      <w:r>
        <w:rPr>
          <w:rFonts w:eastAsia="Times New Roman"/>
          <w:color w:val="000000"/>
          <w:lang w:eastAsia="en-AU"/>
        </w:rPr>
        <w:t>SCF</w:t>
      </w:r>
      <w:r w:rsidRPr="00185CBB">
        <w:rPr>
          <w:rFonts w:eastAsia="Times New Roman"/>
          <w:color w:val="000000"/>
          <w:lang w:eastAsia="en-AU"/>
        </w:rPr>
        <w:t xml:space="preserve"> and </w:t>
      </w:r>
      <w:r>
        <w:rPr>
          <w:rFonts w:eastAsia="Times New Roman"/>
          <w:color w:val="000000"/>
          <w:lang w:eastAsia="en-AU"/>
        </w:rPr>
        <w:t>operational</w:t>
      </w:r>
      <w:r w:rsidRPr="00185CBB">
        <w:rPr>
          <w:rFonts w:eastAsia="Times New Roman"/>
          <w:color w:val="000000"/>
          <w:lang w:eastAsia="en-AU"/>
        </w:rPr>
        <w:t xml:space="preserve"> flow</w:t>
      </w:r>
      <w:r>
        <w:rPr>
          <w:rFonts w:eastAsia="Times New Roman"/>
          <w:color w:val="000000"/>
          <w:lang w:eastAsia="en-AU"/>
        </w:rPr>
        <w:t xml:space="preserve">s </w:t>
      </w:r>
      <w:r w:rsidRPr="00185CBB">
        <w:rPr>
          <w:rFonts w:eastAsia="Times New Roman"/>
          <w:color w:val="000000"/>
          <w:lang w:eastAsia="en-AU"/>
        </w:rPr>
        <w:t>combined have on total erosion and net change, this highlights the importance of considering the combined (rather than is</w:t>
      </w:r>
      <w:r>
        <w:rPr>
          <w:rFonts w:eastAsia="Times New Roman"/>
          <w:color w:val="000000"/>
          <w:lang w:eastAsia="en-AU"/>
        </w:rPr>
        <w:t>olated) impact of flow events.</w:t>
      </w:r>
    </w:p>
    <w:p w14:paraId="142E698C" w14:textId="77777777" w:rsidR="004379FD" w:rsidRDefault="004379FD" w:rsidP="00E249CE">
      <w:pPr>
        <w:pStyle w:val="BodyText1"/>
        <w:spacing w:after="0" w:line="240" w:lineRule="auto"/>
      </w:pPr>
      <w:r>
        <w:rPr>
          <w:noProof/>
          <w:lang w:eastAsia="en-AU" w:bidi="ar-SA"/>
        </w:rPr>
        <w:drawing>
          <wp:inline distT="0" distB="0" distL="0" distR="0" wp14:anchorId="42F2F9B9" wp14:editId="510BE6D1">
            <wp:extent cx="3886200" cy="2376035"/>
            <wp:effectExtent l="0" t="0" r="0" b="571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913579" cy="2392775"/>
                    </a:xfrm>
                    <a:prstGeom prst="rect">
                      <a:avLst/>
                    </a:prstGeom>
                    <a:noFill/>
                  </pic:spPr>
                </pic:pic>
              </a:graphicData>
            </a:graphic>
          </wp:inline>
        </w:drawing>
      </w:r>
    </w:p>
    <w:p w14:paraId="5393EADD" w14:textId="6FC60947" w:rsidR="004379FD" w:rsidRPr="008006A2" w:rsidRDefault="004379FD" w:rsidP="00E249CE">
      <w:pPr>
        <w:pStyle w:val="SHCaption"/>
        <w:spacing w:after="0"/>
        <w:rPr>
          <w:color w:val="000000" w:themeColor="text1"/>
        </w:rPr>
      </w:pPr>
      <w:bookmarkStart w:id="129" w:name="_Ref52444611"/>
      <w:r w:rsidRPr="008006A2">
        <w:rPr>
          <w:b/>
          <w:color w:val="000000" w:themeColor="text1"/>
        </w:rPr>
        <w:t xml:space="preserve">Figure </w:t>
      </w:r>
      <w:bookmarkEnd w:id="129"/>
      <w:r w:rsidR="00AD6D18">
        <w:rPr>
          <w:b/>
          <w:noProof/>
          <w:color w:val="000000" w:themeColor="text1"/>
        </w:rPr>
        <w:t>9.</w:t>
      </w:r>
      <w:r>
        <w:rPr>
          <w:b/>
          <w:noProof/>
          <w:color w:val="000000" w:themeColor="text1"/>
        </w:rPr>
        <w:t>31</w:t>
      </w:r>
      <w:r>
        <w:rPr>
          <w:color w:val="000000" w:themeColor="text1"/>
        </w:rPr>
        <w:t xml:space="preserve"> </w:t>
      </w:r>
      <w:r w:rsidRPr="008006A2">
        <w:rPr>
          <w:color w:val="000000" w:themeColor="text1"/>
        </w:rPr>
        <w:t>Bar chart summarising total deposition, erosion and net sediment ch</w:t>
      </w:r>
      <w:r>
        <w:rPr>
          <w:color w:val="000000" w:themeColor="text1"/>
        </w:rPr>
        <w:t>ange (deposition minus erosion)</w:t>
      </w:r>
    </w:p>
    <w:p w14:paraId="6CA5F34E" w14:textId="1B5EDF68" w:rsidR="004379FD" w:rsidRDefault="004379FD" w:rsidP="004379FD">
      <w:pPr>
        <w:spacing w:after="160" w:line="259" w:lineRule="auto"/>
        <w:rPr>
          <w:rFonts w:asciiTheme="minorHAnsi" w:hAnsiTheme="minorHAnsi" w:cstheme="minorHAnsi"/>
          <w:b/>
          <w:bCs/>
          <w:color w:val="000000" w:themeColor="text1"/>
          <w:sz w:val="20"/>
          <w:highlight w:val="yellow"/>
        </w:rPr>
      </w:pPr>
      <w:bookmarkStart w:id="130" w:name="_Ref52375743"/>
      <w:bookmarkStart w:id="131" w:name="_Toc52433879"/>
      <w:r>
        <w:rPr>
          <w:rFonts w:asciiTheme="minorHAnsi" w:hAnsiTheme="minorHAnsi" w:cstheme="minorHAnsi"/>
          <w:b/>
          <w:color w:val="000000" w:themeColor="text1"/>
          <w:sz w:val="20"/>
          <w:highlight w:val="yellow"/>
        </w:rPr>
        <w:br w:type="page"/>
      </w:r>
    </w:p>
    <w:p w14:paraId="3573DB11" w14:textId="5726506C" w:rsidR="004379FD" w:rsidRPr="00685C45" w:rsidRDefault="004379FD" w:rsidP="00E249CE">
      <w:pPr>
        <w:pStyle w:val="captions"/>
      </w:pPr>
      <w:r w:rsidRPr="00685C45">
        <w:t xml:space="preserve">Table </w:t>
      </w:r>
      <w:r w:rsidR="00AD6D18">
        <w:t>9</w:t>
      </w:r>
      <w:r w:rsidRPr="00685C45">
        <w:t>.</w:t>
      </w:r>
      <w:bookmarkEnd w:id="130"/>
      <w:r w:rsidRPr="00685C45">
        <w:t>8</w:t>
      </w:r>
      <w:r>
        <w:t xml:space="preserve"> </w:t>
      </w:r>
      <w:r w:rsidRPr="00E249CE">
        <w:rPr>
          <w:b w:val="0"/>
        </w:rPr>
        <w:t>Summary of observations for each monitoring window</w:t>
      </w:r>
      <w:bookmarkEnd w:id="131"/>
      <w:r w:rsidRPr="00685C45">
        <w:t xml:space="preserve"> </w:t>
      </w:r>
    </w:p>
    <w:tbl>
      <w:tblPr>
        <w:tblStyle w:val="STableNoBoarders"/>
        <w:tblW w:w="9639" w:type="dxa"/>
        <w:tblLook w:val="04A0" w:firstRow="1" w:lastRow="0" w:firstColumn="1" w:lastColumn="0" w:noHBand="0" w:noVBand="1"/>
      </w:tblPr>
      <w:tblGrid>
        <w:gridCol w:w="1533"/>
        <w:gridCol w:w="7965"/>
        <w:gridCol w:w="141"/>
      </w:tblGrid>
      <w:tr w:rsidR="004379FD" w:rsidRPr="00185CBB" w14:paraId="02923E24" w14:textId="77777777" w:rsidTr="004379FD">
        <w:trPr>
          <w:gridAfter w:val="1"/>
          <w:cnfStyle w:val="100000000000" w:firstRow="1" w:lastRow="0" w:firstColumn="0" w:lastColumn="0" w:oddVBand="0" w:evenVBand="0" w:oddHBand="0" w:evenHBand="0" w:firstRowFirstColumn="0" w:firstRowLastColumn="0" w:lastRowFirstColumn="0" w:lastRowLastColumn="0"/>
          <w:wAfter w:w="141" w:type="dxa"/>
          <w:trHeight w:val="300"/>
          <w:tblHeader/>
        </w:trPr>
        <w:tc>
          <w:tcPr>
            <w:tcW w:w="1533" w:type="dxa"/>
            <w:shd w:val="clear" w:color="auto" w:fill="92CDDC"/>
            <w:tcMar>
              <w:left w:w="57" w:type="dxa"/>
              <w:right w:w="57" w:type="dxa"/>
            </w:tcMar>
            <w:hideMark/>
          </w:tcPr>
          <w:p w14:paraId="38A7EC06" w14:textId="77777777" w:rsidR="004379FD" w:rsidRPr="00685C45" w:rsidRDefault="004379FD" w:rsidP="00E249CE">
            <w:pPr>
              <w:spacing w:after="0" w:line="240" w:lineRule="auto"/>
              <w:rPr>
                <w:rFonts w:asciiTheme="minorHAnsi" w:eastAsia="Times New Roman" w:hAnsiTheme="minorHAnsi" w:cstheme="minorHAnsi"/>
                <w:b w:val="0"/>
                <w:color w:val="auto"/>
                <w:sz w:val="18"/>
                <w:szCs w:val="18"/>
                <w:lang w:val="en-AU" w:eastAsia="en-AU"/>
              </w:rPr>
            </w:pPr>
            <w:bookmarkStart w:id="132" w:name="_Hlk48737007"/>
            <w:r w:rsidRPr="00685C45">
              <w:rPr>
                <w:rFonts w:asciiTheme="minorHAnsi" w:eastAsia="Times New Roman" w:hAnsiTheme="minorHAnsi" w:cstheme="minorHAnsi"/>
                <w:b w:val="0"/>
                <w:color w:val="auto"/>
                <w:sz w:val="18"/>
                <w:szCs w:val="18"/>
                <w:lang w:val="en-AU" w:eastAsia="en-AU"/>
              </w:rPr>
              <w:t xml:space="preserve">Visit and Flow type </w:t>
            </w:r>
          </w:p>
        </w:tc>
        <w:tc>
          <w:tcPr>
            <w:tcW w:w="7965" w:type="dxa"/>
            <w:shd w:val="clear" w:color="auto" w:fill="92CDDC"/>
            <w:hideMark/>
          </w:tcPr>
          <w:p w14:paraId="1D167BA6" w14:textId="77777777" w:rsidR="004379FD" w:rsidRPr="00185CBB" w:rsidRDefault="004379FD" w:rsidP="00E249CE">
            <w:pPr>
              <w:spacing w:after="0" w:line="240" w:lineRule="auto"/>
              <w:rPr>
                <w:rFonts w:asciiTheme="minorHAnsi" w:eastAsia="Times New Roman" w:hAnsiTheme="minorHAnsi" w:cstheme="minorHAnsi"/>
                <w:b w:val="0"/>
                <w:color w:val="auto"/>
                <w:sz w:val="20"/>
                <w:szCs w:val="20"/>
                <w:lang w:val="en-AU" w:eastAsia="en-AU"/>
              </w:rPr>
            </w:pPr>
            <w:r w:rsidRPr="00685C45">
              <w:rPr>
                <w:rFonts w:asciiTheme="minorHAnsi" w:eastAsia="Times New Roman" w:hAnsiTheme="minorHAnsi" w:cstheme="minorHAnsi"/>
                <w:b w:val="0"/>
                <w:color w:val="auto"/>
                <w:sz w:val="20"/>
                <w:szCs w:val="20"/>
                <w:lang w:val="en-AU" w:eastAsia="en-AU"/>
              </w:rPr>
              <w:t>Observations summarised with reference to flow and processes</w:t>
            </w:r>
          </w:p>
        </w:tc>
      </w:tr>
      <w:tr w:rsidR="004379FD" w:rsidRPr="00185CBB" w14:paraId="12831CA0" w14:textId="77777777" w:rsidTr="004379FD">
        <w:trPr>
          <w:trHeight w:val="582"/>
        </w:trPr>
        <w:tc>
          <w:tcPr>
            <w:tcW w:w="1533" w:type="dxa"/>
            <w:hideMark/>
          </w:tcPr>
          <w:p w14:paraId="3F668C59"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 xml:space="preserve">Visit 1 – 2 </w:t>
            </w:r>
          </w:p>
          <w:p w14:paraId="5C22FEAF"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(SCF Period)</w:t>
            </w:r>
          </w:p>
          <w:p w14:paraId="459173F0"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p>
          <w:p w14:paraId="78199B65"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Aug, Sep, Oct 2019</w:t>
            </w:r>
          </w:p>
          <w:p w14:paraId="096B7066"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p>
          <w:p w14:paraId="79C3B286" w14:textId="77777777" w:rsidR="004379FD" w:rsidRPr="00E249CE" w:rsidRDefault="004379FD" w:rsidP="00E249CE">
            <w:pPr>
              <w:spacing w:after="0" w:line="240" w:lineRule="auto"/>
              <w:ind w:left="-108"/>
              <w:rPr>
                <w:rFonts w:asciiTheme="minorHAnsi" w:eastAsia="Times New Roman" w:hAnsiTheme="minorHAnsi" w:cstheme="minorHAnsi"/>
                <w:b/>
                <w:bCs/>
                <w:color w:val="000000"/>
                <w:sz w:val="20"/>
                <w:szCs w:val="20"/>
                <w:lang w:val="en-AU" w:eastAsia="en-AU"/>
              </w:rPr>
            </w:pPr>
          </w:p>
          <w:p w14:paraId="63A4A4BB" w14:textId="77777777" w:rsidR="004379FD" w:rsidRPr="00E249CE" w:rsidRDefault="004379FD" w:rsidP="00E249CE">
            <w:pPr>
              <w:spacing w:after="0" w:line="240" w:lineRule="auto"/>
              <w:ind w:left="-108"/>
              <w:rPr>
                <w:rFonts w:asciiTheme="minorHAnsi" w:eastAsia="Times New Roman" w:hAnsiTheme="minorHAnsi" w:cstheme="minorHAnsi"/>
                <w:b/>
                <w:bCs/>
                <w:color w:val="000000"/>
                <w:sz w:val="20"/>
                <w:szCs w:val="20"/>
                <w:lang w:val="en-AU" w:eastAsia="en-AU"/>
              </w:rPr>
            </w:pPr>
          </w:p>
        </w:tc>
        <w:tc>
          <w:tcPr>
            <w:tcW w:w="8106" w:type="dxa"/>
            <w:gridSpan w:val="2"/>
            <w:tcMar>
              <w:left w:w="57" w:type="dxa"/>
              <w:right w:w="57" w:type="dxa"/>
            </w:tcMar>
            <w:hideMark/>
          </w:tcPr>
          <w:p w14:paraId="3E50830F" w14:textId="77777777" w:rsidR="004379FD" w:rsidRPr="00E249CE" w:rsidRDefault="004379FD" w:rsidP="00E249CE">
            <w:pPr>
              <w:spacing w:after="0" w:line="240" w:lineRule="auto"/>
              <w:rPr>
                <w:rFonts w:asciiTheme="minorHAnsi" w:eastAsia="Times New Roman" w:hAnsiTheme="minorHAnsi" w:cstheme="minorHAnsi"/>
                <w:bCs/>
                <w:i/>
                <w:iCs/>
                <w:color w:val="000000"/>
                <w:sz w:val="20"/>
                <w:szCs w:val="20"/>
                <w:lang w:val="en-AU" w:eastAsia="en-AU"/>
              </w:rPr>
            </w:pPr>
            <w:r w:rsidRPr="00E249CE">
              <w:rPr>
                <w:rFonts w:asciiTheme="minorHAnsi" w:eastAsia="Times New Roman" w:hAnsiTheme="minorHAnsi" w:cstheme="minorHAnsi"/>
                <w:bCs/>
                <w:i/>
                <w:iCs/>
                <w:color w:val="000000"/>
                <w:sz w:val="20"/>
                <w:szCs w:val="20"/>
                <w:lang w:val="en-AU" w:eastAsia="en-AU"/>
              </w:rPr>
              <w:t xml:space="preserve">Change was recorded on the bank zone corresponding to &gt;2,500 ML/day </w:t>
            </w:r>
          </w:p>
          <w:p w14:paraId="31C0AA38" w14:textId="77777777" w:rsidR="004379FD" w:rsidRPr="00E249CE" w:rsidRDefault="004379FD" w:rsidP="00E249CE">
            <w:pPr>
              <w:spacing w:after="0" w:line="240" w:lineRule="auto"/>
              <w:rPr>
                <w:rFonts w:asciiTheme="minorHAnsi" w:hAnsiTheme="minorHAnsi" w:cstheme="minorHAnsi"/>
                <w:sz w:val="20"/>
                <w:szCs w:val="20"/>
                <w:lang w:val="en-AU"/>
              </w:rPr>
            </w:pPr>
            <w:r w:rsidRPr="00E249CE">
              <w:rPr>
                <w:rFonts w:asciiTheme="minorHAnsi" w:eastAsia="Times New Roman" w:hAnsiTheme="minorHAnsi" w:cstheme="minorHAnsi"/>
                <w:b/>
                <w:color w:val="000000"/>
                <w:sz w:val="20"/>
                <w:szCs w:val="20"/>
                <w:lang w:val="en-AU" w:eastAsia="en-AU"/>
              </w:rPr>
              <w:t>Erosion:</w:t>
            </w:r>
            <w:r w:rsidRPr="00E249CE">
              <w:rPr>
                <w:rFonts w:asciiTheme="minorHAnsi" w:eastAsia="Times New Roman" w:hAnsiTheme="minorHAnsi" w:cstheme="minorHAnsi"/>
                <w:bCs/>
                <w:color w:val="000000"/>
                <w:sz w:val="20"/>
                <w:szCs w:val="20"/>
                <w:lang w:val="en-AU" w:eastAsia="en-AU"/>
              </w:rPr>
              <w:t xml:space="preserve"> largest volume recorded across all periods. Primarily located (vertically) above the existing notch in bank zones relating to flow packet 3,000 – 4,000 ML/day (</w:t>
            </w:r>
            <w:r w:rsidRPr="00E249CE">
              <w:rPr>
                <w:rFonts w:asciiTheme="minorHAnsi" w:eastAsia="Times New Roman" w:hAnsiTheme="minorHAnsi" w:cstheme="minorHAnsi"/>
                <w:bCs/>
                <w:color w:val="000000"/>
                <w:sz w:val="20"/>
                <w:szCs w:val="20"/>
                <w:lang w:eastAsia="en-AU"/>
              </w:rPr>
              <w:t>Table 9.9</w:t>
            </w:r>
            <w:r w:rsidRPr="00E249CE">
              <w:rPr>
                <w:rFonts w:asciiTheme="minorHAnsi" w:eastAsia="Times New Roman" w:hAnsiTheme="minorHAnsi" w:cstheme="minorHAnsi"/>
                <w:bCs/>
                <w:color w:val="000000"/>
                <w:sz w:val="20"/>
                <w:szCs w:val="20"/>
                <w:lang w:val="en-AU" w:eastAsia="en-AU"/>
              </w:rPr>
              <w:t>) and in patches laterally across the entire bank face up to depths of 20cms.</w:t>
            </w:r>
          </w:p>
          <w:p w14:paraId="474F0308"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Deposition:</w:t>
            </w:r>
            <w:r w:rsidRPr="00E249CE">
              <w:rPr>
                <w:rFonts w:asciiTheme="minorHAnsi" w:eastAsia="Times New Roman" w:hAnsiTheme="minorHAnsi" w:cstheme="minorHAnsi"/>
                <w:bCs/>
                <w:color w:val="000000"/>
                <w:sz w:val="20"/>
                <w:szCs w:val="20"/>
                <w:lang w:val="en-AU" w:eastAsia="en-AU"/>
              </w:rPr>
              <w:t xml:space="preserve"> largest volume recorded across all periods. Primarily located in areas directly beneath areas of erosion. Deposits from erosion and up to 20 cms in depth.</w:t>
            </w:r>
          </w:p>
          <w:p w14:paraId="3D3417D5"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
                <w:bCs/>
                <w:color w:val="000000"/>
                <w:sz w:val="20"/>
                <w:szCs w:val="20"/>
                <w:lang w:val="en-AU" w:eastAsia="en-AU"/>
              </w:rPr>
              <w:t xml:space="preserve">Process: </w:t>
            </w:r>
            <w:r w:rsidRPr="00E249CE">
              <w:rPr>
                <w:rFonts w:asciiTheme="minorHAnsi" w:eastAsia="Times New Roman" w:hAnsiTheme="minorHAnsi" w:cstheme="minorHAnsi"/>
                <w:bCs/>
                <w:color w:val="000000"/>
                <w:sz w:val="20"/>
                <w:szCs w:val="20"/>
                <w:lang w:val="en-AU" w:eastAsia="en-AU"/>
              </w:rPr>
              <w:t xml:space="preserve">Evidence of extensive mass-failure events in response to the rising (above) and falling (below) the existing notch, leading to critical stress reached on the drawdown and subsequent destabilisation of sediment in these bank zones. </w:t>
            </w:r>
          </w:p>
        </w:tc>
      </w:tr>
      <w:tr w:rsidR="004379FD" w:rsidRPr="00185CBB" w14:paraId="0333E438" w14:textId="77777777" w:rsidTr="004379FD">
        <w:trPr>
          <w:trHeight w:val="1158"/>
        </w:trPr>
        <w:tc>
          <w:tcPr>
            <w:tcW w:w="1533" w:type="dxa"/>
            <w:hideMark/>
          </w:tcPr>
          <w:p w14:paraId="4AEDDC39"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 xml:space="preserve">Visit 2 – 3 </w:t>
            </w:r>
          </w:p>
          <w:p w14:paraId="22265618"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(operational flow Period)</w:t>
            </w:r>
          </w:p>
          <w:p w14:paraId="33C192F6"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p>
          <w:p w14:paraId="242FC2B5" w14:textId="77777777" w:rsidR="004379FD" w:rsidRPr="00E249CE" w:rsidRDefault="004379FD" w:rsidP="00E249CE">
            <w:pPr>
              <w:spacing w:after="0" w:line="240" w:lineRule="auto"/>
              <w:ind w:left="-108"/>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Nov 2019- Feb 2020</w:t>
            </w:r>
          </w:p>
          <w:p w14:paraId="574D5D57" w14:textId="77777777" w:rsidR="004379FD" w:rsidRPr="00E249CE" w:rsidRDefault="004379FD" w:rsidP="00E249CE">
            <w:pPr>
              <w:spacing w:after="0" w:line="240" w:lineRule="auto"/>
              <w:ind w:left="-108"/>
              <w:rPr>
                <w:rFonts w:asciiTheme="minorHAnsi" w:eastAsia="Times New Roman" w:hAnsiTheme="minorHAnsi" w:cstheme="minorHAnsi"/>
                <w:b/>
                <w:bCs/>
                <w:color w:val="000000"/>
                <w:sz w:val="20"/>
                <w:szCs w:val="20"/>
                <w:lang w:val="en-AU" w:eastAsia="en-AU"/>
              </w:rPr>
            </w:pPr>
          </w:p>
          <w:p w14:paraId="4E02A64D" w14:textId="77777777" w:rsidR="004379FD" w:rsidRPr="00E249CE" w:rsidRDefault="004379FD" w:rsidP="00E249CE">
            <w:pPr>
              <w:spacing w:after="0" w:line="240" w:lineRule="auto"/>
              <w:ind w:left="-108"/>
              <w:rPr>
                <w:rFonts w:asciiTheme="minorHAnsi" w:eastAsia="Times New Roman" w:hAnsiTheme="minorHAnsi" w:cstheme="minorHAnsi"/>
                <w:b/>
                <w:bCs/>
                <w:color w:val="000000"/>
                <w:sz w:val="20"/>
                <w:szCs w:val="20"/>
                <w:lang w:val="en-AU" w:eastAsia="en-AU"/>
              </w:rPr>
            </w:pPr>
          </w:p>
        </w:tc>
        <w:tc>
          <w:tcPr>
            <w:tcW w:w="8106" w:type="dxa"/>
            <w:gridSpan w:val="2"/>
            <w:tcMar>
              <w:left w:w="57" w:type="dxa"/>
              <w:right w:w="57" w:type="dxa"/>
            </w:tcMar>
            <w:hideMark/>
          </w:tcPr>
          <w:p w14:paraId="56B2ADB1" w14:textId="77777777" w:rsidR="004379FD" w:rsidRPr="00E249CE" w:rsidRDefault="004379FD" w:rsidP="00E249CE">
            <w:pPr>
              <w:spacing w:after="0" w:line="240" w:lineRule="auto"/>
              <w:rPr>
                <w:rFonts w:asciiTheme="minorHAnsi" w:eastAsia="Times New Roman" w:hAnsiTheme="minorHAnsi" w:cstheme="minorHAnsi"/>
                <w:bCs/>
                <w:i/>
                <w:iCs/>
                <w:color w:val="000000"/>
                <w:sz w:val="20"/>
                <w:szCs w:val="20"/>
                <w:lang w:val="en-AU" w:eastAsia="en-AU"/>
              </w:rPr>
            </w:pPr>
            <w:r w:rsidRPr="00E249CE">
              <w:rPr>
                <w:rFonts w:asciiTheme="minorHAnsi" w:eastAsia="Times New Roman" w:hAnsiTheme="minorHAnsi" w:cstheme="minorHAnsi"/>
                <w:bCs/>
                <w:i/>
                <w:iCs/>
                <w:color w:val="000000"/>
                <w:sz w:val="20"/>
                <w:szCs w:val="20"/>
                <w:lang w:val="en-AU" w:eastAsia="en-AU"/>
              </w:rPr>
              <w:t>Change was recorded above 2,650 ML/day due to the water height on survey, and change beneath this bank zone was not recorded, so to fully understand the response v1-v3 must be analysed.</w:t>
            </w:r>
          </w:p>
          <w:p w14:paraId="1FBE3159"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 xml:space="preserve">Erosion: </w:t>
            </w:r>
            <w:r w:rsidRPr="00E249CE">
              <w:rPr>
                <w:rFonts w:asciiTheme="minorHAnsi" w:eastAsia="Times New Roman" w:hAnsiTheme="minorHAnsi" w:cstheme="minorHAnsi"/>
                <w:bCs/>
                <w:color w:val="000000"/>
                <w:sz w:val="20"/>
                <w:szCs w:val="20"/>
                <w:lang w:val="en-AU" w:eastAsia="en-AU"/>
              </w:rPr>
              <w:t>Lowest volume of erosion across all periods. Located primarily vertically below the existing notch in bank zones relating to 2,600 – 2,800 ML/day (</w:t>
            </w:r>
            <w:r w:rsidRPr="00E249CE">
              <w:rPr>
                <w:rFonts w:asciiTheme="minorHAnsi" w:eastAsia="Times New Roman" w:hAnsiTheme="minorHAnsi" w:cstheme="minorHAnsi"/>
                <w:bCs/>
                <w:color w:val="000000"/>
                <w:sz w:val="20"/>
                <w:szCs w:val="20"/>
                <w:lang w:eastAsia="en-AU"/>
              </w:rPr>
              <w:t>Table 9.9</w:t>
            </w:r>
            <w:r w:rsidRPr="00E249CE">
              <w:rPr>
                <w:rFonts w:asciiTheme="minorHAnsi" w:eastAsia="Times New Roman" w:hAnsiTheme="minorHAnsi" w:cstheme="minorHAnsi"/>
                <w:bCs/>
                <w:color w:val="000000"/>
                <w:sz w:val="20"/>
                <w:szCs w:val="20"/>
                <w:lang w:val="en-AU" w:eastAsia="en-AU"/>
              </w:rPr>
              <w:t>) and across the entire face of the bank (laterally) in depths of up to 20cms. Also located in some areas above the notch.</w:t>
            </w:r>
          </w:p>
          <w:p w14:paraId="5E77F933"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 xml:space="preserve">Deposition: </w:t>
            </w:r>
            <w:r w:rsidRPr="00E249CE">
              <w:rPr>
                <w:rFonts w:asciiTheme="minorHAnsi" w:eastAsia="Times New Roman" w:hAnsiTheme="minorHAnsi" w:cstheme="minorHAnsi"/>
                <w:bCs/>
                <w:color w:val="000000"/>
                <w:sz w:val="20"/>
                <w:szCs w:val="20"/>
                <w:lang w:val="en-AU" w:eastAsia="en-AU"/>
              </w:rPr>
              <w:t xml:space="preserve">Lowest volume of deposition across all periods </w:t>
            </w:r>
          </w:p>
          <w:p w14:paraId="3B9FF983" w14:textId="77777777" w:rsidR="004379FD" w:rsidRPr="00E249CE" w:rsidRDefault="004379FD" w:rsidP="00E249CE">
            <w:pPr>
              <w:spacing w:after="0" w:line="240" w:lineRule="auto"/>
              <w:rPr>
                <w:rFonts w:asciiTheme="minorHAnsi" w:hAnsiTheme="minorHAnsi" w:cstheme="minorHAnsi"/>
                <w:bCs/>
                <w:sz w:val="20"/>
                <w:szCs w:val="20"/>
                <w:lang w:val="en-AU"/>
              </w:rPr>
            </w:pPr>
            <w:r w:rsidRPr="00E249CE">
              <w:rPr>
                <w:rFonts w:asciiTheme="minorHAnsi" w:eastAsia="Times New Roman" w:hAnsiTheme="minorHAnsi" w:cstheme="minorHAnsi"/>
                <w:b/>
                <w:color w:val="000000"/>
                <w:sz w:val="20"/>
                <w:szCs w:val="20"/>
                <w:lang w:val="en-AU" w:eastAsia="en-AU"/>
              </w:rPr>
              <w:t xml:space="preserve">Process: </w:t>
            </w:r>
            <w:r w:rsidRPr="00E249CE">
              <w:rPr>
                <w:rFonts w:asciiTheme="minorHAnsi" w:hAnsiTheme="minorHAnsi" w:cstheme="minorHAnsi"/>
                <w:bCs/>
                <w:sz w:val="20"/>
                <w:szCs w:val="20"/>
                <w:lang w:val="en-AU"/>
              </w:rPr>
              <w:t>Cyclical rising and falling of water level resulting in corresponding wetting and drying of sediment with a defined vertical zone of the bank beneath the notch. Resulting in the deepening of the notch in areas and the resetting of the notch in areas where mass-failure events in response to the prior SCF event were apparent. In areas the deepening notch resulted in further mass-failure events to sediment above the notch.</w:t>
            </w:r>
          </w:p>
        </w:tc>
      </w:tr>
      <w:tr w:rsidR="004379FD" w:rsidRPr="00185CBB" w14:paraId="38EB04E7" w14:textId="77777777" w:rsidTr="004379FD">
        <w:trPr>
          <w:trHeight w:val="1158"/>
        </w:trPr>
        <w:tc>
          <w:tcPr>
            <w:tcW w:w="1533" w:type="dxa"/>
          </w:tcPr>
          <w:p w14:paraId="78C6F2B6" w14:textId="77777777" w:rsidR="004379FD" w:rsidRPr="00E249CE" w:rsidRDefault="004379FD" w:rsidP="00E249CE">
            <w:pPr>
              <w:spacing w:after="0" w:line="240" w:lineRule="auto"/>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Visit 3 – 4</w:t>
            </w:r>
          </w:p>
          <w:p w14:paraId="035A1D12" w14:textId="77777777" w:rsidR="004379FD" w:rsidRPr="00E249CE" w:rsidRDefault="004379FD" w:rsidP="00E249CE">
            <w:pPr>
              <w:spacing w:after="0" w:line="240" w:lineRule="auto"/>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(Unregulated flow period)</w:t>
            </w:r>
          </w:p>
          <w:p w14:paraId="3319E3C7" w14:textId="77777777" w:rsidR="004379FD" w:rsidRPr="00E249CE" w:rsidRDefault="004379FD" w:rsidP="00E249CE">
            <w:pPr>
              <w:spacing w:after="0" w:line="240" w:lineRule="auto"/>
              <w:rPr>
                <w:rFonts w:asciiTheme="minorHAnsi" w:eastAsia="Times New Roman" w:hAnsiTheme="minorHAnsi" w:cstheme="minorHAnsi"/>
                <w:color w:val="000000"/>
                <w:sz w:val="20"/>
                <w:szCs w:val="20"/>
                <w:lang w:val="en-AU" w:eastAsia="en-AU"/>
              </w:rPr>
            </w:pPr>
          </w:p>
          <w:p w14:paraId="03441187" w14:textId="77777777" w:rsidR="004379FD" w:rsidRPr="00E249CE" w:rsidRDefault="004379FD" w:rsidP="00E249CE">
            <w:pPr>
              <w:spacing w:after="0" w:line="240" w:lineRule="auto"/>
              <w:rPr>
                <w:rFonts w:asciiTheme="minorHAnsi" w:eastAsia="Times New Roman" w:hAnsiTheme="minorHAnsi" w:cstheme="minorHAnsi"/>
                <w:b/>
                <w:bCs/>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Apr – Jul 2020</w:t>
            </w:r>
          </w:p>
        </w:tc>
        <w:tc>
          <w:tcPr>
            <w:tcW w:w="8106" w:type="dxa"/>
            <w:gridSpan w:val="2"/>
            <w:tcMar>
              <w:left w:w="57" w:type="dxa"/>
              <w:right w:w="57" w:type="dxa"/>
            </w:tcMar>
          </w:tcPr>
          <w:p w14:paraId="65611F6A" w14:textId="77777777" w:rsidR="004379FD" w:rsidRPr="00E249CE" w:rsidRDefault="004379FD" w:rsidP="00E249CE">
            <w:pPr>
              <w:spacing w:after="0" w:line="240" w:lineRule="auto"/>
              <w:rPr>
                <w:rFonts w:asciiTheme="minorHAnsi" w:eastAsia="Times New Roman" w:hAnsiTheme="minorHAnsi" w:cstheme="minorHAnsi"/>
                <w:bCs/>
                <w:i/>
                <w:iCs/>
                <w:color w:val="000000"/>
                <w:sz w:val="20"/>
                <w:szCs w:val="20"/>
                <w:lang w:val="en-AU" w:eastAsia="en-AU"/>
              </w:rPr>
            </w:pPr>
            <w:r w:rsidRPr="00E249CE">
              <w:rPr>
                <w:rFonts w:asciiTheme="minorHAnsi" w:eastAsia="Times New Roman" w:hAnsiTheme="minorHAnsi" w:cstheme="minorHAnsi"/>
                <w:bCs/>
                <w:i/>
                <w:iCs/>
                <w:color w:val="000000"/>
                <w:sz w:val="20"/>
                <w:szCs w:val="20"/>
                <w:lang w:val="en-AU" w:eastAsia="en-AU"/>
              </w:rPr>
              <w:t>Change was recorded above 1,000 ML/day due to low water levels.</w:t>
            </w:r>
          </w:p>
          <w:p w14:paraId="59FF0844" w14:textId="77777777" w:rsidR="004379FD" w:rsidRPr="00E249CE" w:rsidRDefault="004379FD" w:rsidP="00E249CE">
            <w:pPr>
              <w:spacing w:after="0" w:line="240" w:lineRule="auto"/>
              <w:rPr>
                <w:rFonts w:asciiTheme="minorHAnsi" w:eastAsia="Times New Roman" w:hAnsiTheme="minorHAnsi" w:cstheme="minorHAnsi"/>
                <w:i/>
                <w:i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Erosion:</w:t>
            </w:r>
            <w:r w:rsidRPr="00E249CE">
              <w:rPr>
                <w:rFonts w:asciiTheme="minorHAnsi" w:eastAsia="Times New Roman" w:hAnsiTheme="minorHAnsi" w:cstheme="minorHAnsi"/>
                <w:bCs/>
                <w:color w:val="000000"/>
                <w:sz w:val="20"/>
                <w:szCs w:val="20"/>
                <w:lang w:val="en-AU" w:eastAsia="en-AU"/>
              </w:rPr>
              <w:t xml:space="preserve"> second largest volume of erosion recorded primarily in patches vertically beneath the notch (mostly &lt;10cms in depth), in addition to minor erosion above and below the notch. The diversity of these locations reflects the diversity in flow during this period and the area of bank monitored (</w:t>
            </w:r>
            <w:r w:rsidRPr="00E249CE">
              <w:rPr>
                <w:rFonts w:asciiTheme="minorHAnsi" w:eastAsia="Times New Roman" w:hAnsiTheme="minorHAnsi" w:cstheme="minorHAnsi"/>
                <w:bCs/>
                <w:color w:val="000000"/>
                <w:sz w:val="20"/>
                <w:szCs w:val="20"/>
                <w:lang w:eastAsia="en-AU"/>
              </w:rPr>
              <w:t>Table 9.9</w:t>
            </w:r>
            <w:r w:rsidRPr="00E249CE">
              <w:rPr>
                <w:rFonts w:asciiTheme="minorHAnsi" w:eastAsia="Times New Roman" w:hAnsiTheme="minorHAnsi" w:cstheme="minorHAnsi"/>
                <w:bCs/>
                <w:color w:val="000000"/>
                <w:sz w:val="20"/>
                <w:szCs w:val="20"/>
                <w:lang w:val="en-AU" w:eastAsia="en-AU"/>
              </w:rPr>
              <w:t xml:space="preserve">). </w:t>
            </w:r>
            <w:r w:rsidRPr="00E249CE">
              <w:rPr>
                <w:rFonts w:asciiTheme="minorHAnsi" w:eastAsia="Times New Roman" w:hAnsiTheme="minorHAnsi" w:cstheme="minorHAnsi"/>
                <w:iCs/>
                <w:color w:val="000000"/>
                <w:sz w:val="20"/>
                <w:szCs w:val="20"/>
                <w:lang w:val="en-AU" w:eastAsia="en-AU"/>
              </w:rPr>
              <w:t>Less erosion than hypothesised could be due to a combination of short max flow period (7days) meaning less saturation, and prior mass-failure events in response to SCF flows removing unstable upper bank.</w:t>
            </w:r>
          </w:p>
          <w:p w14:paraId="27ECF29E"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 xml:space="preserve">Deposition: </w:t>
            </w:r>
            <w:r w:rsidRPr="00E249CE">
              <w:rPr>
                <w:rFonts w:asciiTheme="minorHAnsi" w:eastAsia="Times New Roman" w:hAnsiTheme="minorHAnsi" w:cstheme="minorHAnsi"/>
                <w:bCs/>
                <w:color w:val="000000"/>
                <w:sz w:val="20"/>
                <w:szCs w:val="20"/>
                <w:lang w:val="en-AU" w:eastAsia="en-AU"/>
              </w:rPr>
              <w:t xml:space="preserve">was the highest relative to erosion, resulting in net neutral change during this period. Deposition located primarily in patches above and below the notch and laterally across the bank face responding to areas of roughness and shallower bank profile (up to 20cms in depth), but not corresponding to areas of erosion in most cases. </w:t>
            </w:r>
            <w:r w:rsidRPr="00E249CE">
              <w:rPr>
                <w:rFonts w:asciiTheme="minorHAnsi" w:eastAsia="Times New Roman" w:hAnsiTheme="minorHAnsi" w:cstheme="minorHAnsi"/>
                <w:iCs/>
                <w:color w:val="000000"/>
                <w:sz w:val="20"/>
                <w:szCs w:val="20"/>
                <w:lang w:val="en-AU" w:eastAsia="en-AU"/>
              </w:rPr>
              <w:t>Initial results presenting a net positive deposition outcome were scaled back due to distortion from vegetation in the lower section of the DEMOD).</w:t>
            </w:r>
          </w:p>
          <w:p w14:paraId="4824700A" w14:textId="77777777" w:rsidR="004379FD" w:rsidRPr="00E249CE" w:rsidRDefault="004379FD" w:rsidP="00E249CE">
            <w:pPr>
              <w:spacing w:after="0" w:line="240" w:lineRule="auto"/>
              <w:rPr>
                <w:rFonts w:asciiTheme="minorHAnsi" w:eastAsia="Times New Roman" w:hAnsiTheme="minorHAnsi" w:cstheme="minorHAnsi"/>
                <w:i/>
                <w:iCs/>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Processes</w:t>
            </w:r>
            <w:r w:rsidRPr="00E249CE">
              <w:rPr>
                <w:rFonts w:asciiTheme="minorHAnsi" w:eastAsia="Times New Roman" w:hAnsiTheme="minorHAnsi" w:cstheme="minorHAnsi"/>
                <w:b/>
                <w:bCs/>
                <w:color w:val="000000"/>
                <w:sz w:val="20"/>
                <w:szCs w:val="20"/>
                <w:lang w:val="en-AU" w:eastAsia="en-AU"/>
              </w:rPr>
              <w:t>:</w:t>
            </w:r>
            <w:r w:rsidRPr="00E249CE">
              <w:rPr>
                <w:rFonts w:asciiTheme="minorHAnsi" w:eastAsia="Times New Roman" w:hAnsiTheme="minorHAnsi" w:cstheme="minorHAnsi"/>
                <w:color w:val="000000"/>
                <w:sz w:val="20"/>
                <w:szCs w:val="20"/>
                <w:lang w:val="en-AU" w:eastAsia="en-AU"/>
              </w:rPr>
              <w:t xml:space="preserve"> Minor erosion due to wetting and drying of the recently aggravated notch, in addition to some impact of woody debris colliding with the lower bank during high flow periods. Minor deposition primarily due to the consolidation of sediment on areas of roughness on the drawdown of the receding limb. </w:t>
            </w:r>
          </w:p>
        </w:tc>
      </w:tr>
      <w:tr w:rsidR="004379FD" w:rsidRPr="00185CBB" w14:paraId="6F1513C1" w14:textId="77777777" w:rsidTr="004379FD">
        <w:trPr>
          <w:trHeight w:val="1158"/>
        </w:trPr>
        <w:tc>
          <w:tcPr>
            <w:tcW w:w="1533" w:type="dxa"/>
          </w:tcPr>
          <w:p w14:paraId="2B27E085" w14:textId="77777777" w:rsidR="004379FD" w:rsidRPr="00E249CE" w:rsidRDefault="004379FD" w:rsidP="00E249CE">
            <w:pPr>
              <w:spacing w:after="0" w:line="240" w:lineRule="auto"/>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 xml:space="preserve">Visit 1 – 3 </w:t>
            </w:r>
          </w:p>
          <w:p w14:paraId="33DD168C" w14:textId="77777777" w:rsidR="004379FD" w:rsidRPr="00E249CE" w:rsidRDefault="004379FD" w:rsidP="00E249CE">
            <w:pPr>
              <w:spacing w:after="0" w:line="240" w:lineRule="auto"/>
              <w:rPr>
                <w:rFonts w:asciiTheme="minorHAnsi" w:eastAsia="Times New Roman" w:hAnsiTheme="minorHAnsi" w:cstheme="minorHAnsi"/>
                <w:b/>
                <w:bCs/>
                <w:color w:val="000000"/>
                <w:sz w:val="20"/>
                <w:szCs w:val="20"/>
                <w:lang w:val="en-AU" w:eastAsia="en-AU"/>
              </w:rPr>
            </w:pPr>
            <w:r w:rsidRPr="00E249CE">
              <w:rPr>
                <w:rFonts w:asciiTheme="minorHAnsi" w:eastAsia="Times New Roman" w:hAnsiTheme="minorHAnsi" w:cstheme="minorHAnsi"/>
                <w:color w:val="000000"/>
                <w:sz w:val="20"/>
                <w:szCs w:val="20"/>
                <w:lang w:val="en-AU" w:eastAsia="en-AU"/>
              </w:rPr>
              <w:t>(SCF and operational flow events)</w:t>
            </w:r>
            <w:r w:rsidRPr="00E249CE">
              <w:rPr>
                <w:rFonts w:asciiTheme="minorHAnsi" w:eastAsia="Times New Roman" w:hAnsiTheme="minorHAnsi" w:cstheme="minorHAnsi"/>
                <w:b/>
                <w:bCs/>
                <w:color w:val="000000"/>
                <w:sz w:val="20"/>
                <w:szCs w:val="20"/>
                <w:lang w:val="en-AU" w:eastAsia="en-AU"/>
              </w:rPr>
              <w:t xml:space="preserve"> </w:t>
            </w:r>
          </w:p>
        </w:tc>
        <w:tc>
          <w:tcPr>
            <w:tcW w:w="8106" w:type="dxa"/>
            <w:gridSpan w:val="2"/>
            <w:tcMar>
              <w:left w:w="57" w:type="dxa"/>
              <w:right w:w="57" w:type="dxa"/>
            </w:tcMar>
          </w:tcPr>
          <w:p w14:paraId="43B6D698" w14:textId="77777777" w:rsidR="004379FD" w:rsidRPr="00E249CE" w:rsidRDefault="004379FD" w:rsidP="00E249CE">
            <w:pPr>
              <w:spacing w:after="0" w:line="240" w:lineRule="auto"/>
              <w:rPr>
                <w:rFonts w:asciiTheme="minorHAnsi" w:eastAsia="Times New Roman" w:hAnsiTheme="minorHAnsi" w:cstheme="minorHAnsi"/>
                <w:b/>
                <w:color w:val="000000"/>
                <w:sz w:val="20"/>
                <w:szCs w:val="20"/>
                <w:lang w:val="en-AU" w:eastAsia="en-AU"/>
              </w:rPr>
            </w:pPr>
            <w:r w:rsidRPr="00E249CE">
              <w:rPr>
                <w:rFonts w:asciiTheme="minorHAnsi" w:eastAsia="Times New Roman" w:hAnsiTheme="minorHAnsi" w:cstheme="minorHAnsi"/>
                <w:bCs/>
                <w:i/>
                <w:iCs/>
                <w:color w:val="000000"/>
                <w:sz w:val="20"/>
                <w:szCs w:val="20"/>
                <w:lang w:val="en-AU" w:eastAsia="en-AU"/>
              </w:rPr>
              <w:t>Change was recorded above 2,300 ML/day and as a result this DEMOD is being used to understand the full extent of operational flow events (v2-v3)</w:t>
            </w:r>
          </w:p>
          <w:p w14:paraId="585367F9"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Cs/>
                <w:color w:val="000000"/>
                <w:sz w:val="20"/>
                <w:szCs w:val="20"/>
                <w:lang w:val="en-AU" w:eastAsia="en-AU"/>
              </w:rPr>
              <w:t>The combined impact of SCF + operational flow periods gives a clear view of the combined impact of a max flow event rising over the notch and an operational flow rising and falling below the notch.</w:t>
            </w:r>
          </w:p>
          <w:p w14:paraId="12C8A4BC" w14:textId="77777777" w:rsidR="004379FD" w:rsidRPr="00E249CE" w:rsidRDefault="004379FD" w:rsidP="00E249CE">
            <w:pPr>
              <w:spacing w:after="0" w:line="240" w:lineRule="auto"/>
              <w:rPr>
                <w:rFonts w:asciiTheme="minorHAnsi" w:hAnsiTheme="minorHAnsi" w:cstheme="minorHAnsi"/>
                <w:sz w:val="20"/>
                <w:szCs w:val="20"/>
                <w:lang w:val="en-AU"/>
              </w:rPr>
            </w:pPr>
            <w:r w:rsidRPr="00E249CE">
              <w:rPr>
                <w:rFonts w:asciiTheme="minorHAnsi" w:eastAsia="Times New Roman" w:hAnsiTheme="minorHAnsi" w:cstheme="minorHAnsi"/>
                <w:b/>
                <w:color w:val="000000"/>
                <w:sz w:val="20"/>
                <w:szCs w:val="20"/>
                <w:lang w:val="en-AU" w:eastAsia="en-AU"/>
              </w:rPr>
              <w:t xml:space="preserve">Erosion: </w:t>
            </w:r>
            <w:r w:rsidRPr="00E249CE">
              <w:rPr>
                <w:rFonts w:asciiTheme="minorHAnsi" w:eastAsia="Times New Roman" w:hAnsiTheme="minorHAnsi" w:cstheme="minorHAnsi"/>
                <w:bCs/>
                <w:color w:val="000000"/>
                <w:sz w:val="20"/>
                <w:szCs w:val="20"/>
                <w:lang w:val="en-AU" w:eastAsia="en-AU"/>
              </w:rPr>
              <w:t>expressed consistently above and below the notch at up to 40cm depths relating primarily to 99 day period in which the operational flows delivered discharge between</w:t>
            </w:r>
            <w:r w:rsidRPr="00E249CE">
              <w:rPr>
                <w:rFonts w:asciiTheme="minorHAnsi" w:eastAsia="Times New Roman" w:hAnsiTheme="minorHAnsi" w:cstheme="minorHAnsi"/>
                <w:b/>
                <w:color w:val="000000"/>
                <w:sz w:val="20"/>
                <w:szCs w:val="20"/>
                <w:lang w:val="en-AU" w:eastAsia="en-AU"/>
              </w:rPr>
              <w:t xml:space="preserve"> </w:t>
            </w:r>
            <w:r w:rsidRPr="00E249CE">
              <w:rPr>
                <w:rFonts w:asciiTheme="minorHAnsi" w:eastAsia="Times New Roman" w:hAnsiTheme="minorHAnsi" w:cstheme="minorHAnsi"/>
                <w:bCs/>
                <w:color w:val="000000"/>
                <w:sz w:val="20"/>
                <w:szCs w:val="20"/>
                <w:lang w:val="en-AU" w:eastAsia="en-AU"/>
              </w:rPr>
              <w:t>2,300-2,850 ML/day, but also to flow categories +3,000 (SCF events) (</w:t>
            </w:r>
            <w:r w:rsidRPr="00E249CE">
              <w:rPr>
                <w:rFonts w:asciiTheme="minorHAnsi" w:eastAsia="Times New Roman" w:hAnsiTheme="minorHAnsi" w:cstheme="minorHAnsi"/>
                <w:bCs/>
                <w:color w:val="000000"/>
                <w:sz w:val="20"/>
                <w:szCs w:val="20"/>
                <w:lang w:eastAsia="en-AU"/>
              </w:rPr>
              <w:t>Table 9.9</w:t>
            </w:r>
            <w:r w:rsidRPr="00E249CE">
              <w:rPr>
                <w:rFonts w:asciiTheme="minorHAnsi" w:eastAsia="Times New Roman" w:hAnsiTheme="minorHAnsi" w:cstheme="minorHAnsi"/>
                <w:bCs/>
                <w:color w:val="000000"/>
                <w:sz w:val="20"/>
                <w:szCs w:val="20"/>
                <w:lang w:val="en-AU" w:eastAsia="en-AU"/>
              </w:rPr>
              <w:t>).</w:t>
            </w:r>
          </w:p>
          <w:p w14:paraId="36647BA4" w14:textId="77777777" w:rsidR="004379FD" w:rsidRPr="00E249CE" w:rsidRDefault="004379FD" w:rsidP="00E249CE">
            <w:pPr>
              <w:spacing w:after="0" w:line="240" w:lineRule="auto"/>
              <w:rPr>
                <w:rFonts w:asciiTheme="minorHAnsi" w:eastAsia="Times New Roman" w:hAnsiTheme="minorHAnsi" w:cstheme="minorHAnsi"/>
                <w:b/>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 xml:space="preserve">Deposition: </w:t>
            </w:r>
            <w:r w:rsidRPr="00E249CE">
              <w:rPr>
                <w:rFonts w:asciiTheme="minorHAnsi" w:eastAsia="Times New Roman" w:hAnsiTheme="minorHAnsi" w:cstheme="minorHAnsi"/>
                <w:bCs/>
                <w:color w:val="000000"/>
                <w:sz w:val="20"/>
                <w:szCs w:val="20"/>
                <w:lang w:val="en-AU" w:eastAsia="en-AU"/>
              </w:rPr>
              <w:t>is relatively minor compared to erosion and is barely visible in the DEMOD</w:t>
            </w:r>
          </w:p>
          <w:p w14:paraId="47E81706" w14:textId="77777777" w:rsidR="004379FD" w:rsidRPr="00E249CE" w:rsidRDefault="004379FD" w:rsidP="00E249CE">
            <w:pPr>
              <w:spacing w:after="0" w:line="240" w:lineRule="auto"/>
              <w:rPr>
                <w:rFonts w:asciiTheme="minorHAnsi" w:eastAsia="Times New Roman" w:hAnsiTheme="minorHAnsi" w:cstheme="minorHAnsi"/>
                <w:color w:val="000000"/>
                <w:sz w:val="20"/>
                <w:szCs w:val="20"/>
                <w:lang w:val="en-AU" w:eastAsia="en-AU"/>
              </w:rPr>
            </w:pPr>
            <w:r w:rsidRPr="00E249CE">
              <w:rPr>
                <w:rFonts w:asciiTheme="minorHAnsi" w:eastAsia="Times New Roman" w:hAnsiTheme="minorHAnsi" w:cstheme="minorHAnsi"/>
                <w:b/>
                <w:color w:val="000000"/>
                <w:sz w:val="20"/>
                <w:szCs w:val="20"/>
                <w:lang w:val="en-AU" w:eastAsia="en-AU"/>
              </w:rPr>
              <w:t xml:space="preserve">Processes: </w:t>
            </w:r>
            <w:r w:rsidRPr="00E249CE">
              <w:rPr>
                <w:rFonts w:asciiTheme="minorHAnsi" w:eastAsia="Times New Roman" w:hAnsiTheme="minorHAnsi" w:cstheme="minorHAnsi"/>
                <w:bCs/>
                <w:color w:val="000000"/>
                <w:sz w:val="20"/>
                <w:szCs w:val="20"/>
                <w:lang w:val="en-AU" w:eastAsia="en-AU"/>
              </w:rPr>
              <w:t>as</w:t>
            </w:r>
            <w:r w:rsidRPr="00E249CE">
              <w:rPr>
                <w:rFonts w:asciiTheme="minorHAnsi" w:eastAsia="Times New Roman" w:hAnsiTheme="minorHAnsi" w:cstheme="minorHAnsi"/>
                <w:b/>
                <w:color w:val="000000"/>
                <w:sz w:val="20"/>
                <w:szCs w:val="20"/>
                <w:lang w:val="en-AU" w:eastAsia="en-AU"/>
              </w:rPr>
              <w:t xml:space="preserve"> </w:t>
            </w:r>
            <w:r w:rsidRPr="00E249CE">
              <w:rPr>
                <w:rFonts w:asciiTheme="minorHAnsi" w:eastAsia="Times New Roman" w:hAnsiTheme="minorHAnsi" w:cstheme="minorHAnsi"/>
                <w:bCs/>
                <w:color w:val="000000"/>
                <w:sz w:val="20"/>
                <w:szCs w:val="20"/>
                <w:lang w:val="en-AU" w:eastAsia="en-AU"/>
              </w:rPr>
              <w:t>discussed in sections for v1-v2 (SCF) and v2-v3 (operational flow). The lack of deposition recorded across this window is likely to be a result of the cyclical nature of operational flows after the SCF flows.</w:t>
            </w:r>
          </w:p>
          <w:p w14:paraId="2DC80FDB" w14:textId="77777777" w:rsidR="004379FD" w:rsidRPr="00E249CE" w:rsidRDefault="004379FD" w:rsidP="00E249CE">
            <w:pPr>
              <w:spacing w:after="0" w:line="240" w:lineRule="auto"/>
              <w:rPr>
                <w:rFonts w:asciiTheme="minorHAnsi" w:eastAsia="Times New Roman" w:hAnsiTheme="minorHAnsi" w:cstheme="minorHAnsi"/>
                <w:bCs/>
                <w:color w:val="000000"/>
                <w:sz w:val="20"/>
                <w:szCs w:val="20"/>
                <w:lang w:val="en-AU" w:eastAsia="en-AU"/>
              </w:rPr>
            </w:pPr>
            <w:r w:rsidRPr="00E249CE">
              <w:rPr>
                <w:rFonts w:asciiTheme="minorHAnsi" w:eastAsia="Times New Roman" w:hAnsiTheme="minorHAnsi" w:cstheme="minorHAnsi"/>
                <w:bCs/>
                <w:color w:val="000000"/>
                <w:sz w:val="20"/>
                <w:szCs w:val="20"/>
                <w:lang w:val="en-AU" w:eastAsia="en-AU"/>
              </w:rPr>
              <w:t xml:space="preserve">The sequential positioning of these flow events, combined with the vertical location of the notch, has resulted in significant erosion and channel widening within the system.  </w:t>
            </w:r>
          </w:p>
        </w:tc>
      </w:tr>
    </w:tbl>
    <w:p w14:paraId="4C8B4C7D" w14:textId="77777777" w:rsidR="00E249CE" w:rsidRDefault="00E249CE" w:rsidP="004379FD">
      <w:pPr>
        <w:pStyle w:val="SHCaption"/>
        <w:spacing w:after="0"/>
        <w:rPr>
          <w:b/>
          <w:color w:val="000000" w:themeColor="text1"/>
        </w:rPr>
      </w:pPr>
      <w:bookmarkStart w:id="133" w:name="_Ref52375620"/>
      <w:bookmarkStart w:id="134" w:name="_Ref52444481"/>
      <w:bookmarkStart w:id="135" w:name="_Toc52433880"/>
      <w:bookmarkEnd w:id="132"/>
    </w:p>
    <w:p w14:paraId="706C12F8" w14:textId="77777777" w:rsidR="00E249CE" w:rsidRDefault="00E249CE">
      <w:pPr>
        <w:spacing w:after="0" w:line="240" w:lineRule="auto"/>
        <w:jc w:val="left"/>
        <w:rPr>
          <w:rFonts w:asciiTheme="minorHAnsi" w:eastAsiaTheme="minorEastAsia" w:hAnsiTheme="minorHAnsi" w:cstheme="minorHAnsi"/>
          <w:b/>
          <w:bCs/>
          <w:color w:val="000000" w:themeColor="text1"/>
          <w:sz w:val="20"/>
          <w:lang w:val="en-US"/>
        </w:rPr>
      </w:pPr>
      <w:r>
        <w:rPr>
          <w:b/>
          <w:color w:val="000000" w:themeColor="text1"/>
        </w:rPr>
        <w:br w:type="page"/>
      </w:r>
    </w:p>
    <w:p w14:paraId="16A3D318" w14:textId="2C5E4553" w:rsidR="004379FD" w:rsidRPr="007D4F16" w:rsidRDefault="004379FD" w:rsidP="004379FD">
      <w:pPr>
        <w:pStyle w:val="SHCaption"/>
        <w:spacing w:after="0"/>
        <w:rPr>
          <w:color w:val="000000" w:themeColor="text1"/>
        </w:rPr>
      </w:pPr>
      <w:r w:rsidRPr="00685C45">
        <w:rPr>
          <w:b/>
          <w:color w:val="000000" w:themeColor="text1"/>
        </w:rPr>
        <w:t xml:space="preserve">Table </w:t>
      </w:r>
      <w:r w:rsidR="00AD6D18">
        <w:rPr>
          <w:b/>
          <w:noProof/>
          <w:color w:val="000000" w:themeColor="text1"/>
        </w:rPr>
        <w:t>9</w:t>
      </w:r>
      <w:r w:rsidRPr="00685C45">
        <w:rPr>
          <w:b/>
          <w:color w:val="000000" w:themeColor="text1"/>
        </w:rPr>
        <w:t>.</w:t>
      </w:r>
      <w:bookmarkEnd w:id="133"/>
      <w:bookmarkEnd w:id="134"/>
      <w:r w:rsidRPr="00685C45">
        <w:rPr>
          <w:b/>
          <w:noProof/>
          <w:color w:val="000000" w:themeColor="text1"/>
        </w:rPr>
        <w:t>9</w:t>
      </w:r>
      <w:r>
        <w:rPr>
          <w:color w:val="000000" w:themeColor="text1"/>
        </w:rPr>
        <w:t xml:space="preserve"> </w:t>
      </w:r>
      <w:r w:rsidRPr="007D4F16">
        <w:rPr>
          <w:color w:val="000000" w:themeColor="text1"/>
        </w:rPr>
        <w:t>Summary of</w:t>
      </w:r>
      <w:r>
        <w:rPr>
          <w:color w:val="000000" w:themeColor="text1"/>
        </w:rPr>
        <w:t xml:space="preserve"> volume change relative to flows </w:t>
      </w:r>
      <w:r w:rsidRPr="007D4F16">
        <w:rPr>
          <w:color w:val="000000" w:themeColor="text1"/>
        </w:rPr>
        <w:t>and related drone survey</w:t>
      </w:r>
      <w:bookmarkEnd w:id="135"/>
    </w:p>
    <w:p w14:paraId="25E5FC7D" w14:textId="77777777" w:rsidR="004379FD" w:rsidRPr="008B138F" w:rsidRDefault="004379FD" w:rsidP="004379FD">
      <w:pPr>
        <w:pStyle w:val="SNormalText"/>
        <w:rPr>
          <w:lang w:val="en-US"/>
        </w:rPr>
      </w:pPr>
      <w:r w:rsidRPr="007D4F16">
        <w:rPr>
          <w:noProof/>
          <w:lang w:eastAsia="en-AU"/>
        </w:rPr>
        <w:drawing>
          <wp:inline distT="0" distB="0" distL="0" distR="0" wp14:anchorId="389498E6" wp14:editId="37BA6F2B">
            <wp:extent cx="4546600" cy="2673551"/>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t="9031" r="5122"/>
                    <a:stretch/>
                  </pic:blipFill>
                  <pic:spPr bwMode="auto">
                    <a:xfrm>
                      <a:off x="0" y="0"/>
                      <a:ext cx="4557893" cy="2680191"/>
                    </a:xfrm>
                    <a:prstGeom prst="rect">
                      <a:avLst/>
                    </a:prstGeom>
                    <a:noFill/>
                    <a:ln>
                      <a:noFill/>
                    </a:ln>
                    <a:extLst>
                      <a:ext uri="{53640926-AAD7-44D8-BBD7-CCE9431645EC}">
                        <a14:shadowObscured xmlns:a14="http://schemas.microsoft.com/office/drawing/2010/main"/>
                      </a:ext>
                    </a:extLst>
                  </pic:spPr>
                </pic:pic>
              </a:graphicData>
            </a:graphic>
          </wp:inline>
        </w:drawing>
      </w:r>
    </w:p>
    <w:p w14:paraId="61A12253" w14:textId="77777777" w:rsidR="004379FD" w:rsidRDefault="004379FD" w:rsidP="002222D5">
      <w:pPr>
        <w:pStyle w:val="BodyText1"/>
        <w:spacing w:before="0" w:line="320" w:lineRule="exact"/>
        <w:rPr>
          <w:rFonts w:asciiTheme="minorHAnsi" w:hAnsiTheme="minorHAnsi" w:cstheme="minorHAnsi"/>
          <w:b/>
          <w:color w:val="31849B" w:themeColor="accent5" w:themeShade="BF"/>
          <w:sz w:val="24"/>
          <w:szCs w:val="24"/>
        </w:rPr>
      </w:pPr>
      <w:bookmarkStart w:id="136" w:name="_Toc52433861"/>
      <w:bookmarkStart w:id="137" w:name="_Toc52445282"/>
      <w:bookmarkStart w:id="138" w:name="_Hlk40184856"/>
    </w:p>
    <w:p w14:paraId="3255B393" w14:textId="77777777" w:rsidR="004379FD" w:rsidRPr="004379FD" w:rsidRDefault="004379FD" w:rsidP="002222D5">
      <w:pPr>
        <w:pStyle w:val="BodyText1"/>
        <w:spacing w:line="320" w:lineRule="exact"/>
        <w:rPr>
          <w:rFonts w:asciiTheme="minorHAnsi" w:hAnsiTheme="minorHAnsi" w:cstheme="minorHAnsi"/>
          <w:b/>
          <w:color w:val="31849B" w:themeColor="accent5" w:themeShade="BF"/>
          <w:sz w:val="24"/>
          <w:szCs w:val="24"/>
        </w:rPr>
      </w:pPr>
      <w:r w:rsidRPr="004379FD">
        <w:rPr>
          <w:rFonts w:asciiTheme="minorHAnsi" w:hAnsiTheme="minorHAnsi" w:cstheme="minorHAnsi"/>
          <w:b/>
          <w:color w:val="31849B" w:themeColor="accent5" w:themeShade="BF"/>
          <w:sz w:val="24"/>
          <w:szCs w:val="24"/>
        </w:rPr>
        <w:t>Key Insights</w:t>
      </w:r>
      <w:bookmarkEnd w:id="136"/>
      <w:bookmarkEnd w:id="137"/>
    </w:p>
    <w:p w14:paraId="1CD6E4B9" w14:textId="77777777" w:rsidR="004379FD" w:rsidRPr="00185CBB" w:rsidRDefault="004379FD" w:rsidP="0040642F">
      <w:pPr>
        <w:pStyle w:val="ListParagraph"/>
        <w:numPr>
          <w:ilvl w:val="0"/>
          <w:numId w:val="39"/>
        </w:numPr>
        <w:spacing w:after="160" w:line="259" w:lineRule="auto"/>
        <w:ind w:right="164"/>
        <w:contextualSpacing/>
        <w:jc w:val="left"/>
        <w:rPr>
          <w:rFonts w:asciiTheme="minorHAnsi" w:hAnsiTheme="minorHAnsi" w:cstheme="minorHAnsi"/>
        </w:rPr>
      </w:pPr>
      <w:r w:rsidRPr="00185CBB">
        <w:rPr>
          <w:rFonts w:asciiTheme="minorHAnsi" w:hAnsiTheme="minorHAnsi" w:cstheme="minorHAnsi"/>
        </w:rPr>
        <w:t xml:space="preserve">The position of an existing notch relative to the receiving bank zone of prolonged periods of flow, is a critical factor in regard to the expression and volume of change (erosion/deposition). </w:t>
      </w:r>
    </w:p>
    <w:p w14:paraId="7B116146" w14:textId="77777777" w:rsidR="004379FD" w:rsidRPr="00185CBB" w:rsidRDefault="004379FD" w:rsidP="0040642F">
      <w:pPr>
        <w:pStyle w:val="ListParagraph"/>
        <w:numPr>
          <w:ilvl w:val="1"/>
          <w:numId w:val="39"/>
        </w:numPr>
        <w:spacing w:after="160" w:line="259" w:lineRule="auto"/>
        <w:ind w:right="164"/>
        <w:contextualSpacing/>
        <w:jc w:val="left"/>
        <w:rPr>
          <w:rFonts w:asciiTheme="minorHAnsi" w:hAnsiTheme="minorHAnsi" w:cstheme="minorHAnsi"/>
        </w:rPr>
      </w:pPr>
      <w:r w:rsidRPr="00185CBB">
        <w:rPr>
          <w:rFonts w:asciiTheme="minorHAnsi" w:hAnsiTheme="minorHAnsi" w:cstheme="minorHAnsi"/>
        </w:rPr>
        <w:t xml:space="preserve">If the existing notch is beneath (e.g. 50cms) a zone of prolonged (&gt;20 days) inundation, bank saturation in addition to a subsequent rapid drawdown of water level, is likely to lead to mass-failure as demonstrated in the response to </w:t>
      </w:r>
      <w:r>
        <w:rPr>
          <w:rFonts w:asciiTheme="minorHAnsi" w:hAnsiTheme="minorHAnsi" w:cstheme="minorHAnsi"/>
        </w:rPr>
        <w:t>the SCF.</w:t>
      </w:r>
    </w:p>
    <w:p w14:paraId="64CDB2FD" w14:textId="77777777" w:rsidR="004379FD" w:rsidRPr="00185CBB" w:rsidRDefault="004379FD" w:rsidP="0040642F">
      <w:pPr>
        <w:pStyle w:val="ListParagraph"/>
        <w:numPr>
          <w:ilvl w:val="1"/>
          <w:numId w:val="39"/>
        </w:numPr>
        <w:spacing w:after="160" w:line="259" w:lineRule="auto"/>
        <w:ind w:right="164"/>
        <w:contextualSpacing/>
        <w:jc w:val="left"/>
        <w:rPr>
          <w:rFonts w:asciiTheme="minorHAnsi" w:hAnsiTheme="minorHAnsi" w:cstheme="minorHAnsi"/>
        </w:rPr>
      </w:pPr>
      <w:r w:rsidRPr="00185CBB">
        <w:rPr>
          <w:rFonts w:asciiTheme="minorHAnsi" w:hAnsiTheme="minorHAnsi" w:cstheme="minorHAnsi"/>
        </w:rPr>
        <w:t>If the existing notch is positioned just above (e.g. &gt;50cms) a zone of prolonged inundation with a v</w:t>
      </w:r>
      <w:r>
        <w:rPr>
          <w:rFonts w:asciiTheme="minorHAnsi" w:hAnsiTheme="minorHAnsi" w:cstheme="minorHAnsi"/>
        </w:rPr>
        <w:t>ery small flow range</w:t>
      </w:r>
      <w:r w:rsidRPr="00185CBB">
        <w:rPr>
          <w:rFonts w:asciiTheme="minorHAnsi" w:hAnsiTheme="minorHAnsi" w:cstheme="minorHAnsi"/>
        </w:rPr>
        <w:t>, the cyclical process of wetting and drying due to the minor</w:t>
      </w:r>
      <w:r>
        <w:rPr>
          <w:rFonts w:asciiTheme="minorHAnsi" w:hAnsiTheme="minorHAnsi" w:cstheme="minorHAnsi"/>
        </w:rPr>
        <w:t xml:space="preserve"> rises and falls in water level</w:t>
      </w:r>
      <w:r w:rsidRPr="00185CBB">
        <w:rPr>
          <w:rFonts w:asciiTheme="minorHAnsi" w:hAnsiTheme="minorHAnsi" w:cstheme="minorHAnsi"/>
        </w:rPr>
        <w:t xml:space="preserve"> is likely to result in significant increases to the existing notch. This is demonstrated in the bank response to </w:t>
      </w:r>
      <w:r>
        <w:rPr>
          <w:rFonts w:asciiTheme="minorHAnsi" w:hAnsiTheme="minorHAnsi" w:cstheme="minorHAnsi"/>
        </w:rPr>
        <w:t>operational</w:t>
      </w:r>
      <w:r w:rsidRPr="00185CBB">
        <w:rPr>
          <w:rFonts w:asciiTheme="minorHAnsi" w:hAnsiTheme="minorHAnsi" w:cstheme="minorHAnsi"/>
        </w:rPr>
        <w:t xml:space="preserve"> flows (</w:t>
      </w:r>
      <w:r>
        <w:rPr>
          <w:rFonts w:asciiTheme="minorHAnsi" w:hAnsiTheme="minorHAnsi" w:cstheme="minorHAnsi"/>
        </w:rPr>
        <w:t>v</w:t>
      </w:r>
      <w:r w:rsidRPr="00185CBB">
        <w:rPr>
          <w:rFonts w:asciiTheme="minorHAnsi" w:hAnsiTheme="minorHAnsi" w:cstheme="minorHAnsi"/>
        </w:rPr>
        <w:t>2-</w:t>
      </w:r>
      <w:r>
        <w:rPr>
          <w:rFonts w:asciiTheme="minorHAnsi" w:hAnsiTheme="minorHAnsi" w:cstheme="minorHAnsi"/>
        </w:rPr>
        <w:t>v</w:t>
      </w:r>
      <w:r w:rsidRPr="00185CBB">
        <w:rPr>
          <w:rFonts w:asciiTheme="minorHAnsi" w:hAnsiTheme="minorHAnsi" w:cstheme="minorHAnsi"/>
        </w:rPr>
        <w:t>3)</w:t>
      </w:r>
    </w:p>
    <w:p w14:paraId="425877CA" w14:textId="77777777" w:rsidR="004379FD" w:rsidRPr="007D4F16" w:rsidRDefault="004379FD" w:rsidP="004379FD">
      <w:pPr>
        <w:pStyle w:val="Normalnumbered"/>
        <w:numPr>
          <w:ilvl w:val="0"/>
          <w:numId w:val="0"/>
        </w:numPr>
        <w:rPr>
          <w:rFonts w:asciiTheme="minorHAnsi" w:hAnsiTheme="minorHAnsi" w:cstheme="minorHAnsi"/>
          <w:sz w:val="22"/>
        </w:rPr>
      </w:pPr>
      <w:r w:rsidRPr="007D4F16">
        <w:rPr>
          <w:rFonts w:asciiTheme="minorHAnsi" w:hAnsiTheme="minorHAnsi" w:cstheme="minorHAnsi"/>
          <w:sz w:val="22"/>
        </w:rPr>
        <w:t>When these two events are combined, in sequence, the result is large scale erosion across and above the existing notch as demonstrated in</w:t>
      </w:r>
      <w:r>
        <w:rPr>
          <w:rFonts w:asciiTheme="minorHAnsi" w:hAnsiTheme="minorHAnsi" w:cstheme="minorHAnsi"/>
          <w:sz w:val="22"/>
        </w:rPr>
        <w:t xml:space="preserve"> Figure</w:t>
      </w:r>
      <w:r w:rsidRPr="007D4F16">
        <w:rPr>
          <w:rFonts w:asciiTheme="minorHAnsi" w:hAnsiTheme="minorHAnsi" w:cstheme="minorHAnsi"/>
          <w:sz w:val="22"/>
        </w:rPr>
        <w:t xml:space="preserve"> </w:t>
      </w:r>
      <w:r>
        <w:rPr>
          <w:rFonts w:asciiTheme="minorHAnsi" w:hAnsiTheme="minorHAnsi" w:cstheme="minorHAnsi"/>
          <w:sz w:val="22"/>
        </w:rPr>
        <w:t>9.32.</w:t>
      </w:r>
    </w:p>
    <w:p w14:paraId="56F85F17" w14:textId="77777777" w:rsidR="004379FD" w:rsidRPr="00185CBB" w:rsidRDefault="004379FD" w:rsidP="004379FD">
      <w:pPr>
        <w:pStyle w:val="BodyText1"/>
        <w:spacing w:after="0" w:line="240" w:lineRule="auto"/>
      </w:pPr>
      <w:bookmarkStart w:id="139" w:name="_Ref49216895"/>
      <w:r>
        <w:rPr>
          <w:noProof/>
          <w:lang w:eastAsia="en-AU" w:bidi="ar-SA"/>
        </w:rPr>
        <w:drawing>
          <wp:inline distT="0" distB="0" distL="0" distR="0" wp14:anchorId="0647A6A2" wp14:editId="05D03872">
            <wp:extent cx="5549900" cy="1915749"/>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587343" cy="1928674"/>
                    </a:xfrm>
                    <a:prstGeom prst="rect">
                      <a:avLst/>
                    </a:prstGeom>
                    <a:noFill/>
                  </pic:spPr>
                </pic:pic>
              </a:graphicData>
            </a:graphic>
          </wp:inline>
        </w:drawing>
      </w:r>
    </w:p>
    <w:p w14:paraId="1164E5FA" w14:textId="197C0A02" w:rsidR="004379FD" w:rsidRDefault="004379FD" w:rsidP="00131521">
      <w:pPr>
        <w:pStyle w:val="SHCaption"/>
        <w:ind w:right="305"/>
        <w:rPr>
          <w:color w:val="000000" w:themeColor="text1"/>
        </w:rPr>
      </w:pPr>
      <w:bookmarkStart w:id="140" w:name="_Ref49235692"/>
      <w:bookmarkStart w:id="141" w:name="_Toc52433916"/>
      <w:r w:rsidRPr="007D4F16">
        <w:rPr>
          <w:b/>
          <w:color w:val="000000" w:themeColor="text1"/>
        </w:rPr>
        <w:t xml:space="preserve">Figure </w:t>
      </w:r>
      <w:r w:rsidR="00AD6D18">
        <w:rPr>
          <w:b/>
          <w:noProof/>
          <w:color w:val="000000" w:themeColor="text1"/>
        </w:rPr>
        <w:t>9</w:t>
      </w:r>
      <w:r w:rsidRPr="007D4F16">
        <w:rPr>
          <w:b/>
          <w:color w:val="000000" w:themeColor="text1"/>
        </w:rPr>
        <w:t>.</w:t>
      </w:r>
      <w:bookmarkEnd w:id="139"/>
      <w:bookmarkEnd w:id="140"/>
      <w:r>
        <w:rPr>
          <w:b/>
          <w:noProof/>
          <w:color w:val="000000" w:themeColor="text1"/>
        </w:rPr>
        <w:t>32</w:t>
      </w:r>
      <w:r>
        <w:rPr>
          <w:color w:val="000000" w:themeColor="text1"/>
        </w:rPr>
        <w:t xml:space="preserve"> L</w:t>
      </w:r>
      <w:r w:rsidRPr="007D4F16">
        <w:rPr>
          <w:color w:val="000000" w:themeColor="text1"/>
        </w:rPr>
        <w:t xml:space="preserve">evel of the notch in relation to daily mean flow (left) and responding erosion shown in the DEMOD (both related to the period between </w:t>
      </w:r>
      <w:r>
        <w:rPr>
          <w:color w:val="000000" w:themeColor="text1"/>
        </w:rPr>
        <w:t>v</w:t>
      </w:r>
      <w:r w:rsidRPr="007D4F16">
        <w:rPr>
          <w:color w:val="000000" w:themeColor="text1"/>
        </w:rPr>
        <w:t xml:space="preserve">1 – </w:t>
      </w:r>
      <w:r>
        <w:rPr>
          <w:color w:val="000000" w:themeColor="text1"/>
        </w:rPr>
        <w:t>v</w:t>
      </w:r>
      <w:r w:rsidRPr="007D4F16">
        <w:rPr>
          <w:color w:val="000000" w:themeColor="text1"/>
        </w:rPr>
        <w:t xml:space="preserve">3 which covers </w:t>
      </w:r>
      <w:r>
        <w:rPr>
          <w:color w:val="000000" w:themeColor="text1"/>
        </w:rPr>
        <w:t>SCF</w:t>
      </w:r>
      <w:r w:rsidRPr="007D4F16">
        <w:rPr>
          <w:color w:val="000000" w:themeColor="text1"/>
        </w:rPr>
        <w:t xml:space="preserve"> + </w:t>
      </w:r>
      <w:r>
        <w:rPr>
          <w:color w:val="000000" w:themeColor="text1"/>
        </w:rPr>
        <w:t>operational</w:t>
      </w:r>
      <w:r w:rsidRPr="007D4F16">
        <w:rPr>
          <w:color w:val="000000" w:themeColor="text1"/>
        </w:rPr>
        <w:t xml:space="preserve"> flow events.</w:t>
      </w:r>
      <w:bookmarkEnd w:id="141"/>
    </w:p>
    <w:p w14:paraId="6EDEE3E4" w14:textId="77777777" w:rsidR="004379FD" w:rsidRPr="00185CBB" w:rsidRDefault="004379FD" w:rsidP="0040642F">
      <w:pPr>
        <w:pStyle w:val="ListParagraph"/>
        <w:numPr>
          <w:ilvl w:val="0"/>
          <w:numId w:val="39"/>
        </w:numPr>
        <w:spacing w:after="160" w:line="259" w:lineRule="auto"/>
        <w:ind w:right="305"/>
        <w:contextualSpacing/>
        <w:jc w:val="left"/>
        <w:rPr>
          <w:rFonts w:asciiTheme="minorHAnsi" w:hAnsiTheme="minorHAnsi" w:cstheme="minorHAnsi"/>
        </w:rPr>
      </w:pPr>
      <w:r w:rsidRPr="00185CBB">
        <w:rPr>
          <w:rFonts w:asciiTheme="minorHAnsi" w:hAnsiTheme="minorHAnsi" w:cstheme="minorHAnsi"/>
        </w:rPr>
        <w:t xml:space="preserve">The length of inundation and the speed of drawdown are both critical in determining the extent of erosion due to the fact that saturation plays a key role in determining the volume of erosion. </w:t>
      </w:r>
      <w:r>
        <w:rPr>
          <w:rFonts w:asciiTheme="minorHAnsi" w:hAnsiTheme="minorHAnsi" w:cstheme="minorHAnsi"/>
        </w:rPr>
        <w:t xml:space="preserve">Figure 9.33 </w:t>
      </w:r>
      <w:r w:rsidRPr="00185CBB">
        <w:rPr>
          <w:rFonts w:asciiTheme="minorHAnsi" w:hAnsiTheme="minorHAnsi" w:cstheme="minorHAnsi"/>
        </w:rPr>
        <w:t xml:space="preserve">compares the difference </w:t>
      </w:r>
      <w:r>
        <w:rPr>
          <w:rFonts w:asciiTheme="minorHAnsi" w:hAnsiTheme="minorHAnsi" w:cstheme="minorHAnsi"/>
        </w:rPr>
        <w:t>in erosion between SCF (v1-v2) and</w:t>
      </w:r>
      <w:r w:rsidRPr="00185CBB">
        <w:rPr>
          <w:rFonts w:asciiTheme="minorHAnsi" w:hAnsiTheme="minorHAnsi" w:cstheme="minorHAnsi"/>
        </w:rPr>
        <w:t xml:space="preserve"> </w:t>
      </w:r>
      <w:r>
        <w:rPr>
          <w:rFonts w:asciiTheme="minorHAnsi" w:hAnsiTheme="minorHAnsi" w:cstheme="minorHAnsi"/>
        </w:rPr>
        <w:t>u</w:t>
      </w:r>
      <w:r w:rsidRPr="00185CBB">
        <w:rPr>
          <w:rFonts w:asciiTheme="minorHAnsi" w:hAnsiTheme="minorHAnsi" w:cstheme="minorHAnsi"/>
        </w:rPr>
        <w:t>nregulated (</w:t>
      </w:r>
      <w:r>
        <w:rPr>
          <w:rFonts w:asciiTheme="minorHAnsi" w:hAnsiTheme="minorHAnsi" w:cstheme="minorHAnsi"/>
        </w:rPr>
        <w:t>v</w:t>
      </w:r>
      <w:r w:rsidRPr="00185CBB">
        <w:rPr>
          <w:rFonts w:asciiTheme="minorHAnsi" w:hAnsiTheme="minorHAnsi" w:cstheme="minorHAnsi"/>
        </w:rPr>
        <w:t>3-</w:t>
      </w:r>
      <w:r>
        <w:rPr>
          <w:rFonts w:asciiTheme="minorHAnsi" w:hAnsiTheme="minorHAnsi" w:cstheme="minorHAnsi"/>
        </w:rPr>
        <w:t>v</w:t>
      </w:r>
      <w:r w:rsidRPr="00185CBB">
        <w:rPr>
          <w:rFonts w:asciiTheme="minorHAnsi" w:hAnsiTheme="minorHAnsi" w:cstheme="minorHAnsi"/>
        </w:rPr>
        <w:t>4) flow events which received &gt;20 days and &lt;7 days of discharg</w:t>
      </w:r>
      <w:r>
        <w:rPr>
          <w:rFonts w:asciiTheme="minorHAnsi" w:hAnsiTheme="minorHAnsi" w:cstheme="minorHAnsi"/>
        </w:rPr>
        <w:t>e above the notch respectively.</w:t>
      </w:r>
    </w:p>
    <w:p w14:paraId="77D99537" w14:textId="77777777" w:rsidR="004379FD" w:rsidRPr="00185CBB" w:rsidRDefault="004379FD" w:rsidP="004379FD">
      <w:pPr>
        <w:pStyle w:val="BodyText1"/>
        <w:spacing w:after="0" w:line="240" w:lineRule="auto"/>
      </w:pPr>
      <w:r>
        <w:rPr>
          <w:noProof/>
          <w:lang w:eastAsia="en-AU" w:bidi="ar-SA"/>
        </w:rPr>
        <w:drawing>
          <wp:inline distT="0" distB="0" distL="0" distR="0" wp14:anchorId="20122B9B" wp14:editId="0C2F930B">
            <wp:extent cx="5321300" cy="1729122"/>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370435" cy="1745088"/>
                    </a:xfrm>
                    <a:prstGeom prst="rect">
                      <a:avLst/>
                    </a:prstGeom>
                    <a:noFill/>
                  </pic:spPr>
                </pic:pic>
              </a:graphicData>
            </a:graphic>
          </wp:inline>
        </w:drawing>
      </w:r>
    </w:p>
    <w:p w14:paraId="713E54B1" w14:textId="67F27DCD" w:rsidR="004379FD" w:rsidRDefault="004379FD" w:rsidP="00131521">
      <w:pPr>
        <w:pStyle w:val="SHCaption"/>
        <w:ind w:right="305"/>
        <w:rPr>
          <w:color w:val="000000" w:themeColor="text1"/>
        </w:rPr>
      </w:pPr>
      <w:bookmarkStart w:id="142" w:name="_Ref52425145"/>
      <w:bookmarkStart w:id="143" w:name="_Toc52433917"/>
      <w:r w:rsidRPr="007D4F16">
        <w:rPr>
          <w:b/>
          <w:color w:val="000000" w:themeColor="text1"/>
        </w:rPr>
        <w:t xml:space="preserve">Figure </w:t>
      </w:r>
      <w:r w:rsidR="00AD6D18">
        <w:rPr>
          <w:b/>
          <w:noProof/>
          <w:color w:val="000000" w:themeColor="text1"/>
        </w:rPr>
        <w:t>9</w:t>
      </w:r>
      <w:r w:rsidRPr="007D4F16">
        <w:rPr>
          <w:b/>
          <w:color w:val="000000" w:themeColor="text1"/>
        </w:rPr>
        <w:t>.</w:t>
      </w:r>
      <w:bookmarkEnd w:id="142"/>
      <w:r>
        <w:rPr>
          <w:b/>
          <w:noProof/>
          <w:color w:val="000000" w:themeColor="text1"/>
        </w:rPr>
        <w:t>33</w:t>
      </w:r>
      <w:r>
        <w:rPr>
          <w:color w:val="000000" w:themeColor="text1"/>
        </w:rPr>
        <w:t xml:space="preserve"> D</w:t>
      </w:r>
      <w:r w:rsidRPr="007D4F16">
        <w:rPr>
          <w:color w:val="000000" w:themeColor="text1"/>
        </w:rPr>
        <w:t xml:space="preserve">ifference in erosion in response to </w:t>
      </w:r>
      <w:r>
        <w:rPr>
          <w:color w:val="000000" w:themeColor="text1"/>
        </w:rPr>
        <w:t>SCF</w:t>
      </w:r>
      <w:r w:rsidRPr="007D4F16">
        <w:rPr>
          <w:color w:val="000000" w:themeColor="text1"/>
        </w:rPr>
        <w:t xml:space="preserve"> (</w:t>
      </w:r>
      <w:r>
        <w:rPr>
          <w:color w:val="000000" w:themeColor="text1"/>
        </w:rPr>
        <w:t>v</w:t>
      </w:r>
      <w:r w:rsidRPr="007D4F16">
        <w:rPr>
          <w:color w:val="000000" w:themeColor="text1"/>
        </w:rPr>
        <w:t>1-</w:t>
      </w:r>
      <w:r>
        <w:rPr>
          <w:color w:val="000000" w:themeColor="text1"/>
        </w:rPr>
        <w:t>v</w:t>
      </w:r>
      <w:r w:rsidRPr="007D4F16">
        <w:rPr>
          <w:color w:val="000000" w:themeColor="text1"/>
        </w:rPr>
        <w:t>2) flow versus unregulated (</w:t>
      </w:r>
      <w:r>
        <w:rPr>
          <w:color w:val="000000" w:themeColor="text1"/>
        </w:rPr>
        <w:t>v</w:t>
      </w:r>
      <w:r w:rsidRPr="007D4F16">
        <w:rPr>
          <w:color w:val="000000" w:themeColor="text1"/>
        </w:rPr>
        <w:t>3-</w:t>
      </w:r>
      <w:r>
        <w:rPr>
          <w:color w:val="000000" w:themeColor="text1"/>
        </w:rPr>
        <w:t>v</w:t>
      </w:r>
      <w:r w:rsidRPr="007D4F16">
        <w:rPr>
          <w:color w:val="000000" w:themeColor="text1"/>
        </w:rPr>
        <w:t>4) flow events arguably due to the duration of inundation above to bank zone above the notch.</w:t>
      </w:r>
      <w:bookmarkEnd w:id="143"/>
    </w:p>
    <w:p w14:paraId="7F43F1EC" w14:textId="1BDDD5EC" w:rsidR="004379FD" w:rsidRPr="00185CBB" w:rsidRDefault="004909D1" w:rsidP="0040642F">
      <w:pPr>
        <w:pStyle w:val="ListParagraph"/>
        <w:numPr>
          <w:ilvl w:val="0"/>
          <w:numId w:val="39"/>
        </w:numPr>
        <w:spacing w:after="160" w:line="259" w:lineRule="auto"/>
        <w:ind w:right="305"/>
        <w:contextualSpacing/>
        <w:jc w:val="left"/>
        <w:rPr>
          <w:rFonts w:asciiTheme="minorHAnsi" w:hAnsiTheme="minorHAnsi" w:cstheme="minorHAnsi"/>
        </w:rPr>
      </w:pPr>
      <w:r>
        <w:rPr>
          <w:rFonts w:asciiTheme="minorHAnsi" w:hAnsiTheme="minorHAnsi" w:cstheme="minorHAnsi"/>
        </w:rPr>
        <w:t>O</w:t>
      </w:r>
      <w:r w:rsidR="004379FD">
        <w:rPr>
          <w:rFonts w:asciiTheme="minorHAnsi" w:hAnsiTheme="minorHAnsi" w:cstheme="minorHAnsi"/>
        </w:rPr>
        <w:t>perational flows</w:t>
      </w:r>
      <w:r w:rsidR="004379FD" w:rsidRPr="00185CBB">
        <w:rPr>
          <w:rFonts w:asciiTheme="minorHAnsi" w:hAnsiTheme="minorHAnsi" w:cstheme="minorHAnsi"/>
        </w:rPr>
        <w:t xml:space="preserve"> </w:t>
      </w:r>
      <w:r>
        <w:rPr>
          <w:rFonts w:asciiTheme="minorHAnsi" w:hAnsiTheme="minorHAnsi" w:cstheme="minorHAnsi"/>
        </w:rPr>
        <w:t>that</w:t>
      </w:r>
      <w:r w:rsidR="004379FD" w:rsidRPr="00185CBB">
        <w:rPr>
          <w:rFonts w:asciiTheme="minorHAnsi" w:hAnsiTheme="minorHAnsi" w:cstheme="minorHAnsi"/>
        </w:rPr>
        <w:t xml:space="preserve"> result in </w:t>
      </w:r>
      <w:r w:rsidR="004379FD">
        <w:rPr>
          <w:rFonts w:asciiTheme="minorHAnsi" w:hAnsiTheme="minorHAnsi" w:cstheme="minorHAnsi"/>
        </w:rPr>
        <w:t xml:space="preserve">periods of </w:t>
      </w:r>
      <w:r w:rsidR="004379FD" w:rsidRPr="00185CBB">
        <w:rPr>
          <w:rFonts w:asciiTheme="minorHAnsi" w:hAnsiTheme="minorHAnsi" w:cstheme="minorHAnsi"/>
        </w:rPr>
        <w:t>invariable flow, resu</w:t>
      </w:r>
      <w:r w:rsidR="004379FD">
        <w:rPr>
          <w:rFonts w:asciiTheme="minorHAnsi" w:hAnsiTheme="minorHAnsi" w:cstheme="minorHAnsi"/>
        </w:rPr>
        <w:t xml:space="preserve">lt in deep and defined erosion </w:t>
      </w:r>
      <w:r w:rsidR="004379FD" w:rsidRPr="00185CBB">
        <w:rPr>
          <w:rFonts w:asciiTheme="minorHAnsi" w:hAnsiTheme="minorHAnsi" w:cstheme="minorHAnsi"/>
        </w:rPr>
        <w:t xml:space="preserve">creating a notch </w:t>
      </w:r>
      <w:r w:rsidR="004379FD">
        <w:rPr>
          <w:rFonts w:asciiTheme="minorHAnsi" w:hAnsiTheme="minorHAnsi" w:cstheme="minorHAnsi"/>
        </w:rPr>
        <w:t>and under-cutting</w:t>
      </w:r>
      <w:r w:rsidR="004379FD" w:rsidRPr="00185CBB">
        <w:rPr>
          <w:rFonts w:asciiTheme="minorHAnsi" w:hAnsiTheme="minorHAnsi" w:cstheme="minorHAnsi"/>
        </w:rPr>
        <w:t xml:space="preserve">. </w:t>
      </w:r>
      <w:r w:rsidR="004379FD">
        <w:rPr>
          <w:rFonts w:asciiTheme="minorHAnsi" w:hAnsiTheme="minorHAnsi" w:cstheme="minorHAnsi"/>
        </w:rPr>
        <w:t>Figure 9.34</w:t>
      </w:r>
      <w:r w:rsidR="004379FD" w:rsidRPr="00185CBB">
        <w:rPr>
          <w:rFonts w:asciiTheme="minorHAnsi" w:hAnsiTheme="minorHAnsi" w:cstheme="minorHAnsi"/>
        </w:rPr>
        <w:t xml:space="preserve"> illustrates that between Aug-</w:t>
      </w:r>
      <w:r w:rsidR="004379FD">
        <w:rPr>
          <w:rFonts w:asciiTheme="minorHAnsi" w:hAnsiTheme="minorHAnsi" w:cstheme="minorHAnsi"/>
        </w:rPr>
        <w:t>2015 – Aug 2020 there has been four</w:t>
      </w:r>
      <w:r w:rsidR="004379FD" w:rsidRPr="00185CBB">
        <w:rPr>
          <w:rFonts w:asciiTheme="minorHAnsi" w:hAnsiTheme="minorHAnsi" w:cstheme="minorHAnsi"/>
        </w:rPr>
        <w:t xml:space="preserve"> </w:t>
      </w:r>
      <w:r w:rsidR="004379FD">
        <w:rPr>
          <w:rFonts w:asciiTheme="minorHAnsi" w:hAnsiTheme="minorHAnsi" w:cstheme="minorHAnsi"/>
        </w:rPr>
        <w:t>operational flow periods</w:t>
      </w:r>
      <w:r w:rsidR="004379FD" w:rsidRPr="00185CBB">
        <w:rPr>
          <w:rFonts w:asciiTheme="minorHAnsi" w:hAnsiTheme="minorHAnsi" w:cstheme="minorHAnsi"/>
        </w:rPr>
        <w:t xml:space="preserve"> all within the very defined discharge range of 2,300 – 2,800 (</w:t>
      </w:r>
      <w:r w:rsidR="004379FD">
        <w:rPr>
          <w:rFonts w:asciiTheme="minorHAnsi" w:hAnsiTheme="minorHAnsi" w:cstheme="minorHAnsi"/>
        </w:rPr>
        <w:t>ML/day</w:t>
      </w:r>
      <w:r w:rsidR="004379FD" w:rsidRPr="00185CBB">
        <w:rPr>
          <w:rFonts w:asciiTheme="minorHAnsi" w:hAnsiTheme="minorHAnsi" w:cstheme="minorHAnsi"/>
        </w:rPr>
        <w:t xml:space="preserve">). This equates to 22% of the total time period (388/1,800 days) during </w:t>
      </w:r>
      <w:r w:rsidR="004379FD">
        <w:rPr>
          <w:rFonts w:asciiTheme="minorHAnsi" w:hAnsiTheme="minorHAnsi" w:cstheme="minorHAnsi"/>
        </w:rPr>
        <w:t xml:space="preserve">the hottest months of the year, </w:t>
      </w:r>
      <w:r w:rsidR="004379FD" w:rsidRPr="00185CBB">
        <w:rPr>
          <w:rFonts w:asciiTheme="minorHAnsi" w:hAnsiTheme="minorHAnsi" w:cstheme="minorHAnsi"/>
        </w:rPr>
        <w:t>where the process of cyclical wetting and drying of banks has the</w:t>
      </w:r>
      <w:r w:rsidR="004379FD">
        <w:rPr>
          <w:rFonts w:asciiTheme="minorHAnsi" w:hAnsiTheme="minorHAnsi" w:cstheme="minorHAnsi"/>
        </w:rPr>
        <w:t xml:space="preserve"> most impact on clay rich soils</w:t>
      </w:r>
      <w:r w:rsidR="004379FD" w:rsidRPr="00185CBB">
        <w:rPr>
          <w:rFonts w:asciiTheme="minorHAnsi" w:hAnsiTheme="minorHAnsi" w:cstheme="minorHAnsi"/>
        </w:rPr>
        <w:t xml:space="preserve">. </w:t>
      </w:r>
    </w:p>
    <w:p w14:paraId="6CA4F307"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7DC9DA40" wp14:editId="50BBB2D0">
            <wp:extent cx="4648200" cy="1940449"/>
            <wp:effectExtent l="19050" t="19050" r="19050" b="22225"/>
            <wp:docPr id="471" name="Picture 43">
              <a:extLst xmlns:a="http://schemas.openxmlformats.org/drawingml/2006/main">
                <a:ext uri="{FF2B5EF4-FFF2-40B4-BE49-F238E27FC236}">
                  <a16:creationId xmlns:a16="http://schemas.microsoft.com/office/drawing/2014/main" id="{CF5F8B1D-9264-47CF-8FF2-B59628A6F0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CF5F8B1D-9264-47CF-8FF2-B59628A6F0AE}"/>
                        </a:ext>
                      </a:extLst>
                    </pic:cNvPr>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0" y="0"/>
                      <a:ext cx="4737322" cy="1977654"/>
                    </a:xfrm>
                    <a:prstGeom prst="rect">
                      <a:avLst/>
                    </a:prstGeom>
                    <a:ln w="3175">
                      <a:solidFill>
                        <a:schemeClr val="tx1"/>
                      </a:solidFill>
                    </a:ln>
                  </pic:spPr>
                </pic:pic>
              </a:graphicData>
            </a:graphic>
          </wp:inline>
        </w:drawing>
      </w:r>
    </w:p>
    <w:p w14:paraId="0F0C3CF8" w14:textId="5E0B7B42" w:rsidR="004379FD" w:rsidRDefault="004379FD" w:rsidP="00131521">
      <w:pPr>
        <w:pStyle w:val="SHCaption"/>
        <w:ind w:right="447"/>
        <w:rPr>
          <w:color w:val="000000" w:themeColor="text1"/>
        </w:rPr>
      </w:pPr>
      <w:bookmarkStart w:id="144" w:name="_Ref49166774"/>
      <w:bookmarkStart w:id="145" w:name="_Toc52433918"/>
      <w:r w:rsidRPr="007D4F16">
        <w:rPr>
          <w:b/>
          <w:color w:val="000000" w:themeColor="text1"/>
        </w:rPr>
        <w:t xml:space="preserve">Figure </w:t>
      </w:r>
      <w:r w:rsidR="00AD6D18">
        <w:rPr>
          <w:b/>
          <w:noProof/>
          <w:color w:val="000000" w:themeColor="text1"/>
        </w:rPr>
        <w:t>9</w:t>
      </w:r>
      <w:r w:rsidRPr="007D4F16">
        <w:rPr>
          <w:b/>
          <w:color w:val="000000" w:themeColor="text1"/>
        </w:rPr>
        <w:t>.</w:t>
      </w:r>
      <w:bookmarkEnd w:id="144"/>
      <w:r>
        <w:rPr>
          <w:b/>
          <w:noProof/>
          <w:color w:val="000000" w:themeColor="text1"/>
        </w:rPr>
        <w:t>34</w:t>
      </w:r>
      <w:r>
        <w:rPr>
          <w:color w:val="000000" w:themeColor="text1"/>
        </w:rPr>
        <w:t xml:space="preserve"> </w:t>
      </w:r>
      <w:r w:rsidRPr="007D4F16">
        <w:rPr>
          <w:color w:val="000000" w:themeColor="text1"/>
        </w:rPr>
        <w:t xml:space="preserve">Hydrograph indicating daily mean flow at </w:t>
      </w:r>
      <w:r>
        <w:rPr>
          <w:color w:val="000000" w:themeColor="text1"/>
        </w:rPr>
        <w:t>DS Steven</w:t>
      </w:r>
      <w:r w:rsidRPr="007D4F16">
        <w:rPr>
          <w:color w:val="000000" w:themeColor="text1"/>
        </w:rPr>
        <w:t xml:space="preserve">s Weir gauge from Aug 2015-Aug 2020 and highlighting areas of </w:t>
      </w:r>
      <w:r>
        <w:rPr>
          <w:color w:val="000000" w:themeColor="text1"/>
        </w:rPr>
        <w:t>operational</w:t>
      </w:r>
      <w:r w:rsidRPr="007D4F16">
        <w:rPr>
          <w:color w:val="000000" w:themeColor="text1"/>
        </w:rPr>
        <w:t xml:space="preserve"> flow which </w:t>
      </w:r>
      <w:r>
        <w:rPr>
          <w:color w:val="000000" w:themeColor="text1"/>
        </w:rPr>
        <w:t>occurred</w:t>
      </w:r>
      <w:r w:rsidRPr="007D4F16">
        <w:rPr>
          <w:color w:val="000000" w:themeColor="text1"/>
        </w:rPr>
        <w:t xml:space="preserve"> </w:t>
      </w:r>
      <w:r>
        <w:rPr>
          <w:color w:val="000000" w:themeColor="text1"/>
        </w:rPr>
        <w:t>in</w:t>
      </w:r>
      <w:r w:rsidRPr="007D4F16">
        <w:rPr>
          <w:color w:val="000000" w:themeColor="text1"/>
        </w:rPr>
        <w:t xml:space="preserve"> the </w:t>
      </w:r>
      <w:r w:rsidRPr="007D4F16">
        <w:rPr>
          <w:i/>
          <w:iCs/>
          <w:color w:val="000000" w:themeColor="text1"/>
        </w:rPr>
        <w:t xml:space="preserve">notch zone </w:t>
      </w:r>
      <w:r w:rsidRPr="007D4F16">
        <w:rPr>
          <w:color w:val="000000" w:themeColor="text1"/>
        </w:rPr>
        <w:t>corresponding to discharge between 2,300 – 2,800 ML/day.</w:t>
      </w:r>
      <w:bookmarkEnd w:id="145"/>
      <w:r>
        <w:rPr>
          <w:color w:val="000000" w:themeColor="text1"/>
        </w:rPr>
        <w:t xml:space="preserve"> The maximum discharge that occurred during the flood in 2016 have been truncated in this figure.</w:t>
      </w:r>
    </w:p>
    <w:p w14:paraId="638BBF72" w14:textId="55B15E5F" w:rsidR="004379FD" w:rsidRPr="002A68FB" w:rsidRDefault="002A68FB" w:rsidP="002A68FB">
      <w:pPr>
        <w:pStyle w:val="ListParagraph"/>
        <w:numPr>
          <w:ilvl w:val="0"/>
          <w:numId w:val="39"/>
        </w:numPr>
        <w:spacing w:after="0" w:line="259" w:lineRule="auto"/>
        <w:ind w:left="357" w:right="447"/>
        <w:contextualSpacing/>
        <w:rPr>
          <w:rFonts w:asciiTheme="minorHAnsi" w:hAnsiTheme="minorHAnsi" w:cstheme="minorHAnsi"/>
        </w:rPr>
      </w:pPr>
      <w:r>
        <w:rPr>
          <w:rFonts w:asciiTheme="minorHAnsi" w:hAnsiTheme="minorHAnsi" w:cstheme="minorHAnsi"/>
        </w:rPr>
        <w:t>Figure 9.35</w:t>
      </w:r>
      <w:r w:rsidR="004379FD" w:rsidRPr="00185CBB">
        <w:rPr>
          <w:rFonts w:asciiTheme="minorHAnsi" w:hAnsiTheme="minorHAnsi" w:cstheme="minorHAnsi"/>
        </w:rPr>
        <w:t xml:space="preserve"> highlights that there is a distinct pattern in flow regime from year to year which can be s</w:t>
      </w:r>
      <w:r>
        <w:rPr>
          <w:rFonts w:asciiTheme="minorHAnsi" w:hAnsiTheme="minorHAnsi" w:cstheme="minorHAnsi"/>
        </w:rPr>
        <w:t xml:space="preserve">ummarised into a 3 step process, and also </w:t>
      </w:r>
      <w:r w:rsidR="004379FD" w:rsidRPr="002A68FB">
        <w:rPr>
          <w:rFonts w:asciiTheme="minorHAnsi" w:hAnsiTheme="minorHAnsi" w:cstheme="minorHAnsi"/>
        </w:rPr>
        <w:t xml:space="preserve">highlights how a simple sequence of events can result in large scale erosion, and arguably extensive channel widening, within a system: </w:t>
      </w:r>
    </w:p>
    <w:p w14:paraId="033C71F4" w14:textId="77777777" w:rsidR="004379FD" w:rsidRPr="00185CBB" w:rsidRDefault="004379FD" w:rsidP="00131521">
      <w:pPr>
        <w:spacing w:after="0" w:line="259" w:lineRule="auto"/>
        <w:ind w:left="357" w:right="447"/>
        <w:rPr>
          <w:rFonts w:asciiTheme="minorHAnsi" w:hAnsiTheme="minorHAnsi" w:cstheme="minorHAnsi"/>
        </w:rPr>
      </w:pPr>
      <w:r w:rsidRPr="00185CBB">
        <w:rPr>
          <w:rFonts w:asciiTheme="minorHAnsi" w:hAnsiTheme="minorHAnsi" w:cstheme="minorHAnsi"/>
        </w:rPr>
        <w:t xml:space="preserve">1) Prolonged (+30 days) cyclical wetting and drying of a defined bank zone. </w:t>
      </w:r>
      <w:r w:rsidRPr="00185CBB">
        <w:rPr>
          <w:rFonts w:asciiTheme="minorHAnsi" w:hAnsiTheme="minorHAnsi" w:cstheme="minorHAnsi"/>
          <w:b/>
          <w:bCs/>
          <w:i/>
          <w:iCs/>
        </w:rPr>
        <w:t xml:space="preserve">Bank Response: </w:t>
      </w:r>
      <w:r w:rsidRPr="00185CBB">
        <w:rPr>
          <w:rFonts w:asciiTheme="minorHAnsi" w:hAnsiTheme="minorHAnsi" w:cstheme="minorHAnsi"/>
        </w:rPr>
        <w:t>Notch Created</w:t>
      </w:r>
    </w:p>
    <w:p w14:paraId="40EC4295" w14:textId="77777777" w:rsidR="004379FD" w:rsidRPr="00185CBB" w:rsidRDefault="004379FD" w:rsidP="00131521">
      <w:pPr>
        <w:spacing w:after="0" w:line="259" w:lineRule="auto"/>
        <w:ind w:left="357" w:right="447"/>
        <w:rPr>
          <w:rFonts w:asciiTheme="minorHAnsi" w:hAnsiTheme="minorHAnsi" w:cstheme="minorHAnsi"/>
        </w:rPr>
      </w:pPr>
      <w:r w:rsidRPr="00185CBB">
        <w:rPr>
          <w:rFonts w:asciiTheme="minorHAnsi" w:hAnsiTheme="minorHAnsi" w:cstheme="minorHAnsi"/>
        </w:rPr>
        <w:t xml:space="preserve">2) Prolonged (+7 days) Inundation of bank zone above the notch. </w:t>
      </w:r>
      <w:r w:rsidRPr="00185CBB">
        <w:rPr>
          <w:rFonts w:asciiTheme="minorHAnsi" w:hAnsiTheme="minorHAnsi" w:cstheme="minorHAnsi"/>
          <w:b/>
          <w:bCs/>
          <w:i/>
          <w:iCs/>
        </w:rPr>
        <w:t>Bank Response:</w:t>
      </w:r>
      <w:r w:rsidRPr="00185CBB">
        <w:rPr>
          <w:rFonts w:asciiTheme="minorHAnsi" w:hAnsiTheme="minorHAnsi" w:cstheme="minorHAnsi"/>
        </w:rPr>
        <w:t xml:space="preserve"> Saturation </w:t>
      </w:r>
    </w:p>
    <w:p w14:paraId="42C316A9" w14:textId="77777777" w:rsidR="004379FD" w:rsidRDefault="004379FD" w:rsidP="00131521">
      <w:pPr>
        <w:spacing w:after="160" w:line="259" w:lineRule="auto"/>
        <w:ind w:left="360" w:right="447"/>
        <w:rPr>
          <w:rFonts w:asciiTheme="minorHAnsi" w:hAnsiTheme="minorHAnsi" w:cstheme="minorHAnsi"/>
        </w:rPr>
      </w:pPr>
      <w:r w:rsidRPr="00185CBB">
        <w:rPr>
          <w:rFonts w:asciiTheme="minorHAnsi" w:hAnsiTheme="minorHAnsi" w:cstheme="minorHAnsi"/>
        </w:rPr>
        <w:t xml:space="preserve">3) Rapid draw-down of water level over the notch. </w:t>
      </w:r>
      <w:r w:rsidRPr="00185CBB">
        <w:rPr>
          <w:rFonts w:asciiTheme="minorHAnsi" w:hAnsiTheme="minorHAnsi" w:cstheme="minorHAnsi"/>
          <w:b/>
          <w:bCs/>
          <w:i/>
          <w:iCs/>
        </w:rPr>
        <w:t>Bank Response:</w:t>
      </w:r>
      <w:r w:rsidRPr="00185CBB">
        <w:rPr>
          <w:rFonts w:asciiTheme="minorHAnsi" w:hAnsiTheme="minorHAnsi" w:cstheme="minorHAnsi"/>
        </w:rPr>
        <w:t xml:space="preserve"> Mass-failure events above notch </w:t>
      </w:r>
    </w:p>
    <w:p w14:paraId="51493BA4" w14:textId="77777777" w:rsidR="004379FD" w:rsidRDefault="004379FD" w:rsidP="00131521">
      <w:pPr>
        <w:spacing w:after="120" w:line="259" w:lineRule="auto"/>
        <w:ind w:right="447"/>
        <w:rPr>
          <w:rFonts w:asciiTheme="minorHAnsi" w:eastAsia="Times New Roman" w:hAnsiTheme="minorHAnsi" w:cstheme="minorHAnsi"/>
          <w:color w:val="000000"/>
          <w:lang w:eastAsia="en-AU"/>
        </w:rPr>
      </w:pPr>
      <w:r w:rsidRPr="00185CBB">
        <w:rPr>
          <w:rFonts w:asciiTheme="minorHAnsi" w:eastAsia="Times New Roman" w:hAnsiTheme="minorHAnsi" w:cstheme="minorHAnsi"/>
          <w:color w:val="000000"/>
          <w:lang w:eastAsia="en-AU"/>
        </w:rPr>
        <w:t>Areas of bank prior to and post mass-failure (</w:t>
      </w:r>
      <w:r>
        <w:rPr>
          <w:rFonts w:asciiTheme="minorHAnsi" w:eastAsia="Times New Roman" w:hAnsiTheme="minorHAnsi" w:cstheme="minorHAnsi"/>
          <w:color w:val="000000"/>
          <w:lang w:eastAsia="en-AU"/>
        </w:rPr>
        <w:t>Figures 9.36 and 9.37</w:t>
      </w:r>
      <w:r w:rsidRPr="00185CBB">
        <w:rPr>
          <w:rFonts w:asciiTheme="minorHAnsi" w:eastAsia="Times New Roman" w:hAnsiTheme="minorHAnsi" w:cstheme="minorHAnsi"/>
          <w:color w:val="000000"/>
          <w:lang w:eastAsia="en-AU"/>
        </w:rPr>
        <w:t>, respectively) illustrate the significant impact this 3 step process had on areas of the the Edward</w:t>
      </w:r>
      <w:r>
        <w:rPr>
          <w:rFonts w:asciiTheme="minorHAnsi" w:eastAsia="Times New Roman" w:hAnsiTheme="minorHAnsi" w:cstheme="minorHAnsi"/>
          <w:color w:val="000000"/>
          <w:lang w:eastAsia="en-AU"/>
        </w:rPr>
        <w:t>/Kolety R</w:t>
      </w:r>
      <w:r w:rsidRPr="00185CBB">
        <w:rPr>
          <w:rFonts w:asciiTheme="minorHAnsi" w:eastAsia="Times New Roman" w:hAnsiTheme="minorHAnsi" w:cstheme="minorHAnsi"/>
          <w:color w:val="000000"/>
          <w:lang w:eastAsia="en-AU"/>
        </w:rPr>
        <w:t>i</w:t>
      </w:r>
      <w:r>
        <w:rPr>
          <w:rFonts w:asciiTheme="minorHAnsi" w:eastAsia="Times New Roman" w:hAnsiTheme="minorHAnsi" w:cstheme="minorHAnsi"/>
          <w:color w:val="000000"/>
          <w:lang w:eastAsia="en-AU"/>
        </w:rPr>
        <w:t>ver downstream of Stevens Weir.</w:t>
      </w:r>
    </w:p>
    <w:p w14:paraId="0181F227" w14:textId="77777777" w:rsidR="004379FD" w:rsidRPr="00185CBB" w:rsidRDefault="004379FD" w:rsidP="0040642F">
      <w:pPr>
        <w:pStyle w:val="ListParagraph"/>
        <w:numPr>
          <w:ilvl w:val="0"/>
          <w:numId w:val="39"/>
        </w:numPr>
        <w:spacing w:after="160" w:line="259" w:lineRule="auto"/>
        <w:ind w:right="447"/>
        <w:contextualSpacing/>
        <w:jc w:val="left"/>
        <w:rPr>
          <w:rFonts w:asciiTheme="minorHAnsi" w:hAnsiTheme="minorHAnsi" w:cstheme="minorHAnsi"/>
        </w:rPr>
      </w:pPr>
      <w:r w:rsidRPr="00185CBB">
        <w:rPr>
          <w:rFonts w:asciiTheme="minorHAnsi" w:hAnsiTheme="minorHAnsi" w:cstheme="minorHAnsi"/>
        </w:rPr>
        <w:t>Deposition at this site is intricately linked to the receding limb of diverse and large flow events:</w:t>
      </w:r>
    </w:p>
    <w:p w14:paraId="71336109" w14:textId="77777777" w:rsidR="004379FD" w:rsidRPr="00185CBB" w:rsidRDefault="004379FD" w:rsidP="0040642F">
      <w:pPr>
        <w:pStyle w:val="ListParagraph"/>
        <w:numPr>
          <w:ilvl w:val="1"/>
          <w:numId w:val="39"/>
        </w:numPr>
        <w:spacing w:after="0" w:line="259" w:lineRule="auto"/>
        <w:ind w:left="709" w:right="447" w:hanging="425"/>
        <w:contextualSpacing/>
        <w:jc w:val="left"/>
        <w:rPr>
          <w:rFonts w:asciiTheme="minorHAnsi" w:hAnsiTheme="minorHAnsi" w:cstheme="minorHAnsi"/>
        </w:rPr>
      </w:pPr>
      <w:r w:rsidRPr="00185CBB">
        <w:rPr>
          <w:rFonts w:asciiTheme="minorHAnsi" w:hAnsiTheme="minorHAnsi" w:cstheme="minorHAnsi"/>
        </w:rPr>
        <w:t>Where bank saturation above the notch is reached, deposition recorded on the lo</w:t>
      </w:r>
      <w:r>
        <w:rPr>
          <w:rFonts w:asciiTheme="minorHAnsi" w:hAnsiTheme="minorHAnsi" w:cstheme="minorHAnsi"/>
        </w:rPr>
        <w:t>wer bank appeared</w:t>
      </w:r>
      <w:r w:rsidRPr="00185CBB">
        <w:rPr>
          <w:rFonts w:asciiTheme="minorHAnsi" w:hAnsiTheme="minorHAnsi" w:cstheme="minorHAnsi"/>
        </w:rPr>
        <w:t xml:space="preserve"> to be primarily a result of erosion above (</w:t>
      </w:r>
      <w:r>
        <w:rPr>
          <w:rFonts w:asciiTheme="minorHAnsi" w:hAnsiTheme="minorHAnsi" w:cstheme="minorHAnsi"/>
        </w:rPr>
        <w:t xml:space="preserve">Figure 9.38 </w:t>
      </w:r>
      <w:r w:rsidRPr="00185CBB">
        <w:rPr>
          <w:rFonts w:asciiTheme="minorHAnsi" w:hAnsiTheme="minorHAnsi" w:cstheme="minorHAnsi"/>
        </w:rPr>
        <w:t>left)</w:t>
      </w:r>
      <w:r>
        <w:rPr>
          <w:rFonts w:asciiTheme="minorHAnsi" w:hAnsiTheme="minorHAnsi" w:cstheme="minorHAnsi"/>
        </w:rPr>
        <w:t>.</w:t>
      </w:r>
    </w:p>
    <w:p w14:paraId="5B1E902D" w14:textId="62B4F31F" w:rsidR="004379FD" w:rsidRPr="00E33E52" w:rsidRDefault="004909D1" w:rsidP="0040642F">
      <w:pPr>
        <w:pStyle w:val="ListParagraph"/>
        <w:numPr>
          <w:ilvl w:val="1"/>
          <w:numId w:val="39"/>
        </w:numPr>
        <w:spacing w:after="160" w:line="259" w:lineRule="auto"/>
        <w:ind w:left="709" w:right="447" w:hanging="425"/>
        <w:contextualSpacing/>
        <w:jc w:val="left"/>
        <w:rPr>
          <w:rFonts w:asciiTheme="minorHAnsi" w:eastAsia="Times New Roman" w:hAnsiTheme="minorHAnsi" w:cstheme="minorHAnsi"/>
          <w:color w:val="000000"/>
          <w:lang w:eastAsia="en-AU"/>
        </w:rPr>
      </w:pPr>
      <w:r>
        <w:rPr>
          <w:rFonts w:asciiTheme="minorHAnsi" w:hAnsiTheme="minorHAnsi" w:cstheme="minorHAnsi"/>
        </w:rPr>
        <w:t>When</w:t>
      </w:r>
      <w:r w:rsidR="004379FD" w:rsidRPr="00E33E52">
        <w:rPr>
          <w:rFonts w:asciiTheme="minorHAnsi" w:hAnsiTheme="minorHAnsi" w:cstheme="minorHAnsi"/>
        </w:rPr>
        <w:t xml:space="preserve"> </w:t>
      </w:r>
      <w:r>
        <w:rPr>
          <w:rFonts w:asciiTheme="minorHAnsi" w:hAnsiTheme="minorHAnsi" w:cstheme="minorHAnsi"/>
        </w:rPr>
        <w:t xml:space="preserve">the </w:t>
      </w:r>
      <w:r w:rsidR="004379FD" w:rsidRPr="00E33E52">
        <w:rPr>
          <w:rFonts w:asciiTheme="minorHAnsi" w:hAnsiTheme="minorHAnsi" w:cstheme="minorHAnsi"/>
        </w:rPr>
        <w:t xml:space="preserve">bank above the notch </w:t>
      </w:r>
      <w:r>
        <w:rPr>
          <w:rFonts w:asciiTheme="minorHAnsi" w:hAnsiTheme="minorHAnsi" w:cstheme="minorHAnsi"/>
        </w:rPr>
        <w:t>was not saturated</w:t>
      </w:r>
      <w:r w:rsidR="004379FD" w:rsidRPr="00E33E52">
        <w:rPr>
          <w:rFonts w:asciiTheme="minorHAnsi" w:hAnsiTheme="minorHAnsi" w:cstheme="minorHAnsi"/>
        </w:rPr>
        <w:t>, deposition appeared to be linked to sediment being input to the system and residing on the lower bank (Figure 9.38 right).</w:t>
      </w:r>
    </w:p>
    <w:p w14:paraId="3E8E081B" w14:textId="77777777" w:rsidR="004379FD" w:rsidRDefault="004379FD" w:rsidP="004379FD">
      <w:pPr>
        <w:pStyle w:val="SNormalText"/>
        <w:rPr>
          <w:lang w:val="en-US"/>
        </w:rPr>
        <w:sectPr w:rsidR="004379FD" w:rsidSect="004379FD">
          <w:pgSz w:w="11901" w:h="16817"/>
          <w:pgMar w:top="1418" w:right="851" w:bottom="1440" w:left="1247" w:header="709" w:footer="709" w:gutter="0"/>
          <w:cols w:space="708"/>
          <w:docGrid w:linePitch="360"/>
        </w:sectPr>
      </w:pPr>
    </w:p>
    <w:p w14:paraId="69D9D404" w14:textId="77777777" w:rsidR="004379FD" w:rsidRDefault="004379FD" w:rsidP="004379FD">
      <w:pPr>
        <w:pStyle w:val="SNormalText"/>
        <w:rPr>
          <w:b/>
          <w:bCs/>
          <w:noProof/>
          <w:lang w:eastAsia="en-AU"/>
        </w:rPr>
      </w:pPr>
    </w:p>
    <w:p w14:paraId="64A77FFB" w14:textId="77777777" w:rsidR="004379FD" w:rsidRDefault="004379FD" w:rsidP="004379FD">
      <w:pPr>
        <w:pStyle w:val="SNormalText"/>
        <w:rPr>
          <w:b/>
          <w:bCs/>
          <w:noProof/>
          <w:lang w:eastAsia="en-AU"/>
        </w:rPr>
      </w:pPr>
    </w:p>
    <w:p w14:paraId="08E5BAEB" w14:textId="77777777" w:rsidR="004379FD" w:rsidRDefault="004379FD" w:rsidP="004379FD">
      <w:pPr>
        <w:pStyle w:val="SNormalText"/>
        <w:ind w:left="-284"/>
        <w:rPr>
          <w:lang w:val="en-US"/>
        </w:rPr>
      </w:pPr>
      <w:r>
        <w:rPr>
          <w:noProof/>
          <w:lang w:eastAsia="en-AU"/>
        </w:rPr>
        <w:drawing>
          <wp:inline distT="0" distB="0" distL="0" distR="0" wp14:anchorId="3CB532AE" wp14:editId="0E661794">
            <wp:extent cx="9521990" cy="3124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9523074" cy="3124556"/>
                    </a:xfrm>
                    <a:prstGeom prst="rect">
                      <a:avLst/>
                    </a:prstGeom>
                    <a:noFill/>
                  </pic:spPr>
                </pic:pic>
              </a:graphicData>
            </a:graphic>
          </wp:inline>
        </w:drawing>
      </w:r>
    </w:p>
    <w:p w14:paraId="70409113" w14:textId="77777777" w:rsidR="004379FD" w:rsidRDefault="004379FD" w:rsidP="004379FD">
      <w:pPr>
        <w:pStyle w:val="SHCaption"/>
        <w:rPr>
          <w:b/>
          <w:color w:val="000000" w:themeColor="text1"/>
        </w:rPr>
      </w:pPr>
      <w:bookmarkStart w:id="146" w:name="_Ref48842559"/>
      <w:bookmarkStart w:id="147" w:name="_Ref49217545"/>
      <w:bookmarkStart w:id="148" w:name="_Toc52433919"/>
    </w:p>
    <w:p w14:paraId="780A7F95" w14:textId="7032DF31" w:rsidR="004379FD" w:rsidRPr="007D4F16" w:rsidRDefault="004379FD" w:rsidP="004379FD">
      <w:pPr>
        <w:pStyle w:val="SHCaption"/>
        <w:rPr>
          <w:b/>
          <w:color w:val="000000" w:themeColor="text1"/>
        </w:rPr>
      </w:pPr>
      <w:r w:rsidRPr="007D4F16">
        <w:rPr>
          <w:b/>
          <w:color w:val="000000" w:themeColor="text1"/>
        </w:rPr>
        <w:t xml:space="preserve">Figure </w:t>
      </w:r>
      <w:r w:rsidR="00AD6D18">
        <w:rPr>
          <w:b/>
          <w:noProof/>
          <w:color w:val="000000" w:themeColor="text1"/>
        </w:rPr>
        <w:t>9</w:t>
      </w:r>
      <w:r w:rsidRPr="007D4F16">
        <w:rPr>
          <w:b/>
          <w:color w:val="000000" w:themeColor="text1"/>
        </w:rPr>
        <w:t>.</w:t>
      </w:r>
      <w:bookmarkEnd w:id="146"/>
      <w:bookmarkEnd w:id="147"/>
      <w:r>
        <w:rPr>
          <w:b/>
          <w:noProof/>
          <w:color w:val="000000" w:themeColor="text1"/>
        </w:rPr>
        <w:t>35</w:t>
      </w:r>
      <w:r>
        <w:rPr>
          <w:color w:val="000000" w:themeColor="text1"/>
        </w:rPr>
        <w:t xml:space="preserve"> </w:t>
      </w:r>
      <w:r w:rsidRPr="007D4F16">
        <w:rPr>
          <w:color w:val="000000" w:themeColor="text1"/>
        </w:rPr>
        <w:t>Conceptual diagram detailing the 3 stages of channel widening linked to the sequence of</w:t>
      </w:r>
      <w:r>
        <w:rPr>
          <w:color w:val="000000" w:themeColor="text1"/>
        </w:rPr>
        <w:t xml:space="preserve"> events occurring at the Steven</w:t>
      </w:r>
      <w:r w:rsidRPr="007D4F16">
        <w:rPr>
          <w:color w:val="000000" w:themeColor="text1"/>
        </w:rPr>
        <w:t>s Weir site. This are repeatedly annually in sequence.</w:t>
      </w:r>
      <w:bookmarkEnd w:id="148"/>
    </w:p>
    <w:p w14:paraId="45CD76BB" w14:textId="77777777" w:rsidR="004379FD" w:rsidRDefault="004379FD" w:rsidP="004379FD">
      <w:pPr>
        <w:pStyle w:val="SNormalText"/>
        <w:rPr>
          <w:lang w:val="en-US"/>
        </w:rPr>
      </w:pPr>
    </w:p>
    <w:p w14:paraId="7650CAA8" w14:textId="77777777" w:rsidR="004379FD" w:rsidRDefault="004379FD" w:rsidP="004379FD">
      <w:pPr>
        <w:pStyle w:val="SNormalText"/>
        <w:rPr>
          <w:lang w:val="en-US"/>
        </w:rPr>
        <w:sectPr w:rsidR="004379FD" w:rsidSect="004379FD">
          <w:pgSz w:w="16817" w:h="11901" w:orient="landscape"/>
          <w:pgMar w:top="1247" w:right="1418" w:bottom="851" w:left="1440" w:header="709" w:footer="709" w:gutter="0"/>
          <w:cols w:space="708"/>
          <w:docGrid w:linePitch="360"/>
        </w:sectPr>
      </w:pPr>
    </w:p>
    <w:p w14:paraId="147B905C"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7DA33E7C" wp14:editId="7AA12450">
            <wp:extent cx="6114245" cy="2300263"/>
            <wp:effectExtent l="0" t="0" r="1270" b="508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6116320" cy="2301043"/>
                    </a:xfrm>
                    <a:prstGeom prst="rect">
                      <a:avLst/>
                    </a:prstGeom>
                    <a:noFill/>
                    <a:ln>
                      <a:noFill/>
                    </a:ln>
                    <a:extLst>
                      <a:ext uri="{53640926-AAD7-44D8-BBD7-CCE9431645EC}">
                        <a14:shadowObscured xmlns:a14="http://schemas.microsoft.com/office/drawing/2010/main"/>
                      </a:ext>
                    </a:extLst>
                  </pic:spPr>
                </pic:pic>
              </a:graphicData>
            </a:graphic>
          </wp:inline>
        </w:drawing>
      </w:r>
    </w:p>
    <w:p w14:paraId="635DE0AD" w14:textId="7E2C0612" w:rsidR="004379FD" w:rsidRPr="007D4F16" w:rsidRDefault="004379FD" w:rsidP="004379FD">
      <w:pPr>
        <w:pStyle w:val="SHCaption"/>
        <w:rPr>
          <w:color w:val="000000" w:themeColor="text1"/>
        </w:rPr>
      </w:pPr>
      <w:bookmarkStart w:id="149" w:name="_Ref52426256"/>
      <w:bookmarkStart w:id="150" w:name="_Toc52433920"/>
      <w:r w:rsidRPr="007D4F16">
        <w:rPr>
          <w:b/>
          <w:color w:val="000000" w:themeColor="text1"/>
        </w:rPr>
        <w:t xml:space="preserve">Figure </w:t>
      </w:r>
      <w:r w:rsidR="00AD6D18">
        <w:rPr>
          <w:b/>
          <w:noProof/>
          <w:color w:val="000000" w:themeColor="text1"/>
        </w:rPr>
        <w:t>9</w:t>
      </w:r>
      <w:r w:rsidRPr="007D4F16">
        <w:rPr>
          <w:b/>
          <w:color w:val="000000" w:themeColor="text1"/>
        </w:rPr>
        <w:t>.</w:t>
      </w:r>
      <w:bookmarkEnd w:id="149"/>
      <w:r>
        <w:rPr>
          <w:b/>
          <w:noProof/>
          <w:color w:val="000000" w:themeColor="text1"/>
        </w:rPr>
        <w:t>36</w:t>
      </w:r>
      <w:r>
        <w:rPr>
          <w:color w:val="000000" w:themeColor="text1"/>
        </w:rPr>
        <w:t xml:space="preserve"> </w:t>
      </w:r>
      <w:r w:rsidRPr="007D4F16">
        <w:rPr>
          <w:color w:val="000000" w:themeColor="text1"/>
        </w:rPr>
        <w:t>Drone photograph taken on the 3</w:t>
      </w:r>
      <w:r w:rsidRPr="007D4F16">
        <w:rPr>
          <w:color w:val="000000" w:themeColor="text1"/>
          <w:vertAlign w:val="superscript"/>
        </w:rPr>
        <w:t>rd</w:t>
      </w:r>
      <w:r w:rsidRPr="007D4F16">
        <w:rPr>
          <w:color w:val="000000" w:themeColor="text1"/>
        </w:rPr>
        <w:t xml:space="preserve"> visit (07/04/2020) highlighting the notch at</w:t>
      </w:r>
      <w:r>
        <w:rPr>
          <w:color w:val="000000" w:themeColor="text1"/>
        </w:rPr>
        <w:t xml:space="preserve"> the site in the Edward/Kolety River downstream of Steven</w:t>
      </w:r>
      <w:r w:rsidRPr="007D4F16">
        <w:rPr>
          <w:color w:val="000000" w:themeColor="text1"/>
        </w:rPr>
        <w:t>s Weir</w:t>
      </w:r>
      <w:bookmarkEnd w:id="150"/>
    </w:p>
    <w:p w14:paraId="23814316"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12FB0847" wp14:editId="43793EF8">
            <wp:extent cx="6115050" cy="2321169"/>
            <wp:effectExtent l="0" t="0" r="0" b="317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6116320" cy="2321651"/>
                    </a:xfrm>
                    <a:prstGeom prst="rect">
                      <a:avLst/>
                    </a:prstGeom>
                    <a:noFill/>
                    <a:ln>
                      <a:noFill/>
                    </a:ln>
                    <a:extLst>
                      <a:ext uri="{53640926-AAD7-44D8-BBD7-CCE9431645EC}">
                        <a14:shadowObscured xmlns:a14="http://schemas.microsoft.com/office/drawing/2010/main"/>
                      </a:ext>
                    </a:extLst>
                  </pic:spPr>
                </pic:pic>
              </a:graphicData>
            </a:graphic>
          </wp:inline>
        </w:drawing>
      </w:r>
    </w:p>
    <w:p w14:paraId="30F76E99" w14:textId="5110B648" w:rsidR="004379FD" w:rsidRDefault="004379FD" w:rsidP="004379FD">
      <w:pPr>
        <w:pStyle w:val="SHCaption"/>
        <w:rPr>
          <w:color w:val="000000" w:themeColor="text1"/>
        </w:rPr>
      </w:pPr>
      <w:bookmarkStart w:id="151" w:name="_Ref48805967"/>
      <w:bookmarkStart w:id="152" w:name="_Ref49168133"/>
      <w:bookmarkStart w:id="153" w:name="_Toc52433921"/>
      <w:r w:rsidRPr="007D4F16">
        <w:rPr>
          <w:b/>
          <w:color w:val="000000" w:themeColor="text1"/>
        </w:rPr>
        <w:t xml:space="preserve">Figure </w:t>
      </w:r>
      <w:r w:rsidR="00AD6D18">
        <w:rPr>
          <w:b/>
          <w:noProof/>
          <w:color w:val="000000" w:themeColor="text1"/>
        </w:rPr>
        <w:t>9</w:t>
      </w:r>
      <w:r w:rsidRPr="007D4F16">
        <w:rPr>
          <w:b/>
          <w:color w:val="000000" w:themeColor="text1"/>
        </w:rPr>
        <w:t>.</w:t>
      </w:r>
      <w:bookmarkEnd w:id="151"/>
      <w:bookmarkEnd w:id="152"/>
      <w:r>
        <w:rPr>
          <w:b/>
          <w:noProof/>
          <w:color w:val="000000" w:themeColor="text1"/>
        </w:rPr>
        <w:t>37</w:t>
      </w:r>
      <w:r>
        <w:rPr>
          <w:color w:val="000000" w:themeColor="text1"/>
        </w:rPr>
        <w:t xml:space="preserve"> </w:t>
      </w:r>
      <w:r w:rsidRPr="007D4F16">
        <w:rPr>
          <w:color w:val="000000" w:themeColor="text1"/>
        </w:rPr>
        <w:t>Drone photograph taken on the final visit (visit 4: 14/07/2020) highlighting areas of the bank that appear to have experienced mass-failure events within the monitoring period. Edward/Kolety River downstream of Stevens Weir.</w:t>
      </w:r>
      <w:bookmarkEnd w:id="153"/>
    </w:p>
    <w:p w14:paraId="1F5AA1A0" w14:textId="77777777" w:rsidR="004379FD" w:rsidRPr="0064119B" w:rsidRDefault="004379FD" w:rsidP="004379FD">
      <w:pPr>
        <w:pStyle w:val="SNormalText"/>
        <w:rPr>
          <w:lang w:val="en-US"/>
        </w:rPr>
      </w:pPr>
    </w:p>
    <w:p w14:paraId="72F739E2" w14:textId="77777777" w:rsidR="004379FD" w:rsidRPr="00185CBB" w:rsidRDefault="004379FD" w:rsidP="004379FD">
      <w:pPr>
        <w:pStyle w:val="BodyText1"/>
        <w:spacing w:after="0" w:line="240" w:lineRule="auto"/>
      </w:pPr>
      <w:r>
        <w:rPr>
          <w:noProof/>
          <w:lang w:eastAsia="en-AU" w:bidi="ar-SA"/>
        </w:rPr>
        <w:drawing>
          <wp:inline distT="0" distB="0" distL="0" distR="0" wp14:anchorId="1D718C42" wp14:editId="281E837D">
            <wp:extent cx="6121400" cy="198495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6136815" cy="1989951"/>
                    </a:xfrm>
                    <a:prstGeom prst="rect">
                      <a:avLst/>
                    </a:prstGeom>
                    <a:noFill/>
                  </pic:spPr>
                </pic:pic>
              </a:graphicData>
            </a:graphic>
          </wp:inline>
        </w:drawing>
      </w:r>
    </w:p>
    <w:p w14:paraId="11748D3D" w14:textId="3D0A9334" w:rsidR="004379FD" w:rsidRPr="005056F7" w:rsidRDefault="004379FD" w:rsidP="004379FD">
      <w:pPr>
        <w:pStyle w:val="SHCaption"/>
        <w:rPr>
          <w:color w:val="000000" w:themeColor="text1"/>
        </w:rPr>
      </w:pPr>
      <w:bookmarkStart w:id="154" w:name="_Ref52426490"/>
      <w:bookmarkStart w:id="155" w:name="_Toc52433922"/>
      <w:r w:rsidRPr="005056F7">
        <w:rPr>
          <w:b/>
          <w:color w:val="000000" w:themeColor="text1"/>
        </w:rPr>
        <w:t xml:space="preserve">Figure </w:t>
      </w:r>
      <w:r w:rsidR="00AD6D18">
        <w:rPr>
          <w:b/>
          <w:noProof/>
          <w:color w:val="000000" w:themeColor="text1"/>
        </w:rPr>
        <w:t>9</w:t>
      </w:r>
      <w:r w:rsidRPr="005056F7">
        <w:rPr>
          <w:b/>
          <w:color w:val="000000" w:themeColor="text1"/>
        </w:rPr>
        <w:t>.</w:t>
      </w:r>
      <w:bookmarkEnd w:id="154"/>
      <w:r>
        <w:rPr>
          <w:b/>
          <w:noProof/>
          <w:color w:val="000000" w:themeColor="text1"/>
        </w:rPr>
        <w:t>38</w:t>
      </w:r>
      <w:r>
        <w:rPr>
          <w:color w:val="000000" w:themeColor="text1"/>
        </w:rPr>
        <w:t xml:space="preserve"> </w:t>
      </w:r>
      <w:r w:rsidRPr="005056F7">
        <w:rPr>
          <w:color w:val="000000" w:themeColor="text1"/>
        </w:rPr>
        <w:t xml:space="preserve">Figure comparing the difference between locations of deposition after the receding limb of flow events expressions of change between </w:t>
      </w:r>
      <w:r>
        <w:rPr>
          <w:color w:val="000000" w:themeColor="text1"/>
        </w:rPr>
        <w:t>v</w:t>
      </w:r>
      <w:r w:rsidRPr="005056F7">
        <w:rPr>
          <w:color w:val="000000" w:themeColor="text1"/>
        </w:rPr>
        <w:t>3-</w:t>
      </w:r>
      <w:r>
        <w:rPr>
          <w:color w:val="000000" w:themeColor="text1"/>
        </w:rPr>
        <w:t>v</w:t>
      </w:r>
      <w:r w:rsidRPr="005056F7">
        <w:rPr>
          <w:color w:val="000000" w:themeColor="text1"/>
        </w:rPr>
        <w:t xml:space="preserve">4 unregulated flow event (left) and </w:t>
      </w:r>
      <w:r>
        <w:rPr>
          <w:color w:val="000000" w:themeColor="text1"/>
        </w:rPr>
        <w:t>v</w:t>
      </w:r>
      <w:r w:rsidRPr="005056F7">
        <w:rPr>
          <w:color w:val="000000" w:themeColor="text1"/>
        </w:rPr>
        <w:t>1-</w:t>
      </w:r>
      <w:r>
        <w:rPr>
          <w:color w:val="000000" w:themeColor="text1"/>
        </w:rPr>
        <w:t>v</w:t>
      </w:r>
      <w:r w:rsidRPr="005056F7">
        <w:rPr>
          <w:color w:val="000000" w:themeColor="text1"/>
        </w:rPr>
        <w:t xml:space="preserve">2 </w:t>
      </w:r>
      <w:r>
        <w:rPr>
          <w:color w:val="000000" w:themeColor="text1"/>
        </w:rPr>
        <w:t>SCF</w:t>
      </w:r>
      <w:r w:rsidRPr="005056F7">
        <w:rPr>
          <w:color w:val="000000" w:themeColor="text1"/>
        </w:rPr>
        <w:t xml:space="preserve"> flow event (right). Expressing the areas at which deposition resided on respective banks</w:t>
      </w:r>
      <w:bookmarkEnd w:id="155"/>
      <w:r>
        <w:rPr>
          <w:color w:val="000000" w:themeColor="text1"/>
        </w:rPr>
        <w:t>.</w:t>
      </w:r>
    </w:p>
    <w:p w14:paraId="3F5B13A2" w14:textId="77777777" w:rsidR="004379FD" w:rsidRDefault="004379FD" w:rsidP="004379FD">
      <w:pPr>
        <w:spacing w:after="160" w:line="259" w:lineRule="auto"/>
        <w:rPr>
          <w:rFonts w:asciiTheme="minorHAnsi" w:eastAsiaTheme="minorHAnsi" w:hAnsiTheme="minorHAnsi" w:cstheme="minorHAnsi"/>
          <w:b/>
          <w:i/>
          <w:color w:val="31849B"/>
        </w:rPr>
      </w:pPr>
      <w:bookmarkStart w:id="156" w:name="_Toc52433862"/>
      <w:bookmarkStart w:id="157" w:name="_Toc52445283"/>
      <w:r>
        <w:br w:type="page"/>
      </w:r>
    </w:p>
    <w:p w14:paraId="240D09B7" w14:textId="77777777" w:rsidR="004379FD" w:rsidRPr="004379FD" w:rsidRDefault="004379FD" w:rsidP="008609C3">
      <w:pPr>
        <w:pStyle w:val="BodyText1"/>
        <w:spacing w:line="320" w:lineRule="exact"/>
        <w:rPr>
          <w:rFonts w:asciiTheme="minorHAnsi" w:hAnsiTheme="minorHAnsi" w:cstheme="minorHAnsi"/>
          <w:b/>
          <w:color w:val="31849B" w:themeColor="accent5" w:themeShade="BF"/>
          <w:sz w:val="24"/>
          <w:szCs w:val="24"/>
        </w:rPr>
      </w:pPr>
      <w:r w:rsidRPr="004379FD">
        <w:rPr>
          <w:rFonts w:asciiTheme="minorHAnsi" w:hAnsiTheme="minorHAnsi" w:cstheme="minorHAnsi"/>
          <w:b/>
          <w:color w:val="31849B" w:themeColor="accent5" w:themeShade="BF"/>
          <w:sz w:val="24"/>
          <w:szCs w:val="24"/>
        </w:rPr>
        <w:t>Vegetation Condition Analysis</w:t>
      </w:r>
      <w:bookmarkEnd w:id="156"/>
      <w:bookmarkEnd w:id="157"/>
    </w:p>
    <w:p w14:paraId="233A7F7C" w14:textId="77777777" w:rsidR="004379FD" w:rsidRPr="00240B1C" w:rsidRDefault="004379FD" w:rsidP="004379FD">
      <w:pPr>
        <w:spacing w:after="120" w:line="259" w:lineRule="auto"/>
        <w:rPr>
          <w:b/>
          <w:bCs/>
          <w:i/>
          <w:iCs/>
          <w:u w:val="single"/>
        </w:rPr>
      </w:pPr>
      <w:r w:rsidRPr="00240B1C">
        <w:rPr>
          <w:b/>
          <w:bCs/>
          <w:i/>
          <w:iCs/>
          <w:u w:val="single"/>
        </w:rPr>
        <w:t>Colligen Creek site</w:t>
      </w:r>
    </w:p>
    <w:p w14:paraId="16396EE6" w14:textId="77777777" w:rsidR="004379FD" w:rsidRPr="00185CBB" w:rsidRDefault="004379FD" w:rsidP="004379FD">
      <w:pPr>
        <w:spacing w:line="259" w:lineRule="auto"/>
        <w:rPr>
          <w:rFonts w:asciiTheme="minorHAnsi" w:hAnsiTheme="minorHAnsi" w:cstheme="minorHAnsi"/>
        </w:rPr>
      </w:pPr>
      <w:r w:rsidRPr="00185CBB">
        <w:rPr>
          <w:rFonts w:asciiTheme="minorHAnsi" w:hAnsiTheme="minorHAnsi" w:cstheme="minorHAnsi"/>
        </w:rPr>
        <w:t xml:space="preserve">Three zones of interest were selected within the </w:t>
      </w:r>
      <w:r>
        <w:rPr>
          <w:rFonts w:asciiTheme="minorHAnsi" w:hAnsiTheme="minorHAnsi" w:cstheme="minorHAnsi"/>
        </w:rPr>
        <w:t xml:space="preserve">site at </w:t>
      </w:r>
      <w:r w:rsidRPr="00185CBB">
        <w:rPr>
          <w:rFonts w:asciiTheme="minorHAnsi" w:hAnsiTheme="minorHAnsi" w:cstheme="minorHAnsi"/>
        </w:rPr>
        <w:t>Colligen Creek. T</w:t>
      </w:r>
      <w:r>
        <w:rPr>
          <w:rFonts w:asciiTheme="minorHAnsi" w:hAnsiTheme="minorHAnsi" w:cstheme="minorHAnsi"/>
        </w:rPr>
        <w:t>hese zones were monitored over three</w:t>
      </w:r>
      <w:r w:rsidRPr="00185CBB">
        <w:rPr>
          <w:rFonts w:asciiTheme="minorHAnsi" w:hAnsiTheme="minorHAnsi" w:cstheme="minorHAnsi"/>
        </w:rPr>
        <w:t xml:space="preserve"> visits occurring in September 2019, November, 2019 and April 2020. </w:t>
      </w:r>
      <w:r>
        <w:rPr>
          <w:rFonts w:asciiTheme="minorHAnsi" w:hAnsiTheme="minorHAnsi" w:cstheme="minorHAnsi"/>
        </w:rPr>
        <w:t>Figure 9.39</w:t>
      </w:r>
      <w:r w:rsidRPr="00185CBB">
        <w:rPr>
          <w:rFonts w:asciiTheme="minorHAnsi" w:hAnsiTheme="minorHAnsi" w:cstheme="minorHAnsi"/>
        </w:rPr>
        <w:t xml:space="preserve"> highlights the locations of these three zones of interest within Colligen Creek.</w:t>
      </w:r>
    </w:p>
    <w:p w14:paraId="34601F88"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35A71F23" wp14:editId="34BB95AC">
            <wp:extent cx="5029200" cy="2486405"/>
            <wp:effectExtent l="0" t="0" r="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5060184" cy="2501723"/>
                    </a:xfrm>
                    <a:prstGeom prst="rect">
                      <a:avLst/>
                    </a:prstGeom>
                  </pic:spPr>
                </pic:pic>
              </a:graphicData>
            </a:graphic>
          </wp:inline>
        </w:drawing>
      </w:r>
    </w:p>
    <w:p w14:paraId="66A6842A" w14:textId="6A8A19F7" w:rsidR="004379FD" w:rsidRPr="002A1315" w:rsidRDefault="004379FD" w:rsidP="004379FD">
      <w:pPr>
        <w:pStyle w:val="SHCaption"/>
        <w:rPr>
          <w:color w:val="000000" w:themeColor="text1"/>
        </w:rPr>
      </w:pPr>
      <w:bookmarkStart w:id="158" w:name="_Ref50724378"/>
      <w:bookmarkStart w:id="159" w:name="_Toc52433923"/>
      <w:r w:rsidRPr="002A1315">
        <w:rPr>
          <w:b/>
          <w:color w:val="000000" w:themeColor="text1"/>
        </w:rPr>
        <w:t xml:space="preserve">Figure </w:t>
      </w:r>
      <w:r w:rsidR="00AD6D18">
        <w:rPr>
          <w:b/>
          <w:noProof/>
          <w:color w:val="000000" w:themeColor="text1"/>
        </w:rPr>
        <w:t>9</w:t>
      </w:r>
      <w:r w:rsidRPr="002A1315">
        <w:rPr>
          <w:b/>
          <w:color w:val="000000" w:themeColor="text1"/>
        </w:rPr>
        <w:t>.</w:t>
      </w:r>
      <w:bookmarkEnd w:id="158"/>
      <w:r>
        <w:rPr>
          <w:b/>
          <w:color w:val="000000" w:themeColor="text1"/>
        </w:rPr>
        <w:t>3</w:t>
      </w:r>
      <w:r>
        <w:rPr>
          <w:b/>
          <w:noProof/>
          <w:color w:val="000000" w:themeColor="text1"/>
        </w:rPr>
        <w:t>9</w:t>
      </w:r>
      <w:r>
        <w:rPr>
          <w:color w:val="000000" w:themeColor="text1"/>
        </w:rPr>
        <w:t xml:space="preserve"> </w:t>
      </w:r>
      <w:r w:rsidRPr="002A1315">
        <w:rPr>
          <w:color w:val="000000" w:themeColor="text1"/>
        </w:rPr>
        <w:t>Site map of vegetation zones of interest at Colligen Creek site.</w:t>
      </w:r>
      <w:bookmarkEnd w:id="159"/>
    </w:p>
    <w:p w14:paraId="1D291E58" w14:textId="77777777" w:rsidR="004379FD" w:rsidRDefault="004379FD" w:rsidP="004379FD">
      <w:pPr>
        <w:pStyle w:val="Normalnumbered"/>
        <w:numPr>
          <w:ilvl w:val="0"/>
          <w:numId w:val="0"/>
        </w:numPr>
        <w:spacing w:line="259" w:lineRule="auto"/>
        <w:rPr>
          <w:rFonts w:asciiTheme="minorHAnsi" w:eastAsiaTheme="minorEastAsia" w:hAnsiTheme="minorHAnsi" w:cstheme="minorHAnsi"/>
          <w:sz w:val="22"/>
          <w:lang w:eastAsia="en-US"/>
        </w:rPr>
      </w:pPr>
      <w:r>
        <w:rPr>
          <w:rFonts w:asciiTheme="minorHAnsi" w:eastAsiaTheme="minorEastAsia" w:hAnsiTheme="minorHAnsi" w:cstheme="minorHAnsi"/>
          <w:sz w:val="22"/>
          <w:lang w:eastAsia="en-US"/>
        </w:rPr>
        <w:t>Figure 9.40 re</w:t>
      </w:r>
      <w:r w:rsidRPr="00185CBB">
        <w:rPr>
          <w:rFonts w:asciiTheme="minorHAnsi" w:eastAsiaTheme="minorEastAsia" w:hAnsiTheme="minorHAnsi" w:cstheme="minorHAnsi"/>
          <w:sz w:val="22"/>
          <w:lang w:eastAsia="en-US"/>
        </w:rPr>
        <w:t xml:space="preserve">presents the spatial extents of vegetation from </w:t>
      </w:r>
      <w:r>
        <w:rPr>
          <w:rFonts w:asciiTheme="minorHAnsi" w:eastAsiaTheme="minorEastAsia" w:hAnsiTheme="minorHAnsi" w:cstheme="minorHAnsi"/>
          <w:sz w:val="22"/>
          <w:lang w:eastAsia="en-US"/>
        </w:rPr>
        <w:t>v</w:t>
      </w:r>
      <w:r w:rsidRPr="00185CBB">
        <w:rPr>
          <w:rFonts w:asciiTheme="minorHAnsi" w:eastAsiaTheme="minorEastAsia" w:hAnsiTheme="minorHAnsi" w:cstheme="minorHAnsi"/>
          <w:sz w:val="22"/>
          <w:lang w:eastAsia="en-US"/>
        </w:rPr>
        <w:t>isits 1 – 3 within zone 1. Evident in this figure is the consistent decrease in vegetation from visit 1 to 3. A net loss of 1.4m</w:t>
      </w:r>
      <w:r w:rsidRPr="00185CBB">
        <w:rPr>
          <w:rFonts w:asciiTheme="minorHAnsi" w:eastAsiaTheme="minorEastAsia" w:hAnsiTheme="minorHAnsi" w:cstheme="minorHAnsi"/>
          <w:sz w:val="22"/>
          <w:vertAlign w:val="superscript"/>
          <w:lang w:eastAsia="en-US"/>
        </w:rPr>
        <w:t xml:space="preserve">2 </w:t>
      </w:r>
      <w:r w:rsidRPr="00185CBB">
        <w:rPr>
          <w:rFonts w:asciiTheme="minorHAnsi" w:eastAsiaTheme="minorEastAsia" w:hAnsiTheme="minorHAnsi" w:cstheme="minorHAnsi"/>
          <w:sz w:val="22"/>
          <w:lang w:eastAsia="en-US"/>
        </w:rPr>
        <w:t>of vegetation was experienced across the monitoring period (September 2019-April 2020).</w:t>
      </w:r>
    </w:p>
    <w:p w14:paraId="4D7DDCB3" w14:textId="77777777" w:rsidR="004379FD" w:rsidRPr="00185CBB" w:rsidRDefault="004379FD" w:rsidP="004379FD">
      <w:pPr>
        <w:pStyle w:val="Normalnumbered"/>
        <w:numPr>
          <w:ilvl w:val="0"/>
          <w:numId w:val="0"/>
        </w:numPr>
        <w:spacing w:line="259" w:lineRule="auto"/>
        <w:rPr>
          <w:rFonts w:asciiTheme="minorHAnsi" w:eastAsiaTheme="minorEastAsia" w:hAnsiTheme="minorHAnsi" w:cstheme="minorHAnsi"/>
          <w:sz w:val="22"/>
          <w:lang w:eastAsia="en-US"/>
        </w:rPr>
      </w:pPr>
      <w:r w:rsidRPr="00185CBB">
        <w:rPr>
          <w:rFonts w:asciiTheme="minorHAnsi" w:eastAsiaTheme="minorEastAsia" w:hAnsiTheme="minorHAnsi" w:cstheme="minorHAnsi"/>
          <w:sz w:val="22"/>
          <w:lang w:eastAsia="en-US"/>
        </w:rPr>
        <w:t xml:space="preserve">In this zone, a recession of vegetation from the water’s edge was experienced between visit 1 and visit 2, and over the </w:t>
      </w:r>
      <w:r>
        <w:rPr>
          <w:rFonts w:asciiTheme="minorHAnsi" w:eastAsiaTheme="minorEastAsia" w:hAnsiTheme="minorHAnsi" w:cstheme="minorHAnsi"/>
          <w:sz w:val="22"/>
          <w:lang w:eastAsia="en-US"/>
        </w:rPr>
        <w:t>s</w:t>
      </w:r>
      <w:r w:rsidRPr="00185CBB">
        <w:rPr>
          <w:rFonts w:asciiTheme="minorHAnsi" w:eastAsiaTheme="minorEastAsia" w:hAnsiTheme="minorHAnsi" w:cstheme="minorHAnsi"/>
          <w:sz w:val="22"/>
          <w:lang w:eastAsia="en-US"/>
        </w:rPr>
        <w:t xml:space="preserve">ummer months (between visit 2 and 3), this vegetation died off, with new growth occurring in smaller clumps directly at the bank-water interface. </w:t>
      </w:r>
    </w:p>
    <w:p w14:paraId="7088AAD9"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435F2842" wp14:editId="3498455E">
            <wp:extent cx="2831787" cy="3181350"/>
            <wp:effectExtent l="0" t="0" r="698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2843812" cy="3194860"/>
                    </a:xfrm>
                    <a:prstGeom prst="rect">
                      <a:avLst/>
                    </a:prstGeom>
                  </pic:spPr>
                </pic:pic>
              </a:graphicData>
            </a:graphic>
          </wp:inline>
        </w:drawing>
      </w:r>
    </w:p>
    <w:p w14:paraId="460F2F48" w14:textId="296E68FB" w:rsidR="004379FD" w:rsidRPr="002A1315" w:rsidRDefault="004379FD" w:rsidP="004379FD">
      <w:pPr>
        <w:pStyle w:val="SHCaption"/>
        <w:rPr>
          <w:color w:val="000000" w:themeColor="text1"/>
        </w:rPr>
      </w:pPr>
      <w:bookmarkStart w:id="160" w:name="_Ref50724412"/>
      <w:bookmarkStart w:id="161" w:name="_Toc52433924"/>
      <w:r w:rsidRPr="002A1315">
        <w:rPr>
          <w:b/>
          <w:color w:val="000000" w:themeColor="text1"/>
        </w:rPr>
        <w:t xml:space="preserve">Figure </w:t>
      </w:r>
      <w:r w:rsidR="00AD6D18">
        <w:rPr>
          <w:b/>
          <w:noProof/>
          <w:color w:val="000000" w:themeColor="text1"/>
        </w:rPr>
        <w:t>9</w:t>
      </w:r>
      <w:r w:rsidRPr="002A1315">
        <w:rPr>
          <w:b/>
          <w:color w:val="000000" w:themeColor="text1"/>
        </w:rPr>
        <w:t>.</w:t>
      </w:r>
      <w:bookmarkEnd w:id="160"/>
      <w:r>
        <w:rPr>
          <w:b/>
          <w:noProof/>
          <w:color w:val="000000" w:themeColor="text1"/>
        </w:rPr>
        <w:t>40</w:t>
      </w:r>
      <w:r>
        <w:rPr>
          <w:color w:val="000000" w:themeColor="text1"/>
        </w:rPr>
        <w:t xml:space="preserve"> </w:t>
      </w:r>
      <w:r w:rsidRPr="002A1315">
        <w:rPr>
          <w:color w:val="000000" w:themeColor="text1"/>
        </w:rPr>
        <w:t>Spatial extent of vegetation across 3 sequential site visits within zone 1 at Colligen Creek.</w:t>
      </w:r>
      <w:bookmarkEnd w:id="161"/>
    </w:p>
    <w:p w14:paraId="4F95BF16" w14:textId="77777777" w:rsidR="004379FD" w:rsidRPr="00240B1C" w:rsidRDefault="004379FD" w:rsidP="004379FD">
      <w:pPr>
        <w:pStyle w:val="Normalnumbered"/>
        <w:numPr>
          <w:ilvl w:val="0"/>
          <w:numId w:val="0"/>
        </w:numPr>
        <w:spacing w:line="259" w:lineRule="auto"/>
        <w:rPr>
          <w:rFonts w:asciiTheme="minorHAnsi" w:eastAsiaTheme="minorEastAsia" w:hAnsiTheme="minorHAnsi" w:cstheme="minorHAnsi"/>
          <w:sz w:val="22"/>
          <w:lang w:eastAsia="en-US"/>
        </w:rPr>
      </w:pPr>
      <w:r>
        <w:rPr>
          <w:rFonts w:asciiTheme="minorHAnsi" w:eastAsiaTheme="minorEastAsia" w:hAnsiTheme="minorHAnsi" w:cstheme="minorHAnsi"/>
          <w:sz w:val="22"/>
          <w:lang w:eastAsia="en-US"/>
        </w:rPr>
        <w:t xml:space="preserve">Figure 9.41 </w:t>
      </w:r>
      <w:r w:rsidRPr="00185CBB">
        <w:rPr>
          <w:rFonts w:asciiTheme="minorHAnsi" w:eastAsiaTheme="minorEastAsia" w:hAnsiTheme="minorHAnsi" w:cstheme="minorHAnsi"/>
          <w:sz w:val="22"/>
          <w:lang w:eastAsia="en-US"/>
        </w:rPr>
        <w:t xml:space="preserve">presents the spatial extent of vegetation from </w:t>
      </w:r>
      <w:r>
        <w:rPr>
          <w:rFonts w:asciiTheme="minorHAnsi" w:eastAsiaTheme="minorEastAsia" w:hAnsiTheme="minorHAnsi" w:cstheme="minorHAnsi"/>
          <w:sz w:val="22"/>
          <w:lang w:eastAsia="en-US"/>
        </w:rPr>
        <w:t>v</w:t>
      </w:r>
      <w:r w:rsidRPr="00185CBB">
        <w:rPr>
          <w:rFonts w:asciiTheme="minorHAnsi" w:eastAsiaTheme="minorEastAsia" w:hAnsiTheme="minorHAnsi" w:cstheme="minorHAnsi"/>
          <w:sz w:val="22"/>
          <w:lang w:eastAsia="en-US"/>
        </w:rPr>
        <w:t xml:space="preserve">isits 1 – 3 within zone 2. Evident in this figure is the consistent decrease in vegetation from visit 1 to 2 </w:t>
      </w:r>
      <w:r>
        <w:rPr>
          <w:rFonts w:asciiTheme="minorHAnsi" w:eastAsiaTheme="minorEastAsia" w:hAnsiTheme="minorHAnsi" w:cstheme="minorHAnsi"/>
          <w:sz w:val="22"/>
          <w:lang w:eastAsia="en-US"/>
        </w:rPr>
        <w:t>(</w:t>
      </w:r>
      <w:r w:rsidRPr="00185CBB">
        <w:rPr>
          <w:rFonts w:asciiTheme="minorHAnsi" w:eastAsiaTheme="minorEastAsia" w:hAnsiTheme="minorHAnsi" w:cstheme="minorHAnsi"/>
          <w:sz w:val="22"/>
          <w:lang w:eastAsia="en-US"/>
        </w:rPr>
        <w:t>loss of 26% vegetation</w:t>
      </w:r>
      <w:r>
        <w:rPr>
          <w:rFonts w:asciiTheme="minorHAnsi" w:eastAsiaTheme="minorEastAsia" w:hAnsiTheme="minorHAnsi" w:cstheme="minorHAnsi"/>
          <w:sz w:val="22"/>
          <w:lang w:eastAsia="en-US"/>
        </w:rPr>
        <w:t xml:space="preserve">) </w:t>
      </w:r>
      <w:r w:rsidRPr="00185CBB">
        <w:rPr>
          <w:rFonts w:asciiTheme="minorHAnsi" w:eastAsiaTheme="minorEastAsia" w:hAnsiTheme="minorHAnsi" w:cstheme="minorHAnsi"/>
          <w:sz w:val="22"/>
          <w:lang w:eastAsia="en-US"/>
        </w:rPr>
        <w:t>with an increase in vegetation o</w:t>
      </w:r>
      <w:r>
        <w:rPr>
          <w:rFonts w:asciiTheme="minorHAnsi" w:eastAsiaTheme="minorEastAsia" w:hAnsiTheme="minorHAnsi" w:cstheme="minorHAnsi"/>
          <w:sz w:val="22"/>
          <w:lang w:eastAsia="en-US"/>
        </w:rPr>
        <w:t>ccurring between visit 2 and 3 (</w:t>
      </w:r>
      <w:r w:rsidRPr="00185CBB">
        <w:rPr>
          <w:rFonts w:asciiTheme="minorHAnsi" w:eastAsiaTheme="minorEastAsia" w:hAnsiTheme="minorHAnsi" w:cstheme="minorHAnsi"/>
          <w:sz w:val="22"/>
          <w:lang w:eastAsia="en-US"/>
        </w:rPr>
        <w:t xml:space="preserve">increase of 12% vegetation </w:t>
      </w:r>
      <w:r>
        <w:rPr>
          <w:rFonts w:asciiTheme="minorHAnsi" w:eastAsiaTheme="minorEastAsia" w:hAnsiTheme="minorHAnsi" w:cstheme="minorHAnsi"/>
          <w:sz w:val="22"/>
          <w:lang w:eastAsia="en-US"/>
        </w:rPr>
        <w:t>cover)</w:t>
      </w:r>
      <w:r w:rsidRPr="00185CBB">
        <w:rPr>
          <w:rFonts w:asciiTheme="minorHAnsi" w:eastAsiaTheme="minorEastAsia" w:hAnsiTheme="minorHAnsi" w:cstheme="minorHAnsi"/>
          <w:sz w:val="22"/>
          <w:lang w:eastAsia="en-US"/>
        </w:rPr>
        <w:t xml:space="preserve">. The loss of vegetation between visit 1 and 2 was observed with vegetation not only reducing in size but also receding up the bank. This was reflected in </w:t>
      </w:r>
      <w:r>
        <w:rPr>
          <w:rFonts w:asciiTheme="minorHAnsi" w:eastAsiaTheme="minorEastAsia" w:hAnsiTheme="minorHAnsi" w:cstheme="minorHAnsi"/>
          <w:sz w:val="22"/>
          <w:lang w:eastAsia="en-US"/>
        </w:rPr>
        <w:t>z</w:t>
      </w:r>
      <w:r w:rsidRPr="00185CBB">
        <w:rPr>
          <w:rFonts w:asciiTheme="minorHAnsi" w:eastAsiaTheme="minorEastAsia" w:hAnsiTheme="minorHAnsi" w:cstheme="minorHAnsi"/>
          <w:sz w:val="22"/>
          <w:lang w:eastAsia="en-US"/>
        </w:rPr>
        <w:t xml:space="preserve">one 1 with vegetation receding up the bank </w:t>
      </w:r>
    </w:p>
    <w:p w14:paraId="3ED09857"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50A9F55F" wp14:editId="75CBEF50">
            <wp:extent cx="2946389" cy="2736850"/>
            <wp:effectExtent l="0" t="0" r="6985" b="635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2952366" cy="2742402"/>
                    </a:xfrm>
                    <a:prstGeom prst="rect">
                      <a:avLst/>
                    </a:prstGeom>
                  </pic:spPr>
                </pic:pic>
              </a:graphicData>
            </a:graphic>
          </wp:inline>
        </w:drawing>
      </w:r>
    </w:p>
    <w:p w14:paraId="63712A47" w14:textId="1CA15990" w:rsidR="004379FD" w:rsidRPr="002A1315" w:rsidRDefault="004379FD" w:rsidP="004379FD">
      <w:pPr>
        <w:pStyle w:val="SHCaption"/>
        <w:rPr>
          <w:color w:val="000000" w:themeColor="text1"/>
        </w:rPr>
      </w:pPr>
      <w:bookmarkStart w:id="162" w:name="_Ref50725264"/>
      <w:bookmarkStart w:id="163" w:name="_Toc52433925"/>
      <w:r w:rsidRPr="002A1315">
        <w:rPr>
          <w:b/>
          <w:color w:val="000000" w:themeColor="text1"/>
        </w:rPr>
        <w:t xml:space="preserve">Figure </w:t>
      </w:r>
      <w:r w:rsidR="00AD6D18">
        <w:rPr>
          <w:b/>
          <w:noProof/>
          <w:color w:val="000000" w:themeColor="text1"/>
        </w:rPr>
        <w:t>9</w:t>
      </w:r>
      <w:r w:rsidRPr="002A1315">
        <w:rPr>
          <w:b/>
          <w:color w:val="000000" w:themeColor="text1"/>
        </w:rPr>
        <w:t>.</w:t>
      </w:r>
      <w:bookmarkEnd w:id="162"/>
      <w:r>
        <w:rPr>
          <w:b/>
          <w:noProof/>
          <w:color w:val="000000" w:themeColor="text1"/>
        </w:rPr>
        <w:t>41</w:t>
      </w:r>
      <w:r>
        <w:rPr>
          <w:color w:val="000000" w:themeColor="text1"/>
        </w:rPr>
        <w:t xml:space="preserve"> </w:t>
      </w:r>
      <w:r w:rsidRPr="002A1315">
        <w:rPr>
          <w:color w:val="000000" w:themeColor="text1"/>
        </w:rPr>
        <w:t>Spatial extent of vegetation across 3 sequential site visits within zone 2 at Colligen Creek.</w:t>
      </w:r>
      <w:bookmarkEnd w:id="163"/>
    </w:p>
    <w:p w14:paraId="076FDC7C" w14:textId="77777777" w:rsidR="004379FD" w:rsidRPr="00185CBB" w:rsidRDefault="004379FD" w:rsidP="004379FD">
      <w:pPr>
        <w:spacing w:line="259" w:lineRule="auto"/>
        <w:rPr>
          <w:rFonts w:asciiTheme="minorHAnsi" w:hAnsiTheme="minorHAnsi" w:cstheme="minorHAnsi"/>
        </w:rPr>
      </w:pPr>
      <w:r>
        <w:rPr>
          <w:rFonts w:asciiTheme="minorHAnsi" w:hAnsiTheme="minorHAnsi" w:cstheme="minorHAnsi"/>
        </w:rPr>
        <w:t>Figure 9.42</w:t>
      </w:r>
      <w:r w:rsidRPr="00185CBB">
        <w:rPr>
          <w:rFonts w:asciiTheme="minorHAnsi" w:hAnsiTheme="minorHAnsi" w:cstheme="minorHAnsi"/>
        </w:rPr>
        <w:t xml:space="preserve"> presents the spatial extent of vegetation from </w:t>
      </w:r>
      <w:r>
        <w:rPr>
          <w:rFonts w:asciiTheme="minorHAnsi" w:hAnsiTheme="minorHAnsi" w:cstheme="minorHAnsi"/>
        </w:rPr>
        <w:t>v</w:t>
      </w:r>
      <w:r w:rsidRPr="00185CBB">
        <w:rPr>
          <w:rFonts w:asciiTheme="minorHAnsi" w:hAnsiTheme="minorHAnsi" w:cstheme="minorHAnsi"/>
        </w:rPr>
        <w:t>isits 1 – 3 within zone 3. This zone exhibits a different composition to the other zones at Colligen Creek, exhibiting a vastly smaller amount of initial vegetation cover and larger proportion of bare bank to the other zones. Across the monitoring period, this zone exhibited a 42% increase in vegetation between visits 1 and 2 followed by a 64%</w:t>
      </w:r>
      <w:r>
        <w:rPr>
          <w:rFonts w:asciiTheme="minorHAnsi" w:hAnsiTheme="minorHAnsi" w:cstheme="minorHAnsi"/>
        </w:rPr>
        <w:t>*</w:t>
      </w:r>
      <w:r w:rsidRPr="00185CBB">
        <w:rPr>
          <w:rFonts w:asciiTheme="minorHAnsi" w:hAnsiTheme="minorHAnsi" w:cstheme="minorHAnsi"/>
        </w:rPr>
        <w:t xml:space="preserve">reduction of vegetation between visits 2 and 3. </w:t>
      </w:r>
      <w:r w:rsidRPr="00E3087F">
        <w:rPr>
          <w:rFonts w:asciiTheme="minorHAnsi" w:hAnsiTheme="minorHAnsi" w:cstheme="minorHAnsi"/>
          <w:iCs/>
        </w:rPr>
        <w:t xml:space="preserve">It is worth noting that due to the initial vegetation cover being so low, these percentage changes between visits appear </w:t>
      </w:r>
      <w:r>
        <w:rPr>
          <w:rFonts w:asciiTheme="minorHAnsi" w:hAnsiTheme="minorHAnsi" w:cstheme="minorHAnsi"/>
          <w:iCs/>
        </w:rPr>
        <w:t>large</w:t>
      </w:r>
      <w:r w:rsidRPr="00E3087F">
        <w:rPr>
          <w:rFonts w:asciiTheme="minorHAnsi" w:hAnsiTheme="minorHAnsi" w:cstheme="minorHAnsi"/>
          <w:iCs/>
        </w:rPr>
        <w:t>, but in reality reflect very minor changes in vege</w:t>
      </w:r>
      <w:r>
        <w:rPr>
          <w:rFonts w:asciiTheme="minorHAnsi" w:hAnsiTheme="minorHAnsi" w:cstheme="minorHAnsi"/>
          <w:iCs/>
        </w:rPr>
        <w:t xml:space="preserve">tation cover, </w:t>
      </w:r>
      <w:r w:rsidRPr="00E3087F">
        <w:rPr>
          <w:rFonts w:asciiTheme="minorHAnsi" w:hAnsiTheme="minorHAnsi" w:cstheme="minorHAnsi"/>
          <w:iCs/>
        </w:rPr>
        <w:t>a net change of approximately 12cm</w:t>
      </w:r>
      <w:r w:rsidRPr="00E3087F">
        <w:rPr>
          <w:rFonts w:asciiTheme="minorHAnsi" w:hAnsiTheme="minorHAnsi" w:cstheme="minorHAnsi"/>
          <w:iCs/>
          <w:vertAlign w:val="superscript"/>
        </w:rPr>
        <w:t xml:space="preserve">2 </w:t>
      </w:r>
      <w:r w:rsidRPr="00E3087F">
        <w:rPr>
          <w:rFonts w:asciiTheme="minorHAnsi" w:hAnsiTheme="minorHAnsi" w:cstheme="minorHAnsi"/>
          <w:iCs/>
        </w:rPr>
        <w:t>equating to the loss o</w:t>
      </w:r>
      <w:r>
        <w:rPr>
          <w:rFonts w:asciiTheme="minorHAnsi" w:hAnsiTheme="minorHAnsi" w:cstheme="minorHAnsi"/>
          <w:iCs/>
        </w:rPr>
        <w:t>f approximately one small shrub</w:t>
      </w:r>
      <w:r w:rsidRPr="00E3087F">
        <w:rPr>
          <w:rFonts w:asciiTheme="minorHAnsi" w:hAnsiTheme="minorHAnsi" w:cstheme="minorHAnsi"/>
          <w:iCs/>
        </w:rPr>
        <w:t>.</w:t>
      </w:r>
      <w:r w:rsidRPr="00240B1C">
        <w:rPr>
          <w:rFonts w:asciiTheme="minorHAnsi" w:hAnsiTheme="minorHAnsi" w:cstheme="minorHAnsi"/>
          <w:sz w:val="20"/>
        </w:rPr>
        <w:t xml:space="preserve"> </w:t>
      </w:r>
    </w:p>
    <w:p w14:paraId="696A29BB"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172AFF78" wp14:editId="08A74CCF">
            <wp:extent cx="2641600" cy="2836593"/>
            <wp:effectExtent l="0" t="0" r="6350" b="190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email">
                      <a:extLst>
                        <a:ext uri="{28A0092B-C50C-407E-A947-70E740481C1C}">
                          <a14:useLocalDpi xmlns:a14="http://schemas.microsoft.com/office/drawing/2010/main"/>
                        </a:ext>
                      </a:extLst>
                    </a:blip>
                    <a:stretch>
                      <a:fillRect/>
                    </a:stretch>
                  </pic:blipFill>
                  <pic:spPr>
                    <a:xfrm>
                      <a:off x="0" y="0"/>
                      <a:ext cx="2653137" cy="2848981"/>
                    </a:xfrm>
                    <a:prstGeom prst="rect">
                      <a:avLst/>
                    </a:prstGeom>
                  </pic:spPr>
                </pic:pic>
              </a:graphicData>
            </a:graphic>
          </wp:inline>
        </w:drawing>
      </w:r>
    </w:p>
    <w:p w14:paraId="28CFDCFA" w14:textId="0D0E48C0" w:rsidR="004379FD" w:rsidRPr="00E3087F" w:rsidRDefault="004379FD" w:rsidP="004379FD">
      <w:pPr>
        <w:pStyle w:val="SHCaption"/>
        <w:rPr>
          <w:color w:val="000000" w:themeColor="text1"/>
        </w:rPr>
      </w:pPr>
      <w:bookmarkStart w:id="164" w:name="_Ref50726790"/>
      <w:bookmarkStart w:id="165" w:name="_Toc52433926"/>
      <w:r w:rsidRPr="00E3087F">
        <w:rPr>
          <w:b/>
          <w:color w:val="000000" w:themeColor="text1"/>
        </w:rPr>
        <w:t xml:space="preserve">Figure </w:t>
      </w:r>
      <w:r w:rsidR="00AD6D18">
        <w:rPr>
          <w:b/>
          <w:noProof/>
          <w:color w:val="000000" w:themeColor="text1"/>
        </w:rPr>
        <w:t>9</w:t>
      </w:r>
      <w:r w:rsidRPr="00E3087F">
        <w:rPr>
          <w:b/>
          <w:color w:val="000000" w:themeColor="text1"/>
        </w:rPr>
        <w:t>.</w:t>
      </w:r>
      <w:bookmarkEnd w:id="164"/>
      <w:r>
        <w:rPr>
          <w:b/>
          <w:noProof/>
          <w:color w:val="000000" w:themeColor="text1"/>
        </w:rPr>
        <w:t>42</w:t>
      </w:r>
      <w:r>
        <w:rPr>
          <w:color w:val="000000" w:themeColor="text1"/>
        </w:rPr>
        <w:t xml:space="preserve"> </w:t>
      </w:r>
      <w:r w:rsidRPr="00E3087F">
        <w:rPr>
          <w:color w:val="000000" w:themeColor="text1"/>
        </w:rPr>
        <w:t>Spatial extent of vegetation across 3 sequential site visits within zone 3 at Colligen Creek.</w:t>
      </w:r>
      <w:bookmarkEnd w:id="165"/>
    </w:p>
    <w:p w14:paraId="495D27D4" w14:textId="77777777" w:rsidR="004379FD" w:rsidRPr="00185CBB" w:rsidRDefault="004379FD" w:rsidP="004379FD">
      <w:pPr>
        <w:spacing w:line="259" w:lineRule="auto"/>
        <w:rPr>
          <w:rFonts w:asciiTheme="minorHAnsi" w:hAnsiTheme="minorHAnsi" w:cstheme="minorHAnsi"/>
        </w:rPr>
      </w:pPr>
      <w:r>
        <w:rPr>
          <w:rFonts w:asciiTheme="minorHAnsi" w:hAnsiTheme="minorHAnsi" w:cstheme="minorHAnsi"/>
        </w:rPr>
        <w:t>Table 9.10</w:t>
      </w:r>
      <w:r w:rsidRPr="00185CBB">
        <w:rPr>
          <w:rFonts w:asciiTheme="minorHAnsi" w:hAnsiTheme="minorHAnsi" w:cstheme="minorHAnsi"/>
        </w:rPr>
        <w:t xml:space="preserve"> provides a tabulated summary of the changing vegetation extents across the 3 site visits for zones 1-3 at Colligen Creek. This table highlights the percentage change in vegetation cover experienced between visits 1 and 2 and between visits 2 and 3. </w:t>
      </w:r>
    </w:p>
    <w:p w14:paraId="1471F4F7" w14:textId="22DD125E" w:rsidR="004379FD" w:rsidRPr="00E3087F" w:rsidRDefault="004379FD" w:rsidP="004379FD">
      <w:pPr>
        <w:pStyle w:val="SHCaption"/>
        <w:spacing w:after="0"/>
        <w:rPr>
          <w:color w:val="000000" w:themeColor="text1"/>
        </w:rPr>
      </w:pPr>
      <w:bookmarkStart w:id="166" w:name="_Ref50727573"/>
      <w:bookmarkStart w:id="167" w:name="_Ref50727570"/>
      <w:bookmarkStart w:id="168" w:name="_Toc52433881"/>
      <w:r w:rsidRPr="00685C45">
        <w:rPr>
          <w:b/>
          <w:color w:val="000000" w:themeColor="text1"/>
        </w:rPr>
        <w:t xml:space="preserve">Table </w:t>
      </w:r>
      <w:r w:rsidR="00AD6D18">
        <w:rPr>
          <w:b/>
          <w:noProof/>
          <w:color w:val="000000" w:themeColor="text1"/>
        </w:rPr>
        <w:t>9</w:t>
      </w:r>
      <w:r w:rsidRPr="00685C45">
        <w:rPr>
          <w:b/>
          <w:color w:val="000000" w:themeColor="text1"/>
        </w:rPr>
        <w:t>.</w:t>
      </w:r>
      <w:bookmarkEnd w:id="166"/>
      <w:r w:rsidRPr="00685C45">
        <w:rPr>
          <w:b/>
          <w:noProof/>
          <w:color w:val="000000" w:themeColor="text1"/>
        </w:rPr>
        <w:t>10</w:t>
      </w:r>
      <w:r>
        <w:rPr>
          <w:color w:val="000000" w:themeColor="text1"/>
        </w:rPr>
        <w:t xml:space="preserve"> </w:t>
      </w:r>
      <w:r w:rsidRPr="00E3087F">
        <w:rPr>
          <w:color w:val="000000" w:themeColor="text1"/>
        </w:rPr>
        <w:t>Tabulated summary of changing vegetation extent across 3 site visits at 3 zones of interest at Colligen Creek.</w:t>
      </w:r>
      <w:bookmarkEnd w:id="167"/>
      <w:bookmarkEnd w:id="168"/>
    </w:p>
    <w:tbl>
      <w:tblPr>
        <w:tblStyle w:val="GridTable4-Accent1"/>
        <w:tblW w:w="0" w:type="auto"/>
        <w:tblLook w:val="04A0" w:firstRow="1" w:lastRow="0" w:firstColumn="1" w:lastColumn="0" w:noHBand="0" w:noVBand="1"/>
      </w:tblPr>
      <w:tblGrid>
        <w:gridCol w:w="2254"/>
        <w:gridCol w:w="2254"/>
        <w:gridCol w:w="2254"/>
        <w:gridCol w:w="2254"/>
      </w:tblGrid>
      <w:tr w:rsidR="004379FD" w:rsidRPr="00185CBB" w14:paraId="750EEF89" w14:textId="77777777" w:rsidTr="004379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shd w:val="clear" w:color="auto" w:fill="92CDDC"/>
          </w:tcPr>
          <w:p w14:paraId="72CF5A87" w14:textId="77777777" w:rsidR="004379FD" w:rsidRPr="00240B1C" w:rsidRDefault="004379FD" w:rsidP="008609C3">
            <w:pPr>
              <w:spacing w:after="120" w:line="240" w:lineRule="auto"/>
              <w:jc w:val="center"/>
              <w:rPr>
                <w:rFonts w:asciiTheme="minorHAnsi" w:hAnsiTheme="minorHAnsi" w:cstheme="minorHAnsi"/>
                <w:b w:val="0"/>
                <w:bCs w:val="0"/>
                <w:color w:val="auto"/>
                <w:sz w:val="20"/>
                <w:szCs w:val="20"/>
                <w:lang w:val="en-AU"/>
              </w:rPr>
            </w:pPr>
            <w:r w:rsidRPr="00240B1C">
              <w:rPr>
                <w:rFonts w:asciiTheme="minorHAnsi" w:hAnsiTheme="minorHAnsi" w:cstheme="minorHAnsi"/>
                <w:b w:val="0"/>
                <w:bCs w:val="0"/>
                <w:color w:val="auto"/>
                <w:sz w:val="20"/>
                <w:szCs w:val="20"/>
                <w:lang w:val="en-AU"/>
              </w:rPr>
              <w:t>Zone</w:t>
            </w:r>
          </w:p>
        </w:tc>
        <w:tc>
          <w:tcPr>
            <w:tcW w:w="2254" w:type="dxa"/>
            <w:shd w:val="clear" w:color="auto" w:fill="92CDDC"/>
          </w:tcPr>
          <w:p w14:paraId="17D0F318" w14:textId="77777777" w:rsidR="004379FD" w:rsidRPr="00240B1C"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240B1C">
              <w:rPr>
                <w:rFonts w:asciiTheme="minorHAnsi" w:hAnsiTheme="minorHAnsi" w:cstheme="minorHAnsi"/>
                <w:b w:val="0"/>
                <w:bCs w:val="0"/>
                <w:color w:val="auto"/>
                <w:sz w:val="20"/>
                <w:szCs w:val="20"/>
                <w:lang w:val="en-AU"/>
              </w:rPr>
              <w:t>Visit Number</w:t>
            </w:r>
          </w:p>
        </w:tc>
        <w:tc>
          <w:tcPr>
            <w:tcW w:w="2254" w:type="dxa"/>
            <w:shd w:val="clear" w:color="auto" w:fill="92CDDC"/>
          </w:tcPr>
          <w:p w14:paraId="460A918C" w14:textId="77777777" w:rsidR="004379FD" w:rsidRPr="00240B1C"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240B1C">
              <w:rPr>
                <w:rFonts w:asciiTheme="minorHAnsi" w:hAnsiTheme="minorHAnsi" w:cstheme="minorHAnsi"/>
                <w:b w:val="0"/>
                <w:bCs w:val="0"/>
                <w:color w:val="auto"/>
                <w:sz w:val="20"/>
                <w:szCs w:val="20"/>
                <w:lang w:val="en-AU"/>
              </w:rPr>
              <w:t>Sum Vegetation (m</w:t>
            </w:r>
            <w:r w:rsidRPr="00240B1C">
              <w:rPr>
                <w:rFonts w:asciiTheme="minorHAnsi" w:hAnsiTheme="minorHAnsi" w:cstheme="minorHAnsi"/>
                <w:b w:val="0"/>
                <w:bCs w:val="0"/>
                <w:color w:val="auto"/>
                <w:sz w:val="20"/>
                <w:szCs w:val="20"/>
                <w:vertAlign w:val="superscript"/>
                <w:lang w:val="en-AU"/>
              </w:rPr>
              <w:t>2</w:t>
            </w:r>
            <w:r w:rsidRPr="00240B1C">
              <w:rPr>
                <w:rFonts w:asciiTheme="minorHAnsi" w:hAnsiTheme="minorHAnsi" w:cstheme="minorHAnsi"/>
                <w:b w:val="0"/>
                <w:bCs w:val="0"/>
                <w:color w:val="auto"/>
                <w:sz w:val="20"/>
                <w:szCs w:val="20"/>
                <w:lang w:val="en-AU"/>
              </w:rPr>
              <w:t>)</w:t>
            </w:r>
          </w:p>
        </w:tc>
        <w:tc>
          <w:tcPr>
            <w:tcW w:w="2254" w:type="dxa"/>
            <w:shd w:val="clear" w:color="auto" w:fill="92CDDC"/>
          </w:tcPr>
          <w:p w14:paraId="1E7E79AF" w14:textId="77777777" w:rsidR="004379FD" w:rsidRPr="00240B1C"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240B1C">
              <w:rPr>
                <w:rFonts w:asciiTheme="minorHAnsi" w:hAnsiTheme="minorHAnsi" w:cstheme="minorHAnsi"/>
                <w:b w:val="0"/>
                <w:bCs w:val="0"/>
                <w:color w:val="auto"/>
                <w:sz w:val="20"/>
                <w:szCs w:val="20"/>
                <w:lang w:val="en-AU"/>
              </w:rPr>
              <w:t>Percentage Change Between Visits</w:t>
            </w:r>
          </w:p>
        </w:tc>
      </w:tr>
      <w:tr w:rsidR="004379FD" w:rsidRPr="00185CBB" w14:paraId="0A7A72AF"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shd w:val="clear" w:color="auto" w:fill="C6D9F1" w:themeFill="text2" w:themeFillTint="33"/>
          </w:tcPr>
          <w:p w14:paraId="5908471D" w14:textId="77777777" w:rsidR="004379FD" w:rsidRPr="00240B1C" w:rsidRDefault="004379FD" w:rsidP="008609C3">
            <w:pPr>
              <w:spacing w:after="120" w:line="240" w:lineRule="auto"/>
              <w:jc w:val="center"/>
              <w:rPr>
                <w:rFonts w:asciiTheme="minorHAnsi" w:hAnsiTheme="minorHAnsi" w:cstheme="minorHAnsi"/>
                <w:sz w:val="20"/>
                <w:szCs w:val="20"/>
                <w:lang w:val="en-AU"/>
              </w:rPr>
            </w:pPr>
            <w:r w:rsidRPr="00240B1C">
              <w:rPr>
                <w:rFonts w:asciiTheme="minorHAnsi" w:hAnsiTheme="minorHAnsi" w:cstheme="minorHAnsi"/>
                <w:sz w:val="20"/>
                <w:szCs w:val="20"/>
                <w:lang w:val="en-AU"/>
              </w:rPr>
              <w:t>1</w:t>
            </w:r>
          </w:p>
        </w:tc>
        <w:tc>
          <w:tcPr>
            <w:tcW w:w="2254" w:type="dxa"/>
            <w:shd w:val="clear" w:color="auto" w:fill="auto"/>
          </w:tcPr>
          <w:p w14:paraId="2D9D168D"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1</w:t>
            </w:r>
          </w:p>
        </w:tc>
        <w:tc>
          <w:tcPr>
            <w:tcW w:w="2254" w:type="dxa"/>
            <w:shd w:val="clear" w:color="auto" w:fill="auto"/>
          </w:tcPr>
          <w:p w14:paraId="7E76F217"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6.1</w:t>
            </w:r>
          </w:p>
        </w:tc>
        <w:tc>
          <w:tcPr>
            <w:tcW w:w="2254" w:type="dxa"/>
            <w:shd w:val="clear" w:color="auto" w:fill="auto"/>
          </w:tcPr>
          <w:p w14:paraId="34325883"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N/A</w:t>
            </w:r>
          </w:p>
        </w:tc>
      </w:tr>
      <w:tr w:rsidR="004379FD" w:rsidRPr="00185CBB" w14:paraId="0C48BC85"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168E55EE"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6D834155"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2</w:t>
            </w:r>
          </w:p>
        </w:tc>
        <w:tc>
          <w:tcPr>
            <w:tcW w:w="2254" w:type="dxa"/>
            <w:shd w:val="clear" w:color="auto" w:fill="auto"/>
          </w:tcPr>
          <w:p w14:paraId="5F6E4AB8"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5.1</w:t>
            </w:r>
          </w:p>
        </w:tc>
        <w:tc>
          <w:tcPr>
            <w:tcW w:w="2254" w:type="dxa"/>
            <w:shd w:val="clear" w:color="auto" w:fill="auto"/>
          </w:tcPr>
          <w:p w14:paraId="253563F7"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8% reduction</w:t>
            </w:r>
          </w:p>
        </w:tc>
      </w:tr>
      <w:tr w:rsidR="004379FD" w:rsidRPr="00185CBB" w14:paraId="7DE8F312"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5D750039"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6C96769A"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3</w:t>
            </w:r>
          </w:p>
        </w:tc>
        <w:tc>
          <w:tcPr>
            <w:tcW w:w="2254" w:type="dxa"/>
            <w:shd w:val="clear" w:color="auto" w:fill="auto"/>
          </w:tcPr>
          <w:p w14:paraId="6350E15D"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0.9</w:t>
            </w:r>
          </w:p>
        </w:tc>
        <w:tc>
          <w:tcPr>
            <w:tcW w:w="2254" w:type="dxa"/>
            <w:shd w:val="clear" w:color="auto" w:fill="auto"/>
          </w:tcPr>
          <w:p w14:paraId="30E28A86"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34% reduction</w:t>
            </w:r>
          </w:p>
        </w:tc>
      </w:tr>
      <w:tr w:rsidR="004379FD" w:rsidRPr="00185CBB" w14:paraId="623DEFFE"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val="restart"/>
            <w:shd w:val="clear" w:color="auto" w:fill="C6D9F1" w:themeFill="text2" w:themeFillTint="33"/>
          </w:tcPr>
          <w:p w14:paraId="6CC1E2D0" w14:textId="77777777" w:rsidR="004379FD" w:rsidRPr="00240B1C" w:rsidRDefault="004379FD" w:rsidP="008609C3">
            <w:pPr>
              <w:spacing w:after="120" w:line="240" w:lineRule="auto"/>
              <w:jc w:val="center"/>
              <w:rPr>
                <w:rFonts w:asciiTheme="minorHAnsi" w:hAnsiTheme="minorHAnsi" w:cstheme="minorHAnsi"/>
                <w:sz w:val="20"/>
                <w:szCs w:val="20"/>
                <w:lang w:val="en-AU"/>
              </w:rPr>
            </w:pPr>
            <w:r w:rsidRPr="00240B1C">
              <w:rPr>
                <w:rFonts w:asciiTheme="minorHAnsi" w:hAnsiTheme="minorHAnsi" w:cstheme="minorHAnsi"/>
                <w:sz w:val="20"/>
                <w:szCs w:val="20"/>
                <w:lang w:val="en-AU"/>
              </w:rPr>
              <w:t>2</w:t>
            </w:r>
          </w:p>
        </w:tc>
        <w:tc>
          <w:tcPr>
            <w:tcW w:w="2254" w:type="dxa"/>
            <w:shd w:val="clear" w:color="auto" w:fill="auto"/>
          </w:tcPr>
          <w:p w14:paraId="65272758"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1</w:t>
            </w:r>
          </w:p>
        </w:tc>
        <w:tc>
          <w:tcPr>
            <w:tcW w:w="2254" w:type="dxa"/>
            <w:shd w:val="clear" w:color="auto" w:fill="auto"/>
          </w:tcPr>
          <w:p w14:paraId="2A1D3675"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4.5</w:t>
            </w:r>
          </w:p>
        </w:tc>
        <w:tc>
          <w:tcPr>
            <w:tcW w:w="2254" w:type="dxa"/>
            <w:shd w:val="clear" w:color="auto" w:fill="auto"/>
          </w:tcPr>
          <w:p w14:paraId="3DBEF807"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N/A</w:t>
            </w:r>
          </w:p>
        </w:tc>
      </w:tr>
      <w:tr w:rsidR="004379FD" w:rsidRPr="00185CBB" w14:paraId="41C0A996"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7D2CE01A"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3D9E36D0"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2</w:t>
            </w:r>
          </w:p>
        </w:tc>
        <w:tc>
          <w:tcPr>
            <w:tcW w:w="2254" w:type="dxa"/>
            <w:shd w:val="clear" w:color="auto" w:fill="auto"/>
          </w:tcPr>
          <w:p w14:paraId="79A99CA8"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1.9</w:t>
            </w:r>
          </w:p>
        </w:tc>
        <w:tc>
          <w:tcPr>
            <w:tcW w:w="2254" w:type="dxa"/>
            <w:shd w:val="clear" w:color="auto" w:fill="auto"/>
          </w:tcPr>
          <w:p w14:paraId="7AEBC3BA"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26% reduction</w:t>
            </w:r>
          </w:p>
        </w:tc>
      </w:tr>
      <w:tr w:rsidR="004379FD" w:rsidRPr="00185CBB" w14:paraId="03E56A26"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1736B271"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28684F73"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3</w:t>
            </w:r>
          </w:p>
        </w:tc>
        <w:tc>
          <w:tcPr>
            <w:tcW w:w="2254" w:type="dxa"/>
            <w:shd w:val="clear" w:color="auto" w:fill="auto"/>
          </w:tcPr>
          <w:p w14:paraId="44BCC3AC"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3.1</w:t>
            </w:r>
          </w:p>
        </w:tc>
        <w:tc>
          <w:tcPr>
            <w:tcW w:w="2254" w:type="dxa"/>
            <w:shd w:val="clear" w:color="auto" w:fill="auto"/>
          </w:tcPr>
          <w:p w14:paraId="18AB6F9C"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12% increase</w:t>
            </w:r>
          </w:p>
        </w:tc>
      </w:tr>
      <w:tr w:rsidR="004379FD" w:rsidRPr="00185CBB" w14:paraId="024ACF85"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shd w:val="clear" w:color="auto" w:fill="C6D9F1" w:themeFill="text2" w:themeFillTint="33"/>
          </w:tcPr>
          <w:p w14:paraId="1325E94E" w14:textId="77777777" w:rsidR="004379FD" w:rsidRPr="00240B1C" w:rsidRDefault="004379FD" w:rsidP="008609C3">
            <w:pPr>
              <w:spacing w:after="120" w:line="240" w:lineRule="auto"/>
              <w:jc w:val="center"/>
              <w:rPr>
                <w:rFonts w:asciiTheme="minorHAnsi" w:hAnsiTheme="minorHAnsi" w:cstheme="minorHAnsi"/>
                <w:sz w:val="20"/>
                <w:szCs w:val="20"/>
                <w:lang w:val="en-AU"/>
              </w:rPr>
            </w:pPr>
            <w:r w:rsidRPr="00240B1C">
              <w:rPr>
                <w:rFonts w:asciiTheme="minorHAnsi" w:hAnsiTheme="minorHAnsi" w:cstheme="minorHAnsi"/>
                <w:sz w:val="20"/>
                <w:szCs w:val="20"/>
                <w:lang w:val="en-AU"/>
              </w:rPr>
              <w:t>3</w:t>
            </w:r>
          </w:p>
        </w:tc>
        <w:tc>
          <w:tcPr>
            <w:tcW w:w="2254" w:type="dxa"/>
            <w:shd w:val="clear" w:color="auto" w:fill="auto"/>
          </w:tcPr>
          <w:p w14:paraId="30742356"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1</w:t>
            </w:r>
          </w:p>
        </w:tc>
        <w:tc>
          <w:tcPr>
            <w:tcW w:w="2254" w:type="dxa"/>
            <w:shd w:val="clear" w:color="auto" w:fill="auto"/>
          </w:tcPr>
          <w:p w14:paraId="727C7773"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0.2</w:t>
            </w:r>
          </w:p>
        </w:tc>
        <w:tc>
          <w:tcPr>
            <w:tcW w:w="2254" w:type="dxa"/>
            <w:shd w:val="clear" w:color="auto" w:fill="auto"/>
          </w:tcPr>
          <w:p w14:paraId="2BFF757C"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N/A</w:t>
            </w:r>
          </w:p>
        </w:tc>
      </w:tr>
      <w:tr w:rsidR="004379FD" w:rsidRPr="00185CBB" w14:paraId="3846F1D2"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0B07E102"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484FCC57"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2</w:t>
            </w:r>
          </w:p>
        </w:tc>
        <w:tc>
          <w:tcPr>
            <w:tcW w:w="2254" w:type="dxa"/>
            <w:shd w:val="clear" w:color="auto" w:fill="auto"/>
          </w:tcPr>
          <w:p w14:paraId="385F026F"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0.5</w:t>
            </w:r>
          </w:p>
        </w:tc>
        <w:tc>
          <w:tcPr>
            <w:tcW w:w="2254" w:type="dxa"/>
            <w:shd w:val="clear" w:color="auto" w:fill="auto"/>
          </w:tcPr>
          <w:p w14:paraId="2FED28E7" w14:textId="77777777" w:rsidR="004379FD" w:rsidRPr="00240B1C"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42% increase</w:t>
            </w:r>
          </w:p>
        </w:tc>
      </w:tr>
      <w:tr w:rsidR="004379FD" w:rsidRPr="00185CBB" w14:paraId="187E56C1"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shd w:val="clear" w:color="auto" w:fill="C6D9F1" w:themeFill="text2" w:themeFillTint="33"/>
          </w:tcPr>
          <w:p w14:paraId="14B7DF35" w14:textId="77777777" w:rsidR="004379FD" w:rsidRPr="00240B1C"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auto"/>
          </w:tcPr>
          <w:p w14:paraId="6CFAA687"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3</w:t>
            </w:r>
          </w:p>
        </w:tc>
        <w:tc>
          <w:tcPr>
            <w:tcW w:w="2254" w:type="dxa"/>
            <w:shd w:val="clear" w:color="auto" w:fill="auto"/>
          </w:tcPr>
          <w:p w14:paraId="66D384AC"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0.03</w:t>
            </w:r>
          </w:p>
        </w:tc>
        <w:tc>
          <w:tcPr>
            <w:tcW w:w="2254" w:type="dxa"/>
            <w:shd w:val="clear" w:color="auto" w:fill="auto"/>
          </w:tcPr>
          <w:p w14:paraId="5B95AF99" w14:textId="77777777" w:rsidR="004379FD" w:rsidRPr="00240B1C"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240B1C">
              <w:rPr>
                <w:rFonts w:asciiTheme="minorHAnsi" w:hAnsiTheme="minorHAnsi" w:cstheme="minorHAnsi"/>
                <w:sz w:val="20"/>
                <w:szCs w:val="20"/>
                <w:lang w:val="en-AU"/>
              </w:rPr>
              <w:t>63% decrease</w:t>
            </w:r>
          </w:p>
        </w:tc>
      </w:tr>
    </w:tbl>
    <w:p w14:paraId="41D2D93E" w14:textId="77777777" w:rsidR="004379FD" w:rsidRPr="00185CBB" w:rsidRDefault="004379FD" w:rsidP="004379FD">
      <w:pPr>
        <w:spacing w:line="259" w:lineRule="auto"/>
        <w:rPr>
          <w:rFonts w:asciiTheme="minorHAnsi" w:hAnsiTheme="minorHAnsi" w:cstheme="minorHAnsi"/>
        </w:rPr>
      </w:pPr>
    </w:p>
    <w:p w14:paraId="50E50307" w14:textId="77777777" w:rsidR="004379FD" w:rsidRDefault="004379FD" w:rsidP="004379FD">
      <w:pPr>
        <w:spacing w:after="120" w:line="259" w:lineRule="auto"/>
        <w:rPr>
          <w:b/>
          <w:bCs/>
          <w:i/>
          <w:iCs/>
          <w:u w:val="single"/>
        </w:rPr>
      </w:pPr>
      <w:r w:rsidRPr="00240B1C">
        <w:rPr>
          <w:b/>
          <w:bCs/>
          <w:i/>
          <w:iCs/>
          <w:u w:val="single"/>
        </w:rPr>
        <w:t>Edward</w:t>
      </w:r>
      <w:r>
        <w:rPr>
          <w:b/>
          <w:bCs/>
          <w:i/>
          <w:iCs/>
          <w:u w:val="single"/>
        </w:rPr>
        <w:t>/Kolety River downstream of Stevens Weir</w:t>
      </w:r>
    </w:p>
    <w:p w14:paraId="7CB205C5" w14:textId="77777777" w:rsidR="004379FD" w:rsidRPr="00185CBB" w:rsidRDefault="004379FD" w:rsidP="004379FD">
      <w:pPr>
        <w:spacing w:after="120" w:line="259" w:lineRule="auto"/>
        <w:ind w:right="-46"/>
        <w:rPr>
          <w:rFonts w:asciiTheme="minorHAnsi" w:hAnsiTheme="minorHAnsi" w:cstheme="minorHAnsi"/>
        </w:rPr>
      </w:pPr>
      <w:r w:rsidRPr="00185CBB">
        <w:rPr>
          <w:rFonts w:asciiTheme="minorHAnsi" w:hAnsiTheme="minorHAnsi" w:cstheme="minorHAnsi"/>
        </w:rPr>
        <w:t>Two zones of interest were selected within the Edward</w:t>
      </w:r>
      <w:r>
        <w:rPr>
          <w:rFonts w:asciiTheme="minorHAnsi" w:hAnsiTheme="minorHAnsi" w:cstheme="minorHAnsi"/>
        </w:rPr>
        <w:t>/Kolety</w:t>
      </w:r>
      <w:r w:rsidRPr="00185CBB">
        <w:rPr>
          <w:rFonts w:asciiTheme="minorHAnsi" w:hAnsiTheme="minorHAnsi" w:cstheme="minorHAnsi"/>
        </w:rPr>
        <w:t xml:space="preserve"> River downstream site. These zones were monitored over 2 visits occurring in September 2019 and April 2020. </w:t>
      </w:r>
      <w:r>
        <w:rPr>
          <w:rFonts w:asciiTheme="minorHAnsi" w:hAnsiTheme="minorHAnsi" w:cstheme="minorHAnsi"/>
        </w:rPr>
        <w:t xml:space="preserve">Figure 9.43 </w:t>
      </w:r>
      <w:r w:rsidRPr="00185CBB">
        <w:rPr>
          <w:rFonts w:asciiTheme="minorHAnsi" w:hAnsiTheme="minorHAnsi" w:cstheme="minorHAnsi"/>
        </w:rPr>
        <w:t>highlights the locations of these two zones of interest within Edward</w:t>
      </w:r>
      <w:r>
        <w:rPr>
          <w:rFonts w:asciiTheme="minorHAnsi" w:hAnsiTheme="minorHAnsi" w:cstheme="minorHAnsi"/>
        </w:rPr>
        <w:t>/Kolety</w:t>
      </w:r>
      <w:r w:rsidRPr="00185CBB">
        <w:rPr>
          <w:rFonts w:asciiTheme="minorHAnsi" w:hAnsiTheme="minorHAnsi" w:cstheme="minorHAnsi"/>
        </w:rPr>
        <w:t xml:space="preserve"> River downstream site.</w:t>
      </w:r>
    </w:p>
    <w:p w14:paraId="54945BCA"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3442820E" wp14:editId="592E31DE">
            <wp:extent cx="4260850" cy="2472814"/>
            <wp:effectExtent l="0" t="0" r="6350" b="381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email">
                      <a:extLst>
                        <a:ext uri="{28A0092B-C50C-407E-A947-70E740481C1C}">
                          <a14:useLocalDpi xmlns:a14="http://schemas.microsoft.com/office/drawing/2010/main"/>
                        </a:ext>
                      </a:extLst>
                    </a:blip>
                    <a:stretch>
                      <a:fillRect/>
                    </a:stretch>
                  </pic:blipFill>
                  <pic:spPr>
                    <a:xfrm>
                      <a:off x="0" y="0"/>
                      <a:ext cx="4297117" cy="2493862"/>
                    </a:xfrm>
                    <a:prstGeom prst="rect">
                      <a:avLst/>
                    </a:prstGeom>
                  </pic:spPr>
                </pic:pic>
              </a:graphicData>
            </a:graphic>
          </wp:inline>
        </w:drawing>
      </w:r>
    </w:p>
    <w:p w14:paraId="5A922CB9" w14:textId="74395446" w:rsidR="004379FD" w:rsidRPr="00E3087F" w:rsidRDefault="004379FD" w:rsidP="004379FD">
      <w:pPr>
        <w:pStyle w:val="SHCaption"/>
        <w:ind w:right="276"/>
        <w:rPr>
          <w:color w:val="000000" w:themeColor="text1"/>
        </w:rPr>
      </w:pPr>
      <w:bookmarkStart w:id="169" w:name="_Ref50727773"/>
      <w:bookmarkStart w:id="170" w:name="_Toc52433927"/>
      <w:r w:rsidRPr="00E3087F">
        <w:rPr>
          <w:b/>
          <w:color w:val="000000" w:themeColor="text1"/>
        </w:rPr>
        <w:t xml:space="preserve">Figure </w:t>
      </w:r>
      <w:r w:rsidR="00AD6D18">
        <w:rPr>
          <w:b/>
          <w:noProof/>
          <w:color w:val="000000" w:themeColor="text1"/>
        </w:rPr>
        <w:t>9</w:t>
      </w:r>
      <w:r w:rsidRPr="00E3087F">
        <w:rPr>
          <w:b/>
          <w:color w:val="000000" w:themeColor="text1"/>
        </w:rPr>
        <w:t>.</w:t>
      </w:r>
      <w:bookmarkEnd w:id="169"/>
      <w:r>
        <w:rPr>
          <w:b/>
          <w:noProof/>
          <w:color w:val="000000" w:themeColor="text1"/>
        </w:rPr>
        <w:t>43</w:t>
      </w:r>
      <w:r>
        <w:rPr>
          <w:color w:val="000000" w:themeColor="text1"/>
        </w:rPr>
        <w:t xml:space="preserve"> </w:t>
      </w:r>
      <w:r w:rsidRPr="00E3087F">
        <w:rPr>
          <w:color w:val="000000" w:themeColor="text1"/>
        </w:rPr>
        <w:t>Site map of vegetation zones of interest at Edward</w:t>
      </w:r>
      <w:r>
        <w:rPr>
          <w:color w:val="000000" w:themeColor="text1"/>
        </w:rPr>
        <w:t>/Kolety</w:t>
      </w:r>
      <w:r w:rsidRPr="00E3087F">
        <w:rPr>
          <w:color w:val="000000" w:themeColor="text1"/>
        </w:rPr>
        <w:t xml:space="preserve"> River downstream site.</w:t>
      </w:r>
      <w:bookmarkEnd w:id="170"/>
    </w:p>
    <w:p w14:paraId="34CA94F7" w14:textId="77777777" w:rsidR="004379FD" w:rsidRPr="00371C32" w:rsidRDefault="004379FD" w:rsidP="004379FD">
      <w:pPr>
        <w:spacing w:line="259" w:lineRule="auto"/>
        <w:ind w:right="276"/>
        <w:rPr>
          <w:rFonts w:asciiTheme="minorHAnsi" w:hAnsiTheme="minorHAnsi" w:cstheme="minorHAnsi"/>
          <w:b/>
          <w:bCs/>
        </w:rPr>
      </w:pPr>
      <w:r w:rsidRPr="00371C32">
        <w:rPr>
          <w:rFonts w:asciiTheme="minorHAnsi" w:hAnsiTheme="minorHAnsi" w:cstheme="minorHAnsi"/>
          <w:b/>
          <w:bCs/>
        </w:rPr>
        <w:t>Zone 1</w:t>
      </w:r>
    </w:p>
    <w:p w14:paraId="5AC1A6D0" w14:textId="77777777" w:rsidR="004379FD" w:rsidRPr="00185CBB" w:rsidRDefault="004379FD" w:rsidP="004379FD">
      <w:pPr>
        <w:spacing w:after="120" w:line="259" w:lineRule="auto"/>
        <w:ind w:right="276"/>
        <w:rPr>
          <w:rFonts w:asciiTheme="minorHAnsi" w:hAnsiTheme="minorHAnsi" w:cstheme="minorHAnsi"/>
        </w:rPr>
      </w:pPr>
      <w:r>
        <w:rPr>
          <w:rFonts w:asciiTheme="minorHAnsi" w:hAnsiTheme="minorHAnsi" w:cstheme="minorHAnsi"/>
        </w:rPr>
        <w:t>Figure 9.44</w:t>
      </w:r>
      <w:r w:rsidRPr="00185CBB">
        <w:rPr>
          <w:rFonts w:asciiTheme="minorHAnsi" w:hAnsiTheme="minorHAnsi" w:cstheme="minorHAnsi"/>
        </w:rPr>
        <w:t xml:space="preserve"> presents the spatial extents of vegetation from </w:t>
      </w:r>
      <w:r>
        <w:rPr>
          <w:rFonts w:asciiTheme="minorHAnsi" w:hAnsiTheme="minorHAnsi" w:cstheme="minorHAnsi"/>
        </w:rPr>
        <w:t>v</w:t>
      </w:r>
      <w:r w:rsidRPr="00185CBB">
        <w:rPr>
          <w:rFonts w:asciiTheme="minorHAnsi" w:hAnsiTheme="minorHAnsi" w:cstheme="minorHAnsi"/>
        </w:rPr>
        <w:t xml:space="preserve">isits 1 and 3 within zone 1. This zone exhibits a significant change in vegetation cover and extent between </w:t>
      </w:r>
      <w:r>
        <w:rPr>
          <w:rFonts w:asciiTheme="minorHAnsi" w:hAnsiTheme="minorHAnsi" w:cstheme="minorHAnsi"/>
        </w:rPr>
        <w:t>v</w:t>
      </w:r>
      <w:r w:rsidRPr="00185CBB">
        <w:rPr>
          <w:rFonts w:asciiTheme="minorHAnsi" w:hAnsiTheme="minorHAnsi" w:cstheme="minorHAnsi"/>
        </w:rPr>
        <w:t xml:space="preserve">isits 1 and 3. Overall, a 60% increase in vegetation occurred between these two visits, and the location of the vegetation was drastically changed with the existing mid-bank vegetation completely lost and replaced with larger clusters of vegetation lower on the bank towards the water-bank interface. </w:t>
      </w:r>
      <w:r>
        <w:rPr>
          <w:rFonts w:asciiTheme="minorHAnsi" w:hAnsiTheme="minorHAnsi" w:cstheme="minorHAnsi"/>
        </w:rPr>
        <w:t>Figure 9.45</w:t>
      </w:r>
      <w:r w:rsidRPr="00185CBB">
        <w:rPr>
          <w:rFonts w:asciiTheme="minorHAnsi" w:hAnsiTheme="minorHAnsi" w:cstheme="minorHAnsi"/>
        </w:rPr>
        <w:t xml:space="preserve"> provides photographic evidence of this, with new clusters of vegetation evident on the previously bare lower bank. With no visit 2 data available, it is </w:t>
      </w:r>
      <w:r>
        <w:rPr>
          <w:rFonts w:asciiTheme="minorHAnsi" w:hAnsiTheme="minorHAnsi" w:cstheme="minorHAnsi"/>
        </w:rPr>
        <w:t>not clear whether</w:t>
      </w:r>
      <w:r w:rsidRPr="00185CBB">
        <w:rPr>
          <w:rFonts w:asciiTheme="minorHAnsi" w:hAnsiTheme="minorHAnsi" w:cstheme="minorHAnsi"/>
        </w:rPr>
        <w:t xml:space="preserve"> there was a decrease in vegetation during the periods of sustained higher flows, or whether there was a consistent increase in vegetation throughout the whole period between </w:t>
      </w:r>
      <w:r>
        <w:rPr>
          <w:rFonts w:asciiTheme="minorHAnsi" w:hAnsiTheme="minorHAnsi" w:cstheme="minorHAnsi"/>
        </w:rPr>
        <w:t>September 2019 and April 2020.</w:t>
      </w:r>
    </w:p>
    <w:p w14:paraId="522966A8"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471B5903" wp14:editId="7F32A23A">
            <wp:extent cx="2685643" cy="2895600"/>
            <wp:effectExtent l="0" t="0" r="63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email">
                      <a:extLst>
                        <a:ext uri="{28A0092B-C50C-407E-A947-70E740481C1C}">
                          <a14:useLocalDpi xmlns:a14="http://schemas.microsoft.com/office/drawing/2010/main"/>
                        </a:ext>
                      </a:extLst>
                    </a:blip>
                    <a:stretch>
                      <a:fillRect/>
                    </a:stretch>
                  </pic:blipFill>
                  <pic:spPr>
                    <a:xfrm>
                      <a:off x="0" y="0"/>
                      <a:ext cx="2698763" cy="2909746"/>
                    </a:xfrm>
                    <a:prstGeom prst="rect">
                      <a:avLst/>
                    </a:prstGeom>
                  </pic:spPr>
                </pic:pic>
              </a:graphicData>
            </a:graphic>
          </wp:inline>
        </w:drawing>
      </w:r>
    </w:p>
    <w:p w14:paraId="195426DB" w14:textId="2D2BCDA8" w:rsidR="004379FD" w:rsidRPr="00E3087F" w:rsidRDefault="004379FD" w:rsidP="004379FD">
      <w:pPr>
        <w:pStyle w:val="SHCaption"/>
        <w:rPr>
          <w:color w:val="000000" w:themeColor="text1"/>
        </w:rPr>
      </w:pPr>
      <w:bookmarkStart w:id="171" w:name="_Ref50728241"/>
      <w:bookmarkStart w:id="172" w:name="_Toc52433928"/>
      <w:r w:rsidRPr="00E3087F">
        <w:rPr>
          <w:b/>
          <w:color w:val="000000" w:themeColor="text1"/>
        </w:rPr>
        <w:t xml:space="preserve">Figure </w:t>
      </w:r>
      <w:r w:rsidR="00AD6D18">
        <w:rPr>
          <w:b/>
          <w:noProof/>
          <w:color w:val="000000" w:themeColor="text1"/>
        </w:rPr>
        <w:t>9</w:t>
      </w:r>
      <w:r w:rsidRPr="00E3087F">
        <w:rPr>
          <w:b/>
          <w:color w:val="000000" w:themeColor="text1"/>
        </w:rPr>
        <w:t>.</w:t>
      </w:r>
      <w:bookmarkEnd w:id="171"/>
      <w:r>
        <w:rPr>
          <w:b/>
          <w:noProof/>
          <w:color w:val="000000" w:themeColor="text1"/>
        </w:rPr>
        <w:t>44</w:t>
      </w:r>
      <w:r>
        <w:rPr>
          <w:color w:val="000000" w:themeColor="text1"/>
        </w:rPr>
        <w:t xml:space="preserve"> </w:t>
      </w:r>
      <w:r w:rsidRPr="00E3087F">
        <w:rPr>
          <w:color w:val="000000" w:themeColor="text1"/>
        </w:rPr>
        <w:t>Spatial extent of vegetation across 3 sequential site visits within zone 1 at Edward</w:t>
      </w:r>
      <w:r>
        <w:rPr>
          <w:color w:val="000000" w:themeColor="text1"/>
        </w:rPr>
        <w:t>/Kolety</w:t>
      </w:r>
      <w:r w:rsidRPr="00E3087F">
        <w:rPr>
          <w:color w:val="000000" w:themeColor="text1"/>
        </w:rPr>
        <w:t xml:space="preserve"> River downstream site.</w:t>
      </w:r>
      <w:bookmarkEnd w:id="172"/>
    </w:p>
    <w:p w14:paraId="4C6361A5"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5486789D" wp14:editId="6747E5DD">
            <wp:extent cx="5676900" cy="1975010"/>
            <wp:effectExtent l="0" t="0" r="0" b="635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email">
                      <a:extLst>
                        <a:ext uri="{28A0092B-C50C-407E-A947-70E740481C1C}">
                          <a14:useLocalDpi xmlns:a14="http://schemas.microsoft.com/office/drawing/2010/main"/>
                        </a:ext>
                      </a:extLst>
                    </a:blip>
                    <a:stretch>
                      <a:fillRect/>
                    </a:stretch>
                  </pic:blipFill>
                  <pic:spPr>
                    <a:xfrm>
                      <a:off x="0" y="0"/>
                      <a:ext cx="5692296" cy="1980366"/>
                    </a:xfrm>
                    <a:prstGeom prst="rect">
                      <a:avLst/>
                    </a:prstGeom>
                  </pic:spPr>
                </pic:pic>
              </a:graphicData>
            </a:graphic>
          </wp:inline>
        </w:drawing>
      </w:r>
    </w:p>
    <w:p w14:paraId="1BA5D8BA" w14:textId="58BCF7F0" w:rsidR="004379FD" w:rsidRPr="00A83188" w:rsidRDefault="004379FD" w:rsidP="004379FD">
      <w:pPr>
        <w:pStyle w:val="SHCaption"/>
      </w:pPr>
      <w:bookmarkStart w:id="173" w:name="_Ref50728444"/>
      <w:bookmarkStart w:id="174" w:name="_Toc52433929"/>
      <w:r w:rsidRPr="00E3087F">
        <w:rPr>
          <w:b/>
          <w:color w:val="000000" w:themeColor="text1"/>
        </w:rPr>
        <w:t xml:space="preserve">Figure </w:t>
      </w:r>
      <w:r w:rsidR="00AD6D18">
        <w:rPr>
          <w:b/>
          <w:noProof/>
          <w:color w:val="000000" w:themeColor="text1"/>
        </w:rPr>
        <w:t>9</w:t>
      </w:r>
      <w:r w:rsidRPr="00E3087F">
        <w:rPr>
          <w:b/>
          <w:color w:val="000000" w:themeColor="text1"/>
        </w:rPr>
        <w:t>.</w:t>
      </w:r>
      <w:bookmarkEnd w:id="173"/>
      <w:r>
        <w:rPr>
          <w:b/>
          <w:noProof/>
          <w:color w:val="000000" w:themeColor="text1"/>
        </w:rPr>
        <w:t>45</w:t>
      </w:r>
      <w:r>
        <w:rPr>
          <w:color w:val="000000" w:themeColor="text1"/>
        </w:rPr>
        <w:t xml:space="preserve"> </w:t>
      </w:r>
      <w:r w:rsidRPr="00E3087F">
        <w:rPr>
          <w:color w:val="000000" w:themeColor="text1"/>
        </w:rPr>
        <w:t>Sequential photographs of Zone 1 at Edward</w:t>
      </w:r>
      <w:r>
        <w:rPr>
          <w:color w:val="000000" w:themeColor="text1"/>
        </w:rPr>
        <w:t>/Kolety</w:t>
      </w:r>
      <w:r w:rsidRPr="00E3087F">
        <w:rPr>
          <w:color w:val="000000" w:themeColor="text1"/>
        </w:rPr>
        <w:t xml:space="preserve"> River downstream site between visit 1 and 3 highlighting new riparian vegetation recruitment on lower bank</w:t>
      </w:r>
      <w:r w:rsidRPr="00A83188">
        <w:t>.</w:t>
      </w:r>
      <w:bookmarkEnd w:id="174"/>
    </w:p>
    <w:p w14:paraId="44780C9F" w14:textId="77777777" w:rsidR="004379FD" w:rsidRPr="00371C32" w:rsidRDefault="004379FD" w:rsidP="004379FD">
      <w:pPr>
        <w:spacing w:line="259" w:lineRule="auto"/>
        <w:rPr>
          <w:rFonts w:asciiTheme="minorHAnsi" w:hAnsiTheme="minorHAnsi" w:cstheme="minorHAnsi"/>
          <w:b/>
          <w:bCs/>
        </w:rPr>
      </w:pPr>
      <w:r w:rsidRPr="00371C32">
        <w:rPr>
          <w:rFonts w:asciiTheme="minorHAnsi" w:hAnsiTheme="minorHAnsi" w:cstheme="minorHAnsi"/>
          <w:b/>
          <w:bCs/>
        </w:rPr>
        <w:t xml:space="preserve">Zone 2 </w:t>
      </w:r>
    </w:p>
    <w:p w14:paraId="4C88FA51" w14:textId="77777777" w:rsidR="004379FD" w:rsidRPr="00185CBB" w:rsidRDefault="004379FD" w:rsidP="004379FD">
      <w:pPr>
        <w:spacing w:line="259" w:lineRule="auto"/>
        <w:rPr>
          <w:rFonts w:asciiTheme="minorHAnsi" w:hAnsiTheme="minorHAnsi" w:cstheme="minorHAnsi"/>
        </w:rPr>
      </w:pPr>
      <w:r>
        <w:rPr>
          <w:rFonts w:asciiTheme="minorHAnsi" w:hAnsiTheme="minorHAnsi" w:cstheme="minorHAnsi"/>
        </w:rPr>
        <w:t xml:space="preserve">Figure 9.46 </w:t>
      </w:r>
      <w:r w:rsidRPr="00185CBB">
        <w:rPr>
          <w:rFonts w:asciiTheme="minorHAnsi" w:hAnsiTheme="minorHAnsi" w:cstheme="minorHAnsi"/>
        </w:rPr>
        <w:t xml:space="preserve">presents the spatial extents of vegetation from Visits 1 and 3 within zone 2. This zone experienced a significant change in the location of the vegetation, but only an 8% change in the total vegetation cover. The location of vegetation during visit 1 was clumped in 4 central locations along the mid bank. By visit 3, all of this existing vegetation cover was lost with new vegetation located on the mid bank in a long strip, indicative of vegetation that has grown at the water-bank interface during a period of higher flow. </w:t>
      </w:r>
      <w:r>
        <w:rPr>
          <w:rFonts w:asciiTheme="minorHAnsi" w:hAnsiTheme="minorHAnsi" w:cstheme="minorHAnsi"/>
        </w:rPr>
        <w:t>Figure 9.47</w:t>
      </w:r>
      <w:r w:rsidRPr="00185CBB">
        <w:rPr>
          <w:rFonts w:asciiTheme="minorHAnsi" w:hAnsiTheme="minorHAnsi" w:cstheme="minorHAnsi"/>
        </w:rPr>
        <w:t xml:space="preserve"> provides photographic evidence of this, with a long strip of new vegetation evident on the mid-exposed bank. These photographs highlight a clear line where flows have remained consistent for an extended period of time</w:t>
      </w:r>
      <w:r>
        <w:rPr>
          <w:rFonts w:asciiTheme="minorHAnsi" w:hAnsiTheme="minorHAnsi" w:cstheme="minorHAnsi"/>
        </w:rPr>
        <w:t xml:space="preserve">. </w:t>
      </w:r>
      <w:r w:rsidRPr="00185CBB">
        <w:rPr>
          <w:rFonts w:asciiTheme="minorHAnsi" w:hAnsiTheme="minorHAnsi" w:cstheme="minorHAnsi"/>
        </w:rPr>
        <w:t xml:space="preserve">Similar to zone 1, it is hypothesized that between visit 1 and visit 2 that a vegetation die off event occurred due to elevated flows sitting at 3,500 </w:t>
      </w:r>
      <w:r>
        <w:rPr>
          <w:rFonts w:asciiTheme="minorHAnsi" w:hAnsiTheme="minorHAnsi" w:cstheme="minorHAnsi"/>
        </w:rPr>
        <w:t>ML/day</w:t>
      </w:r>
      <w:r w:rsidRPr="00185CBB">
        <w:rPr>
          <w:rFonts w:asciiTheme="minorHAnsi" w:hAnsiTheme="minorHAnsi" w:cstheme="minorHAnsi"/>
        </w:rPr>
        <w:t>, with a recruitment event following between visits 2 and 3 along the water-bank interface.</w:t>
      </w:r>
    </w:p>
    <w:p w14:paraId="3DF7C500"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0D0D55CE" wp14:editId="7236BE4F">
            <wp:extent cx="3397250" cy="3540449"/>
            <wp:effectExtent l="0" t="0" r="0" b="317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3415960" cy="3559948"/>
                    </a:xfrm>
                    <a:prstGeom prst="rect">
                      <a:avLst/>
                    </a:prstGeom>
                  </pic:spPr>
                </pic:pic>
              </a:graphicData>
            </a:graphic>
          </wp:inline>
        </w:drawing>
      </w:r>
    </w:p>
    <w:p w14:paraId="654D6717" w14:textId="36A7AAC1" w:rsidR="004379FD" w:rsidRDefault="004379FD" w:rsidP="004379FD">
      <w:pPr>
        <w:pStyle w:val="SHCaption"/>
        <w:rPr>
          <w:color w:val="000000" w:themeColor="text1"/>
        </w:rPr>
      </w:pPr>
      <w:bookmarkStart w:id="175" w:name="_Ref52442026"/>
      <w:bookmarkStart w:id="176" w:name="_Toc52433930"/>
      <w:r w:rsidRPr="00E3087F">
        <w:rPr>
          <w:b/>
          <w:color w:val="000000" w:themeColor="text1"/>
        </w:rPr>
        <w:t xml:space="preserve">Figure </w:t>
      </w:r>
      <w:r w:rsidR="00AD6D18">
        <w:rPr>
          <w:b/>
          <w:noProof/>
          <w:color w:val="000000" w:themeColor="text1"/>
        </w:rPr>
        <w:t>9</w:t>
      </w:r>
      <w:r w:rsidRPr="00E3087F">
        <w:rPr>
          <w:b/>
          <w:color w:val="000000" w:themeColor="text1"/>
        </w:rPr>
        <w:t>.</w:t>
      </w:r>
      <w:bookmarkEnd w:id="175"/>
      <w:r>
        <w:rPr>
          <w:b/>
          <w:noProof/>
          <w:color w:val="000000" w:themeColor="text1"/>
        </w:rPr>
        <w:t>46</w:t>
      </w:r>
      <w:r>
        <w:rPr>
          <w:color w:val="000000" w:themeColor="text1"/>
        </w:rPr>
        <w:t xml:space="preserve"> </w:t>
      </w:r>
      <w:r w:rsidRPr="00E3087F">
        <w:rPr>
          <w:color w:val="000000" w:themeColor="text1"/>
        </w:rPr>
        <w:t>Spatial extent of vegetation across 3 sequential site visits within zone 2 at Edward</w:t>
      </w:r>
      <w:r>
        <w:rPr>
          <w:color w:val="000000" w:themeColor="text1"/>
        </w:rPr>
        <w:t>/Kolety</w:t>
      </w:r>
      <w:r w:rsidRPr="00E3087F">
        <w:rPr>
          <w:color w:val="000000" w:themeColor="text1"/>
        </w:rPr>
        <w:t xml:space="preserve"> River downstream site.</w:t>
      </w:r>
      <w:bookmarkEnd w:id="176"/>
    </w:p>
    <w:p w14:paraId="392FD615" w14:textId="77777777" w:rsidR="004909D1" w:rsidRPr="004909D1" w:rsidRDefault="004909D1" w:rsidP="004909D1">
      <w:pPr>
        <w:pStyle w:val="SNormalText"/>
        <w:rPr>
          <w:lang w:val="en-US"/>
        </w:rPr>
      </w:pPr>
    </w:p>
    <w:p w14:paraId="6578D23E" w14:textId="77777777" w:rsidR="004379FD" w:rsidRPr="00185CBB" w:rsidRDefault="004379FD" w:rsidP="004379FD">
      <w:pPr>
        <w:pStyle w:val="BodyText1"/>
        <w:spacing w:after="0" w:line="240" w:lineRule="auto"/>
      </w:pPr>
      <w:r w:rsidRPr="00185CBB">
        <w:rPr>
          <w:noProof/>
          <w:lang w:eastAsia="en-AU" w:bidi="ar-SA"/>
        </w:rPr>
        <w:drawing>
          <wp:inline distT="0" distB="0" distL="0" distR="0" wp14:anchorId="741C525E" wp14:editId="7D90E7D7">
            <wp:extent cx="6116320" cy="1764665"/>
            <wp:effectExtent l="0" t="0" r="0" b="698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email">
                      <a:extLst>
                        <a:ext uri="{28A0092B-C50C-407E-A947-70E740481C1C}">
                          <a14:useLocalDpi xmlns:a14="http://schemas.microsoft.com/office/drawing/2010/main"/>
                        </a:ext>
                      </a:extLst>
                    </a:blip>
                    <a:stretch>
                      <a:fillRect/>
                    </a:stretch>
                  </pic:blipFill>
                  <pic:spPr>
                    <a:xfrm>
                      <a:off x="0" y="0"/>
                      <a:ext cx="6116320" cy="1764665"/>
                    </a:xfrm>
                    <a:prstGeom prst="rect">
                      <a:avLst/>
                    </a:prstGeom>
                  </pic:spPr>
                </pic:pic>
              </a:graphicData>
            </a:graphic>
          </wp:inline>
        </w:drawing>
      </w:r>
    </w:p>
    <w:p w14:paraId="67267C26" w14:textId="32416A27" w:rsidR="004379FD" w:rsidRPr="00E3087F" w:rsidRDefault="004379FD" w:rsidP="004379FD">
      <w:pPr>
        <w:pStyle w:val="SHCaption"/>
        <w:rPr>
          <w:color w:val="000000" w:themeColor="text1"/>
        </w:rPr>
      </w:pPr>
      <w:bookmarkStart w:id="177" w:name="_Ref50729287"/>
      <w:bookmarkStart w:id="178" w:name="_Toc52433931"/>
      <w:r w:rsidRPr="00E3087F">
        <w:rPr>
          <w:b/>
          <w:color w:val="000000" w:themeColor="text1"/>
        </w:rPr>
        <w:t xml:space="preserve">Figure </w:t>
      </w:r>
      <w:r w:rsidR="00AD6D18">
        <w:rPr>
          <w:b/>
          <w:noProof/>
          <w:color w:val="000000" w:themeColor="text1"/>
        </w:rPr>
        <w:t>9</w:t>
      </w:r>
      <w:r w:rsidRPr="00E3087F">
        <w:rPr>
          <w:b/>
          <w:color w:val="000000" w:themeColor="text1"/>
        </w:rPr>
        <w:t>.</w:t>
      </w:r>
      <w:bookmarkEnd w:id="177"/>
      <w:r>
        <w:rPr>
          <w:b/>
          <w:noProof/>
          <w:color w:val="000000" w:themeColor="text1"/>
        </w:rPr>
        <w:t>47</w:t>
      </w:r>
      <w:r>
        <w:rPr>
          <w:color w:val="000000" w:themeColor="text1"/>
        </w:rPr>
        <w:t xml:space="preserve"> </w:t>
      </w:r>
      <w:r w:rsidRPr="00E3087F">
        <w:rPr>
          <w:color w:val="000000" w:themeColor="text1"/>
        </w:rPr>
        <w:t>Sequential photographs of Zone 2 at Edward</w:t>
      </w:r>
      <w:r>
        <w:rPr>
          <w:color w:val="000000" w:themeColor="text1"/>
        </w:rPr>
        <w:t>/Kolety</w:t>
      </w:r>
      <w:r w:rsidRPr="00E3087F">
        <w:rPr>
          <w:color w:val="000000" w:themeColor="text1"/>
        </w:rPr>
        <w:t xml:space="preserve"> River downstream site between visit 1 and 3 highlighting new riparian vegetation recruitment on lower bank.</w:t>
      </w:r>
      <w:bookmarkEnd w:id="178"/>
    </w:p>
    <w:p w14:paraId="4A759FA9" w14:textId="4E660AD1" w:rsidR="004379FD" w:rsidRPr="00185CBB" w:rsidRDefault="00FD1776" w:rsidP="004379FD">
      <w:pPr>
        <w:spacing w:line="259" w:lineRule="auto"/>
        <w:rPr>
          <w:rFonts w:asciiTheme="minorHAnsi" w:hAnsiTheme="minorHAnsi" w:cstheme="minorHAnsi"/>
        </w:rPr>
      </w:pPr>
      <w:r>
        <w:rPr>
          <w:rFonts w:asciiTheme="minorHAnsi" w:hAnsiTheme="minorHAnsi" w:cstheme="minorHAnsi"/>
        </w:rPr>
        <w:t xml:space="preserve">Table 9.11 </w:t>
      </w:r>
      <w:r w:rsidR="004379FD" w:rsidRPr="00185CBB">
        <w:rPr>
          <w:rFonts w:asciiTheme="minorHAnsi" w:hAnsiTheme="minorHAnsi" w:cstheme="minorHAnsi"/>
        </w:rPr>
        <w:t>provides a tabulated summary of the changing vegetation extents across the 3 site visits for zones 1 and 2 at Edward</w:t>
      </w:r>
      <w:r w:rsidR="004379FD">
        <w:rPr>
          <w:rFonts w:asciiTheme="minorHAnsi" w:hAnsiTheme="minorHAnsi" w:cstheme="minorHAnsi"/>
        </w:rPr>
        <w:t>/Kolety</w:t>
      </w:r>
      <w:r w:rsidR="004379FD" w:rsidRPr="00185CBB">
        <w:rPr>
          <w:rFonts w:asciiTheme="minorHAnsi" w:hAnsiTheme="minorHAnsi" w:cstheme="minorHAnsi"/>
        </w:rPr>
        <w:t xml:space="preserve"> River downstream site. This table highlights the percentage change in vegetation cover experienced between visits 1 and 2 and between visits 2 and 3. </w:t>
      </w:r>
    </w:p>
    <w:p w14:paraId="1D7AF8C7" w14:textId="77777777" w:rsidR="004379FD" w:rsidRPr="00185CBB" w:rsidRDefault="004379FD" w:rsidP="004379FD">
      <w:pPr>
        <w:spacing w:line="259" w:lineRule="auto"/>
        <w:rPr>
          <w:rFonts w:asciiTheme="minorHAnsi" w:hAnsiTheme="minorHAnsi" w:cstheme="minorHAnsi"/>
        </w:rPr>
      </w:pPr>
    </w:p>
    <w:p w14:paraId="11A6B0BB" w14:textId="0D8EA627" w:rsidR="004379FD" w:rsidRPr="00E3087F" w:rsidRDefault="004379FD" w:rsidP="004379FD">
      <w:pPr>
        <w:pStyle w:val="SHCaption"/>
        <w:spacing w:after="0"/>
        <w:rPr>
          <w:color w:val="000000" w:themeColor="text1"/>
        </w:rPr>
      </w:pPr>
      <w:bookmarkStart w:id="179" w:name="_Ref50727684"/>
      <w:bookmarkStart w:id="180" w:name="_Toc52433882"/>
      <w:r w:rsidRPr="00685C45">
        <w:rPr>
          <w:b/>
          <w:color w:val="000000" w:themeColor="text1"/>
        </w:rPr>
        <w:t xml:space="preserve">Table </w:t>
      </w:r>
      <w:r w:rsidR="00AD6D18">
        <w:rPr>
          <w:b/>
          <w:noProof/>
          <w:color w:val="000000" w:themeColor="text1"/>
        </w:rPr>
        <w:t>9</w:t>
      </w:r>
      <w:r w:rsidRPr="00685C45">
        <w:rPr>
          <w:b/>
          <w:color w:val="000000" w:themeColor="text1"/>
        </w:rPr>
        <w:t>.</w:t>
      </w:r>
      <w:bookmarkEnd w:id="179"/>
      <w:r w:rsidRPr="00685C45">
        <w:rPr>
          <w:b/>
          <w:noProof/>
          <w:color w:val="000000" w:themeColor="text1"/>
        </w:rPr>
        <w:t>11</w:t>
      </w:r>
      <w:r>
        <w:rPr>
          <w:color w:val="000000" w:themeColor="text1"/>
        </w:rPr>
        <w:t xml:space="preserve"> T</w:t>
      </w:r>
      <w:r w:rsidRPr="00E3087F">
        <w:rPr>
          <w:color w:val="000000" w:themeColor="text1"/>
        </w:rPr>
        <w:t>abulated summary of changing vegetation extent across 3 site visits at 3 zones of interest at Edward</w:t>
      </w:r>
      <w:r>
        <w:rPr>
          <w:color w:val="000000" w:themeColor="text1"/>
        </w:rPr>
        <w:t>/Kolety</w:t>
      </w:r>
      <w:r w:rsidRPr="00E3087F">
        <w:rPr>
          <w:color w:val="000000" w:themeColor="text1"/>
        </w:rPr>
        <w:t xml:space="preserve"> River downstream site.</w:t>
      </w:r>
      <w:bookmarkEnd w:id="180"/>
    </w:p>
    <w:tbl>
      <w:tblPr>
        <w:tblStyle w:val="GridTable4-Accent1"/>
        <w:tblpPr w:leftFromText="180" w:rightFromText="180" w:vertAnchor="text" w:horzAnchor="margin" w:tblpY="75"/>
        <w:tblW w:w="0" w:type="auto"/>
        <w:tblLook w:val="04A0" w:firstRow="1" w:lastRow="0" w:firstColumn="1" w:lastColumn="0" w:noHBand="0" w:noVBand="1"/>
      </w:tblPr>
      <w:tblGrid>
        <w:gridCol w:w="2254"/>
        <w:gridCol w:w="2254"/>
        <w:gridCol w:w="2254"/>
        <w:gridCol w:w="2254"/>
      </w:tblGrid>
      <w:tr w:rsidR="004379FD" w:rsidRPr="00185CBB" w14:paraId="5E6ECFB6" w14:textId="77777777" w:rsidTr="004379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shd w:val="clear" w:color="auto" w:fill="92CDDC"/>
          </w:tcPr>
          <w:p w14:paraId="42D69F85" w14:textId="77777777" w:rsidR="004379FD" w:rsidRPr="00371C32" w:rsidRDefault="004379FD" w:rsidP="008609C3">
            <w:pPr>
              <w:spacing w:after="120" w:line="240" w:lineRule="auto"/>
              <w:jc w:val="center"/>
              <w:rPr>
                <w:rFonts w:asciiTheme="minorHAnsi" w:hAnsiTheme="minorHAnsi" w:cstheme="minorHAnsi"/>
                <w:b w:val="0"/>
                <w:bCs w:val="0"/>
                <w:color w:val="auto"/>
                <w:sz w:val="20"/>
                <w:szCs w:val="20"/>
                <w:lang w:val="en-AU"/>
              </w:rPr>
            </w:pPr>
            <w:r w:rsidRPr="00371C32">
              <w:rPr>
                <w:rFonts w:asciiTheme="minorHAnsi" w:hAnsiTheme="minorHAnsi" w:cstheme="minorHAnsi"/>
                <w:b w:val="0"/>
                <w:bCs w:val="0"/>
                <w:color w:val="auto"/>
                <w:sz w:val="20"/>
                <w:szCs w:val="20"/>
                <w:lang w:val="en-AU"/>
              </w:rPr>
              <w:t>Zone</w:t>
            </w:r>
          </w:p>
        </w:tc>
        <w:tc>
          <w:tcPr>
            <w:tcW w:w="2254" w:type="dxa"/>
            <w:shd w:val="clear" w:color="auto" w:fill="92CDDC"/>
          </w:tcPr>
          <w:p w14:paraId="3EB283E3" w14:textId="77777777" w:rsidR="004379FD" w:rsidRPr="00371C32"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371C32">
              <w:rPr>
                <w:rFonts w:asciiTheme="minorHAnsi" w:hAnsiTheme="minorHAnsi" w:cstheme="minorHAnsi"/>
                <w:b w:val="0"/>
                <w:bCs w:val="0"/>
                <w:color w:val="auto"/>
                <w:sz w:val="20"/>
                <w:szCs w:val="20"/>
                <w:lang w:val="en-AU"/>
              </w:rPr>
              <w:t>Visit Number</w:t>
            </w:r>
          </w:p>
        </w:tc>
        <w:tc>
          <w:tcPr>
            <w:tcW w:w="2254" w:type="dxa"/>
            <w:shd w:val="clear" w:color="auto" w:fill="92CDDC"/>
          </w:tcPr>
          <w:p w14:paraId="617A7BBF" w14:textId="77777777" w:rsidR="004379FD" w:rsidRPr="00371C32"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371C32">
              <w:rPr>
                <w:rFonts w:asciiTheme="minorHAnsi" w:hAnsiTheme="minorHAnsi" w:cstheme="minorHAnsi"/>
                <w:b w:val="0"/>
                <w:bCs w:val="0"/>
                <w:color w:val="auto"/>
                <w:sz w:val="20"/>
                <w:szCs w:val="20"/>
                <w:lang w:val="en-AU"/>
              </w:rPr>
              <w:t>Sum Vegetation (m</w:t>
            </w:r>
            <w:r w:rsidRPr="00371C32">
              <w:rPr>
                <w:rFonts w:asciiTheme="minorHAnsi" w:hAnsiTheme="minorHAnsi" w:cstheme="minorHAnsi"/>
                <w:b w:val="0"/>
                <w:bCs w:val="0"/>
                <w:color w:val="auto"/>
                <w:sz w:val="20"/>
                <w:szCs w:val="20"/>
                <w:vertAlign w:val="superscript"/>
                <w:lang w:val="en-AU"/>
              </w:rPr>
              <w:t>2</w:t>
            </w:r>
            <w:r w:rsidRPr="00371C32">
              <w:rPr>
                <w:rFonts w:asciiTheme="minorHAnsi" w:hAnsiTheme="minorHAnsi" w:cstheme="minorHAnsi"/>
                <w:b w:val="0"/>
                <w:bCs w:val="0"/>
                <w:color w:val="auto"/>
                <w:sz w:val="20"/>
                <w:szCs w:val="20"/>
                <w:lang w:val="en-AU"/>
              </w:rPr>
              <w:t>)</w:t>
            </w:r>
          </w:p>
        </w:tc>
        <w:tc>
          <w:tcPr>
            <w:tcW w:w="2254" w:type="dxa"/>
            <w:shd w:val="clear" w:color="auto" w:fill="92CDDC"/>
          </w:tcPr>
          <w:p w14:paraId="32EA37E3" w14:textId="77777777" w:rsidR="004379FD" w:rsidRPr="00371C32"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20"/>
                <w:szCs w:val="20"/>
                <w:lang w:val="en-AU"/>
              </w:rPr>
            </w:pPr>
            <w:r w:rsidRPr="00371C32">
              <w:rPr>
                <w:rFonts w:asciiTheme="minorHAnsi" w:hAnsiTheme="minorHAnsi" w:cstheme="minorHAnsi"/>
                <w:b w:val="0"/>
                <w:bCs w:val="0"/>
                <w:color w:val="auto"/>
                <w:sz w:val="20"/>
                <w:szCs w:val="20"/>
                <w:lang w:val="en-AU"/>
              </w:rPr>
              <w:t>Percentage Change Between Visits</w:t>
            </w:r>
          </w:p>
        </w:tc>
      </w:tr>
      <w:tr w:rsidR="004379FD" w:rsidRPr="00185CBB" w14:paraId="7F72F630"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Pr>
          <w:p w14:paraId="5C23678F" w14:textId="77777777" w:rsidR="004379FD" w:rsidRPr="00371C32" w:rsidRDefault="004379FD" w:rsidP="008609C3">
            <w:pPr>
              <w:spacing w:after="120" w:line="240" w:lineRule="auto"/>
              <w:jc w:val="center"/>
              <w:rPr>
                <w:rFonts w:asciiTheme="minorHAnsi" w:hAnsiTheme="minorHAnsi" w:cstheme="minorHAnsi"/>
                <w:b w:val="0"/>
                <w:bCs w:val="0"/>
                <w:sz w:val="20"/>
                <w:szCs w:val="20"/>
                <w:lang w:val="en-AU"/>
              </w:rPr>
            </w:pPr>
            <w:r w:rsidRPr="00371C32">
              <w:rPr>
                <w:rFonts w:asciiTheme="minorHAnsi" w:hAnsiTheme="minorHAnsi" w:cstheme="minorHAnsi"/>
                <w:b w:val="0"/>
                <w:bCs w:val="0"/>
                <w:sz w:val="20"/>
                <w:szCs w:val="20"/>
                <w:lang w:val="en-AU"/>
              </w:rPr>
              <w:t>1</w:t>
            </w:r>
          </w:p>
        </w:tc>
        <w:tc>
          <w:tcPr>
            <w:tcW w:w="2254" w:type="dxa"/>
            <w:shd w:val="clear" w:color="auto" w:fill="FFFFFF" w:themeFill="background1"/>
          </w:tcPr>
          <w:p w14:paraId="5548CF1C"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1</w:t>
            </w:r>
          </w:p>
        </w:tc>
        <w:tc>
          <w:tcPr>
            <w:tcW w:w="2254" w:type="dxa"/>
            <w:shd w:val="clear" w:color="auto" w:fill="FFFFFF" w:themeFill="background1"/>
          </w:tcPr>
          <w:p w14:paraId="653E502B"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1.1</w:t>
            </w:r>
          </w:p>
        </w:tc>
        <w:tc>
          <w:tcPr>
            <w:tcW w:w="2254" w:type="dxa"/>
            <w:shd w:val="clear" w:color="auto" w:fill="FFFFFF" w:themeFill="background1"/>
          </w:tcPr>
          <w:p w14:paraId="22966A26"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N/A</w:t>
            </w:r>
          </w:p>
        </w:tc>
      </w:tr>
      <w:tr w:rsidR="004379FD" w:rsidRPr="00185CBB" w14:paraId="70988F01"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tcPr>
          <w:p w14:paraId="785B8D17" w14:textId="77777777" w:rsidR="004379FD" w:rsidRPr="00371C32" w:rsidRDefault="004379FD" w:rsidP="008609C3">
            <w:pPr>
              <w:spacing w:after="120" w:line="240" w:lineRule="auto"/>
              <w:jc w:val="center"/>
              <w:rPr>
                <w:rFonts w:asciiTheme="minorHAnsi" w:hAnsiTheme="minorHAnsi" w:cstheme="minorHAnsi"/>
                <w:b w:val="0"/>
                <w:bCs w:val="0"/>
                <w:sz w:val="20"/>
                <w:szCs w:val="20"/>
                <w:lang w:val="en-AU"/>
              </w:rPr>
            </w:pPr>
          </w:p>
        </w:tc>
        <w:tc>
          <w:tcPr>
            <w:tcW w:w="2254" w:type="dxa"/>
            <w:shd w:val="clear" w:color="auto" w:fill="FFFFFF" w:themeFill="background1"/>
          </w:tcPr>
          <w:p w14:paraId="6B409CB8"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3</w:t>
            </w:r>
          </w:p>
        </w:tc>
        <w:tc>
          <w:tcPr>
            <w:tcW w:w="2254" w:type="dxa"/>
            <w:shd w:val="clear" w:color="auto" w:fill="FFFFFF" w:themeFill="background1"/>
          </w:tcPr>
          <w:p w14:paraId="28C9384E"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4.4</w:t>
            </w:r>
          </w:p>
        </w:tc>
        <w:tc>
          <w:tcPr>
            <w:tcW w:w="2254" w:type="dxa"/>
            <w:shd w:val="clear" w:color="auto" w:fill="FFFFFF" w:themeFill="background1"/>
          </w:tcPr>
          <w:p w14:paraId="4A81CCBF"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60% increase</w:t>
            </w:r>
          </w:p>
        </w:tc>
      </w:tr>
      <w:tr w:rsidR="004379FD" w:rsidRPr="00185CBB" w14:paraId="59C552AB"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Pr>
          <w:p w14:paraId="27B30E7A" w14:textId="77777777" w:rsidR="004379FD" w:rsidRPr="00371C32" w:rsidRDefault="004379FD" w:rsidP="008609C3">
            <w:pPr>
              <w:spacing w:after="120" w:line="240" w:lineRule="auto"/>
              <w:jc w:val="center"/>
              <w:rPr>
                <w:rFonts w:asciiTheme="minorHAnsi" w:hAnsiTheme="minorHAnsi" w:cstheme="minorHAnsi"/>
                <w:b w:val="0"/>
                <w:bCs w:val="0"/>
                <w:sz w:val="20"/>
                <w:szCs w:val="20"/>
                <w:lang w:val="en-AU"/>
              </w:rPr>
            </w:pPr>
            <w:r w:rsidRPr="00371C32">
              <w:rPr>
                <w:rFonts w:asciiTheme="minorHAnsi" w:hAnsiTheme="minorHAnsi" w:cstheme="minorHAnsi"/>
                <w:b w:val="0"/>
                <w:bCs w:val="0"/>
                <w:sz w:val="20"/>
                <w:szCs w:val="20"/>
                <w:lang w:val="en-AU"/>
              </w:rPr>
              <w:t>2</w:t>
            </w:r>
          </w:p>
        </w:tc>
        <w:tc>
          <w:tcPr>
            <w:tcW w:w="2254" w:type="dxa"/>
            <w:shd w:val="clear" w:color="auto" w:fill="FFFFFF" w:themeFill="background1"/>
          </w:tcPr>
          <w:p w14:paraId="1B3F3491"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1</w:t>
            </w:r>
          </w:p>
        </w:tc>
        <w:tc>
          <w:tcPr>
            <w:tcW w:w="2254" w:type="dxa"/>
            <w:shd w:val="clear" w:color="auto" w:fill="FFFFFF" w:themeFill="background1"/>
          </w:tcPr>
          <w:p w14:paraId="62D054C6"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5.9</w:t>
            </w:r>
          </w:p>
        </w:tc>
        <w:tc>
          <w:tcPr>
            <w:tcW w:w="2254" w:type="dxa"/>
            <w:shd w:val="clear" w:color="auto" w:fill="FFFFFF" w:themeFill="background1"/>
          </w:tcPr>
          <w:p w14:paraId="6D510F50" w14:textId="77777777" w:rsidR="004379FD" w:rsidRPr="00371C32" w:rsidRDefault="004379FD" w:rsidP="008609C3">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N/A</w:t>
            </w:r>
          </w:p>
        </w:tc>
      </w:tr>
      <w:tr w:rsidR="004379FD" w:rsidRPr="00185CBB" w14:paraId="5777B446" w14:textId="77777777" w:rsidTr="004379FD">
        <w:tc>
          <w:tcPr>
            <w:cnfStyle w:val="001000000000" w:firstRow="0" w:lastRow="0" w:firstColumn="1" w:lastColumn="0" w:oddVBand="0" w:evenVBand="0" w:oddHBand="0" w:evenHBand="0" w:firstRowFirstColumn="0" w:firstRowLastColumn="0" w:lastRowFirstColumn="0" w:lastRowLastColumn="0"/>
            <w:tcW w:w="2254" w:type="dxa"/>
            <w:vMerge/>
          </w:tcPr>
          <w:p w14:paraId="02014576" w14:textId="77777777" w:rsidR="004379FD" w:rsidRPr="00371C32" w:rsidRDefault="004379FD" w:rsidP="008609C3">
            <w:pPr>
              <w:spacing w:after="120" w:line="240" w:lineRule="auto"/>
              <w:jc w:val="center"/>
              <w:rPr>
                <w:rFonts w:asciiTheme="minorHAnsi" w:hAnsiTheme="minorHAnsi" w:cstheme="minorHAnsi"/>
                <w:sz w:val="20"/>
                <w:szCs w:val="20"/>
                <w:lang w:val="en-AU"/>
              </w:rPr>
            </w:pPr>
          </w:p>
        </w:tc>
        <w:tc>
          <w:tcPr>
            <w:tcW w:w="2254" w:type="dxa"/>
            <w:shd w:val="clear" w:color="auto" w:fill="FFFFFF" w:themeFill="background1"/>
          </w:tcPr>
          <w:p w14:paraId="05D28375"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3</w:t>
            </w:r>
          </w:p>
        </w:tc>
        <w:tc>
          <w:tcPr>
            <w:tcW w:w="2254" w:type="dxa"/>
            <w:shd w:val="clear" w:color="auto" w:fill="FFFFFF" w:themeFill="background1"/>
          </w:tcPr>
          <w:p w14:paraId="7809CCD6"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6.9</w:t>
            </w:r>
          </w:p>
        </w:tc>
        <w:tc>
          <w:tcPr>
            <w:tcW w:w="2254" w:type="dxa"/>
            <w:shd w:val="clear" w:color="auto" w:fill="FFFFFF" w:themeFill="background1"/>
          </w:tcPr>
          <w:p w14:paraId="2B041A75" w14:textId="77777777" w:rsidR="004379FD" w:rsidRPr="00371C32" w:rsidRDefault="004379FD" w:rsidP="008609C3">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AU"/>
              </w:rPr>
            </w:pPr>
            <w:r w:rsidRPr="00371C32">
              <w:rPr>
                <w:rFonts w:asciiTheme="minorHAnsi" w:hAnsiTheme="minorHAnsi" w:cstheme="minorHAnsi"/>
                <w:sz w:val="20"/>
                <w:szCs w:val="20"/>
                <w:lang w:val="en-AU"/>
              </w:rPr>
              <w:t>8% increase</w:t>
            </w:r>
          </w:p>
        </w:tc>
      </w:tr>
    </w:tbl>
    <w:p w14:paraId="264BBCFE" w14:textId="77777777" w:rsidR="004379FD" w:rsidRPr="00185CBB" w:rsidRDefault="004379FD" w:rsidP="004379FD">
      <w:pPr>
        <w:spacing w:line="259" w:lineRule="auto"/>
        <w:rPr>
          <w:rFonts w:asciiTheme="minorHAnsi" w:hAnsiTheme="minorHAnsi" w:cstheme="minorHAnsi"/>
        </w:rPr>
      </w:pPr>
    </w:p>
    <w:p w14:paraId="429E34C4" w14:textId="77777777" w:rsidR="004379FD" w:rsidRPr="00185CBB" w:rsidRDefault="004379FD" w:rsidP="004379FD">
      <w:pPr>
        <w:pStyle w:val="Normalnumbered"/>
        <w:numPr>
          <w:ilvl w:val="0"/>
          <w:numId w:val="0"/>
        </w:numPr>
        <w:spacing w:after="0" w:line="240" w:lineRule="auto"/>
        <w:rPr>
          <w:rFonts w:asciiTheme="minorHAnsi" w:hAnsiTheme="minorHAnsi" w:cstheme="minorHAnsi"/>
          <w:sz w:val="22"/>
        </w:rPr>
      </w:pPr>
      <w:r w:rsidRPr="00185CBB">
        <w:rPr>
          <w:rFonts w:asciiTheme="minorHAnsi" w:hAnsiTheme="minorHAnsi" w:cstheme="minorHAnsi"/>
          <w:noProof/>
          <w:sz w:val="22"/>
        </w:rPr>
        <w:drawing>
          <wp:inline distT="0" distB="0" distL="0" distR="0" wp14:anchorId="3B1B2183" wp14:editId="632ACA01">
            <wp:extent cx="5626100" cy="2493739"/>
            <wp:effectExtent l="0" t="0" r="0" b="190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5638653" cy="2499303"/>
                    </a:xfrm>
                    <a:prstGeom prst="rect">
                      <a:avLst/>
                    </a:prstGeom>
                    <a:noFill/>
                    <a:ln>
                      <a:noFill/>
                    </a:ln>
                    <a:extLst>
                      <a:ext uri="{53640926-AAD7-44D8-BBD7-CCE9431645EC}">
                        <a14:shadowObscured xmlns:a14="http://schemas.microsoft.com/office/drawing/2010/main"/>
                      </a:ext>
                    </a:extLst>
                  </pic:spPr>
                </pic:pic>
              </a:graphicData>
            </a:graphic>
          </wp:inline>
        </w:drawing>
      </w:r>
    </w:p>
    <w:p w14:paraId="4A5B0A89" w14:textId="01AAB9C3" w:rsidR="004379FD" w:rsidRPr="00371C32" w:rsidRDefault="004379FD" w:rsidP="004379FD">
      <w:pPr>
        <w:pStyle w:val="SHCaption"/>
      </w:pPr>
      <w:bookmarkStart w:id="181" w:name="_Ref51679807"/>
      <w:bookmarkStart w:id="182" w:name="_Toc52433932"/>
      <w:r w:rsidRPr="00E3087F">
        <w:rPr>
          <w:b/>
          <w:color w:val="000000" w:themeColor="text1"/>
        </w:rPr>
        <w:t xml:space="preserve">Figure </w:t>
      </w:r>
      <w:r w:rsidR="00AD6D18">
        <w:rPr>
          <w:b/>
          <w:noProof/>
          <w:color w:val="000000" w:themeColor="text1"/>
        </w:rPr>
        <w:t>9</w:t>
      </w:r>
      <w:r w:rsidRPr="00E3087F">
        <w:rPr>
          <w:b/>
          <w:color w:val="000000" w:themeColor="text1"/>
        </w:rPr>
        <w:t>.</w:t>
      </w:r>
      <w:bookmarkEnd w:id="181"/>
      <w:r>
        <w:rPr>
          <w:b/>
          <w:noProof/>
          <w:color w:val="000000" w:themeColor="text1"/>
        </w:rPr>
        <w:t>48</w:t>
      </w:r>
      <w:r>
        <w:rPr>
          <w:color w:val="000000" w:themeColor="text1"/>
        </w:rPr>
        <w:t xml:space="preserve"> </w:t>
      </w:r>
      <w:r w:rsidRPr="00E3087F">
        <w:rPr>
          <w:color w:val="000000" w:themeColor="text1"/>
        </w:rPr>
        <w:t xml:space="preserve">Drone image capture of Area 4. Across from the main carpark on site. </w:t>
      </w:r>
      <w:r>
        <w:rPr>
          <w:color w:val="000000" w:themeColor="text1"/>
        </w:rPr>
        <w:t>Recorded</w:t>
      </w:r>
      <w:r w:rsidRPr="00E3087F">
        <w:rPr>
          <w:color w:val="000000" w:themeColor="text1"/>
        </w:rPr>
        <w:t xml:space="preserve"> on Visit 4 14/07/</w:t>
      </w:r>
      <w:r w:rsidRPr="00371C32">
        <w:t>2</w:t>
      </w:r>
      <w:bookmarkEnd w:id="182"/>
    </w:p>
    <w:p w14:paraId="21B0009D" w14:textId="77777777" w:rsidR="004379FD" w:rsidRPr="00185CBB" w:rsidRDefault="004379FD" w:rsidP="004379FD">
      <w:pPr>
        <w:pStyle w:val="SNormalText"/>
        <w:spacing w:line="259" w:lineRule="auto"/>
      </w:pPr>
    </w:p>
    <w:p w14:paraId="78144E83" w14:textId="77777777" w:rsidR="004379FD" w:rsidRDefault="004379FD" w:rsidP="004379FD">
      <w:pPr>
        <w:spacing w:after="120" w:line="259" w:lineRule="auto"/>
        <w:rPr>
          <w:b/>
          <w:bCs/>
          <w:i/>
          <w:iCs/>
          <w:u w:val="single"/>
        </w:rPr>
      </w:pPr>
      <w:r w:rsidRPr="00371C32">
        <w:rPr>
          <w:b/>
          <w:bCs/>
          <w:i/>
          <w:iCs/>
          <w:u w:val="single"/>
        </w:rPr>
        <w:t>Summary of findings</w:t>
      </w:r>
    </w:p>
    <w:p w14:paraId="3E1502BB" w14:textId="77777777" w:rsidR="004379FD" w:rsidRPr="00185CBB" w:rsidRDefault="004379FD" w:rsidP="0040642F">
      <w:pPr>
        <w:pStyle w:val="ListParagraph"/>
        <w:numPr>
          <w:ilvl w:val="0"/>
          <w:numId w:val="40"/>
        </w:numPr>
        <w:spacing w:after="240" w:line="259" w:lineRule="auto"/>
        <w:contextualSpacing/>
        <w:jc w:val="left"/>
        <w:rPr>
          <w:rFonts w:asciiTheme="minorHAnsi" w:hAnsiTheme="minorHAnsi" w:cstheme="minorHAnsi"/>
        </w:rPr>
      </w:pPr>
      <w:r w:rsidRPr="00185CBB">
        <w:rPr>
          <w:rFonts w:asciiTheme="minorHAnsi" w:hAnsiTheme="minorHAnsi" w:cstheme="minorHAnsi"/>
        </w:rPr>
        <w:t xml:space="preserve">A trend in vegetation composition was observed with a consistent loss of vegetation experienced between visits 1 and 2 (the </w:t>
      </w:r>
      <w:r>
        <w:rPr>
          <w:rFonts w:asciiTheme="minorHAnsi" w:hAnsiTheme="minorHAnsi" w:cstheme="minorHAnsi"/>
        </w:rPr>
        <w:t>SCF</w:t>
      </w:r>
      <w:r w:rsidRPr="00185CBB">
        <w:rPr>
          <w:rFonts w:asciiTheme="minorHAnsi" w:hAnsiTheme="minorHAnsi" w:cstheme="minorHAnsi"/>
        </w:rPr>
        <w:t xml:space="preserve"> event period). During this period elevated flows inundated vegetated</w:t>
      </w:r>
      <w:r>
        <w:rPr>
          <w:rFonts w:asciiTheme="minorHAnsi" w:hAnsiTheme="minorHAnsi" w:cstheme="minorHAnsi"/>
        </w:rPr>
        <w:t xml:space="preserve"> areas for a period of +20 days.</w:t>
      </w:r>
    </w:p>
    <w:p w14:paraId="4716A59C" w14:textId="77777777" w:rsidR="004379FD" w:rsidRPr="00185CBB" w:rsidRDefault="004379FD" w:rsidP="0040642F">
      <w:pPr>
        <w:pStyle w:val="ListParagraph"/>
        <w:numPr>
          <w:ilvl w:val="0"/>
          <w:numId w:val="40"/>
        </w:numPr>
        <w:spacing w:after="240" w:line="259" w:lineRule="auto"/>
        <w:contextualSpacing/>
        <w:jc w:val="left"/>
        <w:rPr>
          <w:rFonts w:asciiTheme="minorHAnsi" w:hAnsiTheme="minorHAnsi" w:cstheme="minorHAnsi"/>
        </w:rPr>
      </w:pPr>
      <w:r w:rsidRPr="00185CBB">
        <w:rPr>
          <w:rFonts w:asciiTheme="minorHAnsi" w:hAnsiTheme="minorHAnsi" w:cstheme="minorHAnsi"/>
        </w:rPr>
        <w:t>Be</w:t>
      </w:r>
      <w:r>
        <w:rPr>
          <w:rFonts w:asciiTheme="minorHAnsi" w:hAnsiTheme="minorHAnsi" w:cstheme="minorHAnsi"/>
        </w:rPr>
        <w:t xml:space="preserve">tween visit 2 and visit 3 (the operational </w:t>
      </w:r>
      <w:r w:rsidRPr="00185CBB">
        <w:rPr>
          <w:rFonts w:asciiTheme="minorHAnsi" w:hAnsiTheme="minorHAnsi" w:cstheme="minorHAnsi"/>
        </w:rPr>
        <w:t>flow period) there was a consistent increase in vegetation cover present, with this occurring primarily across the lower bank</w:t>
      </w:r>
      <w:r>
        <w:rPr>
          <w:rFonts w:asciiTheme="minorHAnsi" w:hAnsiTheme="minorHAnsi" w:cstheme="minorHAnsi"/>
        </w:rPr>
        <w:t>.</w:t>
      </w:r>
    </w:p>
    <w:p w14:paraId="4ADC3E2B" w14:textId="77777777" w:rsidR="004379FD" w:rsidRPr="00185CBB" w:rsidRDefault="004379FD" w:rsidP="0040642F">
      <w:pPr>
        <w:pStyle w:val="ListParagraph"/>
        <w:numPr>
          <w:ilvl w:val="0"/>
          <w:numId w:val="40"/>
        </w:numPr>
        <w:spacing w:after="240" w:line="259" w:lineRule="auto"/>
        <w:contextualSpacing/>
        <w:jc w:val="left"/>
        <w:rPr>
          <w:rFonts w:asciiTheme="minorHAnsi" w:hAnsiTheme="minorHAnsi" w:cstheme="minorHAnsi"/>
        </w:rPr>
      </w:pPr>
      <w:r w:rsidRPr="00185CBB">
        <w:rPr>
          <w:rFonts w:asciiTheme="minorHAnsi" w:hAnsiTheme="minorHAnsi" w:cstheme="minorHAnsi"/>
        </w:rPr>
        <w:t xml:space="preserve">There appears to be very little vegetation cover changes between </w:t>
      </w:r>
      <w:r>
        <w:rPr>
          <w:rFonts w:asciiTheme="minorHAnsi" w:hAnsiTheme="minorHAnsi" w:cstheme="minorHAnsi"/>
        </w:rPr>
        <w:t>visit 3 and visit 4 (the u</w:t>
      </w:r>
      <w:r w:rsidRPr="00185CBB">
        <w:rPr>
          <w:rFonts w:asciiTheme="minorHAnsi" w:hAnsiTheme="minorHAnsi" w:cstheme="minorHAnsi"/>
        </w:rPr>
        <w:t xml:space="preserve">nregulated flow period), however, </w:t>
      </w:r>
      <w:r>
        <w:rPr>
          <w:rFonts w:asciiTheme="minorHAnsi" w:hAnsiTheme="minorHAnsi" w:cstheme="minorHAnsi"/>
        </w:rPr>
        <w:t xml:space="preserve">Figure 9.48 </w:t>
      </w:r>
      <w:r w:rsidRPr="00185CBB">
        <w:rPr>
          <w:rFonts w:asciiTheme="minorHAnsi" w:hAnsiTheme="minorHAnsi" w:cstheme="minorHAnsi"/>
        </w:rPr>
        <w:t xml:space="preserve">illustrates that there were signs of </w:t>
      </w:r>
      <w:r>
        <w:rPr>
          <w:rFonts w:asciiTheme="minorHAnsi" w:hAnsiTheme="minorHAnsi" w:cstheme="minorHAnsi"/>
        </w:rPr>
        <w:t>plants germinating</w:t>
      </w:r>
      <w:r w:rsidRPr="00185CBB">
        <w:rPr>
          <w:rFonts w:asciiTheme="minorHAnsi" w:hAnsiTheme="minorHAnsi" w:cstheme="minorHAnsi"/>
        </w:rPr>
        <w:t xml:space="preserve"> on lower bank features across the site. This time period was relatively short and the two unregulated flow events during his period resulted in inundation for a duration of less than 7 days.</w:t>
      </w:r>
    </w:p>
    <w:p w14:paraId="7E49D20E" w14:textId="77777777" w:rsidR="004379FD" w:rsidRPr="004379FD" w:rsidRDefault="004379FD" w:rsidP="004379FD">
      <w:pPr>
        <w:spacing w:after="120" w:line="259" w:lineRule="auto"/>
        <w:rPr>
          <w:rFonts w:cstheme="minorHAnsi"/>
          <w:b/>
          <w:color w:val="31849B"/>
          <w:sz w:val="28"/>
          <w:szCs w:val="28"/>
        </w:rPr>
      </w:pPr>
      <w:bookmarkStart w:id="183" w:name="CCveg"/>
      <w:bookmarkStart w:id="184" w:name="_Toc52433863"/>
      <w:bookmarkStart w:id="185" w:name="_Toc52445284"/>
      <w:bookmarkEnd w:id="138"/>
      <w:bookmarkEnd w:id="183"/>
      <w:r w:rsidRPr="004379FD">
        <w:rPr>
          <w:rFonts w:cstheme="minorHAnsi"/>
          <w:b/>
          <w:color w:val="31849B"/>
          <w:sz w:val="28"/>
          <w:szCs w:val="28"/>
        </w:rPr>
        <w:t>9.7 Discussion</w:t>
      </w:r>
      <w:bookmarkEnd w:id="184"/>
      <w:bookmarkEnd w:id="185"/>
    </w:p>
    <w:p w14:paraId="710C6C80" w14:textId="77777777" w:rsidR="004379FD" w:rsidRPr="00185CBB" w:rsidRDefault="004379FD" w:rsidP="004379FD">
      <w:pPr>
        <w:pStyle w:val="SNormalText"/>
        <w:spacing w:after="120" w:line="259" w:lineRule="auto"/>
      </w:pPr>
      <w:r>
        <w:t xml:space="preserve">This report identifies </w:t>
      </w:r>
      <w:r w:rsidRPr="00185CBB">
        <w:t xml:space="preserve">insights that can be gained by using drone technology to analyse bank and vegetation response to different characteristics of hydrological regime. The Digital Elevation Models of Difference (DEMODs) </w:t>
      </w:r>
      <w:r>
        <w:t>compare</w:t>
      </w:r>
      <w:r w:rsidRPr="00185CBB">
        <w:t xml:space="preserve"> two drone surveys at different points in time – before and after </w:t>
      </w:r>
      <w:r>
        <w:t xml:space="preserve">influential hydrological events. The DEMODs </w:t>
      </w:r>
      <w:r w:rsidRPr="00185CBB">
        <w:t xml:space="preserve">provide a high resolution mosaic of change (deposition/erosion), over time, in response to the </w:t>
      </w:r>
      <w:r>
        <w:t>hydrology</w:t>
      </w:r>
      <w:r w:rsidRPr="00185CBB">
        <w:t xml:space="preserve"> </w:t>
      </w:r>
      <w:r>
        <w:t>in</w:t>
      </w:r>
      <w:r w:rsidRPr="00185CBB">
        <w:t xml:space="preserve"> the monitoring periods. The </w:t>
      </w:r>
      <w:r>
        <w:t>results</w:t>
      </w:r>
      <w:r w:rsidRPr="00185CBB">
        <w:t xml:space="preserve"> from this </w:t>
      </w:r>
      <w:r>
        <w:t>research</w:t>
      </w:r>
      <w:r w:rsidRPr="00185CBB">
        <w:t xml:space="preserve"> provide sub-centimetre data rega</w:t>
      </w:r>
      <w:r>
        <w:t>rding the morphology of river</w:t>
      </w:r>
      <w:r w:rsidRPr="00185CBB">
        <w:t>banks in response to variable flow events which cannot b</w:t>
      </w:r>
      <w:r>
        <w:t xml:space="preserve">e gathered through other means </w:t>
      </w:r>
      <w:r w:rsidRPr="00185CBB">
        <w:t>su</w:t>
      </w:r>
      <w:r>
        <w:t>ch as LIDAR. The results give</w:t>
      </w:r>
      <w:r w:rsidRPr="00185CBB">
        <w:t xml:space="preserve"> insights into the factors that should be considered in flow delivery strategies, within systems that have experienced extensive notching as a result of prolonged </w:t>
      </w:r>
      <w:r>
        <w:t>operational</w:t>
      </w:r>
      <w:r w:rsidRPr="00185CBB">
        <w:t xml:space="preserve"> </w:t>
      </w:r>
      <w:r>
        <w:t>flows.</w:t>
      </w:r>
    </w:p>
    <w:p w14:paraId="04AB6FCD"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r w:rsidRPr="004379FD">
        <w:rPr>
          <w:rFonts w:asciiTheme="minorHAnsi" w:hAnsiTheme="minorHAnsi" w:cstheme="minorHAnsi"/>
          <w:b/>
          <w:color w:val="31849B" w:themeColor="accent5" w:themeShade="BF"/>
          <w:sz w:val="24"/>
          <w:szCs w:val="24"/>
        </w:rPr>
        <w:t>What characteristics of flow regime drive erosion and deposition?</w:t>
      </w:r>
    </w:p>
    <w:p w14:paraId="3FECC458" w14:textId="77777777" w:rsidR="004379FD" w:rsidRPr="00185CBB" w:rsidRDefault="004379FD" w:rsidP="00F7137E">
      <w:pPr>
        <w:spacing w:after="120" w:line="259" w:lineRule="auto"/>
        <w:jc w:val="left"/>
        <w:rPr>
          <w:rFonts w:asciiTheme="minorHAnsi" w:hAnsiTheme="minorHAnsi" w:cstheme="minorHAnsi"/>
        </w:rPr>
      </w:pPr>
      <w:r w:rsidRPr="00185CBB">
        <w:rPr>
          <w:rFonts w:asciiTheme="minorHAnsi" w:hAnsiTheme="minorHAnsi" w:cstheme="minorHAnsi"/>
        </w:rPr>
        <w:t xml:space="preserve">It is clear based on the findings from this report that characteristics of flow regime cannot be analysed without consideration of the existing notch and the role this can play in responses of erosion/deposition to different patterns of flow. </w:t>
      </w:r>
      <w:r>
        <w:rPr>
          <w:rFonts w:asciiTheme="minorHAnsi" w:hAnsiTheme="minorHAnsi" w:cstheme="minorHAnsi"/>
        </w:rPr>
        <w:t>On the Edward/Kolety River downstream of Stevens Weir</w:t>
      </w:r>
      <w:r w:rsidRPr="00185CBB">
        <w:rPr>
          <w:rFonts w:asciiTheme="minorHAnsi" w:hAnsiTheme="minorHAnsi" w:cstheme="minorHAnsi"/>
        </w:rPr>
        <w:t xml:space="preserve">, the existing deep notch at the bank zone relating to 2,700 </w:t>
      </w:r>
      <w:r>
        <w:rPr>
          <w:rFonts w:asciiTheme="minorHAnsi" w:hAnsiTheme="minorHAnsi" w:cstheme="minorHAnsi"/>
        </w:rPr>
        <w:t>ML/day</w:t>
      </w:r>
      <w:r w:rsidRPr="00185CBB">
        <w:rPr>
          <w:rFonts w:asciiTheme="minorHAnsi" w:hAnsiTheme="minorHAnsi" w:cstheme="minorHAnsi"/>
        </w:rPr>
        <w:t xml:space="preserve">, was a major contributor to the extensive erosion and deposition </w:t>
      </w:r>
      <w:r>
        <w:rPr>
          <w:rFonts w:asciiTheme="minorHAnsi" w:hAnsiTheme="minorHAnsi" w:cstheme="minorHAnsi"/>
        </w:rPr>
        <w:t>that occurred in</w:t>
      </w:r>
      <w:r w:rsidRPr="00185CBB">
        <w:rPr>
          <w:rFonts w:asciiTheme="minorHAnsi" w:hAnsiTheme="minorHAnsi" w:cstheme="minorHAnsi"/>
        </w:rPr>
        <w:t xml:space="preserve"> response to the environmental flow event </w:t>
      </w:r>
      <w:r>
        <w:rPr>
          <w:rFonts w:asciiTheme="minorHAnsi" w:hAnsiTheme="minorHAnsi" w:cstheme="minorHAnsi"/>
        </w:rPr>
        <w:t>during September 2019</w:t>
      </w:r>
      <w:r w:rsidRPr="00185CBB">
        <w:rPr>
          <w:rFonts w:asciiTheme="minorHAnsi" w:hAnsiTheme="minorHAnsi" w:cstheme="minorHAnsi"/>
        </w:rPr>
        <w:t>. Prolonged inundation above the notch led to sediment saturation and the corr</w:t>
      </w:r>
      <w:r>
        <w:rPr>
          <w:rFonts w:asciiTheme="minorHAnsi" w:hAnsiTheme="minorHAnsi" w:cstheme="minorHAnsi"/>
        </w:rPr>
        <w:t>esponding sediment instability and slumping</w:t>
      </w:r>
      <w:r w:rsidRPr="00185CBB">
        <w:rPr>
          <w:rFonts w:asciiTheme="minorHAnsi" w:hAnsiTheme="minorHAnsi" w:cstheme="minorHAnsi"/>
        </w:rPr>
        <w:t xml:space="preserve"> upon the draw-down of the receding limb. If the notch is considered</w:t>
      </w:r>
      <w:r>
        <w:rPr>
          <w:rFonts w:asciiTheme="minorHAnsi" w:hAnsiTheme="minorHAnsi" w:cstheme="minorHAnsi"/>
        </w:rPr>
        <w:t xml:space="preserve"> in the evaluation</w:t>
      </w:r>
      <w:r w:rsidRPr="00185CBB">
        <w:rPr>
          <w:rFonts w:asciiTheme="minorHAnsi" w:hAnsiTheme="minorHAnsi" w:cstheme="minorHAnsi"/>
        </w:rPr>
        <w:t>, then it enables the attribution of erosion not to the isolated flow event, but rather to the historical sequence of flow events prior to it (t</w:t>
      </w:r>
      <w:r>
        <w:rPr>
          <w:rFonts w:asciiTheme="minorHAnsi" w:hAnsiTheme="minorHAnsi" w:cstheme="minorHAnsi"/>
        </w:rPr>
        <w:t>he preparation). On the Edward/Kolety River downstream of Stevens Weir</w:t>
      </w:r>
      <w:r w:rsidRPr="00185CBB">
        <w:rPr>
          <w:rFonts w:asciiTheme="minorHAnsi" w:hAnsiTheme="minorHAnsi" w:cstheme="minorHAnsi"/>
        </w:rPr>
        <w:t xml:space="preserve">, 20% of days over the last 5 years relate to </w:t>
      </w:r>
      <w:r>
        <w:rPr>
          <w:rFonts w:asciiTheme="minorHAnsi" w:hAnsiTheme="minorHAnsi" w:cstheme="minorHAnsi"/>
        </w:rPr>
        <w:t>operational</w:t>
      </w:r>
      <w:r w:rsidRPr="00185CBB">
        <w:rPr>
          <w:rFonts w:asciiTheme="minorHAnsi" w:hAnsiTheme="minorHAnsi" w:cstheme="minorHAnsi"/>
        </w:rPr>
        <w:t xml:space="preserve"> flows and within these periods the mean daily discharge has been between 2,300 – 2,800 </w:t>
      </w:r>
      <w:r>
        <w:rPr>
          <w:rFonts w:asciiTheme="minorHAnsi" w:hAnsiTheme="minorHAnsi" w:cstheme="minorHAnsi"/>
        </w:rPr>
        <w:t>ML/day. T</w:t>
      </w:r>
      <w:r w:rsidRPr="00185CBB">
        <w:rPr>
          <w:rFonts w:asciiTheme="minorHAnsi" w:hAnsiTheme="minorHAnsi" w:cstheme="minorHAnsi"/>
        </w:rPr>
        <w:t xml:space="preserve">he result is a deep and defined notch at the bank zone corresponding to 2,700 </w:t>
      </w:r>
      <w:r>
        <w:rPr>
          <w:rFonts w:asciiTheme="minorHAnsi" w:hAnsiTheme="minorHAnsi" w:cstheme="minorHAnsi"/>
        </w:rPr>
        <w:t>ML/day</w:t>
      </w:r>
      <w:r w:rsidRPr="00185CBB">
        <w:rPr>
          <w:rFonts w:asciiTheme="minorHAnsi" w:hAnsiTheme="minorHAnsi" w:cstheme="minorHAnsi"/>
        </w:rPr>
        <w:t>.</w:t>
      </w:r>
    </w:p>
    <w:p w14:paraId="793538A2" w14:textId="77777777" w:rsidR="004379FD" w:rsidRPr="00185CBB" w:rsidRDefault="004379FD" w:rsidP="00F7137E">
      <w:pPr>
        <w:spacing w:after="120" w:line="259" w:lineRule="auto"/>
        <w:jc w:val="left"/>
        <w:rPr>
          <w:rFonts w:asciiTheme="minorHAnsi" w:hAnsiTheme="minorHAnsi" w:cstheme="minorHAnsi"/>
        </w:rPr>
      </w:pPr>
      <w:r w:rsidRPr="00185CBB">
        <w:rPr>
          <w:rFonts w:asciiTheme="minorHAnsi" w:hAnsiTheme="minorHAnsi" w:cstheme="minorHAnsi"/>
        </w:rPr>
        <w:t xml:space="preserve">If the mass-failure events are attributed to the historical pattern of </w:t>
      </w:r>
      <w:r>
        <w:rPr>
          <w:rFonts w:asciiTheme="minorHAnsi" w:hAnsiTheme="minorHAnsi" w:cstheme="minorHAnsi"/>
        </w:rPr>
        <w:t>operational flows</w:t>
      </w:r>
      <w:r w:rsidRPr="00185CBB">
        <w:rPr>
          <w:rFonts w:asciiTheme="minorHAnsi" w:hAnsiTheme="minorHAnsi" w:cstheme="minorHAnsi"/>
        </w:rPr>
        <w:t xml:space="preserve"> rather than the isolated environmental flow </w:t>
      </w:r>
      <w:r>
        <w:rPr>
          <w:rFonts w:asciiTheme="minorHAnsi" w:hAnsiTheme="minorHAnsi" w:cstheme="minorHAnsi"/>
        </w:rPr>
        <w:t>action</w:t>
      </w:r>
      <w:r w:rsidRPr="00185CBB">
        <w:rPr>
          <w:rFonts w:asciiTheme="minorHAnsi" w:hAnsiTheme="minorHAnsi" w:cstheme="minorHAnsi"/>
        </w:rPr>
        <w:t xml:space="preserve">, it highlights the need to address how </w:t>
      </w:r>
      <w:r>
        <w:rPr>
          <w:rFonts w:asciiTheme="minorHAnsi" w:hAnsiTheme="minorHAnsi" w:cstheme="minorHAnsi"/>
        </w:rPr>
        <w:t>operational</w:t>
      </w:r>
      <w:r w:rsidRPr="00185CBB">
        <w:rPr>
          <w:rFonts w:asciiTheme="minorHAnsi" w:hAnsiTheme="minorHAnsi" w:cstheme="minorHAnsi"/>
        </w:rPr>
        <w:t xml:space="preserve"> flows can be designed to have less impact on the wider system. If </w:t>
      </w:r>
      <w:r>
        <w:rPr>
          <w:rFonts w:asciiTheme="minorHAnsi" w:hAnsiTheme="minorHAnsi" w:cstheme="minorHAnsi"/>
        </w:rPr>
        <w:t>operational</w:t>
      </w:r>
      <w:r w:rsidRPr="00185CBB">
        <w:rPr>
          <w:rFonts w:asciiTheme="minorHAnsi" w:hAnsiTheme="minorHAnsi" w:cstheme="minorHAnsi"/>
        </w:rPr>
        <w:t xml:space="preserve"> flows are design with more variability during the summer months then </w:t>
      </w:r>
      <w:r>
        <w:rPr>
          <w:rFonts w:asciiTheme="minorHAnsi" w:hAnsiTheme="minorHAnsi" w:cstheme="minorHAnsi"/>
        </w:rPr>
        <w:t>environmental flows</w:t>
      </w:r>
      <w:r w:rsidRPr="00185CBB">
        <w:rPr>
          <w:rFonts w:asciiTheme="minorHAnsi" w:hAnsiTheme="minorHAnsi" w:cstheme="minorHAnsi"/>
        </w:rPr>
        <w:t xml:space="preserve"> (e.g. </w:t>
      </w:r>
      <w:r>
        <w:rPr>
          <w:rFonts w:asciiTheme="minorHAnsi" w:hAnsiTheme="minorHAnsi" w:cstheme="minorHAnsi"/>
        </w:rPr>
        <w:t>s</w:t>
      </w:r>
      <w:r w:rsidRPr="00185CBB">
        <w:rPr>
          <w:rFonts w:asciiTheme="minorHAnsi" w:hAnsiTheme="minorHAnsi" w:cstheme="minorHAnsi"/>
        </w:rPr>
        <w:t xml:space="preserve">pring </w:t>
      </w:r>
      <w:r>
        <w:rPr>
          <w:rFonts w:asciiTheme="minorHAnsi" w:hAnsiTheme="minorHAnsi" w:cstheme="minorHAnsi"/>
        </w:rPr>
        <w:t>f</w:t>
      </w:r>
      <w:r w:rsidRPr="00185CBB">
        <w:rPr>
          <w:rFonts w:asciiTheme="minorHAnsi" w:hAnsiTheme="minorHAnsi" w:cstheme="minorHAnsi"/>
        </w:rPr>
        <w:t>reshes) can deliver positive results within rivers like the Edward</w:t>
      </w:r>
      <w:r>
        <w:rPr>
          <w:rFonts w:asciiTheme="minorHAnsi" w:hAnsiTheme="minorHAnsi" w:cstheme="minorHAnsi"/>
        </w:rPr>
        <w:t>/Kolety River</w:t>
      </w:r>
      <w:r w:rsidRPr="00185CBB">
        <w:rPr>
          <w:rFonts w:asciiTheme="minorHAnsi" w:hAnsiTheme="minorHAnsi" w:cstheme="minorHAnsi"/>
        </w:rPr>
        <w:t>. If a holistic approach is not taken to water delivery within the Edward/Kolety Wakool system then it is unlikely that environmental flows will lead to positives within the system (Vietz et al 2016, Vietz et al 2017).</w:t>
      </w:r>
    </w:p>
    <w:p w14:paraId="09CAA8CC" w14:textId="77777777" w:rsidR="004379FD" w:rsidRPr="00185CBB" w:rsidRDefault="004379FD" w:rsidP="00F7137E">
      <w:pPr>
        <w:spacing w:after="120" w:line="259" w:lineRule="auto"/>
        <w:jc w:val="left"/>
        <w:rPr>
          <w:rFonts w:asciiTheme="minorHAnsi" w:hAnsiTheme="minorHAnsi" w:cstheme="minorHAnsi"/>
        </w:rPr>
      </w:pPr>
      <w:r w:rsidRPr="00185CBB">
        <w:rPr>
          <w:rFonts w:asciiTheme="minorHAnsi" w:hAnsiTheme="minorHAnsi" w:cstheme="minorHAnsi"/>
        </w:rPr>
        <w:t>This study highlighted the importance of the sequence of flow events and the role that inundation periods play on sediment saturation. The former is important as the order of flow events determines the preparation that prior events have on future events, the latter is important to understand as flow deliveries could be managed to minimise the impact of wetting and drying sediment that resides above an existing notch. We saw in this study that the unregulated event (which rose above and fell below the n</w:t>
      </w:r>
      <w:r>
        <w:rPr>
          <w:rFonts w:asciiTheme="minorHAnsi" w:hAnsiTheme="minorHAnsi" w:cstheme="minorHAnsi"/>
        </w:rPr>
        <w:t>otch) resulted in minor erosion. I</w:t>
      </w:r>
      <w:r w:rsidRPr="00185CBB">
        <w:rPr>
          <w:rFonts w:asciiTheme="minorHAnsi" w:hAnsiTheme="minorHAnsi" w:cstheme="minorHAnsi"/>
        </w:rPr>
        <w:t xml:space="preserve">t could be that </w:t>
      </w:r>
      <w:r>
        <w:rPr>
          <w:rFonts w:asciiTheme="minorHAnsi" w:hAnsiTheme="minorHAnsi" w:cstheme="minorHAnsi"/>
        </w:rPr>
        <w:t xml:space="preserve">during this event </w:t>
      </w:r>
      <w:r w:rsidRPr="00185CBB">
        <w:rPr>
          <w:rFonts w:asciiTheme="minorHAnsi" w:hAnsiTheme="minorHAnsi" w:cstheme="minorHAnsi"/>
        </w:rPr>
        <w:t xml:space="preserve">the </w:t>
      </w:r>
      <w:r>
        <w:rPr>
          <w:rFonts w:asciiTheme="minorHAnsi" w:hAnsiTheme="minorHAnsi" w:cstheme="minorHAnsi"/>
        </w:rPr>
        <w:t>bank above the notch</w:t>
      </w:r>
      <w:r w:rsidRPr="00185CBB">
        <w:rPr>
          <w:rFonts w:asciiTheme="minorHAnsi" w:hAnsiTheme="minorHAnsi" w:cstheme="minorHAnsi"/>
        </w:rPr>
        <w:t xml:space="preserve"> </w:t>
      </w:r>
      <w:r>
        <w:rPr>
          <w:rFonts w:asciiTheme="minorHAnsi" w:hAnsiTheme="minorHAnsi" w:cstheme="minorHAnsi"/>
        </w:rPr>
        <w:t>did not become fully saturated</w:t>
      </w:r>
      <w:r w:rsidRPr="00185CBB">
        <w:rPr>
          <w:rFonts w:asciiTheme="minorHAnsi" w:hAnsiTheme="minorHAnsi" w:cstheme="minorHAnsi"/>
        </w:rPr>
        <w:t>, and thus mass-failure events were minimised. Establishing a mean period which results in bank saturation could be critical in guiding flow regimes in systems like the Edward</w:t>
      </w:r>
      <w:r>
        <w:rPr>
          <w:rFonts w:asciiTheme="minorHAnsi" w:hAnsiTheme="minorHAnsi" w:cstheme="minorHAnsi"/>
        </w:rPr>
        <w:t>/Kolety</w:t>
      </w:r>
      <w:r w:rsidRPr="00185CBB">
        <w:rPr>
          <w:rFonts w:asciiTheme="minorHAnsi" w:hAnsiTheme="minorHAnsi" w:cstheme="minorHAnsi"/>
        </w:rPr>
        <w:t>-Wakool where existing notches need to be considered when dictating flow regimes.</w:t>
      </w:r>
    </w:p>
    <w:p w14:paraId="3EBA5D05" w14:textId="77777777" w:rsidR="004379FD" w:rsidRPr="00185CBB" w:rsidRDefault="004379FD" w:rsidP="00F7137E">
      <w:pPr>
        <w:spacing w:after="120" w:line="259" w:lineRule="auto"/>
        <w:jc w:val="left"/>
        <w:textAlignment w:val="baseline"/>
        <w:rPr>
          <w:rFonts w:asciiTheme="minorHAnsi" w:eastAsia="Times New Roman" w:hAnsiTheme="minorHAnsi" w:cstheme="minorHAnsi"/>
          <w:lang w:eastAsia="en-AU"/>
        </w:rPr>
      </w:pPr>
      <w:r w:rsidRPr="00185CBB">
        <w:rPr>
          <w:rFonts w:asciiTheme="minorHAnsi" w:eastAsia="Times New Roman" w:hAnsiTheme="minorHAnsi" w:cstheme="minorHAnsi"/>
          <w:lang w:eastAsia="en-AU"/>
        </w:rPr>
        <w:t>Deposition appeared aft</w:t>
      </w:r>
      <w:r>
        <w:rPr>
          <w:rFonts w:asciiTheme="minorHAnsi" w:eastAsia="Times New Roman" w:hAnsiTheme="minorHAnsi" w:cstheme="minorHAnsi"/>
          <w:lang w:eastAsia="en-AU"/>
        </w:rPr>
        <w:t>er all the event types, however</w:t>
      </w:r>
      <w:r w:rsidRPr="00185CBB">
        <w:rPr>
          <w:rFonts w:asciiTheme="minorHAnsi" w:eastAsia="Times New Roman" w:hAnsiTheme="minorHAnsi" w:cstheme="minorHAnsi"/>
          <w:lang w:eastAsia="en-AU"/>
        </w:rPr>
        <w:t xml:space="preserve"> </w:t>
      </w:r>
      <w:r>
        <w:rPr>
          <w:rFonts w:asciiTheme="minorHAnsi" w:eastAsia="Times New Roman" w:hAnsiTheme="minorHAnsi" w:cstheme="minorHAnsi"/>
          <w:lang w:eastAsia="en-AU"/>
        </w:rPr>
        <w:t xml:space="preserve">in most cases </w:t>
      </w:r>
      <w:r w:rsidRPr="00185CBB">
        <w:rPr>
          <w:rFonts w:asciiTheme="minorHAnsi" w:eastAsia="Times New Roman" w:hAnsiTheme="minorHAnsi" w:cstheme="minorHAnsi"/>
          <w:lang w:eastAsia="en-AU"/>
        </w:rPr>
        <w:t xml:space="preserve">it was intricately linked to erosion events to the bank area directly above </w:t>
      </w:r>
      <w:r>
        <w:rPr>
          <w:rFonts w:asciiTheme="minorHAnsi" w:eastAsia="Times New Roman" w:hAnsiTheme="minorHAnsi" w:cstheme="minorHAnsi"/>
          <w:lang w:eastAsia="en-AU"/>
        </w:rPr>
        <w:t>the deposition</w:t>
      </w:r>
      <w:r w:rsidRPr="00185CBB">
        <w:rPr>
          <w:rFonts w:asciiTheme="minorHAnsi" w:eastAsia="Times New Roman" w:hAnsiTheme="minorHAnsi" w:cstheme="minorHAnsi"/>
          <w:lang w:eastAsia="en-AU"/>
        </w:rPr>
        <w:t xml:space="preserve">. It appears </w:t>
      </w:r>
      <w:r>
        <w:rPr>
          <w:rFonts w:asciiTheme="minorHAnsi" w:eastAsia="Times New Roman" w:hAnsiTheme="minorHAnsi" w:cstheme="minorHAnsi"/>
          <w:lang w:eastAsia="en-AU"/>
        </w:rPr>
        <w:t>that unregulated</w:t>
      </w:r>
      <w:r w:rsidRPr="00185CBB">
        <w:rPr>
          <w:rFonts w:asciiTheme="minorHAnsi" w:eastAsia="Times New Roman" w:hAnsiTheme="minorHAnsi" w:cstheme="minorHAnsi"/>
          <w:lang w:eastAsia="en-AU"/>
        </w:rPr>
        <w:t xml:space="preserve"> events with </w:t>
      </w:r>
      <w:r>
        <w:rPr>
          <w:rFonts w:asciiTheme="minorHAnsi" w:eastAsia="Times New Roman" w:hAnsiTheme="minorHAnsi" w:cstheme="minorHAnsi"/>
          <w:lang w:eastAsia="en-AU"/>
        </w:rPr>
        <w:t>shorter</w:t>
      </w:r>
      <w:r w:rsidRPr="00185CBB">
        <w:rPr>
          <w:rFonts w:asciiTheme="minorHAnsi" w:eastAsia="Times New Roman" w:hAnsiTheme="minorHAnsi" w:cstheme="minorHAnsi"/>
          <w:lang w:eastAsia="en-AU"/>
        </w:rPr>
        <w:t xml:space="preserve"> duration above the notch (less saturation) and more extended periods of recession result in reduced net erosion.</w:t>
      </w:r>
      <w:r>
        <w:rPr>
          <w:rFonts w:asciiTheme="minorHAnsi" w:eastAsia="Times New Roman" w:hAnsiTheme="minorHAnsi" w:cstheme="minorHAnsi"/>
          <w:lang w:eastAsia="en-AU"/>
        </w:rPr>
        <w:t xml:space="preserve"> For example, although the u</w:t>
      </w:r>
      <w:r w:rsidRPr="00185CBB">
        <w:rPr>
          <w:rFonts w:asciiTheme="minorHAnsi" w:eastAsia="Times New Roman" w:hAnsiTheme="minorHAnsi" w:cstheme="minorHAnsi"/>
          <w:lang w:eastAsia="en-AU"/>
        </w:rPr>
        <w:t xml:space="preserve">nregulated flow event (between visits 3-4) </w:t>
      </w:r>
      <w:r>
        <w:rPr>
          <w:rFonts w:asciiTheme="minorHAnsi" w:eastAsia="Times New Roman" w:hAnsiTheme="minorHAnsi" w:cstheme="minorHAnsi"/>
          <w:lang w:eastAsia="en-AU"/>
        </w:rPr>
        <w:t>occurred</w:t>
      </w:r>
      <w:r w:rsidRPr="00185CBB">
        <w:rPr>
          <w:rFonts w:asciiTheme="minorHAnsi" w:eastAsia="Times New Roman" w:hAnsiTheme="minorHAnsi" w:cstheme="minorHAnsi"/>
          <w:lang w:eastAsia="en-AU"/>
        </w:rPr>
        <w:t xml:space="preserve"> after events which lead to extensive mass-failure, </w:t>
      </w:r>
      <w:r>
        <w:rPr>
          <w:rFonts w:asciiTheme="minorHAnsi" w:eastAsia="Times New Roman" w:hAnsiTheme="minorHAnsi" w:cstheme="minorHAnsi"/>
          <w:lang w:eastAsia="en-AU"/>
        </w:rPr>
        <w:t xml:space="preserve">it </w:t>
      </w:r>
      <w:r w:rsidRPr="00185CBB">
        <w:rPr>
          <w:rFonts w:asciiTheme="minorHAnsi" w:eastAsia="Times New Roman" w:hAnsiTheme="minorHAnsi" w:cstheme="minorHAnsi"/>
          <w:lang w:eastAsia="en-AU"/>
        </w:rPr>
        <w:t>resulted in minor levels of change and was net-neu</w:t>
      </w:r>
      <w:r>
        <w:rPr>
          <w:rFonts w:asciiTheme="minorHAnsi" w:eastAsia="Times New Roman" w:hAnsiTheme="minorHAnsi" w:cstheme="minorHAnsi"/>
          <w:lang w:eastAsia="en-AU"/>
        </w:rPr>
        <w:t>tral regarding sediment change.</w:t>
      </w:r>
    </w:p>
    <w:p w14:paraId="0E8F6A87" w14:textId="55189844" w:rsidR="004379FD" w:rsidRPr="00185CBB" w:rsidRDefault="004379FD" w:rsidP="00F7137E">
      <w:pPr>
        <w:spacing w:after="120" w:line="259" w:lineRule="auto"/>
        <w:jc w:val="left"/>
        <w:rPr>
          <w:rFonts w:asciiTheme="minorHAnsi" w:hAnsiTheme="minorHAnsi" w:cstheme="minorHAnsi"/>
        </w:rPr>
      </w:pPr>
      <w:r w:rsidRPr="00185CBB">
        <w:rPr>
          <w:rFonts w:asciiTheme="minorHAnsi" w:hAnsiTheme="minorHAnsi" w:cstheme="minorHAnsi"/>
        </w:rPr>
        <w:t xml:space="preserve">To conclude, this </w:t>
      </w:r>
      <w:r w:rsidR="00F7137E">
        <w:rPr>
          <w:rFonts w:asciiTheme="minorHAnsi" w:hAnsiTheme="minorHAnsi" w:cstheme="minorHAnsi"/>
        </w:rPr>
        <w:t>study</w:t>
      </w:r>
      <w:r w:rsidRPr="00185CBB">
        <w:rPr>
          <w:rFonts w:asciiTheme="minorHAnsi" w:hAnsiTheme="minorHAnsi" w:cstheme="minorHAnsi"/>
        </w:rPr>
        <w:t xml:space="preserve"> highlights the important role that historic flow patterns play on influencing future erosion events. In systems like the Edward/Kolety-Wakool, where historic flow patterns have led to excessive notching within channels, bank responses to flow events cannot be looked at in isolation. </w:t>
      </w:r>
      <w:r>
        <w:rPr>
          <w:rFonts w:asciiTheme="minorHAnsi" w:hAnsiTheme="minorHAnsi" w:cstheme="minorHAnsi"/>
        </w:rPr>
        <w:t>Thus</w:t>
      </w:r>
      <w:r w:rsidRPr="00185CBB">
        <w:rPr>
          <w:rFonts w:asciiTheme="minorHAnsi" w:hAnsiTheme="minorHAnsi" w:cstheme="minorHAnsi"/>
        </w:rPr>
        <w:t xml:space="preserve">, to </w:t>
      </w:r>
      <w:r>
        <w:rPr>
          <w:rFonts w:asciiTheme="minorHAnsi" w:hAnsiTheme="minorHAnsi" w:cstheme="minorHAnsi"/>
        </w:rPr>
        <w:t>be able to correctly assess the outcome of</w:t>
      </w:r>
      <w:r w:rsidRPr="00185CBB">
        <w:rPr>
          <w:rFonts w:asciiTheme="minorHAnsi" w:hAnsiTheme="minorHAnsi" w:cstheme="minorHAnsi"/>
        </w:rPr>
        <w:t xml:space="preserve"> CEW</w:t>
      </w:r>
      <w:r>
        <w:rPr>
          <w:rFonts w:asciiTheme="minorHAnsi" w:hAnsiTheme="minorHAnsi" w:cstheme="minorHAnsi"/>
        </w:rPr>
        <w:t xml:space="preserve"> on riverbanks</w:t>
      </w:r>
      <w:r w:rsidRPr="00185CBB">
        <w:rPr>
          <w:rFonts w:asciiTheme="minorHAnsi" w:hAnsiTheme="minorHAnsi" w:cstheme="minorHAnsi"/>
        </w:rPr>
        <w:t xml:space="preserve">, the </w:t>
      </w:r>
      <w:r>
        <w:rPr>
          <w:rFonts w:asciiTheme="minorHAnsi" w:hAnsiTheme="minorHAnsi" w:cstheme="minorHAnsi"/>
        </w:rPr>
        <w:t>impacts of operational flow</w:t>
      </w:r>
      <w:r w:rsidRPr="00185CBB">
        <w:rPr>
          <w:rFonts w:asciiTheme="minorHAnsi" w:hAnsiTheme="minorHAnsi" w:cstheme="minorHAnsi"/>
        </w:rPr>
        <w:t xml:space="preserve"> strategies must be considered and addressed. If this is not possible then environmental flow deliveries need to be designed with the position of the existing notch considered and with close attention to the rate of fall (regarding the receding limb of flow deliveries) as to minimise r</w:t>
      </w:r>
      <w:r>
        <w:rPr>
          <w:rFonts w:asciiTheme="minorHAnsi" w:hAnsiTheme="minorHAnsi" w:cstheme="minorHAnsi"/>
        </w:rPr>
        <w:t>esponding mass-failure events.</w:t>
      </w:r>
    </w:p>
    <w:p w14:paraId="2EF66B20"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r w:rsidRPr="004379FD">
        <w:rPr>
          <w:rFonts w:asciiTheme="minorHAnsi" w:hAnsiTheme="minorHAnsi" w:cstheme="minorHAnsi"/>
          <w:b/>
          <w:color w:val="31849B" w:themeColor="accent5" w:themeShade="BF"/>
          <w:sz w:val="24"/>
          <w:szCs w:val="24"/>
        </w:rPr>
        <w:t>What were the features of flow regime that affect riverbank and aquatic vegetation?</w:t>
      </w:r>
    </w:p>
    <w:p w14:paraId="3E78794D" w14:textId="77777777" w:rsidR="004379FD" w:rsidRPr="00185CBB" w:rsidRDefault="004379FD" w:rsidP="004379FD">
      <w:pPr>
        <w:pStyle w:val="SNormalText"/>
        <w:spacing w:after="120" w:line="259" w:lineRule="auto"/>
        <w:rPr>
          <w:rFonts w:eastAsia="Times New Roman"/>
          <w:lang w:eastAsia="en-AU"/>
        </w:rPr>
      </w:pPr>
      <w:r w:rsidRPr="00185CBB">
        <w:t xml:space="preserve">A trend emerged with vegetation recession consistently occurring between visit 1 and visit 2 during periods of elevated </w:t>
      </w:r>
      <w:r>
        <w:t>SCF</w:t>
      </w:r>
      <w:r w:rsidRPr="00185CBB">
        <w:t xml:space="preserve"> flows. It is likely that vegetation die-back occurred along the lower bank due to persistent </w:t>
      </w:r>
      <w:r>
        <w:t xml:space="preserve">inundation during this period. </w:t>
      </w:r>
      <w:r w:rsidRPr="00185CBB">
        <w:rPr>
          <w:rFonts w:eastAsia="Times New Roman"/>
          <w:lang w:eastAsia="en-AU"/>
        </w:rPr>
        <w:t xml:space="preserve">Between visits 2 and 3 (during the </w:t>
      </w:r>
      <w:r>
        <w:rPr>
          <w:rFonts w:eastAsia="Times New Roman"/>
          <w:lang w:eastAsia="en-AU"/>
        </w:rPr>
        <w:t>operational</w:t>
      </w:r>
      <w:r w:rsidRPr="00185CBB">
        <w:rPr>
          <w:rFonts w:eastAsia="Times New Roman"/>
          <w:lang w:eastAsia="en-AU"/>
        </w:rPr>
        <w:t xml:space="preserve"> flow period) there was an observed increase in vegetation along the bank-water interface, with </w:t>
      </w:r>
      <w:r>
        <w:rPr>
          <w:rFonts w:eastAsia="Times New Roman"/>
          <w:lang w:eastAsia="en-AU"/>
        </w:rPr>
        <w:t xml:space="preserve">vegetation recolonizing </w:t>
      </w:r>
      <w:r w:rsidRPr="00185CBB">
        <w:rPr>
          <w:rFonts w:eastAsia="Times New Roman"/>
          <w:lang w:eastAsia="en-AU"/>
        </w:rPr>
        <w:t xml:space="preserve">the areas where </w:t>
      </w:r>
      <w:r>
        <w:rPr>
          <w:rFonts w:eastAsia="Times New Roman"/>
          <w:lang w:eastAsia="en-AU"/>
        </w:rPr>
        <w:t>the bank had been inundated</w:t>
      </w:r>
      <w:r w:rsidRPr="00185CBB">
        <w:rPr>
          <w:rFonts w:eastAsia="Times New Roman"/>
          <w:lang w:eastAsia="en-AU"/>
        </w:rPr>
        <w:t xml:space="preserve"> </w:t>
      </w:r>
      <w:r>
        <w:rPr>
          <w:rFonts w:eastAsia="Times New Roman"/>
          <w:lang w:eastAsia="en-AU"/>
        </w:rPr>
        <w:t>during SCF flows.</w:t>
      </w:r>
    </w:p>
    <w:p w14:paraId="2ED24E2C" w14:textId="77777777" w:rsidR="004379FD" w:rsidRPr="00185CBB" w:rsidRDefault="004379FD" w:rsidP="004379FD">
      <w:pPr>
        <w:pStyle w:val="SNormalText"/>
        <w:spacing w:after="120" w:line="259" w:lineRule="auto"/>
        <w:rPr>
          <w:rFonts w:eastAsia="Times New Roman"/>
          <w:lang w:eastAsia="en-AU"/>
        </w:rPr>
      </w:pPr>
      <w:r>
        <w:rPr>
          <w:rFonts w:eastAsia="Times New Roman"/>
          <w:lang w:eastAsia="en-AU"/>
        </w:rPr>
        <w:t>Between visits 3 and 4 (u</w:t>
      </w:r>
      <w:r w:rsidRPr="00185CBB">
        <w:rPr>
          <w:rFonts w:eastAsia="Times New Roman"/>
          <w:lang w:eastAsia="en-AU"/>
        </w:rPr>
        <w:t xml:space="preserve">nregulated flow period) new growth began to mature, but no new germination occurred on the lower banks. This highlights vegetation resilience with the prompt recolonization of bare banks after the </w:t>
      </w:r>
      <w:r>
        <w:rPr>
          <w:rFonts w:eastAsia="Times New Roman"/>
          <w:lang w:eastAsia="en-AU"/>
        </w:rPr>
        <w:t>SCF</w:t>
      </w:r>
      <w:r w:rsidRPr="00185CBB">
        <w:rPr>
          <w:rFonts w:eastAsia="Times New Roman"/>
          <w:lang w:eastAsia="en-AU"/>
        </w:rPr>
        <w:t xml:space="preserve">. However, the </w:t>
      </w:r>
      <w:r w:rsidRPr="006C4992">
        <w:rPr>
          <w:rFonts w:eastAsia="Times New Roman"/>
          <w:iCs/>
          <w:lang w:eastAsia="en-AU"/>
        </w:rPr>
        <w:t>operational</w:t>
      </w:r>
      <w:r>
        <w:rPr>
          <w:rFonts w:eastAsia="Times New Roman"/>
          <w:i/>
          <w:iCs/>
          <w:lang w:eastAsia="en-AU"/>
        </w:rPr>
        <w:t xml:space="preserve"> </w:t>
      </w:r>
      <w:r w:rsidRPr="00185CBB">
        <w:rPr>
          <w:rFonts w:eastAsia="Times New Roman"/>
          <w:lang w:eastAsia="en-AU"/>
        </w:rPr>
        <w:t xml:space="preserve">flows appear to inhibit vegetation growth on the lower bank. It is likely that prolonged </w:t>
      </w:r>
      <w:r>
        <w:rPr>
          <w:rFonts w:eastAsia="Times New Roman"/>
          <w:lang w:eastAsia="en-AU"/>
        </w:rPr>
        <w:t xml:space="preserve">operational </w:t>
      </w:r>
      <w:r w:rsidRPr="00185CBB">
        <w:rPr>
          <w:rFonts w:eastAsia="Times New Roman"/>
          <w:lang w:eastAsia="en-AU"/>
        </w:rPr>
        <w:t xml:space="preserve">flows will result in the loss of vegetation from the lower banks of these waterways, reducing the </w:t>
      </w:r>
      <w:r>
        <w:rPr>
          <w:rFonts w:eastAsia="Times New Roman"/>
          <w:lang w:eastAsia="en-AU"/>
        </w:rPr>
        <w:t>ability</w:t>
      </w:r>
      <w:r w:rsidRPr="00185CBB">
        <w:rPr>
          <w:rFonts w:eastAsia="Times New Roman"/>
          <w:lang w:eastAsia="en-AU"/>
        </w:rPr>
        <w:t xml:space="preserve"> of these banks to withstand future peaked or prolonged flow events. Without vegetation on these lower banks, it is likely that further steepening and slumping will occur, facilitating a positive feedback loop exacerbating this cycle (reduced v</w:t>
      </w:r>
      <w:r>
        <w:rPr>
          <w:rFonts w:eastAsia="Times New Roman"/>
          <w:lang w:eastAsia="en-AU"/>
        </w:rPr>
        <w:t>egetation = increased erosion).</w:t>
      </w:r>
    </w:p>
    <w:p w14:paraId="550DC799" w14:textId="77777777" w:rsidR="004379FD" w:rsidRPr="00185CBB" w:rsidRDefault="004379FD" w:rsidP="004379FD">
      <w:pPr>
        <w:pStyle w:val="SNormalText"/>
        <w:spacing w:after="120" w:line="259" w:lineRule="auto"/>
        <w:rPr>
          <w:rFonts w:eastAsia="Times New Roman"/>
          <w:lang w:eastAsia="en-AU"/>
        </w:rPr>
      </w:pPr>
      <w:r w:rsidRPr="00185CBB">
        <w:rPr>
          <w:rFonts w:eastAsia="Times New Roman"/>
          <w:lang w:eastAsia="en-AU"/>
        </w:rPr>
        <w:t xml:space="preserve">A knowledge gap exists with respect to the amount of time the riparian vegetation may be inundated before it dies. It is possible that an altered flow management approach (i.e. cyclic pulsing) may improve vegetation retention across the </w:t>
      </w:r>
      <w:r>
        <w:rPr>
          <w:rFonts w:eastAsia="Times New Roman"/>
          <w:lang w:eastAsia="en-AU"/>
        </w:rPr>
        <w:t>operational flow period</w:t>
      </w:r>
      <w:r w:rsidRPr="00185CBB">
        <w:rPr>
          <w:rFonts w:eastAsia="Times New Roman"/>
          <w:lang w:eastAsia="en-AU"/>
        </w:rPr>
        <w:t xml:space="preserve"> and may provide subsequent erosion control to banks where scour, notching and steepening may otherwise become an issue. </w:t>
      </w:r>
    </w:p>
    <w:p w14:paraId="0CAF1BB7"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186" w:name="_Toc52433864"/>
      <w:bookmarkStart w:id="187" w:name="_Toc52445285"/>
      <w:r w:rsidRPr="004379FD">
        <w:rPr>
          <w:rFonts w:asciiTheme="minorHAnsi" w:hAnsiTheme="minorHAnsi" w:cstheme="minorHAnsi"/>
          <w:b/>
          <w:color w:val="31849B" w:themeColor="accent5" w:themeShade="BF"/>
          <w:sz w:val="24"/>
          <w:szCs w:val="24"/>
        </w:rPr>
        <w:t>Knowledge Gaps</w:t>
      </w:r>
      <w:bookmarkEnd w:id="186"/>
      <w:bookmarkEnd w:id="187"/>
    </w:p>
    <w:p w14:paraId="34C6FADF" w14:textId="77777777" w:rsidR="004379FD" w:rsidRPr="00185CBB" w:rsidRDefault="004379FD" w:rsidP="004379FD">
      <w:pPr>
        <w:spacing w:line="259" w:lineRule="auto"/>
        <w:rPr>
          <w:rFonts w:asciiTheme="minorHAnsi" w:hAnsiTheme="minorHAnsi" w:cstheme="minorHAnsi"/>
        </w:rPr>
      </w:pPr>
      <w:r w:rsidRPr="00185CBB">
        <w:rPr>
          <w:rFonts w:asciiTheme="minorHAnsi" w:hAnsiTheme="minorHAnsi" w:cstheme="minorHAnsi"/>
        </w:rPr>
        <w:t xml:space="preserve">Adaptive flow management is critical to </w:t>
      </w:r>
      <w:r>
        <w:rPr>
          <w:rFonts w:asciiTheme="minorHAnsi" w:hAnsiTheme="minorHAnsi" w:cstheme="minorHAnsi"/>
        </w:rPr>
        <w:t>improve the management of</w:t>
      </w:r>
      <w:r w:rsidRPr="00185CBB">
        <w:rPr>
          <w:rFonts w:asciiTheme="minorHAnsi" w:hAnsiTheme="minorHAnsi" w:cstheme="minorHAnsi"/>
        </w:rPr>
        <w:t xml:space="preserve"> flows through a regulated river system, whilst seeking to maintain ecological, social and physical elements that support a healthy river. Further understanding of the relationships between flow and riverbank morphologic condition and vegetation is required. Research questions may include:</w:t>
      </w:r>
    </w:p>
    <w:p w14:paraId="33F7D0DB" w14:textId="77777777" w:rsidR="004379FD" w:rsidRPr="00C00232" w:rsidRDefault="004379FD" w:rsidP="004379FD">
      <w:pPr>
        <w:pStyle w:val="Normalnumbered"/>
        <w:numPr>
          <w:ilvl w:val="0"/>
          <w:numId w:val="0"/>
        </w:numPr>
        <w:tabs>
          <w:tab w:val="left" w:pos="720"/>
        </w:tabs>
        <w:spacing w:line="259" w:lineRule="auto"/>
        <w:ind w:left="360" w:right="-188" w:hanging="360"/>
        <w:rPr>
          <w:rFonts w:asciiTheme="minorHAnsi" w:hAnsiTheme="minorHAnsi" w:cstheme="minorHAnsi"/>
          <w:b/>
          <w:bCs/>
          <w:sz w:val="22"/>
        </w:rPr>
      </w:pPr>
      <w:r w:rsidRPr="00C00232">
        <w:rPr>
          <w:rFonts w:asciiTheme="minorHAnsi" w:hAnsiTheme="minorHAnsi" w:cstheme="minorHAnsi"/>
          <w:b/>
          <w:bCs/>
          <w:sz w:val="22"/>
        </w:rPr>
        <w:t>Geomorphology</w:t>
      </w:r>
    </w:p>
    <w:p w14:paraId="45141EA0"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How long does an upper bank zone need to be inundated to reach a point of saturation?</w:t>
      </w:r>
    </w:p>
    <w:p w14:paraId="2FE7BB64"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Pr>
          <w:rFonts w:asciiTheme="minorHAnsi" w:hAnsiTheme="minorHAnsi" w:cstheme="minorHAnsi"/>
          <w:sz w:val="22"/>
        </w:rPr>
        <w:t>How much has the Edward/Kolety River reach downstream of Stevens Weir widened over recent years?</w:t>
      </w:r>
    </w:p>
    <w:p w14:paraId="680CA7F1"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 xml:space="preserve">When analysing change in response to </w:t>
      </w:r>
      <w:r w:rsidRPr="0050060C">
        <w:rPr>
          <w:rFonts w:asciiTheme="minorHAnsi" w:hAnsiTheme="minorHAnsi" w:cstheme="minorHAnsi"/>
          <w:iCs/>
          <w:sz w:val="22"/>
        </w:rPr>
        <w:t>unregulated</w:t>
      </w:r>
      <w:r w:rsidRPr="00185CBB">
        <w:rPr>
          <w:rFonts w:asciiTheme="minorHAnsi" w:hAnsiTheme="minorHAnsi" w:cstheme="minorHAnsi"/>
          <w:sz w:val="22"/>
        </w:rPr>
        <w:t xml:space="preserve"> flow events </w:t>
      </w:r>
      <w:r>
        <w:rPr>
          <w:rFonts w:asciiTheme="minorHAnsi" w:hAnsiTheme="minorHAnsi" w:cstheme="minorHAnsi"/>
          <w:sz w:val="22"/>
        </w:rPr>
        <w:t>that</w:t>
      </w:r>
      <w:r w:rsidRPr="00185CBB">
        <w:rPr>
          <w:rFonts w:asciiTheme="minorHAnsi" w:hAnsiTheme="minorHAnsi" w:cstheme="minorHAnsi"/>
          <w:sz w:val="22"/>
        </w:rPr>
        <w:t xml:space="preserve"> follow a period of mass-failure, is the extent of saturation more critical or the sequence of events (with unstable bank removed prior) more important to understanding bank condition response to discharge regime?</w:t>
      </w:r>
    </w:p>
    <w:p w14:paraId="4893C6BB"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 xml:space="preserve">Can environmental flows realistically be analysed when there is major notching within a system due to past prolonged and repeated </w:t>
      </w:r>
      <w:r>
        <w:rPr>
          <w:rFonts w:asciiTheme="minorHAnsi" w:hAnsiTheme="minorHAnsi" w:cstheme="minorHAnsi"/>
          <w:sz w:val="22"/>
        </w:rPr>
        <w:t>operational</w:t>
      </w:r>
      <w:r w:rsidRPr="00185CBB">
        <w:rPr>
          <w:rFonts w:asciiTheme="minorHAnsi" w:hAnsiTheme="minorHAnsi" w:cstheme="minorHAnsi"/>
          <w:sz w:val="22"/>
        </w:rPr>
        <w:t xml:space="preserve"> flows wit</w:t>
      </w:r>
      <w:r>
        <w:rPr>
          <w:rFonts w:asciiTheme="minorHAnsi" w:hAnsiTheme="minorHAnsi" w:cstheme="minorHAnsi"/>
          <w:sz w:val="22"/>
        </w:rPr>
        <w:t>hin the same defined bank zone over many years</w:t>
      </w:r>
      <w:r w:rsidRPr="00185CBB">
        <w:rPr>
          <w:rFonts w:asciiTheme="minorHAnsi" w:hAnsiTheme="minorHAnsi" w:cstheme="minorHAnsi"/>
          <w:sz w:val="22"/>
        </w:rPr>
        <w:t>?</w:t>
      </w:r>
    </w:p>
    <w:p w14:paraId="683BC946"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How long does it take for a prolonged flow level to produce a notch?</w:t>
      </w:r>
    </w:p>
    <w:p w14:paraId="58A57E5C"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Does sun and temperature play a role in drying riverbanks and preparing them for erosion, if so to what extent, and what role can vegetation play here?</w:t>
      </w:r>
    </w:p>
    <w:p w14:paraId="5FED79E5"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 xml:space="preserve">How much of a role does the </w:t>
      </w:r>
      <w:r>
        <w:rPr>
          <w:rFonts w:asciiTheme="minorHAnsi" w:hAnsiTheme="minorHAnsi" w:cstheme="minorHAnsi"/>
          <w:sz w:val="22"/>
        </w:rPr>
        <w:t>flow</w:t>
      </w:r>
      <w:r w:rsidRPr="00185CBB">
        <w:rPr>
          <w:rFonts w:asciiTheme="minorHAnsi" w:hAnsiTheme="minorHAnsi" w:cstheme="minorHAnsi"/>
          <w:sz w:val="22"/>
        </w:rPr>
        <w:t xml:space="preserve"> play in preparing riverbanks for failure during subsequent flows?</w:t>
      </w:r>
    </w:p>
    <w:p w14:paraId="346A244D"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What is the interaction between vegetation density and erosion/deposition?</w:t>
      </w:r>
    </w:p>
    <w:p w14:paraId="66FF7D34"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 xml:space="preserve">Does vegetation present in the early phases of the </w:t>
      </w:r>
      <w:r>
        <w:rPr>
          <w:rFonts w:asciiTheme="minorHAnsi" w:hAnsiTheme="minorHAnsi" w:cstheme="minorHAnsi"/>
          <w:sz w:val="22"/>
        </w:rPr>
        <w:t>flow</w:t>
      </w:r>
      <w:r w:rsidRPr="00185CBB">
        <w:rPr>
          <w:rFonts w:asciiTheme="minorHAnsi" w:hAnsiTheme="minorHAnsi" w:cstheme="minorHAnsi"/>
          <w:sz w:val="22"/>
        </w:rPr>
        <w:t xml:space="preserve"> (~two months) reduce the severity of erosion?</w:t>
      </w:r>
    </w:p>
    <w:p w14:paraId="72732EEC"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To what extent does vegetation protect riverbanks through shading, increased structure, increased roughness, or increased organic matter?</w:t>
      </w:r>
    </w:p>
    <w:p w14:paraId="47DBF750"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What proportion of sediments is provided by tributary inflows?</w:t>
      </w:r>
    </w:p>
    <w:p w14:paraId="5CABA156" w14:textId="77777777" w:rsidR="004379FD" w:rsidRPr="00185CBB"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What rate of drawdown is most conducive to reducing bank mass failure (slumping) and creating mud drapes?</w:t>
      </w:r>
    </w:p>
    <w:p w14:paraId="3F5941F3" w14:textId="77777777" w:rsidR="004379FD"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How effective are mud drapes at ‘patching’ riverbanks?</w:t>
      </w:r>
    </w:p>
    <w:p w14:paraId="5E43DBB8" w14:textId="77777777" w:rsidR="004379FD" w:rsidRDefault="004379FD" w:rsidP="004379FD">
      <w:pPr>
        <w:pStyle w:val="Normalnumbered"/>
        <w:numPr>
          <w:ilvl w:val="0"/>
          <w:numId w:val="0"/>
        </w:numPr>
        <w:tabs>
          <w:tab w:val="left" w:pos="426"/>
        </w:tabs>
        <w:spacing w:after="0" w:line="259" w:lineRule="auto"/>
        <w:ind w:left="360" w:right="-188" w:hanging="360"/>
        <w:rPr>
          <w:rFonts w:asciiTheme="minorHAnsi" w:hAnsiTheme="minorHAnsi" w:cstheme="minorHAnsi"/>
          <w:sz w:val="22"/>
        </w:rPr>
      </w:pPr>
    </w:p>
    <w:p w14:paraId="6C5116E1" w14:textId="77777777" w:rsidR="004379FD" w:rsidRPr="00185CBB" w:rsidRDefault="004379FD" w:rsidP="004379FD">
      <w:pPr>
        <w:pStyle w:val="Normalnumbered"/>
        <w:numPr>
          <w:ilvl w:val="0"/>
          <w:numId w:val="0"/>
        </w:numPr>
        <w:tabs>
          <w:tab w:val="left" w:pos="720"/>
        </w:tabs>
        <w:spacing w:line="259" w:lineRule="auto"/>
        <w:rPr>
          <w:rFonts w:asciiTheme="minorHAnsi" w:hAnsiTheme="minorHAnsi" w:cstheme="minorHAnsi"/>
          <w:b/>
          <w:sz w:val="22"/>
        </w:rPr>
      </w:pPr>
      <w:r w:rsidRPr="00185CBB">
        <w:rPr>
          <w:rFonts w:asciiTheme="minorHAnsi" w:hAnsiTheme="minorHAnsi" w:cstheme="minorHAnsi"/>
          <w:b/>
          <w:sz w:val="22"/>
        </w:rPr>
        <w:t>Vegetation</w:t>
      </w:r>
    </w:p>
    <w:p w14:paraId="7DE7AB4C"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How does the depth and duration of inundation influence survival of key native vegetation taxa?</w:t>
      </w:r>
    </w:p>
    <w:p w14:paraId="3BA382AA"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 xml:space="preserve">Does providing short intervals of low flow during </w:t>
      </w:r>
      <w:r>
        <w:rPr>
          <w:rFonts w:asciiTheme="minorHAnsi" w:hAnsiTheme="minorHAnsi" w:cstheme="minorHAnsi"/>
          <w:sz w:val="22"/>
        </w:rPr>
        <w:t>flow</w:t>
      </w:r>
      <w:r w:rsidRPr="00185CBB">
        <w:rPr>
          <w:rFonts w:asciiTheme="minorHAnsi" w:hAnsiTheme="minorHAnsi" w:cstheme="minorHAnsi"/>
          <w:sz w:val="22"/>
        </w:rPr>
        <w:t xml:space="preserve"> delivery improve vegetation survival? </w:t>
      </w:r>
    </w:p>
    <w:p w14:paraId="0AD87792"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Do fine scale variations in inundation depth improve plant establishment and growth?</w:t>
      </w:r>
    </w:p>
    <w:p w14:paraId="2D6FDE47"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What is the time frame for key taxa to germinate, mature and set seed in the field?</w:t>
      </w:r>
    </w:p>
    <w:p w14:paraId="37AF1326"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What is the abundance and composition of the soil seed bank at different geomorphic features?</w:t>
      </w:r>
    </w:p>
    <w:p w14:paraId="527E6BF9"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Does prolonged summer submergence deplete the soil seed bank?</w:t>
      </w:r>
    </w:p>
    <w:p w14:paraId="5701211F" w14:textId="77777777" w:rsidR="004379FD" w:rsidRPr="00185CBB"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Does the availability of seeds limit plant establishment?</w:t>
      </w:r>
    </w:p>
    <w:p w14:paraId="61609127" w14:textId="77777777" w:rsidR="004379FD" w:rsidRDefault="004379FD" w:rsidP="0040642F">
      <w:pPr>
        <w:pStyle w:val="Normalnumbered"/>
        <w:numPr>
          <w:ilvl w:val="0"/>
          <w:numId w:val="37"/>
        </w:numPr>
        <w:tabs>
          <w:tab w:val="left" w:pos="426"/>
        </w:tabs>
        <w:spacing w:after="0" w:line="259" w:lineRule="auto"/>
        <w:ind w:left="426" w:right="-188" w:hanging="426"/>
        <w:rPr>
          <w:rFonts w:asciiTheme="minorHAnsi" w:hAnsiTheme="minorHAnsi" w:cstheme="minorHAnsi"/>
          <w:sz w:val="22"/>
        </w:rPr>
      </w:pPr>
      <w:r w:rsidRPr="00185CBB">
        <w:rPr>
          <w:rFonts w:asciiTheme="minorHAnsi" w:hAnsiTheme="minorHAnsi" w:cstheme="minorHAnsi"/>
          <w:sz w:val="22"/>
        </w:rPr>
        <w:t>How does the availability of suitable hydraulic habitat for vegetation change with river discharge?</w:t>
      </w:r>
    </w:p>
    <w:p w14:paraId="50AD7EC7" w14:textId="77777777" w:rsidR="004379FD" w:rsidRPr="0050060C" w:rsidRDefault="004379FD" w:rsidP="0040642F">
      <w:pPr>
        <w:pStyle w:val="Normalnumbered"/>
        <w:numPr>
          <w:ilvl w:val="0"/>
          <w:numId w:val="37"/>
        </w:numPr>
        <w:tabs>
          <w:tab w:val="left" w:pos="426"/>
        </w:tabs>
        <w:spacing w:after="0" w:line="259" w:lineRule="auto"/>
        <w:ind w:left="426" w:right="-46" w:hanging="426"/>
        <w:rPr>
          <w:rFonts w:asciiTheme="minorHAnsi" w:hAnsiTheme="minorHAnsi" w:cstheme="minorHAnsi"/>
          <w:sz w:val="22"/>
        </w:rPr>
      </w:pPr>
      <w:r w:rsidRPr="00185CBB">
        <w:rPr>
          <w:rFonts w:asciiTheme="minorHAnsi" w:hAnsiTheme="minorHAnsi" w:cstheme="minorHAnsi"/>
          <w:sz w:val="22"/>
        </w:rPr>
        <w:t>How can an area of vertical bank with notching be revegetated?</w:t>
      </w:r>
    </w:p>
    <w:p w14:paraId="2AE56A91" w14:textId="77777777" w:rsidR="004379FD" w:rsidRDefault="004379FD" w:rsidP="004379FD">
      <w:pPr>
        <w:pStyle w:val="Normalnumbered"/>
        <w:numPr>
          <w:ilvl w:val="0"/>
          <w:numId w:val="0"/>
        </w:numPr>
        <w:tabs>
          <w:tab w:val="left" w:pos="720"/>
        </w:tabs>
        <w:spacing w:line="259" w:lineRule="auto"/>
        <w:ind w:left="360" w:hanging="360"/>
        <w:rPr>
          <w:rFonts w:asciiTheme="minorHAnsi" w:hAnsiTheme="minorHAnsi" w:cstheme="minorHAnsi"/>
          <w:sz w:val="22"/>
        </w:rPr>
      </w:pPr>
    </w:p>
    <w:p w14:paraId="1D70FDF8" w14:textId="77777777" w:rsidR="004379FD" w:rsidRDefault="004379FD" w:rsidP="004379FD">
      <w:pPr>
        <w:pStyle w:val="Para0"/>
        <w:spacing w:line="259" w:lineRule="auto"/>
        <w:rPr>
          <w:shd w:val="clear" w:color="auto" w:fill="FFFFFF"/>
        </w:rPr>
      </w:pPr>
      <w:r>
        <w:rPr>
          <w:shd w:val="clear" w:color="auto" w:fill="FFFFFF"/>
        </w:rPr>
        <w:br w:type="page"/>
      </w:r>
    </w:p>
    <w:p w14:paraId="12CBCEF7" w14:textId="77777777" w:rsidR="004379FD" w:rsidRDefault="004379FD" w:rsidP="004379FD">
      <w:pPr>
        <w:pStyle w:val="Para0"/>
        <w:spacing w:line="259" w:lineRule="auto"/>
        <w:rPr>
          <w:shd w:val="clear" w:color="auto" w:fill="FFFFFF"/>
        </w:rPr>
        <w:sectPr w:rsidR="004379FD">
          <w:pgSz w:w="11906" w:h="16838"/>
          <w:pgMar w:top="1440" w:right="1440" w:bottom="1440" w:left="1440" w:header="708" w:footer="708" w:gutter="0"/>
          <w:cols w:space="708"/>
          <w:docGrid w:linePitch="360"/>
        </w:sectPr>
      </w:pPr>
    </w:p>
    <w:p w14:paraId="2FCF923A" w14:textId="0E9389D8" w:rsidR="004379FD" w:rsidRPr="004379FD" w:rsidRDefault="004379FD" w:rsidP="004379FD">
      <w:pPr>
        <w:spacing w:after="120" w:line="259" w:lineRule="auto"/>
        <w:rPr>
          <w:rFonts w:cstheme="minorHAnsi"/>
          <w:b/>
          <w:color w:val="31849B"/>
          <w:sz w:val="28"/>
          <w:szCs w:val="28"/>
        </w:rPr>
      </w:pPr>
      <w:bookmarkStart w:id="188" w:name="_Toc52445286"/>
      <w:r>
        <w:rPr>
          <w:rFonts w:cstheme="minorHAnsi"/>
          <w:b/>
          <w:color w:val="31849B"/>
          <w:sz w:val="28"/>
          <w:szCs w:val="28"/>
        </w:rPr>
        <w:t xml:space="preserve">9.9 </w:t>
      </w:r>
      <w:r w:rsidRPr="004379FD">
        <w:rPr>
          <w:rFonts w:cstheme="minorHAnsi"/>
          <w:b/>
          <w:color w:val="31849B"/>
          <w:sz w:val="28"/>
          <w:szCs w:val="28"/>
        </w:rPr>
        <w:t>Appendix</w:t>
      </w:r>
      <w:bookmarkStart w:id="189" w:name="_Toc52445287"/>
      <w:bookmarkEnd w:id="188"/>
    </w:p>
    <w:p w14:paraId="49299343"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r w:rsidRPr="004379FD">
        <w:rPr>
          <w:rFonts w:asciiTheme="minorHAnsi" w:hAnsiTheme="minorHAnsi" w:cstheme="minorHAnsi"/>
          <w:b/>
          <w:color w:val="31849B" w:themeColor="accent5" w:themeShade="BF"/>
          <w:sz w:val="24"/>
          <w:szCs w:val="24"/>
        </w:rPr>
        <w:t>Volume change numbers</w:t>
      </w:r>
      <w:bookmarkEnd w:id="189"/>
      <w:r w:rsidRPr="004379FD">
        <w:rPr>
          <w:rFonts w:asciiTheme="minorHAnsi" w:hAnsiTheme="minorHAnsi" w:cstheme="minorHAnsi"/>
          <w:b/>
          <w:color w:val="31849B" w:themeColor="accent5" w:themeShade="BF"/>
          <w:sz w:val="24"/>
          <w:szCs w:val="24"/>
        </w:rPr>
        <w:t xml:space="preserve"> </w:t>
      </w:r>
    </w:p>
    <w:p w14:paraId="5B034329" w14:textId="77777777" w:rsidR="004379FD" w:rsidRPr="00C50A57" w:rsidRDefault="004379FD" w:rsidP="004379FD">
      <w:pPr>
        <w:pStyle w:val="Para0"/>
        <w:spacing w:line="259" w:lineRule="auto"/>
        <w:rPr>
          <w:szCs w:val="20"/>
          <w:shd w:val="clear" w:color="auto" w:fill="FFFFFF"/>
        </w:rPr>
      </w:pPr>
    </w:p>
    <w:p w14:paraId="27346339" w14:textId="720C0EF6" w:rsidR="004379FD" w:rsidRPr="00C50A57" w:rsidRDefault="004379FD" w:rsidP="004379FD">
      <w:pPr>
        <w:pStyle w:val="BodyText1"/>
        <w:spacing w:before="0" w:after="0"/>
        <w:rPr>
          <w:rFonts w:ascii="Calibri" w:hAnsi="Calibri" w:cs="Calibri"/>
          <w:sz w:val="20"/>
          <w:szCs w:val="20"/>
        </w:rPr>
      </w:pPr>
      <w:bookmarkStart w:id="190" w:name="_Toc52433883"/>
      <w:r w:rsidRPr="00C50A57">
        <w:rPr>
          <w:rFonts w:ascii="Calibri" w:hAnsi="Calibri" w:cs="Calibri"/>
          <w:b/>
          <w:sz w:val="20"/>
          <w:szCs w:val="20"/>
        </w:rPr>
        <w:t xml:space="preserve">Table </w:t>
      </w:r>
      <w:r w:rsidR="00AD6D18">
        <w:rPr>
          <w:rFonts w:ascii="Calibri" w:hAnsi="Calibri" w:cs="Calibri"/>
          <w:b/>
          <w:sz w:val="20"/>
          <w:szCs w:val="20"/>
        </w:rPr>
        <w:t>9</w:t>
      </w:r>
      <w:r w:rsidRPr="00C50A57">
        <w:rPr>
          <w:rFonts w:ascii="Calibri" w:hAnsi="Calibri" w:cs="Calibri"/>
          <w:b/>
          <w:sz w:val="20"/>
          <w:szCs w:val="20"/>
        </w:rPr>
        <w:t>.</w:t>
      </w:r>
      <w:r w:rsidR="00AD6D18">
        <w:rPr>
          <w:rFonts w:ascii="Calibri" w:hAnsi="Calibri" w:cs="Calibri"/>
          <w:b/>
          <w:sz w:val="20"/>
          <w:szCs w:val="20"/>
        </w:rPr>
        <w:t>1</w:t>
      </w:r>
      <w:r w:rsidRPr="00C50A57">
        <w:rPr>
          <w:rFonts w:ascii="Calibri" w:hAnsi="Calibri" w:cs="Calibri"/>
          <w:b/>
          <w:sz w:val="20"/>
          <w:szCs w:val="20"/>
        </w:rPr>
        <w:fldChar w:fldCharType="begin"/>
      </w:r>
      <w:r w:rsidRPr="00C50A57">
        <w:rPr>
          <w:rFonts w:ascii="Calibri" w:hAnsi="Calibri" w:cs="Calibri"/>
          <w:b/>
          <w:sz w:val="20"/>
          <w:szCs w:val="20"/>
        </w:rPr>
        <w:instrText xml:space="preserve"> SEQ Table \* ARABIC \s 1 </w:instrText>
      </w:r>
      <w:r w:rsidRPr="00C50A57">
        <w:rPr>
          <w:rFonts w:ascii="Calibri" w:hAnsi="Calibri" w:cs="Calibri"/>
          <w:b/>
          <w:sz w:val="20"/>
          <w:szCs w:val="20"/>
        </w:rPr>
        <w:fldChar w:fldCharType="separate"/>
      </w:r>
      <w:r w:rsidR="000A6D80">
        <w:rPr>
          <w:rFonts w:ascii="Calibri" w:hAnsi="Calibri" w:cs="Calibri"/>
          <w:b/>
          <w:noProof/>
          <w:sz w:val="20"/>
          <w:szCs w:val="20"/>
        </w:rPr>
        <w:t>2</w:t>
      </w:r>
      <w:r w:rsidRPr="00C50A57">
        <w:rPr>
          <w:rFonts w:ascii="Calibri" w:hAnsi="Calibri" w:cs="Calibri"/>
          <w:b/>
          <w:sz w:val="20"/>
          <w:szCs w:val="20"/>
        </w:rPr>
        <w:fldChar w:fldCharType="end"/>
      </w:r>
      <w:r>
        <w:rPr>
          <w:rFonts w:ascii="Calibri" w:hAnsi="Calibri" w:cs="Calibri"/>
          <w:sz w:val="20"/>
          <w:szCs w:val="20"/>
        </w:rPr>
        <w:t xml:space="preserve"> </w:t>
      </w:r>
      <w:r w:rsidRPr="00C50A57">
        <w:rPr>
          <w:rFonts w:ascii="Calibri" w:hAnsi="Calibri" w:cs="Calibri"/>
          <w:sz w:val="20"/>
          <w:szCs w:val="20"/>
        </w:rPr>
        <w:t>Volume change metrics converted to rate of change m</w:t>
      </w:r>
      <w:r w:rsidRPr="00C50A57">
        <w:rPr>
          <w:rFonts w:ascii="Calibri" w:hAnsi="Calibri" w:cs="Calibri"/>
          <w:sz w:val="20"/>
          <w:szCs w:val="20"/>
          <w:vertAlign w:val="superscript"/>
        </w:rPr>
        <w:t>3</w:t>
      </w:r>
      <w:r w:rsidRPr="00C50A57">
        <w:rPr>
          <w:rFonts w:ascii="Calibri" w:hAnsi="Calibri" w:cs="Calibri"/>
          <w:sz w:val="20"/>
          <w:szCs w:val="20"/>
        </w:rPr>
        <w:t>/m</w:t>
      </w:r>
      <w:r w:rsidRPr="00C50A57">
        <w:rPr>
          <w:rFonts w:ascii="Calibri" w:hAnsi="Calibri" w:cs="Calibri"/>
          <w:sz w:val="20"/>
          <w:szCs w:val="20"/>
          <w:vertAlign w:val="superscript"/>
        </w:rPr>
        <w:t>-2</w:t>
      </w:r>
      <w:r w:rsidRPr="00C50A57">
        <w:rPr>
          <w:rFonts w:ascii="Calibri" w:hAnsi="Calibri" w:cs="Calibri"/>
          <w:sz w:val="20"/>
          <w:szCs w:val="20"/>
        </w:rPr>
        <w:t xml:space="preserve"> (m a </w:t>
      </w:r>
      <w:r w:rsidRPr="00C50A57">
        <w:rPr>
          <w:rFonts w:ascii="Calibri" w:hAnsi="Calibri" w:cs="Calibri"/>
          <w:sz w:val="20"/>
          <w:szCs w:val="20"/>
          <w:vertAlign w:val="superscript"/>
        </w:rPr>
        <w:t>-2</w:t>
      </w:r>
      <w:r w:rsidRPr="00C50A57">
        <w:rPr>
          <w:rFonts w:ascii="Calibri" w:hAnsi="Calibri" w:cs="Calibri"/>
          <w:sz w:val="20"/>
          <w:szCs w:val="20"/>
        </w:rPr>
        <w:t>)</w:t>
      </w:r>
      <w:bookmarkEnd w:id="190"/>
    </w:p>
    <w:tbl>
      <w:tblPr>
        <w:tblW w:w="13850" w:type="dxa"/>
        <w:tblLook w:val="04A0" w:firstRow="1" w:lastRow="0" w:firstColumn="1" w:lastColumn="0" w:noHBand="0" w:noVBand="1"/>
      </w:tblPr>
      <w:tblGrid>
        <w:gridCol w:w="1723"/>
        <w:gridCol w:w="1244"/>
        <w:gridCol w:w="1261"/>
        <w:gridCol w:w="1529"/>
        <w:gridCol w:w="1253"/>
        <w:gridCol w:w="1338"/>
        <w:gridCol w:w="1504"/>
        <w:gridCol w:w="1253"/>
        <w:gridCol w:w="1253"/>
        <w:gridCol w:w="1492"/>
      </w:tblGrid>
      <w:tr w:rsidR="004379FD" w:rsidRPr="00C00232" w14:paraId="01C021B3" w14:textId="77777777" w:rsidTr="004379FD">
        <w:trPr>
          <w:trHeight w:val="1465"/>
        </w:trPr>
        <w:tc>
          <w:tcPr>
            <w:tcW w:w="1723" w:type="dxa"/>
            <w:tcBorders>
              <w:top w:val="single" w:sz="8" w:space="0" w:color="2D8EC2"/>
              <w:left w:val="nil"/>
              <w:bottom w:val="single" w:sz="8" w:space="0" w:color="2D8EC2"/>
              <w:right w:val="nil"/>
            </w:tcBorders>
            <w:shd w:val="clear" w:color="auto" w:fill="92CDDC"/>
            <w:vAlign w:val="center"/>
            <w:hideMark/>
          </w:tcPr>
          <w:p w14:paraId="1FCF47B1"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Visit Comparison</w:t>
            </w:r>
          </w:p>
        </w:tc>
        <w:tc>
          <w:tcPr>
            <w:tcW w:w="1244" w:type="dxa"/>
            <w:tcBorders>
              <w:top w:val="single" w:sz="8" w:space="0" w:color="2D8EC2"/>
              <w:left w:val="nil"/>
              <w:bottom w:val="single" w:sz="8" w:space="0" w:color="2D8EC2"/>
              <w:right w:val="nil"/>
            </w:tcBorders>
            <w:shd w:val="clear" w:color="auto" w:fill="92CDDC"/>
            <w:vAlign w:val="center"/>
            <w:hideMark/>
          </w:tcPr>
          <w:p w14:paraId="6DFE1DCD" w14:textId="77777777" w:rsidR="004379FD" w:rsidRPr="00C00232" w:rsidRDefault="004379FD" w:rsidP="004379FD">
            <w:pPr>
              <w:spacing w:line="259" w:lineRule="auto"/>
              <w:jc w:val="center"/>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Bank area (m2)</w:t>
            </w:r>
          </w:p>
        </w:tc>
        <w:tc>
          <w:tcPr>
            <w:tcW w:w="1261" w:type="dxa"/>
            <w:tcBorders>
              <w:top w:val="single" w:sz="8" w:space="0" w:color="2D8EC2"/>
              <w:left w:val="nil"/>
              <w:bottom w:val="single" w:sz="8" w:space="0" w:color="2D8EC2"/>
              <w:right w:val="nil"/>
            </w:tcBorders>
            <w:shd w:val="clear" w:color="auto" w:fill="92CDDC"/>
            <w:vAlign w:val="center"/>
            <w:hideMark/>
          </w:tcPr>
          <w:p w14:paraId="48CA2CC5" w14:textId="77777777" w:rsidR="004379FD" w:rsidRPr="00C00232" w:rsidRDefault="004379FD" w:rsidP="004379FD">
            <w:pPr>
              <w:spacing w:line="259" w:lineRule="auto"/>
              <w:jc w:val="center"/>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 xml:space="preserve">Total Erosion (m3) </w:t>
            </w:r>
          </w:p>
        </w:tc>
        <w:tc>
          <w:tcPr>
            <w:tcW w:w="1529" w:type="dxa"/>
            <w:tcBorders>
              <w:top w:val="single" w:sz="8" w:space="0" w:color="2D8EC2"/>
              <w:left w:val="nil"/>
              <w:bottom w:val="single" w:sz="8" w:space="0" w:color="2D8EC2"/>
              <w:right w:val="nil"/>
            </w:tcBorders>
            <w:shd w:val="clear" w:color="auto" w:fill="92CDDC"/>
            <w:vAlign w:val="center"/>
            <w:hideMark/>
          </w:tcPr>
          <w:p w14:paraId="0F245F9B" w14:textId="77777777" w:rsidR="004379FD" w:rsidRPr="00C00232" w:rsidRDefault="004379FD" w:rsidP="004379FD">
            <w:pPr>
              <w:spacing w:line="259" w:lineRule="auto"/>
              <w:jc w:val="center"/>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Total Deposition (m3)</w:t>
            </w:r>
          </w:p>
        </w:tc>
        <w:tc>
          <w:tcPr>
            <w:tcW w:w="1253" w:type="dxa"/>
            <w:tcBorders>
              <w:top w:val="single" w:sz="8" w:space="0" w:color="2D8EC2"/>
              <w:left w:val="nil"/>
              <w:bottom w:val="single" w:sz="8" w:space="0" w:color="2D8EC2"/>
              <w:right w:val="nil"/>
            </w:tcBorders>
            <w:shd w:val="clear" w:color="auto" w:fill="92CDDC"/>
            <w:vAlign w:val="center"/>
            <w:hideMark/>
          </w:tcPr>
          <w:p w14:paraId="01746F37" w14:textId="77777777" w:rsidR="004379FD" w:rsidRPr="00C00232" w:rsidRDefault="004379FD" w:rsidP="004379FD">
            <w:pPr>
              <w:spacing w:line="259" w:lineRule="auto"/>
              <w:jc w:val="center"/>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Net change (m3)</w:t>
            </w:r>
          </w:p>
        </w:tc>
        <w:tc>
          <w:tcPr>
            <w:tcW w:w="1338" w:type="dxa"/>
            <w:tcBorders>
              <w:top w:val="single" w:sz="8" w:space="0" w:color="2D8EC2"/>
              <w:left w:val="nil"/>
              <w:bottom w:val="single" w:sz="8" w:space="0" w:color="2D8EC2"/>
              <w:right w:val="nil"/>
            </w:tcBorders>
            <w:shd w:val="clear" w:color="auto" w:fill="92CDDC"/>
            <w:vAlign w:val="center"/>
            <w:hideMark/>
          </w:tcPr>
          <w:p w14:paraId="6ADB4368"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Tot erosion (cm3) per m2 of bank </w:t>
            </w:r>
          </w:p>
        </w:tc>
        <w:tc>
          <w:tcPr>
            <w:tcW w:w="1504" w:type="dxa"/>
            <w:tcBorders>
              <w:top w:val="single" w:sz="8" w:space="0" w:color="2D8EC2"/>
              <w:left w:val="nil"/>
              <w:bottom w:val="single" w:sz="8" w:space="0" w:color="2D8EC2"/>
              <w:right w:val="nil"/>
            </w:tcBorders>
            <w:shd w:val="clear" w:color="auto" w:fill="92CDDC"/>
            <w:vAlign w:val="center"/>
            <w:hideMark/>
          </w:tcPr>
          <w:p w14:paraId="78B5CFFC"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Tot deposition (cm3) per m2 of bank </w:t>
            </w:r>
          </w:p>
        </w:tc>
        <w:tc>
          <w:tcPr>
            <w:tcW w:w="1253" w:type="dxa"/>
            <w:tcBorders>
              <w:top w:val="nil"/>
              <w:left w:val="nil"/>
              <w:bottom w:val="nil"/>
              <w:right w:val="nil"/>
            </w:tcBorders>
            <w:shd w:val="clear" w:color="auto" w:fill="92CDDC"/>
            <w:vAlign w:val="center"/>
            <w:hideMark/>
          </w:tcPr>
          <w:p w14:paraId="71F8EECE"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net change  cm3</w:t>
            </w:r>
          </w:p>
        </w:tc>
        <w:tc>
          <w:tcPr>
            <w:tcW w:w="1253" w:type="dxa"/>
            <w:tcBorders>
              <w:top w:val="nil"/>
              <w:left w:val="nil"/>
              <w:bottom w:val="nil"/>
              <w:right w:val="nil"/>
            </w:tcBorders>
            <w:shd w:val="clear" w:color="auto" w:fill="92CDDC"/>
            <w:vAlign w:val="center"/>
            <w:hideMark/>
          </w:tcPr>
          <w:p w14:paraId="75EE4334"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net change M3</w:t>
            </w:r>
          </w:p>
        </w:tc>
        <w:tc>
          <w:tcPr>
            <w:tcW w:w="1492" w:type="dxa"/>
            <w:tcBorders>
              <w:top w:val="nil"/>
              <w:left w:val="nil"/>
              <w:bottom w:val="nil"/>
              <w:right w:val="nil"/>
            </w:tcBorders>
            <w:shd w:val="clear" w:color="auto" w:fill="92CDDC"/>
            <w:vAlign w:val="center"/>
            <w:hideMark/>
          </w:tcPr>
          <w:p w14:paraId="50951129" w14:textId="77777777" w:rsidR="004379FD" w:rsidRPr="00C00232" w:rsidRDefault="004379FD" w:rsidP="004379FD">
            <w:pPr>
              <w:spacing w:line="259" w:lineRule="auto"/>
              <w:rPr>
                <w:rFonts w:asciiTheme="minorHAnsi" w:eastAsia="Times New Roman" w:hAnsiTheme="minorHAnsi" w:cstheme="minorHAnsi"/>
                <w:sz w:val="20"/>
                <w:lang w:eastAsia="en-AU"/>
              </w:rPr>
            </w:pPr>
            <w:r w:rsidRPr="00C00232">
              <w:rPr>
                <w:rFonts w:asciiTheme="minorHAnsi" w:eastAsia="Times New Roman" w:hAnsiTheme="minorHAnsi" w:cstheme="minorHAnsi"/>
                <w:sz w:val="20"/>
                <w:lang w:eastAsia="en-AU"/>
              </w:rPr>
              <w:t>Rate of Change (m</w:t>
            </w:r>
            <w:r w:rsidRPr="00C00232">
              <w:rPr>
                <w:rFonts w:asciiTheme="minorHAnsi" w:eastAsia="Times New Roman" w:hAnsiTheme="minorHAnsi" w:cstheme="minorHAnsi"/>
                <w:sz w:val="20"/>
                <w:vertAlign w:val="superscript"/>
                <w:lang w:eastAsia="en-AU"/>
              </w:rPr>
              <w:t xml:space="preserve">3 </w:t>
            </w:r>
            <w:r w:rsidRPr="00C00232">
              <w:rPr>
                <w:rFonts w:asciiTheme="minorHAnsi" w:eastAsia="Times New Roman" w:hAnsiTheme="minorHAnsi" w:cstheme="minorHAnsi"/>
                <w:sz w:val="20"/>
                <w:lang w:eastAsia="en-AU"/>
              </w:rPr>
              <w:t>m</w:t>
            </w:r>
            <w:r w:rsidRPr="00C00232">
              <w:rPr>
                <w:rFonts w:asciiTheme="minorHAnsi" w:eastAsia="Times New Roman" w:hAnsiTheme="minorHAnsi" w:cstheme="minorHAnsi"/>
                <w:sz w:val="20"/>
                <w:vertAlign w:val="superscript"/>
                <w:lang w:eastAsia="en-AU"/>
              </w:rPr>
              <w:t>-2</w:t>
            </w:r>
            <w:r w:rsidRPr="00C00232">
              <w:rPr>
                <w:rFonts w:asciiTheme="minorHAnsi" w:eastAsia="Times New Roman" w:hAnsiTheme="minorHAnsi" w:cstheme="minorHAnsi"/>
                <w:sz w:val="20"/>
                <w:lang w:eastAsia="en-AU"/>
              </w:rPr>
              <w:t>) (m m</w:t>
            </w:r>
            <w:r w:rsidRPr="00C00232">
              <w:rPr>
                <w:rFonts w:asciiTheme="minorHAnsi" w:eastAsia="Times New Roman" w:hAnsiTheme="minorHAnsi" w:cstheme="minorHAnsi"/>
                <w:sz w:val="20"/>
                <w:vertAlign w:val="superscript"/>
                <w:lang w:eastAsia="en-AU"/>
              </w:rPr>
              <w:t>-2</w:t>
            </w:r>
            <w:r w:rsidRPr="00C00232">
              <w:rPr>
                <w:rFonts w:asciiTheme="minorHAnsi" w:eastAsia="Times New Roman" w:hAnsiTheme="minorHAnsi" w:cstheme="minorHAnsi"/>
                <w:sz w:val="20"/>
                <w:lang w:eastAsia="en-AU"/>
              </w:rPr>
              <w:t>)</w:t>
            </w:r>
          </w:p>
        </w:tc>
      </w:tr>
      <w:tr w:rsidR="004379FD" w:rsidRPr="00C00232" w14:paraId="56B85F76" w14:textId="77777777" w:rsidTr="004379FD">
        <w:trPr>
          <w:trHeight w:val="492"/>
        </w:trPr>
        <w:tc>
          <w:tcPr>
            <w:tcW w:w="1723" w:type="dxa"/>
            <w:tcBorders>
              <w:top w:val="nil"/>
              <w:left w:val="nil"/>
              <w:bottom w:val="single" w:sz="8" w:space="0" w:color="2D8EC2"/>
              <w:right w:val="nil"/>
            </w:tcBorders>
            <w:shd w:val="clear" w:color="auto" w:fill="auto"/>
            <w:vAlign w:val="center"/>
            <w:hideMark/>
          </w:tcPr>
          <w:p w14:paraId="42D96E4C" w14:textId="77777777" w:rsidR="004379FD" w:rsidRPr="00C00232" w:rsidRDefault="004379FD" w:rsidP="004379FD">
            <w:pPr>
              <w:spacing w:line="259" w:lineRule="auto"/>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 xml:space="preserve">V1 – V2: </w:t>
            </w:r>
            <w:r>
              <w:rPr>
                <w:rFonts w:asciiTheme="minorHAnsi" w:eastAsia="Times New Roman" w:hAnsiTheme="minorHAnsi" w:cstheme="minorHAnsi"/>
                <w:color w:val="000000"/>
                <w:sz w:val="20"/>
                <w:lang w:eastAsia="en-AU"/>
              </w:rPr>
              <w:t>SCF</w:t>
            </w:r>
            <w:r w:rsidRPr="00C00232">
              <w:rPr>
                <w:rFonts w:asciiTheme="minorHAnsi" w:eastAsia="Times New Roman" w:hAnsiTheme="minorHAnsi" w:cstheme="minorHAnsi"/>
                <w:color w:val="000000"/>
                <w:sz w:val="20"/>
                <w:lang w:eastAsia="en-AU"/>
              </w:rPr>
              <w:t xml:space="preserve"> </w:t>
            </w:r>
          </w:p>
        </w:tc>
        <w:tc>
          <w:tcPr>
            <w:tcW w:w="1244" w:type="dxa"/>
            <w:tcBorders>
              <w:top w:val="nil"/>
              <w:left w:val="nil"/>
              <w:bottom w:val="single" w:sz="8" w:space="0" w:color="2D8EC2"/>
              <w:right w:val="nil"/>
            </w:tcBorders>
            <w:shd w:val="clear" w:color="auto" w:fill="auto"/>
            <w:vAlign w:val="center"/>
            <w:hideMark/>
          </w:tcPr>
          <w:p w14:paraId="2A694223"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167.4</w:t>
            </w:r>
          </w:p>
        </w:tc>
        <w:tc>
          <w:tcPr>
            <w:tcW w:w="1261" w:type="dxa"/>
            <w:tcBorders>
              <w:top w:val="nil"/>
              <w:left w:val="nil"/>
              <w:bottom w:val="single" w:sz="8" w:space="0" w:color="2D8EC2"/>
              <w:right w:val="nil"/>
            </w:tcBorders>
            <w:shd w:val="clear" w:color="auto" w:fill="auto"/>
            <w:vAlign w:val="center"/>
            <w:hideMark/>
          </w:tcPr>
          <w:p w14:paraId="231B121B"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3.04</w:t>
            </w:r>
          </w:p>
        </w:tc>
        <w:tc>
          <w:tcPr>
            <w:tcW w:w="1529" w:type="dxa"/>
            <w:tcBorders>
              <w:top w:val="nil"/>
              <w:left w:val="nil"/>
              <w:bottom w:val="single" w:sz="8" w:space="0" w:color="2D8EC2"/>
              <w:right w:val="nil"/>
            </w:tcBorders>
            <w:shd w:val="clear" w:color="auto" w:fill="auto"/>
            <w:vAlign w:val="center"/>
            <w:hideMark/>
          </w:tcPr>
          <w:p w14:paraId="60926408"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2.01</w:t>
            </w:r>
          </w:p>
        </w:tc>
        <w:tc>
          <w:tcPr>
            <w:tcW w:w="1253" w:type="dxa"/>
            <w:tcBorders>
              <w:top w:val="nil"/>
              <w:left w:val="nil"/>
              <w:bottom w:val="single" w:sz="8" w:space="0" w:color="2D8EC2"/>
              <w:right w:val="nil"/>
            </w:tcBorders>
            <w:shd w:val="clear" w:color="auto" w:fill="auto"/>
            <w:vAlign w:val="center"/>
            <w:hideMark/>
          </w:tcPr>
          <w:p w14:paraId="6B147905"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-1.03</w:t>
            </w:r>
          </w:p>
        </w:tc>
        <w:tc>
          <w:tcPr>
            <w:tcW w:w="1338" w:type="dxa"/>
            <w:tcBorders>
              <w:top w:val="nil"/>
              <w:left w:val="nil"/>
              <w:bottom w:val="single" w:sz="8" w:space="0" w:color="2D8EC2"/>
              <w:right w:val="nil"/>
            </w:tcBorders>
            <w:shd w:val="clear" w:color="auto" w:fill="auto"/>
            <w:vAlign w:val="center"/>
            <w:hideMark/>
          </w:tcPr>
          <w:p w14:paraId="0B73A729"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1.82</w:t>
            </w:r>
          </w:p>
        </w:tc>
        <w:tc>
          <w:tcPr>
            <w:tcW w:w="1504" w:type="dxa"/>
            <w:tcBorders>
              <w:top w:val="nil"/>
              <w:left w:val="nil"/>
              <w:bottom w:val="single" w:sz="8" w:space="0" w:color="2D8EC2"/>
              <w:right w:val="nil"/>
            </w:tcBorders>
            <w:shd w:val="clear" w:color="auto" w:fill="auto"/>
            <w:vAlign w:val="center"/>
            <w:hideMark/>
          </w:tcPr>
          <w:p w14:paraId="6EE08A90"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1.2</w:t>
            </w:r>
          </w:p>
        </w:tc>
        <w:tc>
          <w:tcPr>
            <w:tcW w:w="1253" w:type="dxa"/>
            <w:tcBorders>
              <w:top w:val="nil"/>
              <w:left w:val="nil"/>
              <w:bottom w:val="single" w:sz="8" w:space="0" w:color="2D8EC2"/>
              <w:right w:val="nil"/>
            </w:tcBorders>
            <w:shd w:val="clear" w:color="auto" w:fill="auto"/>
            <w:vAlign w:val="center"/>
            <w:hideMark/>
          </w:tcPr>
          <w:p w14:paraId="373098C5"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-0.62</w:t>
            </w:r>
          </w:p>
        </w:tc>
        <w:tc>
          <w:tcPr>
            <w:tcW w:w="1253" w:type="dxa"/>
            <w:tcBorders>
              <w:top w:val="nil"/>
              <w:left w:val="nil"/>
              <w:bottom w:val="single" w:sz="8" w:space="0" w:color="2D8EC2"/>
              <w:right w:val="nil"/>
            </w:tcBorders>
            <w:shd w:val="clear" w:color="auto" w:fill="auto"/>
            <w:vAlign w:val="center"/>
            <w:hideMark/>
          </w:tcPr>
          <w:p w14:paraId="5E618B1E"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-0.006</w:t>
            </w:r>
          </w:p>
        </w:tc>
        <w:tc>
          <w:tcPr>
            <w:tcW w:w="1492" w:type="dxa"/>
            <w:tcBorders>
              <w:top w:val="nil"/>
              <w:left w:val="nil"/>
              <w:bottom w:val="single" w:sz="8" w:space="0" w:color="2D8EC2"/>
              <w:right w:val="nil"/>
            </w:tcBorders>
            <w:shd w:val="clear" w:color="auto" w:fill="auto"/>
            <w:vAlign w:val="center"/>
            <w:hideMark/>
          </w:tcPr>
          <w:p w14:paraId="5F22D7A9"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-0.0062</w:t>
            </w:r>
          </w:p>
        </w:tc>
      </w:tr>
      <w:tr w:rsidR="004379FD" w:rsidRPr="00C00232" w14:paraId="3BE5AA1B" w14:textId="77777777" w:rsidTr="004379FD">
        <w:trPr>
          <w:trHeight w:val="735"/>
        </w:trPr>
        <w:tc>
          <w:tcPr>
            <w:tcW w:w="1723" w:type="dxa"/>
            <w:tcBorders>
              <w:top w:val="nil"/>
              <w:left w:val="nil"/>
              <w:bottom w:val="single" w:sz="8" w:space="0" w:color="2D8EC2"/>
              <w:right w:val="nil"/>
            </w:tcBorders>
            <w:shd w:val="clear" w:color="auto" w:fill="auto"/>
            <w:vAlign w:val="center"/>
            <w:hideMark/>
          </w:tcPr>
          <w:p w14:paraId="7A330F60" w14:textId="77777777" w:rsidR="004379FD" w:rsidRPr="00C00232" w:rsidRDefault="004379FD" w:rsidP="004379FD">
            <w:pPr>
              <w:spacing w:line="259" w:lineRule="auto"/>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 xml:space="preserve">V2 – V3: </w:t>
            </w:r>
            <w:r>
              <w:rPr>
                <w:rFonts w:asciiTheme="minorHAnsi" w:eastAsia="Times New Roman" w:hAnsiTheme="minorHAnsi" w:cstheme="minorHAnsi"/>
                <w:color w:val="000000"/>
                <w:sz w:val="20"/>
                <w:lang w:eastAsia="en-AU"/>
              </w:rPr>
              <w:t>Operational</w:t>
            </w:r>
            <w:r w:rsidRPr="00C00232">
              <w:rPr>
                <w:rFonts w:asciiTheme="minorHAnsi" w:eastAsia="Times New Roman" w:hAnsiTheme="minorHAnsi" w:cstheme="minorHAnsi"/>
                <w:color w:val="000000"/>
                <w:sz w:val="20"/>
                <w:lang w:eastAsia="en-AU"/>
              </w:rPr>
              <w:t xml:space="preserve"> flow</w:t>
            </w:r>
          </w:p>
        </w:tc>
        <w:tc>
          <w:tcPr>
            <w:tcW w:w="1244" w:type="dxa"/>
            <w:tcBorders>
              <w:top w:val="nil"/>
              <w:left w:val="nil"/>
              <w:bottom w:val="single" w:sz="8" w:space="0" w:color="2D8EC2"/>
              <w:right w:val="nil"/>
            </w:tcBorders>
            <w:shd w:val="clear" w:color="auto" w:fill="auto"/>
            <w:vAlign w:val="center"/>
            <w:hideMark/>
          </w:tcPr>
          <w:p w14:paraId="13E1CA18"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252.37</w:t>
            </w:r>
          </w:p>
        </w:tc>
        <w:tc>
          <w:tcPr>
            <w:tcW w:w="1261" w:type="dxa"/>
            <w:tcBorders>
              <w:top w:val="nil"/>
              <w:left w:val="nil"/>
              <w:bottom w:val="single" w:sz="8" w:space="0" w:color="2D8EC2"/>
              <w:right w:val="nil"/>
            </w:tcBorders>
            <w:shd w:val="clear" w:color="auto" w:fill="auto"/>
            <w:vAlign w:val="center"/>
            <w:hideMark/>
          </w:tcPr>
          <w:p w14:paraId="5812A3B4"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2.18</w:t>
            </w:r>
          </w:p>
        </w:tc>
        <w:tc>
          <w:tcPr>
            <w:tcW w:w="1529" w:type="dxa"/>
            <w:tcBorders>
              <w:top w:val="nil"/>
              <w:left w:val="nil"/>
              <w:bottom w:val="single" w:sz="8" w:space="0" w:color="2D8EC2"/>
              <w:right w:val="nil"/>
            </w:tcBorders>
            <w:shd w:val="clear" w:color="auto" w:fill="auto"/>
            <w:vAlign w:val="center"/>
            <w:hideMark/>
          </w:tcPr>
          <w:p w14:paraId="5E1F17F1"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1.54</w:t>
            </w:r>
          </w:p>
        </w:tc>
        <w:tc>
          <w:tcPr>
            <w:tcW w:w="1253" w:type="dxa"/>
            <w:tcBorders>
              <w:top w:val="nil"/>
              <w:left w:val="nil"/>
              <w:bottom w:val="single" w:sz="8" w:space="0" w:color="2D8EC2"/>
              <w:right w:val="nil"/>
            </w:tcBorders>
            <w:shd w:val="clear" w:color="auto" w:fill="auto"/>
            <w:vAlign w:val="center"/>
            <w:hideMark/>
          </w:tcPr>
          <w:p w14:paraId="69E65370"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-0.64</w:t>
            </w:r>
          </w:p>
        </w:tc>
        <w:tc>
          <w:tcPr>
            <w:tcW w:w="1338" w:type="dxa"/>
            <w:tcBorders>
              <w:top w:val="nil"/>
              <w:left w:val="nil"/>
              <w:bottom w:val="single" w:sz="8" w:space="0" w:color="2D8EC2"/>
              <w:right w:val="nil"/>
            </w:tcBorders>
            <w:shd w:val="clear" w:color="auto" w:fill="auto"/>
            <w:vAlign w:val="center"/>
            <w:hideMark/>
          </w:tcPr>
          <w:p w14:paraId="441BD631"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0.86</w:t>
            </w:r>
          </w:p>
        </w:tc>
        <w:tc>
          <w:tcPr>
            <w:tcW w:w="1504" w:type="dxa"/>
            <w:tcBorders>
              <w:top w:val="nil"/>
              <w:left w:val="nil"/>
              <w:bottom w:val="single" w:sz="8" w:space="0" w:color="2D8EC2"/>
              <w:right w:val="nil"/>
            </w:tcBorders>
            <w:shd w:val="clear" w:color="auto" w:fill="auto"/>
            <w:vAlign w:val="center"/>
            <w:hideMark/>
          </w:tcPr>
          <w:p w14:paraId="7AF4DBDB"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0.61</w:t>
            </w:r>
          </w:p>
        </w:tc>
        <w:tc>
          <w:tcPr>
            <w:tcW w:w="1253" w:type="dxa"/>
            <w:tcBorders>
              <w:top w:val="nil"/>
              <w:left w:val="nil"/>
              <w:bottom w:val="single" w:sz="8" w:space="0" w:color="2D8EC2"/>
              <w:right w:val="nil"/>
            </w:tcBorders>
            <w:shd w:val="clear" w:color="auto" w:fill="auto"/>
            <w:vAlign w:val="center"/>
            <w:hideMark/>
          </w:tcPr>
          <w:p w14:paraId="1EA35A65"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-0.26</w:t>
            </w:r>
          </w:p>
        </w:tc>
        <w:tc>
          <w:tcPr>
            <w:tcW w:w="1253" w:type="dxa"/>
            <w:tcBorders>
              <w:top w:val="nil"/>
              <w:left w:val="nil"/>
              <w:bottom w:val="single" w:sz="8" w:space="0" w:color="2D8EC2"/>
              <w:right w:val="nil"/>
            </w:tcBorders>
            <w:shd w:val="clear" w:color="auto" w:fill="auto"/>
            <w:vAlign w:val="center"/>
            <w:hideMark/>
          </w:tcPr>
          <w:p w14:paraId="7BCF95A7"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-0.003</w:t>
            </w:r>
          </w:p>
        </w:tc>
        <w:tc>
          <w:tcPr>
            <w:tcW w:w="1492" w:type="dxa"/>
            <w:tcBorders>
              <w:top w:val="nil"/>
              <w:left w:val="nil"/>
              <w:bottom w:val="single" w:sz="8" w:space="0" w:color="2D8EC2"/>
              <w:right w:val="nil"/>
            </w:tcBorders>
            <w:shd w:val="clear" w:color="auto" w:fill="auto"/>
            <w:vAlign w:val="center"/>
            <w:hideMark/>
          </w:tcPr>
          <w:p w14:paraId="65AD1403"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-0.0025</w:t>
            </w:r>
          </w:p>
        </w:tc>
      </w:tr>
      <w:tr w:rsidR="004379FD" w:rsidRPr="00C00232" w14:paraId="3569730E" w14:textId="77777777" w:rsidTr="004379FD">
        <w:trPr>
          <w:trHeight w:val="735"/>
        </w:trPr>
        <w:tc>
          <w:tcPr>
            <w:tcW w:w="1723" w:type="dxa"/>
            <w:tcBorders>
              <w:top w:val="nil"/>
              <w:left w:val="nil"/>
              <w:bottom w:val="single" w:sz="8" w:space="0" w:color="2D8EC2"/>
              <w:right w:val="nil"/>
            </w:tcBorders>
            <w:shd w:val="clear" w:color="auto" w:fill="auto"/>
            <w:vAlign w:val="center"/>
            <w:hideMark/>
          </w:tcPr>
          <w:p w14:paraId="74BBA0AD" w14:textId="77777777" w:rsidR="004379FD" w:rsidRPr="00C00232" w:rsidRDefault="004379FD" w:rsidP="004379FD">
            <w:pPr>
              <w:spacing w:line="259" w:lineRule="auto"/>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V3 – V4: Unregulated flow</w:t>
            </w:r>
          </w:p>
        </w:tc>
        <w:tc>
          <w:tcPr>
            <w:tcW w:w="1244" w:type="dxa"/>
            <w:tcBorders>
              <w:top w:val="nil"/>
              <w:left w:val="nil"/>
              <w:bottom w:val="single" w:sz="8" w:space="0" w:color="2D8EC2"/>
              <w:right w:val="nil"/>
            </w:tcBorders>
            <w:shd w:val="clear" w:color="auto" w:fill="auto"/>
            <w:vAlign w:val="center"/>
            <w:hideMark/>
          </w:tcPr>
          <w:p w14:paraId="5D100901"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325.94</w:t>
            </w:r>
          </w:p>
        </w:tc>
        <w:tc>
          <w:tcPr>
            <w:tcW w:w="1261" w:type="dxa"/>
            <w:tcBorders>
              <w:top w:val="nil"/>
              <w:left w:val="nil"/>
              <w:bottom w:val="single" w:sz="8" w:space="0" w:color="2D8EC2"/>
              <w:right w:val="nil"/>
            </w:tcBorders>
            <w:shd w:val="clear" w:color="auto" w:fill="auto"/>
            <w:vAlign w:val="center"/>
            <w:hideMark/>
          </w:tcPr>
          <w:p w14:paraId="4B364474"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w:t>
            </w:r>
          </w:p>
        </w:tc>
        <w:tc>
          <w:tcPr>
            <w:tcW w:w="1529" w:type="dxa"/>
            <w:tcBorders>
              <w:top w:val="nil"/>
              <w:left w:val="nil"/>
              <w:bottom w:val="single" w:sz="8" w:space="0" w:color="2D8EC2"/>
              <w:right w:val="nil"/>
            </w:tcBorders>
            <w:shd w:val="clear" w:color="auto" w:fill="auto"/>
            <w:vAlign w:val="center"/>
            <w:hideMark/>
          </w:tcPr>
          <w:p w14:paraId="7BECEEDA"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w:t>
            </w:r>
          </w:p>
        </w:tc>
        <w:tc>
          <w:tcPr>
            <w:tcW w:w="1253" w:type="dxa"/>
            <w:tcBorders>
              <w:top w:val="nil"/>
              <w:left w:val="nil"/>
              <w:bottom w:val="single" w:sz="8" w:space="0" w:color="2D8EC2"/>
              <w:right w:val="nil"/>
            </w:tcBorders>
            <w:shd w:val="clear" w:color="auto" w:fill="auto"/>
            <w:vAlign w:val="center"/>
            <w:hideMark/>
          </w:tcPr>
          <w:p w14:paraId="4B9423CC"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w:t>
            </w:r>
          </w:p>
        </w:tc>
        <w:tc>
          <w:tcPr>
            <w:tcW w:w="1338" w:type="dxa"/>
            <w:tcBorders>
              <w:top w:val="nil"/>
              <w:left w:val="nil"/>
              <w:bottom w:val="single" w:sz="8" w:space="0" w:color="2D8EC2"/>
              <w:right w:val="nil"/>
            </w:tcBorders>
            <w:shd w:val="clear" w:color="auto" w:fill="auto"/>
            <w:vAlign w:val="center"/>
            <w:hideMark/>
          </w:tcPr>
          <w:p w14:paraId="0D2E13AB"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w:t>
            </w:r>
          </w:p>
        </w:tc>
        <w:tc>
          <w:tcPr>
            <w:tcW w:w="1504" w:type="dxa"/>
            <w:tcBorders>
              <w:top w:val="nil"/>
              <w:left w:val="nil"/>
              <w:bottom w:val="single" w:sz="8" w:space="0" w:color="2D8EC2"/>
              <w:right w:val="nil"/>
            </w:tcBorders>
            <w:shd w:val="clear" w:color="auto" w:fill="auto"/>
            <w:vAlign w:val="center"/>
            <w:hideMark/>
          </w:tcPr>
          <w:p w14:paraId="3BB53055"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w:t>
            </w:r>
          </w:p>
        </w:tc>
        <w:tc>
          <w:tcPr>
            <w:tcW w:w="1253" w:type="dxa"/>
            <w:tcBorders>
              <w:top w:val="nil"/>
              <w:left w:val="nil"/>
              <w:bottom w:val="single" w:sz="8" w:space="0" w:color="2D8EC2"/>
              <w:right w:val="nil"/>
            </w:tcBorders>
            <w:shd w:val="clear" w:color="auto" w:fill="auto"/>
            <w:vAlign w:val="center"/>
            <w:hideMark/>
          </w:tcPr>
          <w:p w14:paraId="310C02F9"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w:t>
            </w:r>
          </w:p>
        </w:tc>
        <w:tc>
          <w:tcPr>
            <w:tcW w:w="1253" w:type="dxa"/>
            <w:tcBorders>
              <w:top w:val="nil"/>
              <w:left w:val="nil"/>
              <w:bottom w:val="single" w:sz="8" w:space="0" w:color="2D8EC2"/>
              <w:right w:val="nil"/>
            </w:tcBorders>
            <w:shd w:val="clear" w:color="auto" w:fill="auto"/>
            <w:vAlign w:val="center"/>
            <w:hideMark/>
          </w:tcPr>
          <w:p w14:paraId="34DAD8FC"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0.000</w:t>
            </w:r>
          </w:p>
        </w:tc>
        <w:tc>
          <w:tcPr>
            <w:tcW w:w="1492" w:type="dxa"/>
            <w:tcBorders>
              <w:top w:val="nil"/>
              <w:left w:val="nil"/>
              <w:bottom w:val="single" w:sz="8" w:space="0" w:color="2D8EC2"/>
              <w:right w:val="nil"/>
            </w:tcBorders>
            <w:shd w:val="clear" w:color="auto" w:fill="auto"/>
            <w:vAlign w:val="center"/>
            <w:hideMark/>
          </w:tcPr>
          <w:p w14:paraId="4AC2FCCF"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0.0000</w:t>
            </w:r>
          </w:p>
        </w:tc>
      </w:tr>
      <w:tr w:rsidR="004379FD" w:rsidRPr="00C00232" w14:paraId="2D8826BF" w14:textId="77777777" w:rsidTr="004379FD">
        <w:trPr>
          <w:trHeight w:val="978"/>
        </w:trPr>
        <w:tc>
          <w:tcPr>
            <w:tcW w:w="1723" w:type="dxa"/>
            <w:tcBorders>
              <w:top w:val="nil"/>
              <w:left w:val="nil"/>
              <w:bottom w:val="single" w:sz="8" w:space="0" w:color="2D8EC2"/>
              <w:right w:val="nil"/>
            </w:tcBorders>
            <w:shd w:val="clear" w:color="auto" w:fill="auto"/>
            <w:vAlign w:val="center"/>
            <w:hideMark/>
          </w:tcPr>
          <w:p w14:paraId="296FC278" w14:textId="77777777" w:rsidR="004379FD" w:rsidRPr="00C00232" w:rsidRDefault="004379FD" w:rsidP="004379FD">
            <w:pPr>
              <w:spacing w:line="259" w:lineRule="auto"/>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 xml:space="preserve">V1 – V3: </w:t>
            </w:r>
            <w:r>
              <w:rPr>
                <w:rFonts w:asciiTheme="minorHAnsi" w:eastAsia="Times New Roman" w:hAnsiTheme="minorHAnsi" w:cstheme="minorHAnsi"/>
                <w:color w:val="000000"/>
                <w:sz w:val="20"/>
                <w:lang w:eastAsia="en-AU"/>
              </w:rPr>
              <w:t>SCF</w:t>
            </w:r>
            <w:r w:rsidRPr="00C00232">
              <w:rPr>
                <w:rFonts w:asciiTheme="minorHAnsi" w:eastAsia="Times New Roman" w:hAnsiTheme="minorHAnsi" w:cstheme="minorHAnsi"/>
                <w:color w:val="000000"/>
                <w:sz w:val="20"/>
                <w:lang w:eastAsia="en-AU"/>
              </w:rPr>
              <w:t xml:space="preserve"> + </w:t>
            </w:r>
            <w:r>
              <w:rPr>
                <w:rFonts w:asciiTheme="minorHAnsi" w:eastAsia="Times New Roman" w:hAnsiTheme="minorHAnsi" w:cstheme="minorHAnsi"/>
                <w:color w:val="000000"/>
                <w:sz w:val="20"/>
                <w:lang w:eastAsia="en-AU"/>
              </w:rPr>
              <w:t>Operational</w:t>
            </w:r>
            <w:r w:rsidRPr="00C00232">
              <w:rPr>
                <w:rFonts w:asciiTheme="minorHAnsi" w:eastAsia="Times New Roman" w:hAnsiTheme="minorHAnsi" w:cstheme="minorHAnsi"/>
                <w:color w:val="000000"/>
                <w:sz w:val="20"/>
                <w:lang w:eastAsia="en-AU"/>
              </w:rPr>
              <w:t xml:space="preserve"> flow</w:t>
            </w:r>
          </w:p>
        </w:tc>
        <w:tc>
          <w:tcPr>
            <w:tcW w:w="1244" w:type="dxa"/>
            <w:tcBorders>
              <w:top w:val="nil"/>
              <w:left w:val="nil"/>
              <w:bottom w:val="single" w:sz="8" w:space="0" w:color="2D8EC2"/>
              <w:right w:val="nil"/>
            </w:tcBorders>
            <w:shd w:val="clear" w:color="auto" w:fill="auto"/>
            <w:vAlign w:val="center"/>
            <w:hideMark/>
          </w:tcPr>
          <w:p w14:paraId="3F843C07"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252.5</w:t>
            </w:r>
          </w:p>
        </w:tc>
        <w:tc>
          <w:tcPr>
            <w:tcW w:w="1261" w:type="dxa"/>
            <w:tcBorders>
              <w:top w:val="nil"/>
              <w:left w:val="nil"/>
              <w:bottom w:val="single" w:sz="8" w:space="0" w:color="2D8EC2"/>
              <w:right w:val="nil"/>
            </w:tcBorders>
            <w:shd w:val="clear" w:color="auto" w:fill="auto"/>
            <w:vAlign w:val="center"/>
            <w:hideMark/>
          </w:tcPr>
          <w:p w14:paraId="4EFFA87E"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5.83</w:t>
            </w:r>
          </w:p>
        </w:tc>
        <w:tc>
          <w:tcPr>
            <w:tcW w:w="1529" w:type="dxa"/>
            <w:tcBorders>
              <w:top w:val="nil"/>
              <w:left w:val="nil"/>
              <w:bottom w:val="single" w:sz="8" w:space="0" w:color="2D8EC2"/>
              <w:right w:val="nil"/>
            </w:tcBorders>
            <w:shd w:val="clear" w:color="auto" w:fill="auto"/>
            <w:vAlign w:val="center"/>
            <w:hideMark/>
          </w:tcPr>
          <w:p w14:paraId="40EFBC58"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2.08</w:t>
            </w:r>
          </w:p>
        </w:tc>
        <w:tc>
          <w:tcPr>
            <w:tcW w:w="1253" w:type="dxa"/>
            <w:tcBorders>
              <w:top w:val="nil"/>
              <w:left w:val="nil"/>
              <w:bottom w:val="single" w:sz="8" w:space="0" w:color="2D8EC2"/>
              <w:right w:val="nil"/>
            </w:tcBorders>
            <w:shd w:val="clear" w:color="auto" w:fill="auto"/>
            <w:vAlign w:val="center"/>
            <w:hideMark/>
          </w:tcPr>
          <w:p w14:paraId="48195C40"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-3.75</w:t>
            </w:r>
          </w:p>
        </w:tc>
        <w:tc>
          <w:tcPr>
            <w:tcW w:w="1338" w:type="dxa"/>
            <w:tcBorders>
              <w:top w:val="nil"/>
              <w:left w:val="nil"/>
              <w:bottom w:val="single" w:sz="8" w:space="0" w:color="2D8EC2"/>
              <w:right w:val="nil"/>
            </w:tcBorders>
            <w:shd w:val="clear" w:color="auto" w:fill="auto"/>
            <w:vAlign w:val="center"/>
            <w:hideMark/>
          </w:tcPr>
          <w:p w14:paraId="0FF4ECC1"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2.31</w:t>
            </w:r>
          </w:p>
        </w:tc>
        <w:tc>
          <w:tcPr>
            <w:tcW w:w="1504" w:type="dxa"/>
            <w:tcBorders>
              <w:top w:val="nil"/>
              <w:left w:val="nil"/>
              <w:bottom w:val="single" w:sz="8" w:space="0" w:color="2D8EC2"/>
              <w:right w:val="nil"/>
            </w:tcBorders>
            <w:shd w:val="clear" w:color="auto" w:fill="auto"/>
            <w:vAlign w:val="center"/>
            <w:hideMark/>
          </w:tcPr>
          <w:p w14:paraId="422B5200" w14:textId="77777777" w:rsidR="004379FD" w:rsidRPr="00C00232" w:rsidRDefault="004379FD" w:rsidP="004379FD">
            <w:pPr>
              <w:spacing w:line="259" w:lineRule="auto"/>
              <w:jc w:val="center"/>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0.82</w:t>
            </w:r>
          </w:p>
        </w:tc>
        <w:tc>
          <w:tcPr>
            <w:tcW w:w="1253" w:type="dxa"/>
            <w:tcBorders>
              <w:top w:val="nil"/>
              <w:left w:val="nil"/>
              <w:bottom w:val="single" w:sz="8" w:space="0" w:color="2D8EC2"/>
              <w:right w:val="nil"/>
            </w:tcBorders>
            <w:shd w:val="clear" w:color="auto" w:fill="auto"/>
            <w:vAlign w:val="center"/>
            <w:hideMark/>
          </w:tcPr>
          <w:p w14:paraId="12F59216"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-1.49</w:t>
            </w:r>
          </w:p>
        </w:tc>
        <w:tc>
          <w:tcPr>
            <w:tcW w:w="1253" w:type="dxa"/>
            <w:tcBorders>
              <w:top w:val="nil"/>
              <w:left w:val="nil"/>
              <w:bottom w:val="single" w:sz="8" w:space="0" w:color="2D8EC2"/>
              <w:right w:val="nil"/>
            </w:tcBorders>
            <w:shd w:val="clear" w:color="auto" w:fill="auto"/>
            <w:vAlign w:val="center"/>
            <w:hideMark/>
          </w:tcPr>
          <w:p w14:paraId="71F1FF6D"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-0.015</w:t>
            </w:r>
          </w:p>
        </w:tc>
        <w:tc>
          <w:tcPr>
            <w:tcW w:w="1492" w:type="dxa"/>
            <w:tcBorders>
              <w:top w:val="nil"/>
              <w:left w:val="nil"/>
              <w:bottom w:val="single" w:sz="8" w:space="0" w:color="2D8EC2"/>
              <w:right w:val="nil"/>
            </w:tcBorders>
            <w:shd w:val="clear" w:color="auto" w:fill="auto"/>
            <w:vAlign w:val="center"/>
            <w:hideMark/>
          </w:tcPr>
          <w:p w14:paraId="6BE0E398" w14:textId="77777777" w:rsidR="004379FD" w:rsidRPr="00C00232" w:rsidRDefault="004379FD" w:rsidP="004379FD">
            <w:pPr>
              <w:spacing w:line="259" w:lineRule="auto"/>
              <w:jc w:val="right"/>
              <w:rPr>
                <w:rFonts w:asciiTheme="minorHAnsi" w:eastAsia="Times New Roman" w:hAnsiTheme="minorHAnsi" w:cstheme="minorHAnsi"/>
                <w:color w:val="000000"/>
                <w:sz w:val="20"/>
                <w:lang w:eastAsia="en-AU"/>
              </w:rPr>
            </w:pPr>
            <w:r w:rsidRPr="00C00232">
              <w:rPr>
                <w:rFonts w:asciiTheme="minorHAnsi" w:eastAsia="Times New Roman" w:hAnsiTheme="minorHAnsi" w:cstheme="minorHAnsi"/>
                <w:color w:val="000000"/>
                <w:sz w:val="20"/>
                <w:lang w:eastAsia="en-AU"/>
              </w:rPr>
              <w:t>-0.0149</w:t>
            </w:r>
          </w:p>
        </w:tc>
      </w:tr>
    </w:tbl>
    <w:p w14:paraId="5B432FD9" w14:textId="77777777" w:rsidR="004379FD" w:rsidRDefault="004379FD" w:rsidP="004379FD">
      <w:pPr>
        <w:pStyle w:val="Normalnumbered"/>
        <w:numPr>
          <w:ilvl w:val="0"/>
          <w:numId w:val="0"/>
        </w:numPr>
        <w:tabs>
          <w:tab w:val="left" w:pos="720"/>
        </w:tabs>
        <w:spacing w:line="259" w:lineRule="auto"/>
        <w:ind w:left="360" w:hanging="360"/>
        <w:rPr>
          <w:rFonts w:asciiTheme="minorHAnsi" w:hAnsiTheme="minorHAnsi" w:cstheme="minorHAnsi"/>
          <w:sz w:val="22"/>
        </w:rPr>
      </w:pPr>
    </w:p>
    <w:p w14:paraId="3B8F7618" w14:textId="77777777" w:rsidR="004379FD" w:rsidRDefault="004379FD" w:rsidP="004379FD">
      <w:pPr>
        <w:pStyle w:val="Normalnumbered"/>
        <w:numPr>
          <w:ilvl w:val="0"/>
          <w:numId w:val="0"/>
        </w:numPr>
        <w:tabs>
          <w:tab w:val="left" w:pos="720"/>
        </w:tabs>
        <w:spacing w:line="259" w:lineRule="auto"/>
        <w:rPr>
          <w:rFonts w:asciiTheme="minorHAnsi" w:hAnsiTheme="minorHAnsi" w:cstheme="minorHAnsi"/>
          <w:sz w:val="22"/>
        </w:rPr>
        <w:sectPr w:rsidR="004379FD" w:rsidSect="004379FD">
          <w:pgSz w:w="16838" w:h="11906" w:orient="landscape"/>
          <w:pgMar w:top="1440" w:right="1440" w:bottom="1440" w:left="1440" w:header="708" w:footer="708" w:gutter="0"/>
          <w:cols w:space="708"/>
          <w:docGrid w:linePitch="360"/>
        </w:sectPr>
      </w:pPr>
    </w:p>
    <w:p w14:paraId="09B23D88"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191" w:name="_Toc52445288"/>
      <w:bookmarkStart w:id="192" w:name="_Toc15221362"/>
      <w:bookmarkStart w:id="193" w:name="_Toc52433885"/>
      <w:r w:rsidRPr="004379FD">
        <w:rPr>
          <w:rFonts w:asciiTheme="minorHAnsi" w:hAnsiTheme="minorHAnsi" w:cstheme="minorHAnsi"/>
          <w:b/>
          <w:color w:val="31849B" w:themeColor="accent5" w:themeShade="BF"/>
          <w:sz w:val="24"/>
          <w:szCs w:val="24"/>
        </w:rPr>
        <w:t>DEMODs and volume change for Edward/Kolety River (upstream site)</w:t>
      </w:r>
      <w:bookmarkEnd w:id="191"/>
    </w:p>
    <w:p w14:paraId="15EF3079" w14:textId="77777777" w:rsidR="004379FD" w:rsidRPr="00B529ED" w:rsidRDefault="004379FD" w:rsidP="004379FD">
      <w:pPr>
        <w:pStyle w:val="BodyText1"/>
        <w:spacing w:after="0" w:line="240" w:lineRule="auto"/>
      </w:pPr>
      <w:r w:rsidRPr="00B529ED">
        <w:rPr>
          <w:noProof/>
          <w:lang w:eastAsia="en-AU" w:bidi="ar-SA"/>
        </w:rPr>
        <w:drawing>
          <wp:inline distT="0" distB="0" distL="0" distR="0" wp14:anchorId="538E8B65" wp14:editId="1E86892B">
            <wp:extent cx="6116320" cy="2453005"/>
            <wp:effectExtent l="0" t="0" r="0" b="444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6116320" cy="2453005"/>
                    </a:xfrm>
                    <a:prstGeom prst="rect">
                      <a:avLst/>
                    </a:prstGeom>
                  </pic:spPr>
                </pic:pic>
              </a:graphicData>
            </a:graphic>
          </wp:inline>
        </w:drawing>
      </w:r>
    </w:p>
    <w:p w14:paraId="14234FED" w14:textId="77777777" w:rsidR="004379FD" w:rsidRPr="006C4992" w:rsidRDefault="004379FD" w:rsidP="008609C3">
      <w:pPr>
        <w:pStyle w:val="captions"/>
      </w:pPr>
      <w:bookmarkStart w:id="194" w:name="_Ref48833938"/>
      <w:bookmarkStart w:id="195" w:name="_Toc52433940"/>
      <w:r w:rsidRPr="006C4992">
        <w:t xml:space="preserve">Figure </w:t>
      </w:r>
      <w:r>
        <w:t>9.</w:t>
      </w:r>
      <w:bookmarkEnd w:id="194"/>
      <w:r>
        <w:t xml:space="preserve">49 </w:t>
      </w:r>
      <w:r w:rsidRPr="008609C3">
        <w:rPr>
          <w:b w:val="0"/>
        </w:rPr>
        <w:t>DEMOD comparing Edward/Kolety River Upstream Bank v1 to v3 (Left side of bank).</w:t>
      </w:r>
      <w:bookmarkEnd w:id="195"/>
    </w:p>
    <w:p w14:paraId="29BDF2E4" w14:textId="77777777" w:rsidR="004379FD" w:rsidRPr="00B529ED" w:rsidRDefault="004379FD" w:rsidP="004379FD">
      <w:pPr>
        <w:pStyle w:val="BodyText1"/>
        <w:spacing w:after="0" w:line="240" w:lineRule="auto"/>
      </w:pPr>
      <w:r w:rsidRPr="00B529ED">
        <w:rPr>
          <w:noProof/>
          <w:lang w:eastAsia="en-AU" w:bidi="ar-SA"/>
        </w:rPr>
        <w:drawing>
          <wp:inline distT="0" distB="0" distL="0" distR="0" wp14:anchorId="2A490A8B" wp14:editId="4F263AC1">
            <wp:extent cx="6116320" cy="2458085"/>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6116320" cy="2458085"/>
                    </a:xfrm>
                    <a:prstGeom prst="rect">
                      <a:avLst/>
                    </a:prstGeom>
                  </pic:spPr>
                </pic:pic>
              </a:graphicData>
            </a:graphic>
          </wp:inline>
        </w:drawing>
      </w:r>
    </w:p>
    <w:p w14:paraId="771BECB7" w14:textId="77777777" w:rsidR="004379FD" w:rsidRPr="008609C3" w:rsidRDefault="004379FD" w:rsidP="008609C3">
      <w:pPr>
        <w:pStyle w:val="captions"/>
        <w:rPr>
          <w:b w:val="0"/>
        </w:rPr>
      </w:pPr>
      <w:bookmarkStart w:id="196" w:name="_Toc52433941"/>
      <w:r w:rsidRPr="006C4992">
        <w:t xml:space="preserve">Figure </w:t>
      </w:r>
      <w:r>
        <w:t xml:space="preserve">9.50 </w:t>
      </w:r>
      <w:r w:rsidRPr="008609C3">
        <w:rPr>
          <w:b w:val="0"/>
        </w:rPr>
        <w:t>DEMOD comparing Edward/Kolety River Upstream Bank v1 to v3 (Right side of bank).</w:t>
      </w:r>
      <w:bookmarkEnd w:id="196"/>
    </w:p>
    <w:p w14:paraId="05552B29" w14:textId="77777777" w:rsidR="004379FD" w:rsidRDefault="004379FD" w:rsidP="004379FD">
      <w:pPr>
        <w:pStyle w:val="BodyText1"/>
        <w:spacing w:after="0" w:line="240" w:lineRule="auto"/>
      </w:pPr>
      <w:r w:rsidRPr="002E2AEC">
        <w:rPr>
          <w:noProof/>
          <w:lang w:eastAsia="en-AU" w:bidi="ar-SA"/>
        </w:rPr>
        <w:drawing>
          <wp:inline distT="0" distB="0" distL="0" distR="0" wp14:anchorId="08A8EA2A" wp14:editId="532BFDE3">
            <wp:extent cx="6116320" cy="1614805"/>
            <wp:effectExtent l="0" t="0" r="0" b="4445"/>
            <wp:docPr id="39" name="Picture 19">
              <a:extLst xmlns:a="http://schemas.openxmlformats.org/drawingml/2006/main">
                <a:ext uri="{FF2B5EF4-FFF2-40B4-BE49-F238E27FC236}">
                  <a16:creationId xmlns:a16="http://schemas.microsoft.com/office/drawing/2014/main" id="{DBCBC4E8-9D50-4AAA-9C29-7BED1E8BF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DBCBC4E8-9D50-4AAA-9C29-7BED1E8BFBE4}"/>
                        </a:ext>
                      </a:extLst>
                    </pic:cNvPr>
                    <pic:cNvPicPr>
                      <a:picLocks noChangeAspect="1"/>
                    </pic:cNvPicPr>
                  </pic:nvPicPr>
                  <pic:blipFill>
                    <a:blip r:embed="rId173" cstate="email">
                      <a:extLst>
                        <a:ext uri="{28A0092B-C50C-407E-A947-70E740481C1C}">
                          <a14:useLocalDpi xmlns:a14="http://schemas.microsoft.com/office/drawing/2010/main"/>
                        </a:ext>
                      </a:extLst>
                    </a:blip>
                    <a:stretch>
                      <a:fillRect/>
                    </a:stretch>
                  </pic:blipFill>
                  <pic:spPr>
                    <a:xfrm>
                      <a:off x="0" y="0"/>
                      <a:ext cx="6116320" cy="1614805"/>
                    </a:xfrm>
                    <a:prstGeom prst="rect">
                      <a:avLst/>
                    </a:prstGeom>
                  </pic:spPr>
                </pic:pic>
              </a:graphicData>
            </a:graphic>
          </wp:inline>
        </w:drawing>
      </w:r>
    </w:p>
    <w:p w14:paraId="2F656EFB" w14:textId="77777777" w:rsidR="004379FD" w:rsidRPr="00400C22" w:rsidRDefault="004379FD" w:rsidP="008609C3">
      <w:pPr>
        <w:pStyle w:val="captions"/>
      </w:pPr>
      <w:bookmarkStart w:id="197" w:name="_Toc52433942"/>
      <w:r w:rsidRPr="006C4992">
        <w:t xml:space="preserve">Figure </w:t>
      </w:r>
      <w:r>
        <w:t xml:space="preserve">9.50 </w:t>
      </w:r>
      <w:r w:rsidRPr="008609C3">
        <w:rPr>
          <w:b w:val="0"/>
        </w:rPr>
        <w:t>DEMOD comparing visit 3 to 4 at Edward/Kolety River upstream site.</w:t>
      </w:r>
      <w:bookmarkEnd w:id="197"/>
    </w:p>
    <w:p w14:paraId="615F57AB" w14:textId="77777777" w:rsidR="004379FD" w:rsidRDefault="004379FD" w:rsidP="004379FD">
      <w:pPr>
        <w:spacing w:after="160" w:line="259" w:lineRule="auto"/>
        <w:rPr>
          <w:rStyle w:val="TOCHeadingChar"/>
          <w:rFonts w:asciiTheme="minorHAnsi" w:eastAsiaTheme="minorEastAsia" w:hAnsiTheme="minorHAnsi" w:cstheme="minorHAnsi"/>
          <w:b/>
          <w:sz w:val="20"/>
        </w:rPr>
      </w:pPr>
      <w:bookmarkStart w:id="198" w:name="_Toc52433884"/>
      <w:r>
        <w:rPr>
          <w:rStyle w:val="TOCHeadingChar"/>
          <w:rFonts w:asciiTheme="minorHAnsi" w:eastAsiaTheme="minorEastAsia" w:hAnsiTheme="minorHAnsi" w:cstheme="minorHAnsi"/>
          <w:b/>
        </w:rPr>
        <w:br w:type="page"/>
      </w:r>
    </w:p>
    <w:p w14:paraId="21B315B6" w14:textId="229CADDC" w:rsidR="004379FD" w:rsidRPr="006C4992" w:rsidRDefault="004379FD" w:rsidP="004379FD">
      <w:pPr>
        <w:pStyle w:val="Normalnumbered"/>
        <w:numPr>
          <w:ilvl w:val="0"/>
          <w:numId w:val="0"/>
        </w:numPr>
        <w:rPr>
          <w:rFonts w:asciiTheme="minorHAnsi" w:hAnsiTheme="minorHAnsi" w:cstheme="minorHAnsi"/>
          <w:color w:val="000000" w:themeColor="text1"/>
        </w:rPr>
      </w:pPr>
      <w:r w:rsidRPr="006C4992">
        <w:rPr>
          <w:rStyle w:val="TOCHeadingChar"/>
          <w:rFonts w:asciiTheme="minorHAnsi" w:hAnsiTheme="minorHAnsi" w:cstheme="minorHAnsi"/>
          <w:b/>
        </w:rPr>
        <w:t xml:space="preserve">Table </w:t>
      </w:r>
      <w:r w:rsidR="00AD6D18">
        <w:rPr>
          <w:rStyle w:val="TOCHeadingChar"/>
          <w:rFonts w:asciiTheme="minorHAnsi" w:hAnsiTheme="minorHAnsi" w:cstheme="minorHAnsi"/>
          <w:b/>
        </w:rPr>
        <w:t>9</w:t>
      </w:r>
      <w:r w:rsidRPr="006C4992">
        <w:rPr>
          <w:rStyle w:val="TOCHeadingChar"/>
          <w:rFonts w:asciiTheme="minorHAnsi" w:hAnsiTheme="minorHAnsi" w:cstheme="minorHAnsi"/>
          <w:b/>
        </w:rPr>
        <w:t>.</w:t>
      </w:r>
      <w:r w:rsidR="00AD6D18">
        <w:rPr>
          <w:rStyle w:val="TOCHeadingChar"/>
          <w:rFonts w:asciiTheme="minorHAnsi" w:hAnsiTheme="minorHAnsi" w:cstheme="minorHAnsi"/>
          <w:b/>
        </w:rPr>
        <w:t>1</w:t>
      </w:r>
      <w:r w:rsidRPr="006C4992">
        <w:rPr>
          <w:rStyle w:val="TOCHeadingChar"/>
          <w:rFonts w:asciiTheme="minorHAnsi" w:hAnsiTheme="minorHAnsi" w:cstheme="minorHAnsi"/>
          <w:b/>
        </w:rPr>
        <w:fldChar w:fldCharType="begin"/>
      </w:r>
      <w:r w:rsidRPr="006C4992">
        <w:rPr>
          <w:rStyle w:val="TOCHeadingChar"/>
          <w:rFonts w:asciiTheme="minorHAnsi" w:hAnsiTheme="minorHAnsi" w:cstheme="minorHAnsi"/>
          <w:b/>
        </w:rPr>
        <w:instrText xml:space="preserve"> SEQ Table \* ARABIC \s 1 </w:instrText>
      </w:r>
      <w:r w:rsidRPr="006C4992">
        <w:rPr>
          <w:rStyle w:val="TOCHeadingChar"/>
          <w:rFonts w:asciiTheme="minorHAnsi" w:hAnsiTheme="minorHAnsi" w:cstheme="minorHAnsi"/>
          <w:b/>
        </w:rPr>
        <w:fldChar w:fldCharType="separate"/>
      </w:r>
      <w:r w:rsidR="000A6D80">
        <w:rPr>
          <w:rStyle w:val="TOCHeadingChar"/>
          <w:rFonts w:asciiTheme="minorHAnsi" w:hAnsiTheme="minorHAnsi" w:cstheme="minorHAnsi"/>
          <w:b/>
          <w:noProof/>
        </w:rPr>
        <w:t>3</w:t>
      </w:r>
      <w:r w:rsidRPr="006C4992">
        <w:rPr>
          <w:rStyle w:val="TOCHeadingChar"/>
          <w:rFonts w:asciiTheme="minorHAnsi" w:hAnsiTheme="minorHAnsi" w:cstheme="minorHAnsi"/>
          <w:b/>
        </w:rPr>
        <w:fldChar w:fldCharType="end"/>
      </w:r>
      <w:r w:rsidRPr="006C4992">
        <w:rPr>
          <w:rFonts w:asciiTheme="minorHAnsi" w:hAnsiTheme="minorHAnsi" w:cstheme="minorHAnsi"/>
          <w:color w:val="000000" w:themeColor="text1"/>
        </w:rPr>
        <w:t xml:space="preserve"> Table showing volume metric change resulting from unregulated flow events at Edward</w:t>
      </w:r>
      <w:r>
        <w:rPr>
          <w:rFonts w:asciiTheme="minorHAnsi" w:hAnsiTheme="minorHAnsi" w:cstheme="minorHAnsi"/>
          <w:color w:val="000000" w:themeColor="text1"/>
        </w:rPr>
        <w:t>/Kolety</w:t>
      </w:r>
      <w:r w:rsidRPr="006C4992">
        <w:rPr>
          <w:rFonts w:asciiTheme="minorHAnsi" w:hAnsiTheme="minorHAnsi" w:cstheme="minorHAnsi"/>
          <w:color w:val="000000" w:themeColor="text1"/>
        </w:rPr>
        <w:t xml:space="preserve"> River upstream</w:t>
      </w:r>
      <w:bookmarkEnd w:id="198"/>
    </w:p>
    <w:tbl>
      <w:tblPr>
        <w:tblStyle w:val="STableNoBoarders"/>
        <w:tblW w:w="0" w:type="auto"/>
        <w:jc w:val="center"/>
        <w:tblLook w:val="04A0" w:firstRow="1" w:lastRow="0" w:firstColumn="1" w:lastColumn="0" w:noHBand="0" w:noVBand="1"/>
      </w:tblPr>
      <w:tblGrid>
        <w:gridCol w:w="2038"/>
        <w:gridCol w:w="1048"/>
        <w:gridCol w:w="1385"/>
        <w:gridCol w:w="1560"/>
        <w:gridCol w:w="1553"/>
        <w:gridCol w:w="1486"/>
      </w:tblGrid>
      <w:tr w:rsidR="004379FD" w:rsidRPr="00B529ED" w14:paraId="37566830" w14:textId="77777777" w:rsidTr="004379FD">
        <w:trPr>
          <w:cnfStyle w:val="100000000000" w:firstRow="1" w:lastRow="0" w:firstColumn="0" w:lastColumn="0" w:oddVBand="0" w:evenVBand="0" w:oddHBand="0" w:evenHBand="0" w:firstRowFirstColumn="0" w:firstRowLastColumn="0" w:lastRowFirstColumn="0" w:lastRowLastColumn="0"/>
          <w:trHeight w:val="460"/>
          <w:jc w:val="center"/>
        </w:trPr>
        <w:tc>
          <w:tcPr>
            <w:tcW w:w="2191" w:type="dxa"/>
          </w:tcPr>
          <w:p w14:paraId="6E54B1BE" w14:textId="77777777" w:rsidR="004379FD" w:rsidRPr="00C50A57" w:rsidRDefault="004379FD" w:rsidP="004379FD">
            <w:pPr>
              <w:spacing w:line="259" w:lineRule="auto"/>
              <w:rPr>
                <w:rFonts w:ascii="Calibri" w:hAnsi="Calibri" w:cs="Calibri"/>
              </w:rPr>
            </w:pPr>
            <w:r>
              <w:rPr>
                <w:rFonts w:ascii="Calibri" w:hAnsi="Calibri" w:cs="Calibri"/>
              </w:rPr>
              <w:t>DEMOD comparison and</w:t>
            </w:r>
            <w:r w:rsidRPr="00C50A57">
              <w:rPr>
                <w:rFonts w:ascii="Calibri" w:hAnsi="Calibri" w:cs="Calibri"/>
              </w:rPr>
              <w:t xml:space="preserve"> bank side </w:t>
            </w:r>
          </w:p>
        </w:tc>
        <w:tc>
          <w:tcPr>
            <w:tcW w:w="1092" w:type="dxa"/>
          </w:tcPr>
          <w:p w14:paraId="4233C2EE" w14:textId="77777777" w:rsidR="004379FD" w:rsidRPr="00C50A57" w:rsidRDefault="004379FD" w:rsidP="004379FD">
            <w:pPr>
              <w:spacing w:line="259" w:lineRule="auto"/>
              <w:jc w:val="center"/>
              <w:rPr>
                <w:rFonts w:ascii="Calibri" w:hAnsi="Calibri" w:cs="Calibri"/>
              </w:rPr>
            </w:pPr>
            <w:r w:rsidRPr="00C50A57">
              <w:rPr>
                <w:rFonts w:ascii="Calibri" w:hAnsi="Calibri" w:cs="Calibri"/>
              </w:rPr>
              <w:t>Bank area (m2)</w:t>
            </w:r>
          </w:p>
        </w:tc>
        <w:tc>
          <w:tcPr>
            <w:tcW w:w="1485" w:type="dxa"/>
          </w:tcPr>
          <w:p w14:paraId="56C9F682" w14:textId="77777777" w:rsidR="004379FD" w:rsidRPr="00C50A57" w:rsidRDefault="004379FD" w:rsidP="004379FD">
            <w:pPr>
              <w:spacing w:line="259" w:lineRule="auto"/>
              <w:jc w:val="center"/>
              <w:rPr>
                <w:rFonts w:ascii="Calibri" w:hAnsi="Calibri" w:cs="Calibri"/>
              </w:rPr>
            </w:pPr>
            <w:r w:rsidRPr="00C50A57">
              <w:rPr>
                <w:rFonts w:ascii="Calibri" w:hAnsi="Calibri" w:cs="Calibri"/>
              </w:rPr>
              <w:t xml:space="preserve">Total Erosion (m3) </w:t>
            </w:r>
          </w:p>
        </w:tc>
        <w:tc>
          <w:tcPr>
            <w:tcW w:w="1631" w:type="dxa"/>
          </w:tcPr>
          <w:p w14:paraId="1D02AF19" w14:textId="77777777" w:rsidR="004379FD" w:rsidRPr="00C50A57" w:rsidRDefault="004379FD" w:rsidP="004379FD">
            <w:pPr>
              <w:spacing w:line="259" w:lineRule="auto"/>
              <w:jc w:val="center"/>
              <w:rPr>
                <w:rFonts w:ascii="Calibri" w:hAnsi="Calibri" w:cs="Calibri"/>
              </w:rPr>
            </w:pPr>
            <w:r w:rsidRPr="00C50A57">
              <w:rPr>
                <w:rFonts w:ascii="Calibri" w:hAnsi="Calibri" w:cs="Calibri"/>
              </w:rPr>
              <w:t>Total Deposition (m3)</w:t>
            </w:r>
          </w:p>
        </w:tc>
        <w:tc>
          <w:tcPr>
            <w:tcW w:w="1686" w:type="dxa"/>
          </w:tcPr>
          <w:p w14:paraId="0B040BB5" w14:textId="77777777" w:rsidR="004379FD" w:rsidRPr="00C50A57" w:rsidRDefault="004379FD" w:rsidP="004379FD">
            <w:pPr>
              <w:spacing w:line="259" w:lineRule="auto"/>
              <w:rPr>
                <w:rFonts w:ascii="Calibri" w:hAnsi="Calibri" w:cs="Calibri"/>
                <w:b w:val="0"/>
                <w:vertAlign w:val="superscript"/>
              </w:rPr>
            </w:pPr>
            <w:r w:rsidRPr="00C50A57">
              <w:rPr>
                <w:rFonts w:ascii="Calibri" w:hAnsi="Calibri" w:cs="Calibri"/>
              </w:rPr>
              <w:t>Tot erosion (cm3) per m2 of bank</w:t>
            </w:r>
          </w:p>
        </w:tc>
        <w:tc>
          <w:tcPr>
            <w:tcW w:w="1547" w:type="dxa"/>
          </w:tcPr>
          <w:p w14:paraId="3541C604" w14:textId="77777777" w:rsidR="004379FD" w:rsidRPr="00C50A57" w:rsidRDefault="004379FD" w:rsidP="004379FD">
            <w:pPr>
              <w:spacing w:line="259" w:lineRule="auto"/>
              <w:rPr>
                <w:rFonts w:ascii="Calibri" w:hAnsi="Calibri" w:cs="Calibri"/>
              </w:rPr>
            </w:pPr>
            <w:r w:rsidRPr="00C50A57">
              <w:rPr>
                <w:rFonts w:ascii="Calibri" w:hAnsi="Calibri" w:cs="Calibri"/>
              </w:rPr>
              <w:t>Tot deposition (cm3) per m2 of bank</w:t>
            </w:r>
          </w:p>
        </w:tc>
      </w:tr>
      <w:tr w:rsidR="004379FD" w:rsidRPr="00B529ED" w14:paraId="2E2E727C" w14:textId="77777777" w:rsidTr="004379FD">
        <w:trPr>
          <w:trHeight w:val="227"/>
          <w:jc w:val="center"/>
        </w:trPr>
        <w:tc>
          <w:tcPr>
            <w:tcW w:w="2191" w:type="dxa"/>
          </w:tcPr>
          <w:p w14:paraId="08E7C006" w14:textId="77777777" w:rsidR="004379FD" w:rsidRPr="00C50A57" w:rsidRDefault="004379FD" w:rsidP="008609C3">
            <w:pPr>
              <w:spacing w:after="120" w:line="240" w:lineRule="auto"/>
              <w:rPr>
                <w:rFonts w:ascii="Calibri" w:hAnsi="Calibri" w:cs="Calibri"/>
                <w:bCs/>
              </w:rPr>
            </w:pPr>
            <w:r w:rsidRPr="00C50A57">
              <w:rPr>
                <w:rFonts w:ascii="Calibri" w:hAnsi="Calibri" w:cs="Calibri"/>
                <w:bCs/>
              </w:rPr>
              <w:t xml:space="preserve">V3-V4 left </w:t>
            </w:r>
          </w:p>
        </w:tc>
        <w:tc>
          <w:tcPr>
            <w:tcW w:w="1092" w:type="dxa"/>
          </w:tcPr>
          <w:p w14:paraId="3DBE5DB4"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93.21</w:t>
            </w:r>
          </w:p>
        </w:tc>
        <w:tc>
          <w:tcPr>
            <w:tcW w:w="1485" w:type="dxa"/>
          </w:tcPr>
          <w:p w14:paraId="4B1D8CB8"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0.13</w:t>
            </w:r>
          </w:p>
        </w:tc>
        <w:tc>
          <w:tcPr>
            <w:tcW w:w="1631" w:type="dxa"/>
          </w:tcPr>
          <w:p w14:paraId="47AC4FE0"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0.06</w:t>
            </w:r>
          </w:p>
        </w:tc>
        <w:tc>
          <w:tcPr>
            <w:tcW w:w="1686" w:type="dxa"/>
          </w:tcPr>
          <w:p w14:paraId="388126D5"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0.14</w:t>
            </w:r>
          </w:p>
        </w:tc>
        <w:tc>
          <w:tcPr>
            <w:tcW w:w="1547" w:type="dxa"/>
          </w:tcPr>
          <w:p w14:paraId="4DBB86C8"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0.07</w:t>
            </w:r>
          </w:p>
        </w:tc>
      </w:tr>
      <w:tr w:rsidR="004379FD" w:rsidRPr="00B529ED" w14:paraId="3F74985B" w14:textId="77777777" w:rsidTr="004379FD">
        <w:trPr>
          <w:trHeight w:val="236"/>
          <w:jc w:val="center"/>
        </w:trPr>
        <w:tc>
          <w:tcPr>
            <w:tcW w:w="2191" w:type="dxa"/>
          </w:tcPr>
          <w:p w14:paraId="46EAD1FE" w14:textId="77777777" w:rsidR="004379FD" w:rsidRPr="00C50A57" w:rsidRDefault="004379FD" w:rsidP="008609C3">
            <w:pPr>
              <w:spacing w:after="120" w:line="240" w:lineRule="auto"/>
              <w:rPr>
                <w:rFonts w:ascii="Calibri" w:hAnsi="Calibri" w:cs="Calibri"/>
                <w:bCs/>
              </w:rPr>
            </w:pPr>
            <w:r w:rsidRPr="00C50A57">
              <w:rPr>
                <w:rFonts w:ascii="Calibri" w:hAnsi="Calibri" w:cs="Calibri"/>
                <w:bCs/>
              </w:rPr>
              <w:t>V3-V4 right</w:t>
            </w:r>
          </w:p>
        </w:tc>
        <w:tc>
          <w:tcPr>
            <w:tcW w:w="1092" w:type="dxa"/>
          </w:tcPr>
          <w:p w14:paraId="3986DA09"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47.17</w:t>
            </w:r>
          </w:p>
        </w:tc>
        <w:tc>
          <w:tcPr>
            <w:tcW w:w="1485" w:type="dxa"/>
          </w:tcPr>
          <w:p w14:paraId="0567602B"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0.17</w:t>
            </w:r>
          </w:p>
        </w:tc>
        <w:tc>
          <w:tcPr>
            <w:tcW w:w="1631" w:type="dxa"/>
          </w:tcPr>
          <w:p w14:paraId="69E0FD61"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0.19</w:t>
            </w:r>
          </w:p>
        </w:tc>
        <w:tc>
          <w:tcPr>
            <w:tcW w:w="1686" w:type="dxa"/>
          </w:tcPr>
          <w:p w14:paraId="77654F12"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0.36</w:t>
            </w:r>
          </w:p>
        </w:tc>
        <w:tc>
          <w:tcPr>
            <w:tcW w:w="1547" w:type="dxa"/>
          </w:tcPr>
          <w:p w14:paraId="049767C5" w14:textId="77777777" w:rsidR="004379FD" w:rsidRPr="00C50A57" w:rsidRDefault="004379FD" w:rsidP="008609C3">
            <w:pPr>
              <w:spacing w:after="120" w:line="240" w:lineRule="auto"/>
              <w:jc w:val="center"/>
              <w:rPr>
                <w:rFonts w:ascii="Calibri" w:hAnsi="Calibri" w:cs="Calibri"/>
                <w:bCs/>
              </w:rPr>
            </w:pPr>
            <w:r w:rsidRPr="00C50A57">
              <w:rPr>
                <w:rFonts w:ascii="Calibri" w:hAnsi="Calibri" w:cs="Calibri"/>
                <w:bCs/>
              </w:rPr>
              <w:t>0.40</w:t>
            </w:r>
          </w:p>
        </w:tc>
      </w:tr>
      <w:tr w:rsidR="004379FD" w:rsidRPr="00B529ED" w14:paraId="1EB47EAD" w14:textId="77777777" w:rsidTr="004379FD">
        <w:trPr>
          <w:trHeight w:val="236"/>
          <w:jc w:val="center"/>
        </w:trPr>
        <w:tc>
          <w:tcPr>
            <w:tcW w:w="2191" w:type="dxa"/>
          </w:tcPr>
          <w:p w14:paraId="77059FD7" w14:textId="77777777" w:rsidR="004379FD" w:rsidRPr="00C50A57" w:rsidRDefault="004379FD" w:rsidP="008609C3">
            <w:pPr>
              <w:spacing w:after="120" w:line="240" w:lineRule="auto"/>
              <w:rPr>
                <w:rFonts w:ascii="Calibri" w:hAnsi="Calibri" w:cs="Calibri"/>
                <w:b/>
              </w:rPr>
            </w:pPr>
            <w:r w:rsidRPr="00C50A57">
              <w:rPr>
                <w:rFonts w:ascii="Calibri" w:hAnsi="Calibri" w:cs="Calibri"/>
                <w:b/>
              </w:rPr>
              <w:t xml:space="preserve">V3-V4 total </w:t>
            </w:r>
          </w:p>
        </w:tc>
        <w:tc>
          <w:tcPr>
            <w:tcW w:w="1092" w:type="dxa"/>
          </w:tcPr>
          <w:p w14:paraId="2DD1F192" w14:textId="77777777" w:rsidR="004379FD" w:rsidRPr="00C50A57" w:rsidRDefault="004379FD" w:rsidP="008609C3">
            <w:pPr>
              <w:spacing w:after="120" w:line="240" w:lineRule="auto"/>
              <w:jc w:val="center"/>
              <w:rPr>
                <w:rFonts w:ascii="Calibri" w:hAnsi="Calibri" w:cs="Calibri"/>
                <w:b/>
              </w:rPr>
            </w:pPr>
            <w:r w:rsidRPr="00C50A57">
              <w:rPr>
                <w:rFonts w:ascii="Calibri" w:hAnsi="Calibri" w:cs="Calibri"/>
                <w:b/>
              </w:rPr>
              <w:t>140.40</w:t>
            </w:r>
          </w:p>
        </w:tc>
        <w:tc>
          <w:tcPr>
            <w:tcW w:w="1485" w:type="dxa"/>
          </w:tcPr>
          <w:p w14:paraId="6A2D2842" w14:textId="77777777" w:rsidR="004379FD" w:rsidRPr="00C50A57" w:rsidRDefault="004379FD" w:rsidP="008609C3">
            <w:pPr>
              <w:spacing w:after="120" w:line="240" w:lineRule="auto"/>
              <w:jc w:val="center"/>
              <w:rPr>
                <w:rFonts w:ascii="Calibri" w:hAnsi="Calibri" w:cs="Calibri"/>
                <w:b/>
              </w:rPr>
            </w:pPr>
            <w:r w:rsidRPr="00C50A57">
              <w:rPr>
                <w:rFonts w:ascii="Calibri" w:hAnsi="Calibri" w:cs="Calibri"/>
                <w:b/>
              </w:rPr>
              <w:t>0.30</w:t>
            </w:r>
          </w:p>
        </w:tc>
        <w:tc>
          <w:tcPr>
            <w:tcW w:w="1631" w:type="dxa"/>
          </w:tcPr>
          <w:p w14:paraId="616E4AFC" w14:textId="77777777" w:rsidR="004379FD" w:rsidRPr="00C50A57" w:rsidRDefault="004379FD" w:rsidP="008609C3">
            <w:pPr>
              <w:spacing w:after="120" w:line="240" w:lineRule="auto"/>
              <w:jc w:val="center"/>
              <w:rPr>
                <w:rFonts w:ascii="Calibri" w:hAnsi="Calibri" w:cs="Calibri"/>
                <w:b/>
              </w:rPr>
            </w:pPr>
            <w:r w:rsidRPr="00C50A57">
              <w:rPr>
                <w:rFonts w:ascii="Calibri" w:hAnsi="Calibri" w:cs="Calibri"/>
                <w:b/>
              </w:rPr>
              <w:t>0.25</w:t>
            </w:r>
          </w:p>
        </w:tc>
        <w:tc>
          <w:tcPr>
            <w:tcW w:w="1686" w:type="dxa"/>
          </w:tcPr>
          <w:p w14:paraId="5F3F8BAC" w14:textId="77777777" w:rsidR="004379FD" w:rsidRPr="00C50A57" w:rsidRDefault="004379FD" w:rsidP="008609C3">
            <w:pPr>
              <w:spacing w:after="120" w:line="240" w:lineRule="auto"/>
              <w:jc w:val="center"/>
              <w:rPr>
                <w:rFonts w:ascii="Calibri" w:hAnsi="Calibri" w:cs="Calibri"/>
                <w:b/>
              </w:rPr>
            </w:pPr>
            <w:r w:rsidRPr="00C50A57">
              <w:rPr>
                <w:rFonts w:ascii="Calibri" w:hAnsi="Calibri" w:cs="Calibri"/>
                <w:b/>
              </w:rPr>
              <w:t>0.22</w:t>
            </w:r>
          </w:p>
        </w:tc>
        <w:tc>
          <w:tcPr>
            <w:tcW w:w="1547" w:type="dxa"/>
          </w:tcPr>
          <w:p w14:paraId="23DE356E" w14:textId="77777777" w:rsidR="004379FD" w:rsidRPr="00C50A57" w:rsidRDefault="004379FD" w:rsidP="008609C3">
            <w:pPr>
              <w:spacing w:after="120" w:line="240" w:lineRule="auto"/>
              <w:jc w:val="center"/>
              <w:rPr>
                <w:rFonts w:ascii="Calibri" w:hAnsi="Calibri" w:cs="Calibri"/>
                <w:b/>
              </w:rPr>
            </w:pPr>
            <w:r w:rsidRPr="00C50A57">
              <w:rPr>
                <w:rFonts w:ascii="Calibri" w:hAnsi="Calibri" w:cs="Calibri"/>
                <w:b/>
              </w:rPr>
              <w:t>0.18</w:t>
            </w:r>
          </w:p>
        </w:tc>
      </w:tr>
    </w:tbl>
    <w:p w14:paraId="0D6C71CA" w14:textId="77777777" w:rsidR="004379FD" w:rsidRDefault="004379FD" w:rsidP="004379FD">
      <w:pPr>
        <w:pStyle w:val="SHCaption"/>
      </w:pPr>
    </w:p>
    <w:p w14:paraId="14561C0A" w14:textId="77777777" w:rsidR="004379FD" w:rsidRPr="004379FD" w:rsidRDefault="004379FD" w:rsidP="004379FD">
      <w:pPr>
        <w:pStyle w:val="BodyText1"/>
        <w:rPr>
          <w:rFonts w:asciiTheme="minorHAnsi" w:hAnsiTheme="minorHAnsi" w:cstheme="minorHAnsi"/>
          <w:b/>
          <w:color w:val="31849B" w:themeColor="accent5" w:themeShade="BF"/>
          <w:sz w:val="24"/>
          <w:szCs w:val="24"/>
        </w:rPr>
      </w:pPr>
      <w:bookmarkStart w:id="199" w:name="_Toc52445289"/>
      <w:r w:rsidRPr="004379FD">
        <w:rPr>
          <w:rFonts w:asciiTheme="minorHAnsi" w:hAnsiTheme="minorHAnsi" w:cstheme="minorHAnsi"/>
          <w:b/>
          <w:color w:val="31849B" w:themeColor="accent5" w:themeShade="BF"/>
          <w:sz w:val="24"/>
          <w:szCs w:val="24"/>
        </w:rPr>
        <w:t>Drone orthomosaics (by site and visit)</w:t>
      </w:r>
      <w:bookmarkEnd w:id="199"/>
    </w:p>
    <w:p w14:paraId="467E7450" w14:textId="4119B9FF" w:rsidR="004379FD" w:rsidRPr="006C4992" w:rsidRDefault="004379FD" w:rsidP="004379FD">
      <w:pPr>
        <w:pStyle w:val="SHCaption"/>
        <w:spacing w:after="120"/>
        <w:rPr>
          <w:color w:val="000000" w:themeColor="text1"/>
        </w:rPr>
      </w:pPr>
      <w:r w:rsidRPr="006C4992">
        <w:rPr>
          <w:b/>
          <w:color w:val="000000" w:themeColor="text1"/>
        </w:rPr>
        <w:t xml:space="preserve">Table </w:t>
      </w:r>
      <w:r w:rsidR="00AD6D18">
        <w:rPr>
          <w:b/>
          <w:noProof/>
          <w:color w:val="000000" w:themeColor="text1"/>
        </w:rPr>
        <w:t>9</w:t>
      </w:r>
      <w:r w:rsidRPr="006C4992">
        <w:rPr>
          <w:b/>
          <w:color w:val="000000" w:themeColor="text1"/>
        </w:rPr>
        <w:t>.</w:t>
      </w:r>
      <w:r w:rsidR="00AD6D18">
        <w:rPr>
          <w:b/>
          <w:color w:val="000000" w:themeColor="text1"/>
        </w:rPr>
        <w:t>1</w:t>
      </w:r>
      <w:r w:rsidRPr="006C4992">
        <w:rPr>
          <w:b/>
          <w:noProof/>
          <w:color w:val="000000" w:themeColor="text1"/>
        </w:rPr>
        <w:fldChar w:fldCharType="begin"/>
      </w:r>
      <w:r w:rsidRPr="006C4992">
        <w:rPr>
          <w:b/>
          <w:noProof/>
          <w:color w:val="000000" w:themeColor="text1"/>
        </w:rPr>
        <w:instrText xml:space="preserve"> SEQ Table \* ARABIC \s 1 </w:instrText>
      </w:r>
      <w:r w:rsidRPr="006C4992">
        <w:rPr>
          <w:b/>
          <w:noProof/>
          <w:color w:val="000000" w:themeColor="text1"/>
        </w:rPr>
        <w:fldChar w:fldCharType="separate"/>
      </w:r>
      <w:r w:rsidR="000A6D80">
        <w:rPr>
          <w:b/>
          <w:noProof/>
          <w:color w:val="000000" w:themeColor="text1"/>
        </w:rPr>
        <w:t>4</w:t>
      </w:r>
      <w:r w:rsidRPr="006C4992">
        <w:rPr>
          <w:b/>
          <w:noProof/>
          <w:color w:val="000000" w:themeColor="text1"/>
        </w:rPr>
        <w:fldChar w:fldCharType="end"/>
      </w:r>
      <w:r w:rsidRPr="006C4992">
        <w:rPr>
          <w:color w:val="000000" w:themeColor="text1"/>
        </w:rPr>
        <w:t xml:space="preserve"> Hyperlinked images linking each site and visit to the cloud-based location where the interactive orthomosaic is stored.</w:t>
      </w:r>
      <w:bookmarkEnd w:id="192"/>
      <w:bookmarkEnd w:id="193"/>
    </w:p>
    <w:tbl>
      <w:tblPr>
        <w:tblStyle w:val="ListTable3-Accent5"/>
        <w:tblW w:w="0" w:type="auto"/>
        <w:tblLayout w:type="fixed"/>
        <w:tblLook w:val="04A0" w:firstRow="1" w:lastRow="0" w:firstColumn="1" w:lastColumn="0" w:noHBand="0" w:noVBand="1"/>
      </w:tblPr>
      <w:tblGrid>
        <w:gridCol w:w="1362"/>
        <w:gridCol w:w="2065"/>
        <w:gridCol w:w="2065"/>
        <w:gridCol w:w="2065"/>
        <w:gridCol w:w="2065"/>
      </w:tblGrid>
      <w:tr w:rsidR="004379FD" w:rsidRPr="00B529ED" w14:paraId="25FEA7D0" w14:textId="77777777" w:rsidTr="004379F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62" w:type="dxa"/>
          </w:tcPr>
          <w:p w14:paraId="7C41023E" w14:textId="77777777" w:rsidR="004379FD" w:rsidRPr="00B529ED" w:rsidRDefault="004379FD" w:rsidP="008609C3">
            <w:pPr>
              <w:spacing w:after="120" w:line="240" w:lineRule="auto"/>
              <w:jc w:val="center"/>
            </w:pPr>
            <w:r w:rsidRPr="00B529ED">
              <w:t>Visit</w:t>
            </w:r>
          </w:p>
        </w:tc>
        <w:tc>
          <w:tcPr>
            <w:tcW w:w="2065" w:type="dxa"/>
          </w:tcPr>
          <w:p w14:paraId="64FFF4EA" w14:textId="77777777" w:rsidR="004379FD" w:rsidRPr="00B529ED"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pPr>
            <w:r w:rsidRPr="00B529ED">
              <w:t>V1</w:t>
            </w:r>
          </w:p>
        </w:tc>
        <w:tc>
          <w:tcPr>
            <w:tcW w:w="2065" w:type="dxa"/>
          </w:tcPr>
          <w:p w14:paraId="4A63A088" w14:textId="77777777" w:rsidR="004379FD" w:rsidRPr="00B529ED"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rPr>
                <w:b w:val="0"/>
                <w:bCs w:val="0"/>
              </w:rPr>
            </w:pPr>
            <w:r w:rsidRPr="00B529ED">
              <w:t>V2</w:t>
            </w:r>
          </w:p>
          <w:p w14:paraId="6B124DFB" w14:textId="77777777" w:rsidR="004379FD" w:rsidRPr="00B529ED" w:rsidRDefault="004379FD" w:rsidP="008609C3">
            <w:pPr>
              <w:spacing w:after="120" w:line="240" w:lineRule="auto"/>
              <w:cnfStyle w:val="100000000000" w:firstRow="1" w:lastRow="0" w:firstColumn="0" w:lastColumn="0" w:oddVBand="0" w:evenVBand="0" w:oddHBand="0" w:evenHBand="0" w:firstRowFirstColumn="0" w:firstRowLastColumn="0" w:lastRowFirstColumn="0" w:lastRowLastColumn="0"/>
            </w:pPr>
          </w:p>
        </w:tc>
        <w:tc>
          <w:tcPr>
            <w:tcW w:w="2065" w:type="dxa"/>
          </w:tcPr>
          <w:p w14:paraId="38468873" w14:textId="77777777" w:rsidR="004379FD" w:rsidRPr="00B529ED"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pPr>
            <w:r w:rsidRPr="00B529ED">
              <w:t>V3</w:t>
            </w:r>
          </w:p>
        </w:tc>
        <w:tc>
          <w:tcPr>
            <w:tcW w:w="2065" w:type="dxa"/>
          </w:tcPr>
          <w:p w14:paraId="04ED7DC5" w14:textId="77777777" w:rsidR="004379FD" w:rsidRPr="00B529ED" w:rsidRDefault="004379FD" w:rsidP="008609C3">
            <w:pPr>
              <w:spacing w:after="120" w:line="240" w:lineRule="auto"/>
              <w:jc w:val="center"/>
              <w:cnfStyle w:val="100000000000" w:firstRow="1" w:lastRow="0" w:firstColumn="0" w:lastColumn="0" w:oddVBand="0" w:evenVBand="0" w:oddHBand="0" w:evenHBand="0" w:firstRowFirstColumn="0" w:firstRowLastColumn="0" w:lastRowFirstColumn="0" w:lastRowLastColumn="0"/>
            </w:pPr>
            <w:r w:rsidRPr="00B529ED">
              <w:t>V4</w:t>
            </w:r>
          </w:p>
        </w:tc>
      </w:tr>
      <w:tr w:rsidR="004379FD" w:rsidRPr="00B529ED" w14:paraId="2C95011B"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dxa"/>
          </w:tcPr>
          <w:p w14:paraId="3578A7B6" w14:textId="77777777" w:rsidR="004379FD" w:rsidRPr="00B529ED" w:rsidRDefault="004379FD" w:rsidP="004379FD">
            <w:pPr>
              <w:spacing w:line="259" w:lineRule="auto"/>
              <w:jc w:val="center"/>
            </w:pPr>
            <w:r w:rsidRPr="00B529ED">
              <w:t>Colligen Creek</w:t>
            </w:r>
          </w:p>
        </w:tc>
        <w:tc>
          <w:tcPr>
            <w:tcW w:w="2065" w:type="dxa"/>
          </w:tcPr>
          <w:p w14:paraId="70C6C017" w14:textId="77777777" w:rsidR="004379FD" w:rsidRPr="00B529E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59B7C2E2" wp14:editId="79BC34A3">
                  <wp:extent cx="1174115" cy="1109345"/>
                  <wp:effectExtent l="0" t="0" r="6985" b="0"/>
                  <wp:docPr id="1049" name="Picture 1049">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174"/>
                          </pic:cNvPr>
                          <pic:cNvPicPr/>
                        </pic:nvPicPr>
                        <pic:blipFill>
                          <a:blip r:embed="rId175" cstate="email">
                            <a:extLst>
                              <a:ext uri="{28A0092B-C50C-407E-A947-70E740481C1C}">
                                <a14:useLocalDpi xmlns:a14="http://schemas.microsoft.com/office/drawing/2010/main"/>
                              </a:ext>
                            </a:extLst>
                          </a:blip>
                          <a:stretch>
                            <a:fillRect/>
                          </a:stretch>
                        </pic:blipFill>
                        <pic:spPr>
                          <a:xfrm>
                            <a:off x="0" y="0"/>
                            <a:ext cx="1174115" cy="1109345"/>
                          </a:xfrm>
                          <a:prstGeom prst="rect">
                            <a:avLst/>
                          </a:prstGeom>
                        </pic:spPr>
                      </pic:pic>
                    </a:graphicData>
                  </a:graphic>
                </wp:inline>
              </w:drawing>
            </w:r>
          </w:p>
        </w:tc>
        <w:tc>
          <w:tcPr>
            <w:tcW w:w="2065" w:type="dxa"/>
          </w:tcPr>
          <w:p w14:paraId="13C41D6E" w14:textId="77777777" w:rsidR="004379FD" w:rsidRPr="00B529E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443C3791" wp14:editId="552C944F">
                  <wp:extent cx="1174115" cy="1096645"/>
                  <wp:effectExtent l="0" t="0" r="6985" b="8255"/>
                  <wp:docPr id="451" name="Picture 451">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a:hlinkClick r:id="rId176"/>
                          </pic:cNvPr>
                          <pic:cNvPicPr/>
                        </pic:nvPicPr>
                        <pic:blipFill>
                          <a:blip r:embed="rId177" cstate="email">
                            <a:extLst>
                              <a:ext uri="{28A0092B-C50C-407E-A947-70E740481C1C}">
                                <a14:useLocalDpi xmlns:a14="http://schemas.microsoft.com/office/drawing/2010/main"/>
                              </a:ext>
                            </a:extLst>
                          </a:blip>
                          <a:stretch>
                            <a:fillRect/>
                          </a:stretch>
                        </pic:blipFill>
                        <pic:spPr>
                          <a:xfrm>
                            <a:off x="0" y="0"/>
                            <a:ext cx="1174115" cy="1096645"/>
                          </a:xfrm>
                          <a:prstGeom prst="rect">
                            <a:avLst/>
                          </a:prstGeom>
                        </pic:spPr>
                      </pic:pic>
                    </a:graphicData>
                  </a:graphic>
                </wp:inline>
              </w:drawing>
            </w:r>
          </w:p>
        </w:tc>
        <w:tc>
          <w:tcPr>
            <w:tcW w:w="2065" w:type="dxa"/>
          </w:tcPr>
          <w:p w14:paraId="65A9CE2A" w14:textId="77777777" w:rsidR="004379FD" w:rsidRPr="00B529E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2A42845A" wp14:editId="54DC2884">
                  <wp:extent cx="1174115" cy="1123315"/>
                  <wp:effectExtent l="0" t="0" r="6985" b="635"/>
                  <wp:docPr id="1050" name="Picture 1050">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a:hlinkClick r:id="rId178"/>
                          </pic:cNvPr>
                          <pic:cNvPicPr/>
                        </pic:nvPicPr>
                        <pic:blipFill>
                          <a:blip r:embed="rId179" cstate="email">
                            <a:extLst>
                              <a:ext uri="{28A0092B-C50C-407E-A947-70E740481C1C}">
                                <a14:useLocalDpi xmlns:a14="http://schemas.microsoft.com/office/drawing/2010/main"/>
                              </a:ext>
                            </a:extLst>
                          </a:blip>
                          <a:stretch>
                            <a:fillRect/>
                          </a:stretch>
                        </pic:blipFill>
                        <pic:spPr>
                          <a:xfrm>
                            <a:off x="0" y="0"/>
                            <a:ext cx="1174115" cy="1123315"/>
                          </a:xfrm>
                          <a:prstGeom prst="rect">
                            <a:avLst/>
                          </a:prstGeom>
                        </pic:spPr>
                      </pic:pic>
                    </a:graphicData>
                  </a:graphic>
                </wp:inline>
              </w:drawing>
            </w:r>
          </w:p>
        </w:tc>
        <w:tc>
          <w:tcPr>
            <w:tcW w:w="2065" w:type="dxa"/>
          </w:tcPr>
          <w:p w14:paraId="3E570CDB" w14:textId="77777777" w:rsidR="004379FD" w:rsidRPr="00B529E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1D0B3628" wp14:editId="52296D14">
                  <wp:extent cx="1174115" cy="1153160"/>
                  <wp:effectExtent l="0" t="0" r="6985" b="8890"/>
                  <wp:docPr id="1051" name="Picture 1051">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a:hlinkClick r:id="rId180"/>
                          </pic:cNvPr>
                          <pic:cNvPicPr/>
                        </pic:nvPicPr>
                        <pic:blipFill>
                          <a:blip r:embed="rId181" cstate="email">
                            <a:extLst>
                              <a:ext uri="{28A0092B-C50C-407E-A947-70E740481C1C}">
                                <a14:useLocalDpi xmlns:a14="http://schemas.microsoft.com/office/drawing/2010/main"/>
                              </a:ext>
                            </a:extLst>
                          </a:blip>
                          <a:stretch>
                            <a:fillRect/>
                          </a:stretch>
                        </pic:blipFill>
                        <pic:spPr>
                          <a:xfrm>
                            <a:off x="0" y="0"/>
                            <a:ext cx="1174115" cy="1153160"/>
                          </a:xfrm>
                          <a:prstGeom prst="rect">
                            <a:avLst/>
                          </a:prstGeom>
                        </pic:spPr>
                      </pic:pic>
                    </a:graphicData>
                  </a:graphic>
                </wp:inline>
              </w:drawing>
            </w:r>
          </w:p>
        </w:tc>
      </w:tr>
      <w:tr w:rsidR="004379FD" w:rsidRPr="00B529ED" w14:paraId="3D6B79FB" w14:textId="77777777" w:rsidTr="004379FD">
        <w:tc>
          <w:tcPr>
            <w:cnfStyle w:val="001000000000" w:firstRow="0" w:lastRow="0" w:firstColumn="1" w:lastColumn="0" w:oddVBand="0" w:evenVBand="0" w:oddHBand="0" w:evenHBand="0" w:firstRowFirstColumn="0" w:firstRowLastColumn="0" w:lastRowFirstColumn="0" w:lastRowLastColumn="0"/>
            <w:tcW w:w="1362" w:type="dxa"/>
          </w:tcPr>
          <w:p w14:paraId="6B583096" w14:textId="77777777" w:rsidR="004379FD" w:rsidRPr="00B529ED" w:rsidRDefault="004379FD" w:rsidP="004379FD">
            <w:pPr>
              <w:spacing w:line="259" w:lineRule="auto"/>
              <w:jc w:val="center"/>
              <w:rPr>
                <w:b w:val="0"/>
                <w:bCs w:val="0"/>
              </w:rPr>
            </w:pPr>
            <w:r w:rsidRPr="00B529ED">
              <w:t>Edward-Kolety river DS</w:t>
            </w:r>
          </w:p>
          <w:p w14:paraId="6EE5BFA2" w14:textId="77777777" w:rsidR="004379FD" w:rsidRPr="00B529ED" w:rsidRDefault="004379FD" w:rsidP="008609C3">
            <w:pPr>
              <w:spacing w:line="259" w:lineRule="auto"/>
              <w:rPr>
                <w:b w:val="0"/>
                <w:bCs w:val="0"/>
              </w:rPr>
            </w:pPr>
          </w:p>
          <w:p w14:paraId="7EF597D8" w14:textId="77777777" w:rsidR="004379FD" w:rsidRPr="00B529ED" w:rsidRDefault="004379FD" w:rsidP="004379FD">
            <w:pPr>
              <w:spacing w:line="259" w:lineRule="auto"/>
              <w:jc w:val="center"/>
            </w:pPr>
          </w:p>
        </w:tc>
        <w:tc>
          <w:tcPr>
            <w:tcW w:w="2065" w:type="dxa"/>
          </w:tcPr>
          <w:p w14:paraId="2ECF2C2F" w14:textId="77777777" w:rsidR="004379FD" w:rsidRPr="00B529ED" w:rsidRDefault="004379FD" w:rsidP="004379FD">
            <w:pPr>
              <w:spacing w:line="259" w:lineRule="auto"/>
              <w:jc w:val="center"/>
              <w:cnfStyle w:val="000000000000" w:firstRow="0" w:lastRow="0" w:firstColumn="0" w:lastColumn="0" w:oddVBand="0" w:evenVBand="0" w:oddHBand="0" w:evenHBand="0" w:firstRowFirstColumn="0" w:firstRowLastColumn="0" w:lastRowFirstColumn="0" w:lastRowLastColumn="0"/>
              <w:rPr>
                <w:noProof/>
              </w:rPr>
            </w:pPr>
            <w:r w:rsidRPr="00400C22">
              <w:rPr>
                <w:noProof/>
                <w:lang w:eastAsia="en-AU"/>
              </w:rPr>
              <w:drawing>
                <wp:inline distT="0" distB="0" distL="0" distR="0" wp14:anchorId="1A4A7C39" wp14:editId="368C5606">
                  <wp:extent cx="1174115" cy="1177290"/>
                  <wp:effectExtent l="0" t="0" r="6985" b="3810"/>
                  <wp:docPr id="1052" name="Picture 1052">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a:hlinkClick r:id="rId182"/>
                          </pic:cNvPr>
                          <pic:cNvPicPr/>
                        </pic:nvPicPr>
                        <pic:blipFill>
                          <a:blip r:embed="rId183" cstate="email">
                            <a:extLst>
                              <a:ext uri="{28A0092B-C50C-407E-A947-70E740481C1C}">
                                <a14:useLocalDpi xmlns:a14="http://schemas.microsoft.com/office/drawing/2010/main"/>
                              </a:ext>
                            </a:extLst>
                          </a:blip>
                          <a:stretch>
                            <a:fillRect/>
                          </a:stretch>
                        </pic:blipFill>
                        <pic:spPr>
                          <a:xfrm>
                            <a:off x="0" y="0"/>
                            <a:ext cx="1174115" cy="1177290"/>
                          </a:xfrm>
                          <a:prstGeom prst="rect">
                            <a:avLst/>
                          </a:prstGeom>
                        </pic:spPr>
                      </pic:pic>
                    </a:graphicData>
                  </a:graphic>
                </wp:inline>
              </w:drawing>
            </w:r>
          </w:p>
        </w:tc>
        <w:tc>
          <w:tcPr>
            <w:tcW w:w="2065" w:type="dxa"/>
          </w:tcPr>
          <w:p w14:paraId="5CDEE482" w14:textId="77777777" w:rsidR="004379FD" w:rsidRPr="00B529ED" w:rsidRDefault="004379FD" w:rsidP="004379FD">
            <w:pPr>
              <w:spacing w:line="259" w:lineRule="auto"/>
              <w:jc w:val="center"/>
              <w:cnfStyle w:val="000000000000" w:firstRow="0" w:lastRow="0" w:firstColumn="0" w:lastColumn="0" w:oddVBand="0" w:evenVBand="0" w:oddHBand="0" w:evenHBand="0" w:firstRowFirstColumn="0" w:firstRowLastColumn="0" w:lastRowFirstColumn="0" w:lastRowLastColumn="0"/>
              <w:rPr>
                <w:noProof/>
              </w:rPr>
            </w:pPr>
            <w:r w:rsidRPr="00400C22">
              <w:rPr>
                <w:noProof/>
                <w:lang w:eastAsia="en-AU"/>
              </w:rPr>
              <w:drawing>
                <wp:inline distT="0" distB="0" distL="0" distR="0" wp14:anchorId="40CCEA50" wp14:editId="1045D981">
                  <wp:extent cx="704850" cy="1258742"/>
                  <wp:effectExtent l="0" t="0" r="0" b="0"/>
                  <wp:docPr id="1053" name="Picture 1053">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a:hlinkClick r:id="rId184"/>
                          </pic:cNvPr>
                          <pic:cNvPicPr/>
                        </pic:nvPicPr>
                        <pic:blipFill>
                          <a:blip r:embed="rId185" cstate="email">
                            <a:extLst>
                              <a:ext uri="{28A0092B-C50C-407E-A947-70E740481C1C}">
                                <a14:useLocalDpi xmlns:a14="http://schemas.microsoft.com/office/drawing/2010/main"/>
                              </a:ext>
                            </a:extLst>
                          </a:blip>
                          <a:stretch>
                            <a:fillRect/>
                          </a:stretch>
                        </pic:blipFill>
                        <pic:spPr>
                          <a:xfrm>
                            <a:off x="0" y="0"/>
                            <a:ext cx="708942" cy="1266049"/>
                          </a:xfrm>
                          <a:prstGeom prst="rect">
                            <a:avLst/>
                          </a:prstGeom>
                        </pic:spPr>
                      </pic:pic>
                    </a:graphicData>
                  </a:graphic>
                </wp:inline>
              </w:drawing>
            </w:r>
          </w:p>
        </w:tc>
        <w:tc>
          <w:tcPr>
            <w:tcW w:w="2065" w:type="dxa"/>
          </w:tcPr>
          <w:p w14:paraId="6DF13C78" w14:textId="77777777" w:rsidR="004379FD" w:rsidRPr="00B529ED" w:rsidRDefault="004379FD" w:rsidP="004379FD">
            <w:pPr>
              <w:spacing w:line="259" w:lineRule="auto"/>
              <w:jc w:val="center"/>
              <w:cnfStyle w:val="000000000000" w:firstRow="0" w:lastRow="0" w:firstColumn="0" w:lastColumn="0" w:oddVBand="0" w:evenVBand="0" w:oddHBand="0" w:evenHBand="0" w:firstRowFirstColumn="0" w:firstRowLastColumn="0" w:lastRowFirstColumn="0" w:lastRowLastColumn="0"/>
              <w:rPr>
                <w:noProof/>
              </w:rPr>
            </w:pPr>
            <w:r w:rsidRPr="00400C22">
              <w:rPr>
                <w:noProof/>
                <w:lang w:eastAsia="en-AU"/>
              </w:rPr>
              <w:drawing>
                <wp:inline distT="0" distB="0" distL="0" distR="0" wp14:anchorId="62B5E68E" wp14:editId="775AB45E">
                  <wp:extent cx="1174115" cy="1207135"/>
                  <wp:effectExtent l="0" t="0" r="6985" b="0"/>
                  <wp:docPr id="1054" name="Picture 1054">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a:hlinkClick r:id="rId186"/>
                          </pic:cNvPr>
                          <pic:cNvPicPr/>
                        </pic:nvPicPr>
                        <pic:blipFill>
                          <a:blip r:embed="rId187" cstate="email">
                            <a:extLst>
                              <a:ext uri="{28A0092B-C50C-407E-A947-70E740481C1C}">
                                <a14:useLocalDpi xmlns:a14="http://schemas.microsoft.com/office/drawing/2010/main"/>
                              </a:ext>
                            </a:extLst>
                          </a:blip>
                          <a:stretch>
                            <a:fillRect/>
                          </a:stretch>
                        </pic:blipFill>
                        <pic:spPr>
                          <a:xfrm>
                            <a:off x="0" y="0"/>
                            <a:ext cx="1174115" cy="1207135"/>
                          </a:xfrm>
                          <a:prstGeom prst="rect">
                            <a:avLst/>
                          </a:prstGeom>
                        </pic:spPr>
                      </pic:pic>
                    </a:graphicData>
                  </a:graphic>
                </wp:inline>
              </w:drawing>
            </w:r>
          </w:p>
        </w:tc>
        <w:tc>
          <w:tcPr>
            <w:tcW w:w="2065" w:type="dxa"/>
          </w:tcPr>
          <w:p w14:paraId="5AA9C15A" w14:textId="77777777" w:rsidR="004379FD" w:rsidRPr="00B529ED" w:rsidRDefault="004379FD" w:rsidP="004379FD">
            <w:pPr>
              <w:spacing w:line="259" w:lineRule="auto"/>
              <w:jc w:val="center"/>
              <w:cnfStyle w:val="000000000000" w:firstRow="0" w:lastRow="0" w:firstColumn="0" w:lastColumn="0" w:oddVBand="0" w:evenVBand="0" w:oddHBand="0" w:evenHBand="0" w:firstRowFirstColumn="0" w:firstRowLastColumn="0" w:lastRowFirstColumn="0" w:lastRowLastColumn="0"/>
              <w:rPr>
                <w:noProof/>
              </w:rPr>
            </w:pPr>
            <w:r w:rsidRPr="00400C22">
              <w:rPr>
                <w:noProof/>
                <w:lang w:eastAsia="en-AU"/>
              </w:rPr>
              <w:drawing>
                <wp:inline distT="0" distB="0" distL="0" distR="0" wp14:anchorId="6DC671BB" wp14:editId="71060F3D">
                  <wp:extent cx="1174115" cy="1212850"/>
                  <wp:effectExtent l="0" t="0" r="6985" b="6350"/>
                  <wp:docPr id="1055" name="Picture 1055">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a:hlinkClick r:id="rId188"/>
                          </pic:cNvPr>
                          <pic:cNvPicPr/>
                        </pic:nvPicPr>
                        <pic:blipFill>
                          <a:blip r:embed="rId189" cstate="email">
                            <a:extLst>
                              <a:ext uri="{28A0092B-C50C-407E-A947-70E740481C1C}">
                                <a14:useLocalDpi xmlns:a14="http://schemas.microsoft.com/office/drawing/2010/main"/>
                              </a:ext>
                            </a:extLst>
                          </a:blip>
                          <a:stretch>
                            <a:fillRect/>
                          </a:stretch>
                        </pic:blipFill>
                        <pic:spPr>
                          <a:xfrm>
                            <a:off x="0" y="0"/>
                            <a:ext cx="1174115" cy="1212850"/>
                          </a:xfrm>
                          <a:prstGeom prst="rect">
                            <a:avLst/>
                          </a:prstGeom>
                        </pic:spPr>
                      </pic:pic>
                    </a:graphicData>
                  </a:graphic>
                </wp:inline>
              </w:drawing>
            </w:r>
          </w:p>
        </w:tc>
      </w:tr>
      <w:tr w:rsidR="004379FD" w:rsidRPr="00496262" w14:paraId="514898B6" w14:textId="77777777" w:rsidTr="00437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dxa"/>
          </w:tcPr>
          <w:p w14:paraId="5F335551" w14:textId="77777777" w:rsidR="004379FD" w:rsidRPr="00496262" w:rsidRDefault="004379FD" w:rsidP="004379FD">
            <w:pPr>
              <w:spacing w:line="259" w:lineRule="auto"/>
              <w:jc w:val="center"/>
              <w:rPr>
                <w:b w:val="0"/>
                <w:bCs w:val="0"/>
              </w:rPr>
            </w:pPr>
            <w:r w:rsidRPr="00B529ED">
              <w:t>Edward-Kolety river US</w:t>
            </w:r>
          </w:p>
          <w:p w14:paraId="3D1776B7" w14:textId="77777777" w:rsidR="004379FD" w:rsidRPr="00496262" w:rsidRDefault="004379FD" w:rsidP="008609C3">
            <w:pPr>
              <w:spacing w:line="259" w:lineRule="auto"/>
              <w:rPr>
                <w:b w:val="0"/>
                <w:bCs w:val="0"/>
              </w:rPr>
            </w:pPr>
          </w:p>
          <w:p w14:paraId="48321A47" w14:textId="77777777" w:rsidR="004379FD" w:rsidRPr="00496262" w:rsidRDefault="004379FD" w:rsidP="004379FD">
            <w:pPr>
              <w:spacing w:line="259" w:lineRule="auto"/>
              <w:jc w:val="center"/>
            </w:pPr>
          </w:p>
        </w:tc>
        <w:tc>
          <w:tcPr>
            <w:tcW w:w="2065" w:type="dxa"/>
          </w:tcPr>
          <w:p w14:paraId="452700CA" w14:textId="77777777" w:rsidR="004379FD" w:rsidRPr="00496262"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10837E31" wp14:editId="1F8CC7FD">
                  <wp:extent cx="1174115" cy="1327150"/>
                  <wp:effectExtent l="0" t="0" r="6985" b="6350"/>
                  <wp:docPr id="1121" name="Picture 1121">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a:hlinkClick r:id="rId190"/>
                          </pic:cNvPr>
                          <pic:cNvPicPr/>
                        </pic:nvPicPr>
                        <pic:blipFill>
                          <a:blip r:embed="rId191" cstate="email">
                            <a:extLst>
                              <a:ext uri="{28A0092B-C50C-407E-A947-70E740481C1C}">
                                <a14:useLocalDpi xmlns:a14="http://schemas.microsoft.com/office/drawing/2010/main"/>
                              </a:ext>
                            </a:extLst>
                          </a:blip>
                          <a:stretch>
                            <a:fillRect/>
                          </a:stretch>
                        </pic:blipFill>
                        <pic:spPr>
                          <a:xfrm>
                            <a:off x="0" y="0"/>
                            <a:ext cx="1174115" cy="1327150"/>
                          </a:xfrm>
                          <a:prstGeom prst="rect">
                            <a:avLst/>
                          </a:prstGeom>
                        </pic:spPr>
                      </pic:pic>
                    </a:graphicData>
                  </a:graphic>
                </wp:inline>
              </w:drawing>
            </w:r>
          </w:p>
        </w:tc>
        <w:tc>
          <w:tcPr>
            <w:tcW w:w="2065" w:type="dxa"/>
          </w:tcPr>
          <w:p w14:paraId="04562DE9"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792C0607"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28F03833"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22A8C788" w14:textId="77777777" w:rsidR="004379FD" w:rsidRPr="00496262"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Pr>
                <w:noProof/>
              </w:rPr>
              <w:t>N/A</w:t>
            </w:r>
          </w:p>
        </w:tc>
        <w:tc>
          <w:tcPr>
            <w:tcW w:w="2065" w:type="dxa"/>
          </w:tcPr>
          <w:p w14:paraId="3FFB7F6D" w14:textId="77777777" w:rsidR="004379FD" w:rsidRPr="00496262"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sidRPr="00400C22">
              <w:rPr>
                <w:noProof/>
                <w:lang w:eastAsia="en-AU"/>
              </w:rPr>
              <w:drawing>
                <wp:inline distT="0" distB="0" distL="0" distR="0" wp14:anchorId="76E0F280" wp14:editId="2EC3FE2E">
                  <wp:extent cx="1174115" cy="1323340"/>
                  <wp:effectExtent l="0" t="0" r="6985" b="0"/>
                  <wp:docPr id="1124" name="Picture 1124">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a:hlinkClick r:id="rId192"/>
                          </pic:cNvPr>
                          <pic:cNvPicPr/>
                        </pic:nvPicPr>
                        <pic:blipFill>
                          <a:blip r:embed="rId193" cstate="email">
                            <a:extLst>
                              <a:ext uri="{28A0092B-C50C-407E-A947-70E740481C1C}">
                                <a14:useLocalDpi xmlns:a14="http://schemas.microsoft.com/office/drawing/2010/main"/>
                              </a:ext>
                            </a:extLst>
                          </a:blip>
                          <a:stretch>
                            <a:fillRect/>
                          </a:stretch>
                        </pic:blipFill>
                        <pic:spPr>
                          <a:xfrm>
                            <a:off x="0" y="0"/>
                            <a:ext cx="1174115" cy="1323340"/>
                          </a:xfrm>
                          <a:prstGeom prst="rect">
                            <a:avLst/>
                          </a:prstGeom>
                        </pic:spPr>
                      </pic:pic>
                    </a:graphicData>
                  </a:graphic>
                </wp:inline>
              </w:drawing>
            </w:r>
          </w:p>
        </w:tc>
        <w:tc>
          <w:tcPr>
            <w:tcW w:w="2065" w:type="dxa"/>
          </w:tcPr>
          <w:p w14:paraId="2E545C54"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7566D349"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04C49062" w14:textId="77777777" w:rsidR="004379FD"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p>
          <w:p w14:paraId="03E3B2A2" w14:textId="77777777" w:rsidR="004379FD" w:rsidRPr="00496262" w:rsidRDefault="004379FD" w:rsidP="004379FD">
            <w:pPr>
              <w:spacing w:line="259" w:lineRule="auto"/>
              <w:jc w:val="center"/>
              <w:cnfStyle w:val="000000100000" w:firstRow="0" w:lastRow="0" w:firstColumn="0" w:lastColumn="0" w:oddVBand="0" w:evenVBand="0" w:oddHBand="1" w:evenHBand="0" w:firstRowFirstColumn="0" w:firstRowLastColumn="0" w:lastRowFirstColumn="0" w:lastRowLastColumn="0"/>
              <w:rPr>
                <w:noProof/>
              </w:rPr>
            </w:pPr>
            <w:r>
              <w:rPr>
                <w:noProof/>
              </w:rPr>
              <w:t>N/A</w:t>
            </w:r>
          </w:p>
        </w:tc>
      </w:tr>
    </w:tbl>
    <w:p w14:paraId="0E056F0E" w14:textId="4BF7D1A5" w:rsidR="00DF5FBB" w:rsidRDefault="00CD2736">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324D37E4" w14:textId="15C3F4AC" w:rsidR="00820D82" w:rsidRPr="0043243C" w:rsidRDefault="00F673E1" w:rsidP="00836CDD">
      <w:pPr>
        <w:pStyle w:val="Heading1"/>
      </w:pPr>
      <w:bookmarkStart w:id="200" w:name="_Toc69846022"/>
      <w:r>
        <w:t>10</w:t>
      </w:r>
      <w:r>
        <w:tab/>
      </w:r>
      <w:r w:rsidR="006E4461" w:rsidRPr="0029244C">
        <w:t>Edward/Kolety River primary productivity research</w:t>
      </w:r>
      <w:bookmarkEnd w:id="200"/>
    </w:p>
    <w:p w14:paraId="3C72A6A5" w14:textId="2EB9B246" w:rsidR="002714FF" w:rsidRPr="002714FF" w:rsidRDefault="0029244C" w:rsidP="00E065C1">
      <w:pPr>
        <w:spacing w:after="240" w:line="259" w:lineRule="auto"/>
        <w:rPr>
          <w:szCs w:val="22"/>
        </w:rPr>
      </w:pPr>
      <w:r>
        <w:rPr>
          <w:szCs w:val="22"/>
        </w:rPr>
        <w:t xml:space="preserve">Authors: </w:t>
      </w:r>
      <w:r w:rsidR="00C373D5">
        <w:rPr>
          <w:szCs w:val="22"/>
        </w:rPr>
        <w:t xml:space="preserve">Nick Bond, </w:t>
      </w:r>
      <w:r w:rsidR="00E71C01">
        <w:rPr>
          <w:szCs w:val="22"/>
        </w:rPr>
        <w:t>Andre Sie</w:t>
      </w:r>
      <w:r w:rsidR="002714FF" w:rsidRPr="002714FF">
        <w:rPr>
          <w:szCs w:val="22"/>
        </w:rPr>
        <w:t>bers</w:t>
      </w:r>
      <w:r w:rsidR="00C373D5">
        <w:rPr>
          <w:szCs w:val="22"/>
        </w:rPr>
        <w:t xml:space="preserve"> and Nicole McCasker</w:t>
      </w:r>
    </w:p>
    <w:p w14:paraId="5765E8BD" w14:textId="156FE9F3" w:rsidR="00820D82" w:rsidRDefault="00820D82" w:rsidP="00820D82">
      <w:pPr>
        <w:spacing w:after="120" w:line="259" w:lineRule="auto"/>
        <w:rPr>
          <w:rFonts w:cstheme="minorHAnsi"/>
          <w:b/>
          <w:color w:val="31849B"/>
          <w:sz w:val="28"/>
          <w:szCs w:val="28"/>
        </w:rPr>
      </w:pPr>
      <w:r>
        <w:rPr>
          <w:rFonts w:cstheme="minorHAnsi"/>
          <w:b/>
          <w:color w:val="31849B"/>
          <w:sz w:val="28"/>
          <w:szCs w:val="28"/>
        </w:rPr>
        <w:t>10.1 Background</w:t>
      </w:r>
    </w:p>
    <w:p w14:paraId="7B9E7C5D" w14:textId="111EEDF0" w:rsidR="00820D82" w:rsidRDefault="00820D82" w:rsidP="00820D82">
      <w:pPr>
        <w:spacing w:after="120" w:line="259" w:lineRule="auto"/>
        <w:jc w:val="left"/>
        <w:rPr>
          <w:bCs/>
          <w:szCs w:val="22"/>
        </w:rPr>
      </w:pPr>
      <w:r>
        <w:rPr>
          <w:bCs/>
          <w:szCs w:val="22"/>
        </w:rPr>
        <w:t>Stream metabolism evaluates</w:t>
      </w:r>
      <w:r w:rsidRPr="00077642">
        <w:rPr>
          <w:bCs/>
          <w:szCs w:val="22"/>
        </w:rPr>
        <w:t xml:space="preserve"> </w:t>
      </w:r>
      <w:r>
        <w:rPr>
          <w:bCs/>
          <w:szCs w:val="22"/>
        </w:rPr>
        <w:t xml:space="preserve">the processes of </w:t>
      </w:r>
      <w:r w:rsidRPr="00077642">
        <w:rPr>
          <w:bCs/>
          <w:szCs w:val="22"/>
        </w:rPr>
        <w:t xml:space="preserve">Gross Primary Production (GPP) and Ecosystem Respiration (ER) </w:t>
      </w:r>
      <w:r>
        <w:rPr>
          <w:bCs/>
          <w:szCs w:val="22"/>
        </w:rPr>
        <w:t>that</w:t>
      </w:r>
      <w:r w:rsidRPr="00077642">
        <w:rPr>
          <w:bCs/>
          <w:szCs w:val="22"/>
        </w:rPr>
        <w:t xml:space="preserve"> support and sustain aquatic food webs and are directly related to ecosystem health.</w:t>
      </w:r>
      <w:r w:rsidRPr="00B6318E">
        <w:rPr>
          <w:szCs w:val="22"/>
        </w:rPr>
        <w:t xml:space="preserve"> </w:t>
      </w:r>
      <w:r>
        <w:rPr>
          <w:szCs w:val="22"/>
        </w:rPr>
        <w:t xml:space="preserve">Flow variability is a key factor influencing rates of GPP and ER in river systems, and one of the aims of the MER project is to improve understanding of how Commonwealth environmental water influences GPP and ER within river channels under different flow conditions. Due to the nature of delivery constraints in the Edward/Kolety-Wakool system, the LTIM/MER projects to date have focussed on the influence of in-channel flow variability on GPP and ER (Watts et al. 2019). The influence of higher flows that inundate low lying forested areas and thus connect anabranches, benches, and low-lying floodplains on GPP and ER has therefore been under-represented in the </w:t>
      </w:r>
      <w:r w:rsidR="00E065C1">
        <w:rPr>
          <w:szCs w:val="22"/>
        </w:rPr>
        <w:t>LTIM/</w:t>
      </w:r>
      <w:r>
        <w:rPr>
          <w:szCs w:val="22"/>
        </w:rPr>
        <w:t>MER results to date, with the exception of the evaluation of upstream flows returning from Millewa Forest flow into the Edward/Kolety-Wakool system.</w:t>
      </w:r>
    </w:p>
    <w:p w14:paraId="0A15F699" w14:textId="63EC68AF" w:rsidR="00820D82" w:rsidRPr="00820D82" w:rsidRDefault="00820D82" w:rsidP="00054B18">
      <w:pPr>
        <w:spacing w:after="120" w:line="259" w:lineRule="auto"/>
        <w:ind w:right="-144"/>
        <w:jc w:val="left"/>
        <w:rPr>
          <w:szCs w:val="22"/>
        </w:rPr>
      </w:pPr>
      <w:r>
        <w:rPr>
          <w:bCs/>
          <w:szCs w:val="22"/>
        </w:rPr>
        <w:t>Shallow, wide, and slow-flowing inundated benches and low-lying floodplains provide an ideal environment for the growth of algae and aquatic plants, subject to other rate-limiting factors (e.g., temperature, light, and nutrient availability). In addition, t</w:t>
      </w:r>
      <w:r w:rsidRPr="00820D82">
        <w:rPr>
          <w:rFonts w:asciiTheme="minorHAnsi" w:hAnsiTheme="minorHAnsi" w:cstheme="minorHAnsi"/>
          <w:bCs/>
          <w:szCs w:val="22"/>
        </w:rPr>
        <w:t>he inundation of previously dry floodplains can release large quantities of terrestrial c</w:t>
      </w:r>
      <w:r w:rsidRPr="00820D82">
        <w:rPr>
          <w:szCs w:val="22"/>
        </w:rPr>
        <w:t xml:space="preserve">arbon and nutrients to support both respiration and primary production. In large floodplain rivers, infrequent overbank flood events can account for a large proportion, or even the majority of annual ecosystem metabolism. Further, high levels of primary production can support large increases in populations of zooplankton and macroinvertebrates that provide the basal food sources for higher order consumers such as fish. Flows that inundate low lying forested areas can also improve retention of carbon and nutrients within floodplain systems, which may make the metabolic regime of downstream reaches more stable (i.e., less prone to high-rate events such as algal blooms or anoxia). Increased connectivity might therefore both enhance the productivity of the Edward/Kolety-Wakool system, as well as benefiting the productivity of forested areas through enhanced nutrient retention or </w:t>
      </w:r>
      <w:r w:rsidR="00054B18">
        <w:rPr>
          <w:szCs w:val="22"/>
        </w:rPr>
        <w:t>plant</w:t>
      </w:r>
      <w:r w:rsidRPr="00820D82">
        <w:rPr>
          <w:szCs w:val="22"/>
        </w:rPr>
        <w:t xml:space="preserve"> recruitment.</w:t>
      </w:r>
    </w:p>
    <w:p w14:paraId="07A1F3F9" w14:textId="77777777" w:rsidR="00820D82" w:rsidRPr="00820D82" w:rsidRDefault="00820D82" w:rsidP="00820D82">
      <w:pPr>
        <w:spacing w:after="120" w:line="259" w:lineRule="auto"/>
        <w:jc w:val="left"/>
        <w:rPr>
          <w:szCs w:val="22"/>
        </w:rPr>
      </w:pPr>
      <w:r w:rsidRPr="00820D82">
        <w:rPr>
          <w:szCs w:val="22"/>
        </w:rPr>
        <w:t>The Edward/Kolety River downstream of Steven’s Weir experiences higher discharge than many of the existing MER sites (Section 4). Flow events downstream of Stevens Weir have the potential to inundate parts of Werai Forest, connecting low-lying floodplains and floodplain wetlands and runners that sometimes return discharge back into the Edward/Kolety River. Consequently, the Edward/Kolety River downstream of Stevens Weir provides an opportunity to investigate the influence of lateral connectivity on GPP and ER. The aim of this research component is to advance understanding of how GPP and ER in the Edward/Kolety River may differ from the existing MER sites in other parts of the system due to potential for flows within the Edward/Kolety River to increase connectivity between Werai Forest floodplain wetlands and the Edward/Kolety River. This research is focussed on the Werai Forest, and the lessons learned from this project may be transferrable to other low lying forested areas within the Edward/Kolety-Wakool system, such as Koondrook Perricoota Forest.</w:t>
      </w:r>
    </w:p>
    <w:p w14:paraId="6B194742" w14:textId="77777777" w:rsidR="00820D82" w:rsidRDefault="00820D82" w:rsidP="00820D82">
      <w:pPr>
        <w:spacing w:after="120" w:line="259" w:lineRule="auto"/>
        <w:jc w:val="left"/>
        <w:rPr>
          <w:rFonts w:cstheme="minorHAnsi"/>
          <w:b/>
          <w:color w:val="31849B"/>
          <w:sz w:val="28"/>
          <w:szCs w:val="28"/>
        </w:rPr>
      </w:pPr>
      <w:r>
        <w:rPr>
          <w:rFonts w:cstheme="minorHAnsi"/>
          <w:b/>
          <w:color w:val="31849B"/>
          <w:sz w:val="28"/>
          <w:szCs w:val="28"/>
        </w:rPr>
        <w:t>10.2 Research question</w:t>
      </w:r>
    </w:p>
    <w:p w14:paraId="43CFAAD5" w14:textId="5D88E8C4" w:rsidR="00820D82" w:rsidRDefault="00820D82" w:rsidP="00820D82">
      <w:pPr>
        <w:autoSpaceDE w:val="0"/>
        <w:autoSpaceDN w:val="0"/>
        <w:adjustRightInd w:val="0"/>
        <w:spacing w:after="120" w:line="259" w:lineRule="auto"/>
        <w:jc w:val="left"/>
        <w:rPr>
          <w:rFonts w:eastAsiaTheme="minorHAnsi" w:cs="Calibri"/>
          <w:color w:val="000000"/>
          <w:szCs w:val="22"/>
        </w:rPr>
      </w:pPr>
      <w:r>
        <w:rPr>
          <w:rFonts w:eastAsiaTheme="minorHAnsi" w:cs="Calibri"/>
          <w:color w:val="000000"/>
          <w:szCs w:val="22"/>
        </w:rPr>
        <w:t>T</w:t>
      </w:r>
      <w:r w:rsidRPr="007F563D">
        <w:rPr>
          <w:rFonts w:eastAsiaTheme="minorHAnsi" w:cs="Calibri"/>
          <w:color w:val="000000"/>
          <w:szCs w:val="22"/>
        </w:rPr>
        <w:t xml:space="preserve">he relationship between </w:t>
      </w:r>
      <w:r>
        <w:rPr>
          <w:rFonts w:eastAsiaTheme="minorHAnsi" w:cs="Calibri"/>
          <w:color w:val="000000"/>
          <w:szCs w:val="22"/>
        </w:rPr>
        <w:t>higher-flow events</w:t>
      </w:r>
      <w:r w:rsidRPr="007F563D">
        <w:rPr>
          <w:rFonts w:eastAsiaTheme="minorHAnsi" w:cs="Calibri"/>
          <w:color w:val="000000"/>
          <w:szCs w:val="22"/>
        </w:rPr>
        <w:t xml:space="preserve"> </w:t>
      </w:r>
      <w:r>
        <w:rPr>
          <w:rFonts w:eastAsiaTheme="minorHAnsi" w:cs="Calibri"/>
          <w:color w:val="000000"/>
          <w:szCs w:val="22"/>
        </w:rPr>
        <w:t xml:space="preserve">that </w:t>
      </w:r>
      <w:r>
        <w:rPr>
          <w:szCs w:val="22"/>
        </w:rPr>
        <w:t>connect</w:t>
      </w:r>
      <w:r w:rsidRPr="00EC3987">
        <w:rPr>
          <w:szCs w:val="22"/>
        </w:rPr>
        <w:t xml:space="preserve"> low-lying floodplains and floodplain wetlands</w:t>
      </w:r>
      <w:r w:rsidRPr="007F563D">
        <w:rPr>
          <w:rFonts w:eastAsiaTheme="minorHAnsi" w:cs="Calibri"/>
          <w:color w:val="000000"/>
          <w:szCs w:val="22"/>
        </w:rPr>
        <w:t xml:space="preserve"> and </w:t>
      </w:r>
      <w:r>
        <w:rPr>
          <w:rFonts w:eastAsiaTheme="minorHAnsi" w:cs="Calibri"/>
          <w:color w:val="000000"/>
          <w:szCs w:val="22"/>
        </w:rPr>
        <w:t>stream metabolism</w:t>
      </w:r>
      <w:r w:rsidRPr="007F563D">
        <w:rPr>
          <w:rFonts w:eastAsiaTheme="minorHAnsi" w:cs="Calibri"/>
          <w:color w:val="000000"/>
          <w:szCs w:val="22"/>
        </w:rPr>
        <w:t xml:space="preserve"> is complex </w:t>
      </w:r>
      <w:r>
        <w:rPr>
          <w:rFonts w:eastAsiaTheme="minorHAnsi" w:cs="Calibri"/>
          <w:color w:val="000000"/>
          <w:szCs w:val="22"/>
        </w:rPr>
        <w:t xml:space="preserve">and has not been assessed in the Edward/Kolety-Wakool system. The unregulated overbank floods in this system during 2016 could not be analysed for GPP and ER, as wide-spread anoxia from blackwater events precluded the use of metabolic models (Watts et al. 2017). Small freshes (c. 800 ML/day flows) in the Edward/Kolety-Wakool system have been demonstrated to substantially increase production (Watts et al. 2019), but these effects could potentially be much greater if the </w:t>
      </w:r>
      <w:r w:rsidRPr="007E45A9">
        <w:rPr>
          <w:rFonts w:eastAsiaTheme="minorHAnsi" w:cs="Calibri"/>
          <w:color w:val="000000"/>
          <w:szCs w:val="22"/>
        </w:rPr>
        <w:t xml:space="preserve">wetted </w:t>
      </w:r>
      <w:r>
        <w:rPr>
          <w:rFonts w:eastAsiaTheme="minorHAnsi" w:cs="Calibri"/>
          <w:color w:val="000000"/>
          <w:szCs w:val="22"/>
        </w:rPr>
        <w:t>area was increased</w:t>
      </w:r>
      <w:r w:rsidRPr="007E45A9">
        <w:rPr>
          <w:rFonts w:eastAsiaTheme="minorHAnsi" w:cs="Calibri"/>
          <w:color w:val="000000"/>
          <w:szCs w:val="22"/>
        </w:rPr>
        <w:t xml:space="preserve"> by connecting anabranches and low-lying floodplains</w:t>
      </w:r>
      <w:r>
        <w:rPr>
          <w:rFonts w:eastAsiaTheme="minorHAnsi" w:cs="Calibri"/>
          <w:color w:val="000000"/>
          <w:szCs w:val="22"/>
        </w:rPr>
        <w:t>.</w:t>
      </w:r>
      <w:r w:rsidRPr="007E45A9">
        <w:rPr>
          <w:rFonts w:eastAsiaTheme="minorHAnsi" w:cs="Calibri"/>
          <w:color w:val="000000"/>
          <w:szCs w:val="22"/>
        </w:rPr>
        <w:t xml:space="preserve"> </w:t>
      </w:r>
      <w:r>
        <w:rPr>
          <w:rFonts w:eastAsiaTheme="minorHAnsi" w:cs="Calibri"/>
          <w:color w:val="000000"/>
          <w:szCs w:val="22"/>
        </w:rPr>
        <w:t>The effects of flow events on in-channel GPP and ER can</w:t>
      </w:r>
      <w:r w:rsidRPr="007F563D">
        <w:rPr>
          <w:rFonts w:eastAsiaTheme="minorHAnsi" w:cs="Calibri"/>
          <w:color w:val="000000"/>
          <w:szCs w:val="22"/>
        </w:rPr>
        <w:t xml:space="preserve"> be influenced by</w:t>
      </w:r>
      <w:r>
        <w:rPr>
          <w:rFonts w:eastAsiaTheme="minorHAnsi" w:cs="Calibri"/>
          <w:color w:val="000000"/>
          <w:szCs w:val="22"/>
        </w:rPr>
        <w:t xml:space="preserve"> direct lateral connectivity with floodplains as well as the contributions of upstream floodplain connections. Consequently, this initial research in 2019-20 was focused on understanding baseline GPP and ER at sites that have the potential to be used to evaluate the influence of future flows downstream of Stevens Weir that </w:t>
      </w:r>
      <w:r>
        <w:rPr>
          <w:szCs w:val="22"/>
        </w:rPr>
        <w:t>connect</w:t>
      </w:r>
      <w:r w:rsidRPr="00EC3987">
        <w:rPr>
          <w:szCs w:val="22"/>
        </w:rPr>
        <w:t xml:space="preserve"> low-lying floodplains and floodplain wetlands</w:t>
      </w:r>
      <w:r>
        <w:rPr>
          <w:rFonts w:eastAsiaTheme="minorHAnsi" w:cs="Calibri"/>
          <w:color w:val="000000"/>
          <w:szCs w:val="22"/>
        </w:rPr>
        <w:t>.</w:t>
      </w:r>
    </w:p>
    <w:p w14:paraId="10D990F6" w14:textId="77777777" w:rsidR="00820D82" w:rsidRDefault="00820D82" w:rsidP="00820D82">
      <w:pPr>
        <w:autoSpaceDE w:val="0"/>
        <w:autoSpaceDN w:val="0"/>
        <w:adjustRightInd w:val="0"/>
        <w:spacing w:after="0" w:line="259" w:lineRule="auto"/>
        <w:jc w:val="left"/>
        <w:rPr>
          <w:rFonts w:eastAsiaTheme="minorHAnsi" w:cs="Calibri"/>
          <w:color w:val="000000"/>
          <w:szCs w:val="22"/>
        </w:rPr>
      </w:pPr>
      <w:r>
        <w:rPr>
          <w:rFonts w:eastAsiaTheme="minorHAnsi" w:cs="Calibri"/>
          <w:color w:val="000000"/>
          <w:szCs w:val="22"/>
        </w:rPr>
        <w:t>In 2019-20, the question relating to the stream metabolism research component was:</w:t>
      </w:r>
    </w:p>
    <w:p w14:paraId="059AF035" w14:textId="77777777" w:rsidR="00820D82" w:rsidRPr="007F563D" w:rsidRDefault="00820D82" w:rsidP="0040642F">
      <w:pPr>
        <w:pStyle w:val="ListParagraph"/>
        <w:numPr>
          <w:ilvl w:val="0"/>
          <w:numId w:val="30"/>
        </w:numPr>
        <w:autoSpaceDE w:val="0"/>
        <w:autoSpaceDN w:val="0"/>
        <w:adjustRightInd w:val="0"/>
        <w:spacing w:after="120" w:line="259" w:lineRule="auto"/>
        <w:contextualSpacing/>
        <w:jc w:val="left"/>
        <w:rPr>
          <w:rFonts w:eastAsiaTheme="minorHAnsi" w:cs="Calibri"/>
          <w:color w:val="000000"/>
          <w:szCs w:val="22"/>
        </w:rPr>
      </w:pPr>
      <w:r w:rsidRPr="007F563D">
        <w:rPr>
          <w:rFonts w:eastAsiaTheme="minorHAnsi" w:cs="Calibri"/>
          <w:color w:val="000000"/>
          <w:szCs w:val="22"/>
        </w:rPr>
        <w:t>How does variation in the flow regime downstream of Steven’s Weir relate to patterns of GPP, ER, and NEP (net ecosystem producti</w:t>
      </w:r>
      <w:r>
        <w:rPr>
          <w:rFonts w:eastAsiaTheme="minorHAnsi" w:cs="Calibri"/>
          <w:color w:val="000000"/>
          <w:szCs w:val="22"/>
        </w:rPr>
        <w:t>on</w:t>
      </w:r>
      <w:r w:rsidRPr="007F563D">
        <w:rPr>
          <w:rFonts w:eastAsiaTheme="minorHAnsi" w:cs="Calibri"/>
          <w:color w:val="000000"/>
          <w:szCs w:val="22"/>
        </w:rPr>
        <w:t xml:space="preserve">; GPP – ER) in the </w:t>
      </w:r>
      <w:r>
        <w:t xml:space="preserve">Edward/Kolety </w:t>
      </w:r>
      <w:r w:rsidRPr="007F563D">
        <w:rPr>
          <w:rFonts w:eastAsiaTheme="minorHAnsi" w:cs="Calibri"/>
          <w:color w:val="000000"/>
          <w:szCs w:val="22"/>
        </w:rPr>
        <w:t>River?</w:t>
      </w:r>
    </w:p>
    <w:p w14:paraId="23FDD5A1" w14:textId="4C92D5B0" w:rsidR="00820D82" w:rsidRPr="00844ABE" w:rsidRDefault="00820D82" w:rsidP="00820D82">
      <w:pPr>
        <w:spacing w:after="120" w:line="259" w:lineRule="auto"/>
        <w:jc w:val="left"/>
      </w:pPr>
      <w:r>
        <w:t xml:space="preserve">The key focus of this research is a comparison of GPP and ER at sites </w:t>
      </w:r>
      <w:r w:rsidRPr="00990C9D">
        <w:t>upstream and downstream of Werai Forest</w:t>
      </w:r>
      <w:r>
        <w:t xml:space="preserve"> </w:t>
      </w:r>
      <w:r w:rsidRPr="00990C9D">
        <w:t>with respect to variation in hydrology. In the future these sites have the potential to experience higher flows that will connect with anabranches and low lying floodplains along the Edward/Kolety River and through Werai Forest.</w:t>
      </w:r>
    </w:p>
    <w:p w14:paraId="5BF95A0D" w14:textId="77777777" w:rsidR="00820D82" w:rsidRPr="00577262" w:rsidRDefault="00820D82" w:rsidP="00820D82">
      <w:pPr>
        <w:spacing w:after="120" w:line="259" w:lineRule="auto"/>
        <w:jc w:val="left"/>
        <w:rPr>
          <w:b/>
          <w:color w:val="31849B" w:themeColor="accent5" w:themeShade="BF"/>
          <w:sz w:val="28"/>
          <w:szCs w:val="28"/>
        </w:rPr>
      </w:pPr>
      <w:r>
        <w:rPr>
          <w:rFonts w:cstheme="minorHAnsi"/>
          <w:b/>
          <w:color w:val="31849B"/>
          <w:sz w:val="28"/>
          <w:szCs w:val="28"/>
        </w:rPr>
        <w:t>10.3 Methods</w:t>
      </w:r>
    </w:p>
    <w:p w14:paraId="08009964" w14:textId="77777777" w:rsidR="00820D82" w:rsidRDefault="00820D82" w:rsidP="00DB132E">
      <w:pPr>
        <w:spacing w:after="120" w:line="240" w:lineRule="auto"/>
        <w:rPr>
          <w:rFonts w:asciiTheme="minorHAnsi" w:hAnsiTheme="minorHAnsi"/>
          <w:b/>
          <w:i/>
          <w:color w:val="31849B"/>
          <w:szCs w:val="22"/>
        </w:rPr>
      </w:pPr>
      <w:r>
        <w:rPr>
          <w:rFonts w:asciiTheme="minorHAnsi" w:hAnsiTheme="minorHAnsi"/>
          <w:b/>
          <w:i/>
          <w:color w:val="31849B"/>
          <w:szCs w:val="22"/>
        </w:rPr>
        <w:t>Sites</w:t>
      </w:r>
    </w:p>
    <w:p w14:paraId="1A093DB0" w14:textId="77777777" w:rsidR="00820D82" w:rsidRDefault="00820D82" w:rsidP="00820D82">
      <w:pPr>
        <w:spacing w:after="120" w:line="259" w:lineRule="auto"/>
        <w:jc w:val="left"/>
        <w:rPr>
          <w:rFonts w:asciiTheme="minorHAnsi" w:hAnsiTheme="minorHAnsi"/>
          <w:bCs/>
          <w:iCs/>
          <w:szCs w:val="22"/>
        </w:rPr>
      </w:pPr>
      <w:r>
        <w:rPr>
          <w:rFonts w:asciiTheme="minorHAnsi" w:hAnsiTheme="minorHAnsi"/>
          <w:bCs/>
          <w:iCs/>
          <w:szCs w:val="22"/>
        </w:rPr>
        <w:t xml:space="preserve">Two sites with newly installed DO loggers were included in this initial phase of the research project. The first site was located along the </w:t>
      </w:r>
      <w:r>
        <w:t xml:space="preserve">Edward/Kolety </w:t>
      </w:r>
      <w:r>
        <w:rPr>
          <w:rFonts w:asciiTheme="minorHAnsi" w:hAnsiTheme="minorHAnsi"/>
          <w:bCs/>
          <w:iCs/>
          <w:szCs w:val="22"/>
        </w:rPr>
        <w:t xml:space="preserve">River, approximately 10 km downstream of Steven’s Weir and downstream of where Colligen Creek splits from the </w:t>
      </w:r>
      <w:r>
        <w:t xml:space="preserve">Edward/Kolety River </w:t>
      </w:r>
      <w:r>
        <w:rPr>
          <w:rFonts w:asciiTheme="minorHAnsi" w:hAnsiTheme="minorHAnsi"/>
          <w:bCs/>
          <w:iCs/>
          <w:szCs w:val="22"/>
        </w:rPr>
        <w:t xml:space="preserve">(Figure 10.1). The second site was located downstream of Werai Forest, nearby to Balpool Road Bridge (Figure 10.1). The two sites are connected via </w:t>
      </w:r>
      <w:r>
        <w:t xml:space="preserve">Edward/Kolety </w:t>
      </w:r>
      <w:r>
        <w:rPr>
          <w:rFonts w:asciiTheme="minorHAnsi" w:hAnsiTheme="minorHAnsi"/>
          <w:bCs/>
          <w:iCs/>
          <w:szCs w:val="22"/>
        </w:rPr>
        <w:t xml:space="preserve">River flows. During high-flow events, flows can also connect through the centre of Werai Forest and outflow into the Edward/Kolety River upstream of the junction of the </w:t>
      </w:r>
      <w:r>
        <w:t xml:space="preserve">Edward/Kolety River </w:t>
      </w:r>
      <w:r>
        <w:rPr>
          <w:rFonts w:asciiTheme="minorHAnsi" w:hAnsiTheme="minorHAnsi"/>
          <w:bCs/>
          <w:iCs/>
          <w:szCs w:val="22"/>
        </w:rPr>
        <w:t xml:space="preserve">and Colligen/Niemur Creek systems (Figure 10.2). The second site therefore integrates a substantial stretch of the </w:t>
      </w:r>
      <w:r>
        <w:t xml:space="preserve">Edward/Kolety </w:t>
      </w:r>
      <w:r>
        <w:rPr>
          <w:rFonts w:asciiTheme="minorHAnsi" w:hAnsiTheme="minorHAnsi"/>
          <w:bCs/>
          <w:iCs/>
          <w:szCs w:val="22"/>
        </w:rPr>
        <w:t>River bordering Werai Forest as well as outflows from Werai Forest.</w:t>
      </w:r>
    </w:p>
    <w:p w14:paraId="6F9050CB" w14:textId="77777777" w:rsidR="00820D82" w:rsidRDefault="00820D82" w:rsidP="00820D82">
      <w:pPr>
        <w:spacing w:after="0" w:line="240" w:lineRule="auto"/>
        <w:jc w:val="center"/>
        <w:rPr>
          <w:rFonts w:asciiTheme="minorHAnsi" w:hAnsiTheme="minorHAnsi"/>
          <w:bCs/>
          <w:iCs/>
          <w:szCs w:val="22"/>
        </w:rPr>
      </w:pPr>
      <w:r>
        <w:rPr>
          <w:noProof/>
          <w:lang w:eastAsia="en-AU"/>
        </w:rPr>
        <w:drawing>
          <wp:inline distT="0" distB="0" distL="0" distR="0" wp14:anchorId="067B552F" wp14:editId="0103C87A">
            <wp:extent cx="3734972" cy="2659995"/>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738119" cy="2662237"/>
                    </a:xfrm>
                    <a:prstGeom prst="rect">
                      <a:avLst/>
                    </a:prstGeom>
                    <a:noFill/>
                    <a:ln>
                      <a:noFill/>
                    </a:ln>
                  </pic:spPr>
                </pic:pic>
              </a:graphicData>
            </a:graphic>
          </wp:inline>
        </w:drawing>
      </w:r>
    </w:p>
    <w:p w14:paraId="0E785D02" w14:textId="77777777" w:rsidR="00820D82" w:rsidRDefault="00820D82" w:rsidP="00820D82">
      <w:pPr>
        <w:spacing w:after="0" w:line="240" w:lineRule="auto"/>
        <w:jc w:val="left"/>
        <w:rPr>
          <w:bCs/>
          <w:sz w:val="20"/>
        </w:rPr>
      </w:pPr>
      <w:r w:rsidRPr="006C5260">
        <w:rPr>
          <w:b/>
          <w:sz w:val="20"/>
        </w:rPr>
        <w:t>Figure 10.1</w:t>
      </w:r>
      <w:r>
        <w:rPr>
          <w:b/>
          <w:sz w:val="20"/>
        </w:rPr>
        <w:t xml:space="preserve"> </w:t>
      </w:r>
      <w:r w:rsidRPr="00D34C1B">
        <w:rPr>
          <w:bCs/>
          <w:sz w:val="20"/>
        </w:rPr>
        <w:t>Map of the Edward/Kolety-Wakool Selected Area showing</w:t>
      </w:r>
      <w:r>
        <w:rPr>
          <w:bCs/>
          <w:sz w:val="20"/>
        </w:rPr>
        <w:t xml:space="preserve"> initial </w:t>
      </w:r>
      <w:r w:rsidRPr="00363482">
        <w:rPr>
          <w:bCs/>
          <w:sz w:val="20"/>
        </w:rPr>
        <w:t xml:space="preserve">sampling sites </w:t>
      </w:r>
      <w:r>
        <w:rPr>
          <w:bCs/>
          <w:sz w:val="20"/>
        </w:rPr>
        <w:t>for the stream metabolism research component (red circles). Black circles indicate location of hydrological gauges. Red square shows the location of Deniliquin.</w:t>
      </w:r>
    </w:p>
    <w:p w14:paraId="77AA3090" w14:textId="77777777" w:rsidR="00820D82" w:rsidRDefault="00820D82" w:rsidP="00820D82">
      <w:pPr>
        <w:spacing w:after="120" w:line="259" w:lineRule="auto"/>
        <w:jc w:val="center"/>
        <w:rPr>
          <w:rFonts w:asciiTheme="minorHAnsi" w:hAnsiTheme="minorHAnsi"/>
          <w:bCs/>
          <w:iCs/>
          <w:szCs w:val="22"/>
        </w:rPr>
      </w:pPr>
      <w:r>
        <w:rPr>
          <w:rFonts w:asciiTheme="minorHAnsi" w:hAnsiTheme="minorHAnsi"/>
          <w:bCs/>
          <w:iCs/>
          <w:noProof/>
          <w:szCs w:val="22"/>
          <w:lang w:eastAsia="en-AU"/>
        </w:rPr>
        <w:drawing>
          <wp:inline distT="0" distB="0" distL="0" distR="0" wp14:anchorId="6FE7AC95" wp14:editId="25D4B3B6">
            <wp:extent cx="5598374" cy="774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598374" cy="7740000"/>
                    </a:xfrm>
                    <a:prstGeom prst="rect">
                      <a:avLst/>
                    </a:prstGeom>
                    <a:noFill/>
                  </pic:spPr>
                </pic:pic>
              </a:graphicData>
            </a:graphic>
          </wp:inline>
        </w:drawing>
      </w:r>
    </w:p>
    <w:p w14:paraId="5715EF62" w14:textId="225DC573" w:rsidR="00820D82" w:rsidRPr="00776EAB" w:rsidRDefault="00820D82" w:rsidP="00820D82">
      <w:pPr>
        <w:spacing w:after="120" w:line="240" w:lineRule="auto"/>
        <w:contextualSpacing/>
        <w:jc w:val="left"/>
        <w:rPr>
          <w:rFonts w:asciiTheme="minorHAnsi" w:hAnsiTheme="minorHAnsi"/>
          <w:bCs/>
          <w:iCs/>
          <w:sz w:val="20"/>
        </w:rPr>
      </w:pPr>
      <w:r w:rsidRPr="00776EAB">
        <w:rPr>
          <w:rFonts w:asciiTheme="minorHAnsi" w:hAnsiTheme="minorHAnsi"/>
          <w:b/>
          <w:iCs/>
          <w:sz w:val="20"/>
        </w:rPr>
        <w:t>Figure 10.</w:t>
      </w:r>
      <w:r>
        <w:rPr>
          <w:rFonts w:asciiTheme="minorHAnsi" w:hAnsiTheme="minorHAnsi"/>
          <w:b/>
          <w:iCs/>
          <w:sz w:val="20"/>
        </w:rPr>
        <w:t>2</w:t>
      </w:r>
      <w:r>
        <w:rPr>
          <w:rFonts w:asciiTheme="minorHAnsi" w:hAnsiTheme="minorHAnsi"/>
          <w:bCs/>
          <w:iCs/>
          <w:sz w:val="20"/>
        </w:rPr>
        <w:t xml:space="preserve"> </w:t>
      </w:r>
      <w:r w:rsidRPr="00A61DD5">
        <w:rPr>
          <w:rFonts w:asciiTheme="minorHAnsi" w:hAnsiTheme="minorHAnsi"/>
          <w:bCs/>
          <w:iCs/>
          <w:sz w:val="20"/>
        </w:rPr>
        <w:t xml:space="preserve">False-colour </w:t>
      </w:r>
      <w:r>
        <w:rPr>
          <w:rFonts w:asciiTheme="minorHAnsi" w:hAnsiTheme="minorHAnsi"/>
          <w:bCs/>
          <w:iCs/>
          <w:sz w:val="20"/>
        </w:rPr>
        <w:t>Sentinel</w:t>
      </w:r>
      <w:r w:rsidRPr="00A61DD5">
        <w:rPr>
          <w:rFonts w:asciiTheme="minorHAnsi" w:hAnsiTheme="minorHAnsi"/>
          <w:bCs/>
          <w:iCs/>
          <w:sz w:val="20"/>
        </w:rPr>
        <w:t xml:space="preserve"> imagery of the </w:t>
      </w:r>
      <w:r w:rsidRPr="00A61DD5">
        <w:rPr>
          <w:sz w:val="20"/>
        </w:rPr>
        <w:t xml:space="preserve">Edward/Kolety </w:t>
      </w:r>
      <w:r w:rsidRPr="00A61DD5">
        <w:rPr>
          <w:rFonts w:asciiTheme="minorHAnsi" w:hAnsiTheme="minorHAnsi"/>
          <w:bCs/>
          <w:iCs/>
          <w:sz w:val="20"/>
        </w:rPr>
        <w:t>River adjacent to Werai Forest</w:t>
      </w:r>
      <w:r>
        <w:rPr>
          <w:rFonts w:asciiTheme="minorHAnsi" w:hAnsiTheme="minorHAnsi"/>
          <w:bCs/>
          <w:iCs/>
          <w:sz w:val="20"/>
        </w:rPr>
        <w:t xml:space="preserve"> (large map shows location of imaged area within the </w:t>
      </w:r>
      <w:r w:rsidRPr="00D34C1B">
        <w:rPr>
          <w:bCs/>
          <w:sz w:val="20"/>
        </w:rPr>
        <w:t>Edward/Kolety-Wakool Selected Area</w:t>
      </w:r>
      <w:r>
        <w:rPr>
          <w:bCs/>
          <w:sz w:val="20"/>
        </w:rPr>
        <w:t>)</w:t>
      </w:r>
      <w:r w:rsidRPr="00A61DD5">
        <w:rPr>
          <w:rFonts w:asciiTheme="minorHAnsi" w:hAnsiTheme="minorHAnsi"/>
          <w:bCs/>
          <w:iCs/>
          <w:sz w:val="20"/>
        </w:rPr>
        <w:t xml:space="preserve">. </w:t>
      </w:r>
      <w:r>
        <w:rPr>
          <w:rFonts w:asciiTheme="minorHAnsi" w:hAnsiTheme="minorHAnsi"/>
          <w:bCs/>
          <w:iCs/>
          <w:sz w:val="20"/>
        </w:rPr>
        <w:t>Inset images show expanded view of inundated areas within Werai Forest in relation to the Edward/Kolety River. The progression of water through the forest from August 2019 to Octobe</w:t>
      </w:r>
      <w:r w:rsidR="00B1114F">
        <w:rPr>
          <w:rFonts w:asciiTheme="minorHAnsi" w:hAnsiTheme="minorHAnsi"/>
          <w:bCs/>
          <w:iCs/>
          <w:sz w:val="20"/>
        </w:rPr>
        <w:t>r</w:t>
      </w:r>
      <w:r>
        <w:rPr>
          <w:rFonts w:asciiTheme="minorHAnsi" w:hAnsiTheme="minorHAnsi"/>
          <w:bCs/>
          <w:iCs/>
          <w:sz w:val="20"/>
        </w:rPr>
        <w:t xml:space="preserve"> 2019 is evident in the images. The i</w:t>
      </w:r>
      <w:r w:rsidRPr="00A61DD5">
        <w:rPr>
          <w:rFonts w:asciiTheme="minorHAnsi" w:hAnsiTheme="minorHAnsi"/>
          <w:bCs/>
          <w:iCs/>
          <w:sz w:val="20"/>
        </w:rPr>
        <w:t xml:space="preserve">mage from 18 October 2019 shows connection of Werai Forest outflows into the </w:t>
      </w:r>
      <w:r w:rsidRPr="00A61DD5">
        <w:rPr>
          <w:sz w:val="20"/>
        </w:rPr>
        <w:t xml:space="preserve">Edward/Kolety </w:t>
      </w:r>
      <w:r w:rsidRPr="00A61DD5">
        <w:rPr>
          <w:rFonts w:asciiTheme="minorHAnsi" w:hAnsiTheme="minorHAnsi"/>
          <w:bCs/>
          <w:iCs/>
          <w:sz w:val="20"/>
        </w:rPr>
        <w:t>River</w:t>
      </w:r>
      <w:r>
        <w:rPr>
          <w:rFonts w:asciiTheme="minorHAnsi" w:hAnsiTheme="minorHAnsi"/>
          <w:bCs/>
          <w:iCs/>
          <w:sz w:val="20"/>
        </w:rPr>
        <w:t xml:space="preserve"> (white circle).</w:t>
      </w:r>
    </w:p>
    <w:p w14:paraId="7F8D722B" w14:textId="77777777" w:rsidR="00820D82" w:rsidRDefault="00820D82" w:rsidP="00820D82">
      <w:pPr>
        <w:spacing w:after="120" w:line="259" w:lineRule="auto"/>
      </w:pPr>
      <w:r w:rsidRPr="00272A8F">
        <w:rPr>
          <w:rFonts w:asciiTheme="minorHAnsi" w:hAnsiTheme="minorHAnsi"/>
          <w:b/>
          <w:i/>
          <w:color w:val="31849B"/>
          <w:szCs w:val="22"/>
        </w:rPr>
        <w:t>Data collection</w:t>
      </w:r>
    </w:p>
    <w:p w14:paraId="7061C737" w14:textId="77777777" w:rsidR="00820D82" w:rsidRDefault="00820D82" w:rsidP="00820D82">
      <w:pPr>
        <w:spacing w:after="120" w:line="259" w:lineRule="auto"/>
        <w:jc w:val="left"/>
      </w:pPr>
      <w:r>
        <w:t>S</w:t>
      </w:r>
      <w:r w:rsidRPr="006D00D0">
        <w:t>tream metabolism measurements were performed in accordance with the LTIM Standard Operating Procedure (Hale et al. 2014).</w:t>
      </w:r>
      <w:r>
        <w:t xml:space="preserve"> Water temperature and dissolved oxygen (DO) were logged every ten minutes with one logger placed at each of the two study sites. Data were downloaded and loggers calibrated approximately once per month if sites were accessible, and more frequently (often fortnightly) during summer to avoid problems with probe biofouling. Light loggers were deployed alongside oxygen loggers and data were downloaded monthly</w:t>
      </w:r>
      <w:r w:rsidRPr="00ED2D1E">
        <w:t xml:space="preserve"> </w:t>
      </w:r>
      <w:r>
        <w:t>(approximately).</w:t>
      </w:r>
    </w:p>
    <w:p w14:paraId="722482E3" w14:textId="77777777" w:rsidR="00820D82" w:rsidRPr="00272A8F" w:rsidRDefault="00820D82" w:rsidP="00820D82">
      <w:pPr>
        <w:pStyle w:val="BodyText"/>
        <w:spacing w:after="120" w:line="259" w:lineRule="auto"/>
        <w:jc w:val="left"/>
        <w:rPr>
          <w:rFonts w:asciiTheme="minorHAnsi" w:hAnsiTheme="minorHAnsi"/>
          <w:b/>
          <w:i/>
          <w:color w:val="31849B"/>
          <w:sz w:val="22"/>
          <w:szCs w:val="22"/>
        </w:rPr>
      </w:pPr>
      <w:r w:rsidRPr="00272A8F">
        <w:rPr>
          <w:rFonts w:asciiTheme="minorHAnsi" w:hAnsiTheme="minorHAnsi"/>
          <w:b/>
          <w:i/>
          <w:color w:val="31849B"/>
          <w:sz w:val="22"/>
          <w:szCs w:val="22"/>
        </w:rPr>
        <w:t>Data analysis</w:t>
      </w:r>
    </w:p>
    <w:p w14:paraId="7DBE2CAE" w14:textId="77777777" w:rsidR="00820D82" w:rsidRDefault="00820D82" w:rsidP="00820D82">
      <w:pPr>
        <w:spacing w:after="120" w:line="259" w:lineRule="auto"/>
        <w:jc w:val="left"/>
      </w:pPr>
      <w:r>
        <w:t>Estimation of stream metabolism rates followed Section 6: first, we used BASEv2 to model daily rates of GPP and ER (</w:t>
      </w:r>
      <w:r w:rsidRPr="005B3A1C">
        <w:rPr>
          <w:bCs/>
          <w:szCs w:val="22"/>
        </w:rPr>
        <w:t>mg O</w:t>
      </w:r>
      <w:r w:rsidRPr="005B3A1C">
        <w:rPr>
          <w:bCs/>
          <w:szCs w:val="22"/>
          <w:vertAlign w:val="subscript"/>
        </w:rPr>
        <w:t>2</w:t>
      </w:r>
      <w:r w:rsidRPr="005B3A1C">
        <w:rPr>
          <w:bCs/>
          <w:szCs w:val="22"/>
        </w:rPr>
        <w:t>/L/Day</w:t>
      </w:r>
      <w:r>
        <w:t xml:space="preserve">) from oxygen, temperature and light measurements. </w:t>
      </w:r>
      <w:r w:rsidRPr="00230769">
        <w:t>Acceptance criteria for inclusion of daily results</w:t>
      </w:r>
      <w:r>
        <w:t xml:space="preserve"> were that the fitted model for a day must have (i) an R</w:t>
      </w:r>
      <w:r w:rsidRPr="00F171D7">
        <w:rPr>
          <w:vertAlign w:val="superscript"/>
        </w:rPr>
        <w:t>2</w:t>
      </w:r>
      <w:r>
        <w:t xml:space="preserve"> </w:t>
      </w:r>
      <w:r w:rsidRPr="00C750F0">
        <w:t xml:space="preserve">value of at least 0.90 </w:t>
      </w:r>
      <w:r w:rsidRPr="00337FB3">
        <w:t>and</w:t>
      </w:r>
      <w:r>
        <w:t xml:space="preserve"> </w:t>
      </w:r>
      <w:r w:rsidRPr="00C750F0">
        <w:t>a coefficient of variation f</w:t>
      </w:r>
      <w:r>
        <w:t xml:space="preserve">or </w:t>
      </w:r>
      <w:r w:rsidRPr="00C750F0">
        <w:t>the GPP, ER</w:t>
      </w:r>
      <w:r>
        <w:t>,</w:t>
      </w:r>
      <w:r w:rsidRPr="00C750F0">
        <w:t xml:space="preserve"> and K</w:t>
      </w:r>
      <w:r>
        <w:t xml:space="preserve"> </w:t>
      </w:r>
      <w:r w:rsidRPr="00C750F0">
        <w:t>parameters</w:t>
      </w:r>
      <w:r>
        <w:t xml:space="preserve"> </w:t>
      </w:r>
      <w:r w:rsidRPr="00C750F0">
        <w:t>of &lt; 50%</w:t>
      </w:r>
      <w:r>
        <w:t xml:space="preserve">, (ii) a </w:t>
      </w:r>
      <w:r w:rsidRPr="004B3E8B">
        <w:t>reaeration coefficient</w:t>
      </w:r>
      <w:r>
        <w:t xml:space="preserve"> (K)</w:t>
      </w:r>
      <w:r w:rsidRPr="004B3E8B">
        <w:t xml:space="preserve"> </w:t>
      </w:r>
      <w:r>
        <w:t>within</w:t>
      </w:r>
      <w:r w:rsidRPr="004B3E8B">
        <w:t xml:space="preserve"> the range</w:t>
      </w:r>
      <w:r>
        <w:t xml:space="preserve"> </w:t>
      </w:r>
      <w:r w:rsidRPr="004B3E8B">
        <w:t>0.1 to 15</w:t>
      </w:r>
      <w:r>
        <w:t xml:space="preserve">, and (iii) </w:t>
      </w:r>
      <w:r w:rsidRPr="00A423B8">
        <w:t xml:space="preserve">model fit parameter PPfit </w:t>
      </w:r>
      <w:r>
        <w:t>with</w:t>
      </w:r>
      <w:r w:rsidRPr="00A423B8">
        <w:t>in the range 0.1 to 0.9</w:t>
      </w:r>
      <w:r>
        <w:t xml:space="preserve">. </w:t>
      </w:r>
    </w:p>
    <w:p w14:paraId="03C516E9" w14:textId="77777777" w:rsidR="00820D82" w:rsidRDefault="00820D82" w:rsidP="00820D82">
      <w:pPr>
        <w:spacing w:after="120" w:line="259" w:lineRule="auto"/>
        <w:jc w:val="left"/>
        <w:rPr>
          <w:bCs/>
          <w:szCs w:val="22"/>
        </w:rPr>
      </w:pPr>
      <w:r>
        <w:rPr>
          <w:bCs/>
          <w:szCs w:val="22"/>
        </w:rPr>
        <w:t>R</w:t>
      </w:r>
      <w:r w:rsidRPr="005B3A1C">
        <w:rPr>
          <w:bCs/>
          <w:szCs w:val="22"/>
        </w:rPr>
        <w:t xml:space="preserve">ates of carbon produced and consumed each day were calculated by </w:t>
      </w:r>
      <w:r>
        <w:rPr>
          <w:bCs/>
          <w:szCs w:val="22"/>
        </w:rPr>
        <w:t>converting</w:t>
      </w:r>
      <w:r w:rsidRPr="005B3A1C">
        <w:rPr>
          <w:bCs/>
          <w:szCs w:val="22"/>
        </w:rPr>
        <w:t xml:space="preserve"> GPP or ER in mg O</w:t>
      </w:r>
      <w:r w:rsidRPr="005B3A1C">
        <w:rPr>
          <w:bCs/>
          <w:szCs w:val="22"/>
          <w:vertAlign w:val="subscript"/>
        </w:rPr>
        <w:t>2</w:t>
      </w:r>
      <w:r w:rsidRPr="005B3A1C">
        <w:rPr>
          <w:bCs/>
          <w:szCs w:val="22"/>
        </w:rPr>
        <w:t>/L/Day by a factor of 12/32 (ratio of atomic mass of C to molecular mass of O</w:t>
      </w:r>
      <w:r w:rsidRPr="005B3A1C">
        <w:rPr>
          <w:bCs/>
          <w:szCs w:val="22"/>
          <w:vertAlign w:val="subscript"/>
        </w:rPr>
        <w:t>2</w:t>
      </w:r>
      <w:r w:rsidRPr="005B3A1C">
        <w:rPr>
          <w:bCs/>
          <w:szCs w:val="22"/>
        </w:rPr>
        <w:t xml:space="preserve">). </w:t>
      </w:r>
      <w:r>
        <w:rPr>
          <w:bCs/>
          <w:szCs w:val="22"/>
        </w:rPr>
        <w:t>T</w:t>
      </w:r>
      <w:r w:rsidRPr="0099278B">
        <w:rPr>
          <w:bCs/>
          <w:szCs w:val="22"/>
        </w:rPr>
        <w:t>otal</w:t>
      </w:r>
      <w:r>
        <w:rPr>
          <w:bCs/>
          <w:szCs w:val="22"/>
        </w:rPr>
        <w:t xml:space="preserve"> </w:t>
      </w:r>
      <w:r w:rsidRPr="009B28A7">
        <w:rPr>
          <w:bCs/>
          <w:szCs w:val="22"/>
        </w:rPr>
        <w:t>production for each day</w:t>
      </w:r>
      <w:r>
        <w:rPr>
          <w:bCs/>
          <w:szCs w:val="22"/>
        </w:rPr>
        <w:t xml:space="preserve"> (kg C/day)</w:t>
      </w:r>
      <w:r w:rsidRPr="009B28A7">
        <w:rPr>
          <w:bCs/>
          <w:szCs w:val="22"/>
        </w:rPr>
        <w:t xml:space="preserve"> was estimated by multiplying the rate of production derived for that day (in </w:t>
      </w:r>
      <w:r>
        <w:rPr>
          <w:bCs/>
          <w:szCs w:val="22"/>
        </w:rPr>
        <w:t>k</w:t>
      </w:r>
      <w:r w:rsidRPr="009B28A7">
        <w:rPr>
          <w:bCs/>
          <w:szCs w:val="22"/>
        </w:rPr>
        <w:t>g C/L/day) by the observed discharge on that day (L).</w:t>
      </w:r>
      <w:r>
        <w:rPr>
          <w:bCs/>
          <w:szCs w:val="22"/>
        </w:rPr>
        <w:t xml:space="preserve"> </w:t>
      </w:r>
      <w:r w:rsidRPr="008B01ED">
        <w:rPr>
          <w:bCs/>
          <w:szCs w:val="22"/>
        </w:rPr>
        <w:t xml:space="preserve">As the site downstream of Werai Forest is ungauged, we used discharge measurements from </w:t>
      </w:r>
      <w:r>
        <w:rPr>
          <w:bCs/>
          <w:szCs w:val="22"/>
        </w:rPr>
        <w:t>the WaterNSW Moulamein gauge</w:t>
      </w:r>
      <w:r w:rsidRPr="008B01ED">
        <w:rPr>
          <w:bCs/>
          <w:szCs w:val="22"/>
        </w:rPr>
        <w:t xml:space="preserve"> </w:t>
      </w:r>
      <w:r>
        <w:rPr>
          <w:bCs/>
          <w:szCs w:val="22"/>
        </w:rPr>
        <w:t xml:space="preserve">(Section 4) </w:t>
      </w:r>
      <w:r w:rsidRPr="008B01ED">
        <w:rPr>
          <w:bCs/>
          <w:szCs w:val="22"/>
        </w:rPr>
        <w:t>to perform these calculations.</w:t>
      </w:r>
      <w:r>
        <w:rPr>
          <w:bCs/>
          <w:szCs w:val="22"/>
        </w:rPr>
        <w:t xml:space="preserve"> This gauge site can be influenced by inflows from Billabong Creek, but it is currently the best hydrological data that is available for this site. Except during times of large unregulated flows, the inflows from Billabong Creek are small relative to discharge in the Edward/Kolety River.</w:t>
      </w:r>
    </w:p>
    <w:p w14:paraId="3B0C9A53" w14:textId="77777777" w:rsidR="00820D82" w:rsidRDefault="00820D82" w:rsidP="00820D82">
      <w:pPr>
        <w:spacing w:after="120" w:line="259" w:lineRule="auto"/>
        <w:jc w:val="left"/>
        <w:rPr>
          <w:bCs/>
          <w:szCs w:val="22"/>
        </w:rPr>
      </w:pPr>
      <w:r>
        <w:rPr>
          <w:bCs/>
          <w:szCs w:val="22"/>
        </w:rPr>
        <w:t>There are no directly measured, continuous data on the extent and timing of overbank flow events within Werai Forest. We therefore estimated periods of potential floodplain or wetland inundation within Werai Forest with three metrics. First, we estimated the potential for inundation via overbank flow as flow events where discharge below Steven’s Weir exceeded 2700 ML/day. We refer to these events here as “high-flow events”, i.e. events which are likely large enough to have the potential to cause flow events that connect with Werai Forest. We also estimated the possibility of floodplain or wetland inundation across the entirety of Werai Forest by (i) the proportion of Werai Forest covered with open water and wet vegetation derived from Digital Earth Australia (DEA) satellite imagery (</w:t>
      </w:r>
      <w:r w:rsidRPr="00BF0398">
        <w:rPr>
          <w:bCs/>
          <w:szCs w:val="22"/>
        </w:rPr>
        <w:t>Ramsar Wetlands Insight Tool v3.0</w:t>
      </w:r>
      <w:r>
        <w:rPr>
          <w:bCs/>
          <w:szCs w:val="22"/>
        </w:rPr>
        <w:t xml:space="preserve">) for 2019, and (ii) daily cumulative rainfall measured across 2019-20 at the nearby </w:t>
      </w:r>
      <w:r w:rsidRPr="00BB3796">
        <w:rPr>
          <w:bCs/>
          <w:szCs w:val="22"/>
        </w:rPr>
        <w:t>Wakool (Calimo) weather station</w:t>
      </w:r>
      <w:r>
        <w:rPr>
          <w:bCs/>
          <w:szCs w:val="22"/>
        </w:rPr>
        <w:t xml:space="preserve"> (Australian Bureau of Meteorology).</w:t>
      </w:r>
    </w:p>
    <w:p w14:paraId="6D892609" w14:textId="77777777" w:rsidR="00820D82" w:rsidRPr="00272A8F" w:rsidRDefault="00820D82" w:rsidP="00820D82">
      <w:pPr>
        <w:spacing w:after="120" w:line="259" w:lineRule="auto"/>
        <w:jc w:val="left"/>
        <w:rPr>
          <w:b/>
          <w:color w:val="31849B"/>
          <w:sz w:val="28"/>
          <w:szCs w:val="28"/>
        </w:rPr>
      </w:pPr>
      <w:r>
        <w:rPr>
          <w:rFonts w:cstheme="minorHAnsi"/>
          <w:b/>
          <w:color w:val="31849B"/>
          <w:sz w:val="28"/>
          <w:szCs w:val="28"/>
        </w:rPr>
        <w:t>10.4</w:t>
      </w:r>
      <w:r w:rsidRPr="00272A8F">
        <w:rPr>
          <w:rFonts w:cstheme="minorHAnsi"/>
          <w:b/>
          <w:color w:val="31849B"/>
          <w:sz w:val="28"/>
          <w:szCs w:val="28"/>
        </w:rPr>
        <w:t xml:space="preserve"> </w:t>
      </w:r>
      <w:r>
        <w:rPr>
          <w:rFonts w:cstheme="minorHAnsi"/>
          <w:b/>
          <w:color w:val="31849B"/>
          <w:sz w:val="28"/>
          <w:szCs w:val="28"/>
        </w:rPr>
        <w:t>Results</w:t>
      </w:r>
    </w:p>
    <w:p w14:paraId="418516D7" w14:textId="77777777" w:rsidR="00820D82" w:rsidRPr="00217DC6" w:rsidRDefault="00820D82" w:rsidP="00820D82">
      <w:pPr>
        <w:pStyle w:val="BodyText"/>
        <w:spacing w:after="120" w:line="259" w:lineRule="auto"/>
        <w:rPr>
          <w:rFonts w:asciiTheme="minorHAnsi" w:hAnsiTheme="minorHAnsi"/>
          <w:b/>
          <w:i/>
          <w:color w:val="31849B"/>
          <w:sz w:val="22"/>
          <w:szCs w:val="22"/>
        </w:rPr>
      </w:pPr>
      <w:r w:rsidRPr="00217DC6">
        <w:rPr>
          <w:rFonts w:asciiTheme="minorHAnsi" w:hAnsiTheme="minorHAnsi"/>
          <w:b/>
          <w:i/>
          <w:color w:val="31849B"/>
          <w:sz w:val="22"/>
          <w:szCs w:val="22"/>
        </w:rPr>
        <w:t xml:space="preserve">Rates of </w:t>
      </w:r>
      <w:r>
        <w:rPr>
          <w:rFonts w:asciiTheme="minorHAnsi" w:hAnsiTheme="minorHAnsi"/>
          <w:b/>
          <w:i/>
          <w:color w:val="31849B"/>
          <w:sz w:val="22"/>
          <w:szCs w:val="22"/>
        </w:rPr>
        <w:t>stream</w:t>
      </w:r>
      <w:r w:rsidRPr="00217DC6">
        <w:rPr>
          <w:rFonts w:asciiTheme="minorHAnsi" w:hAnsiTheme="minorHAnsi"/>
          <w:b/>
          <w:i/>
          <w:color w:val="31849B"/>
          <w:sz w:val="22"/>
          <w:szCs w:val="22"/>
        </w:rPr>
        <w:t xml:space="preserve"> metabolism</w:t>
      </w:r>
    </w:p>
    <w:p w14:paraId="29C9FB6A" w14:textId="77777777" w:rsidR="00820D82" w:rsidRDefault="00820D82" w:rsidP="00820D82">
      <w:pPr>
        <w:pStyle w:val="BodyText"/>
        <w:spacing w:after="120" w:line="259" w:lineRule="auto"/>
        <w:jc w:val="left"/>
        <w:rPr>
          <w:rFonts w:ascii="Calibri" w:hAnsi="Calibri"/>
          <w:sz w:val="22"/>
          <w:szCs w:val="20"/>
          <w:lang w:val="en-AU"/>
        </w:rPr>
      </w:pPr>
      <w:r w:rsidRPr="006F6B93">
        <w:rPr>
          <w:rFonts w:ascii="Calibri" w:hAnsi="Calibri"/>
          <w:sz w:val="22"/>
          <w:szCs w:val="20"/>
          <w:lang w:val="en-AU"/>
        </w:rPr>
        <w:t xml:space="preserve">Using the acceptance criteria for each day’s diel DO curve, the acceptance rate for </w:t>
      </w:r>
      <w:r>
        <w:rPr>
          <w:rFonts w:asciiTheme="minorHAnsi" w:hAnsiTheme="minorHAnsi"/>
          <w:bCs/>
          <w:iCs/>
          <w:sz w:val="22"/>
          <w:szCs w:val="22"/>
        </w:rPr>
        <w:t>downstream of Steven’s Weir</w:t>
      </w:r>
      <w:r w:rsidRPr="006F6B93">
        <w:rPr>
          <w:rFonts w:ascii="Calibri" w:hAnsi="Calibri"/>
          <w:sz w:val="22"/>
          <w:szCs w:val="20"/>
          <w:lang w:val="en-AU"/>
        </w:rPr>
        <w:t xml:space="preserve"> </w:t>
      </w:r>
      <w:r>
        <w:rPr>
          <w:rFonts w:ascii="Calibri" w:hAnsi="Calibri"/>
          <w:sz w:val="22"/>
          <w:szCs w:val="20"/>
          <w:lang w:val="en-AU"/>
        </w:rPr>
        <w:t>was 15</w:t>
      </w:r>
      <w:r w:rsidRPr="006F6B93">
        <w:rPr>
          <w:rFonts w:ascii="Calibri" w:hAnsi="Calibri"/>
          <w:sz w:val="22"/>
          <w:szCs w:val="20"/>
          <w:lang w:val="en-AU"/>
        </w:rPr>
        <w:t xml:space="preserve">% </w:t>
      </w:r>
      <w:r>
        <w:rPr>
          <w:rFonts w:ascii="Calibri" w:hAnsi="Calibri"/>
          <w:sz w:val="22"/>
          <w:szCs w:val="20"/>
          <w:lang w:val="en-AU"/>
        </w:rPr>
        <w:t xml:space="preserve">and </w:t>
      </w:r>
      <w:r>
        <w:rPr>
          <w:rFonts w:asciiTheme="minorHAnsi" w:hAnsiTheme="minorHAnsi"/>
          <w:bCs/>
          <w:iCs/>
          <w:sz w:val="22"/>
          <w:szCs w:val="22"/>
        </w:rPr>
        <w:t>downstream of Werai Forest was 20%</w:t>
      </w:r>
      <w:r w:rsidRPr="006F6B93">
        <w:rPr>
          <w:rFonts w:ascii="Calibri" w:hAnsi="Calibri"/>
          <w:sz w:val="22"/>
          <w:szCs w:val="20"/>
          <w:lang w:val="en-AU"/>
        </w:rPr>
        <w:t xml:space="preserve"> </w:t>
      </w:r>
      <w:r>
        <w:rPr>
          <w:rFonts w:ascii="Calibri" w:hAnsi="Calibri"/>
          <w:sz w:val="22"/>
          <w:szCs w:val="20"/>
          <w:lang w:val="en-AU"/>
        </w:rPr>
        <w:t>(</w:t>
      </w:r>
      <w:r w:rsidRPr="006F6B93">
        <w:rPr>
          <w:rFonts w:ascii="Calibri" w:hAnsi="Calibri"/>
          <w:sz w:val="22"/>
          <w:szCs w:val="20"/>
          <w:lang w:val="en-AU"/>
        </w:rPr>
        <w:t xml:space="preserve">Table </w:t>
      </w:r>
      <w:r>
        <w:rPr>
          <w:rFonts w:ascii="Calibri" w:hAnsi="Calibri"/>
          <w:sz w:val="22"/>
          <w:szCs w:val="20"/>
          <w:lang w:val="en-AU"/>
        </w:rPr>
        <w:t>10.1)</w:t>
      </w:r>
      <w:r w:rsidRPr="006F6B93">
        <w:rPr>
          <w:rFonts w:ascii="Calibri" w:hAnsi="Calibri"/>
          <w:sz w:val="22"/>
          <w:szCs w:val="20"/>
          <w:lang w:val="en-AU"/>
        </w:rPr>
        <w:t>.</w:t>
      </w:r>
      <w:r>
        <w:rPr>
          <w:rFonts w:ascii="Calibri" w:hAnsi="Calibri"/>
          <w:sz w:val="22"/>
          <w:szCs w:val="20"/>
          <w:lang w:val="en-AU"/>
        </w:rPr>
        <w:t xml:space="preserve"> Large flows in the </w:t>
      </w:r>
      <w:r w:rsidRPr="00E66AD8">
        <w:rPr>
          <w:rFonts w:ascii="Calibri" w:hAnsi="Calibri"/>
          <w:sz w:val="22"/>
          <w:szCs w:val="20"/>
          <w:lang w:val="en-AU"/>
        </w:rPr>
        <w:t>Yallakool</w:t>
      </w:r>
      <w:r>
        <w:rPr>
          <w:rFonts w:ascii="Calibri" w:hAnsi="Calibri"/>
          <w:sz w:val="22"/>
          <w:szCs w:val="20"/>
          <w:lang w:val="en-AU"/>
        </w:rPr>
        <w:t xml:space="preserve"> and </w:t>
      </w:r>
      <w:r w:rsidRPr="00E66AD8">
        <w:rPr>
          <w:rFonts w:ascii="Calibri" w:hAnsi="Calibri"/>
          <w:sz w:val="22"/>
          <w:szCs w:val="20"/>
          <w:lang w:val="en-AU"/>
        </w:rPr>
        <w:t>Wakool</w:t>
      </w:r>
      <w:r>
        <w:rPr>
          <w:rFonts w:ascii="Calibri" w:hAnsi="Calibri"/>
          <w:sz w:val="22"/>
          <w:szCs w:val="20"/>
          <w:lang w:val="en-AU"/>
        </w:rPr>
        <w:t xml:space="preserve"> systems have previously precluded </w:t>
      </w:r>
      <w:r w:rsidRPr="00E66AD8">
        <w:rPr>
          <w:rFonts w:ascii="Calibri" w:hAnsi="Calibri"/>
          <w:sz w:val="22"/>
          <w:szCs w:val="20"/>
          <w:lang w:val="en-AU"/>
        </w:rPr>
        <w:t>collection of data meeting acceptance criteria</w:t>
      </w:r>
      <w:r>
        <w:rPr>
          <w:rFonts w:ascii="Calibri" w:hAnsi="Calibri"/>
          <w:sz w:val="22"/>
          <w:szCs w:val="20"/>
          <w:lang w:val="en-AU"/>
        </w:rPr>
        <w:t xml:space="preserve"> (Watts et al. 2018), and may account for the low data acceptance rates here given that flows downstream of Steven’s Weir (mean 1807 ML/day) were substantially higher than those in Yallakool Creek (mean 280 ML/day; Section 4). </w:t>
      </w:r>
      <w:r w:rsidRPr="00671B4F">
        <w:rPr>
          <w:rFonts w:ascii="Calibri" w:hAnsi="Calibri"/>
          <w:sz w:val="22"/>
          <w:szCs w:val="20"/>
          <w:lang w:val="en-AU"/>
        </w:rPr>
        <w:t xml:space="preserve">Examination of the underlying dissolved oxygen data suggests that </w:t>
      </w:r>
      <w:r>
        <w:rPr>
          <w:rFonts w:ascii="Calibri" w:hAnsi="Calibri"/>
          <w:sz w:val="22"/>
          <w:szCs w:val="20"/>
          <w:lang w:val="en-AU"/>
        </w:rPr>
        <w:t>the low acceptance rate</w:t>
      </w:r>
      <w:r w:rsidRPr="00671B4F">
        <w:rPr>
          <w:rFonts w:ascii="Calibri" w:hAnsi="Calibri"/>
          <w:sz w:val="22"/>
          <w:szCs w:val="20"/>
          <w:lang w:val="en-AU"/>
        </w:rPr>
        <w:t xml:space="preserve"> was not due to anoxic events (i.e., blackwater) during high flows (e.g., Watts et al. 2016)</w:t>
      </w:r>
      <w:r>
        <w:rPr>
          <w:rFonts w:ascii="Calibri" w:hAnsi="Calibri"/>
          <w:sz w:val="22"/>
          <w:szCs w:val="20"/>
          <w:lang w:val="en-AU"/>
        </w:rPr>
        <w:t>.</w:t>
      </w:r>
      <w:r w:rsidRPr="00671B4F">
        <w:rPr>
          <w:rFonts w:ascii="Calibri" w:hAnsi="Calibri"/>
          <w:sz w:val="22"/>
          <w:szCs w:val="20"/>
          <w:lang w:val="en-AU"/>
        </w:rPr>
        <w:t xml:space="preserve"> </w:t>
      </w:r>
      <w:r>
        <w:rPr>
          <w:rFonts w:ascii="Calibri" w:hAnsi="Calibri"/>
          <w:sz w:val="22"/>
          <w:szCs w:val="20"/>
          <w:lang w:val="en-AU"/>
        </w:rPr>
        <w:t>I</w:t>
      </w:r>
      <w:r w:rsidRPr="00671B4F">
        <w:rPr>
          <w:rFonts w:ascii="Calibri" w:hAnsi="Calibri"/>
          <w:sz w:val="22"/>
          <w:szCs w:val="20"/>
          <w:lang w:val="en-AU"/>
        </w:rPr>
        <w:t>nstead, the higher flows here as opposed to the Yallakool and Wakool systems likely dilute any change in dissolved oxygen concentrations driven by GPP or ER</w:t>
      </w:r>
      <w:r>
        <w:rPr>
          <w:rFonts w:ascii="Calibri" w:hAnsi="Calibri"/>
          <w:sz w:val="22"/>
          <w:szCs w:val="20"/>
          <w:lang w:val="en-AU"/>
        </w:rPr>
        <w:t>:</w:t>
      </w:r>
      <w:r w:rsidRPr="00671B4F">
        <w:rPr>
          <w:rFonts w:ascii="Calibri" w:hAnsi="Calibri"/>
          <w:sz w:val="22"/>
          <w:szCs w:val="20"/>
          <w:lang w:val="en-AU"/>
        </w:rPr>
        <w:t xml:space="preserve"> </w:t>
      </w:r>
      <w:r>
        <w:rPr>
          <w:rFonts w:ascii="Calibri" w:hAnsi="Calibri"/>
          <w:sz w:val="22"/>
          <w:szCs w:val="20"/>
          <w:lang w:val="en-AU"/>
        </w:rPr>
        <w:t>this likely accounts for the low rates of data acceptance, as metabolic models have intrinsic difficulties with producing good fits to data</w:t>
      </w:r>
      <w:r w:rsidRPr="00671B4F">
        <w:rPr>
          <w:rFonts w:ascii="Calibri" w:hAnsi="Calibri"/>
          <w:sz w:val="22"/>
          <w:szCs w:val="20"/>
          <w:lang w:val="en-AU"/>
        </w:rPr>
        <w:t xml:space="preserve"> </w:t>
      </w:r>
      <w:r>
        <w:rPr>
          <w:rFonts w:ascii="Calibri" w:hAnsi="Calibri"/>
          <w:sz w:val="22"/>
          <w:szCs w:val="20"/>
          <w:lang w:val="en-AU"/>
        </w:rPr>
        <w:t xml:space="preserve">when daily oxygen concentration ranges are small </w:t>
      </w:r>
      <w:r w:rsidRPr="00671B4F">
        <w:rPr>
          <w:rFonts w:ascii="Calibri" w:hAnsi="Calibri"/>
          <w:sz w:val="22"/>
          <w:szCs w:val="20"/>
          <w:lang w:val="en-AU"/>
        </w:rPr>
        <w:t>(Appling et al. 2019).</w:t>
      </w:r>
    </w:p>
    <w:p w14:paraId="44BEEC05" w14:textId="77777777" w:rsidR="00820D82" w:rsidRDefault="00820D82" w:rsidP="00820D82">
      <w:pPr>
        <w:pStyle w:val="BodyText"/>
        <w:spacing w:after="240" w:line="259" w:lineRule="auto"/>
        <w:jc w:val="left"/>
        <w:rPr>
          <w:rFonts w:asciiTheme="minorHAnsi" w:hAnsiTheme="minorHAnsi"/>
          <w:bCs/>
          <w:iCs/>
          <w:sz w:val="22"/>
          <w:szCs w:val="22"/>
        </w:rPr>
      </w:pPr>
      <w:r>
        <w:rPr>
          <w:rFonts w:asciiTheme="minorHAnsi" w:hAnsiTheme="minorHAnsi"/>
          <w:bCs/>
          <w:iCs/>
          <w:sz w:val="22"/>
          <w:szCs w:val="22"/>
        </w:rPr>
        <w:t>The median GPP value for the site downstream of Steven’s Weir (</w:t>
      </w:r>
      <w:r w:rsidRPr="00EA0437">
        <w:rPr>
          <w:rFonts w:asciiTheme="minorHAnsi" w:hAnsiTheme="minorHAnsi" w:cstheme="minorHAnsi"/>
          <w:sz w:val="22"/>
          <w:szCs w:val="22"/>
        </w:rPr>
        <w:t>2.7</w:t>
      </w:r>
      <w:r>
        <w:rPr>
          <w:rFonts w:asciiTheme="minorHAnsi" w:hAnsiTheme="minorHAnsi" w:cstheme="minorHAnsi"/>
          <w:sz w:val="22"/>
          <w:szCs w:val="22"/>
        </w:rPr>
        <w:t xml:space="preserve">9 </w:t>
      </w:r>
      <w:r>
        <w:rPr>
          <w:rFonts w:asciiTheme="minorHAnsi" w:hAnsiTheme="minorHAnsi"/>
          <w:bCs/>
          <w:iCs/>
          <w:sz w:val="22"/>
          <w:szCs w:val="22"/>
        </w:rPr>
        <w:t>mg O</w:t>
      </w:r>
      <w:r w:rsidRPr="00366042">
        <w:rPr>
          <w:rFonts w:asciiTheme="minorHAnsi" w:hAnsiTheme="minorHAnsi"/>
          <w:bCs/>
          <w:iCs/>
          <w:sz w:val="22"/>
          <w:szCs w:val="22"/>
          <w:vertAlign w:val="subscript"/>
        </w:rPr>
        <w:t>2</w:t>
      </w:r>
      <w:r>
        <w:rPr>
          <w:rFonts w:asciiTheme="minorHAnsi" w:hAnsiTheme="minorHAnsi"/>
          <w:bCs/>
          <w:iCs/>
          <w:sz w:val="22"/>
          <w:szCs w:val="22"/>
        </w:rPr>
        <w:t>/L/day) was roughly twice that of GPP downstream of Werai Forest (</w:t>
      </w:r>
      <w:r>
        <w:rPr>
          <w:rFonts w:asciiTheme="minorHAnsi" w:hAnsiTheme="minorHAnsi" w:cstheme="minorHAnsi"/>
          <w:sz w:val="22"/>
          <w:szCs w:val="22"/>
        </w:rPr>
        <w:t xml:space="preserve">1.35 </w:t>
      </w:r>
      <w:r>
        <w:rPr>
          <w:rFonts w:asciiTheme="minorHAnsi" w:hAnsiTheme="minorHAnsi"/>
          <w:bCs/>
          <w:iCs/>
          <w:sz w:val="22"/>
          <w:szCs w:val="22"/>
        </w:rPr>
        <w:t>mg O</w:t>
      </w:r>
      <w:r w:rsidRPr="00366042">
        <w:rPr>
          <w:rFonts w:asciiTheme="minorHAnsi" w:hAnsiTheme="minorHAnsi"/>
          <w:bCs/>
          <w:iCs/>
          <w:sz w:val="22"/>
          <w:szCs w:val="22"/>
          <w:vertAlign w:val="subscript"/>
        </w:rPr>
        <w:t>2</w:t>
      </w:r>
      <w:r>
        <w:rPr>
          <w:rFonts w:asciiTheme="minorHAnsi" w:hAnsiTheme="minorHAnsi"/>
          <w:bCs/>
          <w:iCs/>
          <w:sz w:val="22"/>
          <w:szCs w:val="22"/>
        </w:rPr>
        <w:t xml:space="preserve">/L/day). In addition, maximum GPP and ER rates were much higher downstream of Steven’s Weir than downstream of Werai Forest, despite similar minima and GPP/ER ratios (Table 10.2). As above, major events such as large flows and anoxia can often preclude </w:t>
      </w:r>
      <w:r w:rsidRPr="00457E4D">
        <w:rPr>
          <w:rFonts w:asciiTheme="minorHAnsi" w:hAnsiTheme="minorHAnsi"/>
          <w:bCs/>
          <w:iCs/>
          <w:sz w:val="22"/>
          <w:szCs w:val="22"/>
        </w:rPr>
        <w:t>data meeting acceptance criteria</w:t>
      </w:r>
      <w:r>
        <w:rPr>
          <w:rFonts w:asciiTheme="minorHAnsi" w:hAnsiTheme="minorHAnsi"/>
          <w:bCs/>
          <w:iCs/>
          <w:sz w:val="22"/>
          <w:szCs w:val="22"/>
        </w:rPr>
        <w:t>. These comparisons are therefore made using metabolic rates obtained primarily during stable flow conditions.</w:t>
      </w:r>
    </w:p>
    <w:p w14:paraId="6B7165D6" w14:textId="77777777" w:rsidR="00820D82" w:rsidRPr="00A618AF" w:rsidRDefault="00820D82" w:rsidP="00820D82">
      <w:pPr>
        <w:pStyle w:val="BodyText"/>
        <w:spacing w:line="259" w:lineRule="auto"/>
        <w:rPr>
          <w:rFonts w:ascii="Calibri" w:hAnsi="Calibri"/>
          <w:sz w:val="20"/>
          <w:szCs w:val="18"/>
          <w:lang w:val="en-AU"/>
        </w:rPr>
      </w:pPr>
      <w:r w:rsidRPr="00A618AF">
        <w:rPr>
          <w:rFonts w:ascii="Calibri" w:hAnsi="Calibri"/>
          <w:b/>
          <w:bCs/>
          <w:sz w:val="20"/>
          <w:szCs w:val="18"/>
          <w:lang w:val="en-AU"/>
        </w:rPr>
        <w:t xml:space="preserve">Table </w:t>
      </w:r>
      <w:r>
        <w:rPr>
          <w:rFonts w:ascii="Calibri" w:hAnsi="Calibri"/>
          <w:b/>
          <w:bCs/>
          <w:sz w:val="20"/>
          <w:szCs w:val="18"/>
          <w:lang w:val="en-AU"/>
        </w:rPr>
        <w:t>10</w:t>
      </w:r>
      <w:r w:rsidRPr="00A618AF">
        <w:rPr>
          <w:rFonts w:ascii="Calibri" w:hAnsi="Calibri"/>
          <w:b/>
          <w:bCs/>
          <w:sz w:val="20"/>
          <w:szCs w:val="18"/>
          <w:lang w:val="en-AU"/>
        </w:rPr>
        <w:t>.</w:t>
      </w:r>
      <w:r>
        <w:rPr>
          <w:rFonts w:ascii="Calibri" w:hAnsi="Calibri"/>
          <w:b/>
          <w:bCs/>
          <w:sz w:val="20"/>
          <w:szCs w:val="18"/>
          <w:lang w:val="en-AU"/>
        </w:rPr>
        <w:t>1</w:t>
      </w:r>
      <w:r w:rsidRPr="00A618AF">
        <w:rPr>
          <w:rFonts w:ascii="Calibri" w:hAnsi="Calibri"/>
          <w:sz w:val="20"/>
          <w:szCs w:val="18"/>
          <w:lang w:val="en-AU"/>
        </w:rPr>
        <w:t xml:space="preserve"> Summary of data availability for the </w:t>
      </w:r>
      <w:r>
        <w:rPr>
          <w:rFonts w:ascii="Calibri" w:hAnsi="Calibri"/>
          <w:sz w:val="20"/>
          <w:szCs w:val="18"/>
          <w:lang w:val="en-AU"/>
        </w:rPr>
        <w:t>two</w:t>
      </w:r>
      <w:r w:rsidRPr="00A618AF">
        <w:rPr>
          <w:rFonts w:ascii="Calibri" w:hAnsi="Calibri"/>
          <w:sz w:val="20"/>
          <w:szCs w:val="18"/>
          <w:lang w:val="en-AU"/>
        </w:rPr>
        <w:t xml:space="preserve"> data logger sites, </w:t>
      </w:r>
      <w:r>
        <w:rPr>
          <w:rFonts w:ascii="Calibri" w:hAnsi="Calibri"/>
          <w:sz w:val="20"/>
          <w:szCs w:val="18"/>
          <w:lang w:val="en-AU"/>
        </w:rPr>
        <w:t>July</w:t>
      </w:r>
      <w:r w:rsidRPr="00A618AF">
        <w:rPr>
          <w:rFonts w:ascii="Calibri" w:hAnsi="Calibri"/>
          <w:sz w:val="20"/>
          <w:szCs w:val="18"/>
          <w:lang w:val="en-AU"/>
        </w:rPr>
        <w:t xml:space="preserve"> 2019 – June 2020.</w:t>
      </w:r>
    </w:p>
    <w:tbl>
      <w:tblPr>
        <w:tblStyle w:val="TableGridLight"/>
        <w:tblW w:w="0" w:type="auto"/>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3536"/>
        <w:gridCol w:w="992"/>
        <w:gridCol w:w="2127"/>
        <w:gridCol w:w="2268"/>
      </w:tblGrid>
      <w:tr w:rsidR="00820D82" w14:paraId="7B871F9F" w14:textId="77777777" w:rsidTr="002714FF">
        <w:tc>
          <w:tcPr>
            <w:tcW w:w="3536" w:type="dxa"/>
            <w:shd w:val="clear" w:color="auto" w:fill="92CDDC"/>
          </w:tcPr>
          <w:p w14:paraId="785CC3C4" w14:textId="77777777" w:rsidR="00820D82" w:rsidRPr="00B353C6" w:rsidRDefault="00820D82" w:rsidP="002714FF">
            <w:pPr>
              <w:pStyle w:val="BodyText"/>
              <w:spacing w:line="259" w:lineRule="auto"/>
              <w:jc w:val="center"/>
              <w:rPr>
                <w:rFonts w:asciiTheme="minorHAnsi" w:hAnsiTheme="minorHAnsi"/>
                <w:bCs/>
                <w:iCs/>
                <w:sz w:val="22"/>
                <w:szCs w:val="22"/>
              </w:rPr>
            </w:pPr>
            <w:r>
              <w:rPr>
                <w:rFonts w:asciiTheme="minorHAnsi" w:hAnsiTheme="minorHAnsi"/>
                <w:bCs/>
                <w:iCs/>
                <w:sz w:val="22"/>
                <w:szCs w:val="22"/>
              </w:rPr>
              <w:t>Site</w:t>
            </w:r>
          </w:p>
        </w:tc>
        <w:tc>
          <w:tcPr>
            <w:tcW w:w="992" w:type="dxa"/>
            <w:shd w:val="clear" w:color="auto" w:fill="92CDDC"/>
          </w:tcPr>
          <w:p w14:paraId="19CF2E51" w14:textId="77777777" w:rsidR="00820D82" w:rsidRPr="00B353C6" w:rsidRDefault="00820D82" w:rsidP="002714FF">
            <w:pPr>
              <w:pStyle w:val="BodyText"/>
              <w:spacing w:line="259" w:lineRule="auto"/>
              <w:jc w:val="center"/>
              <w:rPr>
                <w:rFonts w:asciiTheme="minorHAnsi" w:hAnsiTheme="minorHAnsi"/>
                <w:bCs/>
                <w:iCs/>
                <w:sz w:val="22"/>
                <w:szCs w:val="22"/>
              </w:rPr>
            </w:pPr>
            <w:r>
              <w:rPr>
                <w:rFonts w:asciiTheme="minorHAnsi" w:hAnsiTheme="minorHAnsi"/>
                <w:bCs/>
                <w:iCs/>
                <w:sz w:val="22"/>
                <w:szCs w:val="22"/>
              </w:rPr>
              <w:t>Total days</w:t>
            </w:r>
          </w:p>
        </w:tc>
        <w:tc>
          <w:tcPr>
            <w:tcW w:w="2127" w:type="dxa"/>
            <w:shd w:val="clear" w:color="auto" w:fill="92CDDC"/>
          </w:tcPr>
          <w:p w14:paraId="3C30937F" w14:textId="77777777" w:rsidR="00820D82" w:rsidRPr="00B353C6" w:rsidRDefault="00820D82" w:rsidP="002714FF">
            <w:pPr>
              <w:pStyle w:val="BodyText"/>
              <w:spacing w:line="259" w:lineRule="auto"/>
              <w:jc w:val="center"/>
              <w:rPr>
                <w:rFonts w:asciiTheme="minorHAnsi" w:hAnsiTheme="minorHAnsi"/>
                <w:bCs/>
                <w:iCs/>
                <w:sz w:val="22"/>
                <w:szCs w:val="22"/>
              </w:rPr>
            </w:pPr>
            <w:r>
              <w:rPr>
                <w:rFonts w:asciiTheme="minorHAnsi" w:hAnsiTheme="minorHAnsi"/>
                <w:bCs/>
                <w:iCs/>
                <w:sz w:val="22"/>
                <w:szCs w:val="22"/>
              </w:rPr>
              <w:t>Days with acceptable data</w:t>
            </w:r>
          </w:p>
        </w:tc>
        <w:tc>
          <w:tcPr>
            <w:tcW w:w="2268" w:type="dxa"/>
            <w:shd w:val="clear" w:color="auto" w:fill="92CDDC"/>
          </w:tcPr>
          <w:p w14:paraId="2E974036" w14:textId="77777777" w:rsidR="00820D82" w:rsidRPr="00B353C6" w:rsidRDefault="00820D82" w:rsidP="002714FF">
            <w:pPr>
              <w:pStyle w:val="BodyText"/>
              <w:spacing w:line="259" w:lineRule="auto"/>
              <w:jc w:val="center"/>
              <w:rPr>
                <w:rFonts w:asciiTheme="minorHAnsi" w:hAnsiTheme="minorHAnsi"/>
                <w:bCs/>
                <w:iCs/>
                <w:sz w:val="22"/>
                <w:szCs w:val="22"/>
              </w:rPr>
            </w:pPr>
            <w:r>
              <w:rPr>
                <w:rFonts w:asciiTheme="minorHAnsi" w:hAnsiTheme="minorHAnsi"/>
                <w:bCs/>
                <w:iCs/>
                <w:sz w:val="22"/>
                <w:szCs w:val="22"/>
              </w:rPr>
              <w:t>% Acceptable data days</w:t>
            </w:r>
          </w:p>
        </w:tc>
      </w:tr>
      <w:tr w:rsidR="00820D82" w14:paraId="054A7698" w14:textId="77777777" w:rsidTr="002714FF">
        <w:trPr>
          <w:trHeight w:val="300"/>
        </w:trPr>
        <w:tc>
          <w:tcPr>
            <w:tcW w:w="3536" w:type="dxa"/>
            <w:tcBorders>
              <w:bottom w:val="single" w:sz="4" w:space="0" w:color="auto"/>
            </w:tcBorders>
          </w:tcPr>
          <w:p w14:paraId="09D505F5"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Downstream of Steven’s Weir</w:t>
            </w:r>
          </w:p>
        </w:tc>
        <w:tc>
          <w:tcPr>
            <w:tcW w:w="992" w:type="dxa"/>
          </w:tcPr>
          <w:p w14:paraId="4C5250C2"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291</w:t>
            </w:r>
          </w:p>
        </w:tc>
        <w:tc>
          <w:tcPr>
            <w:tcW w:w="2127" w:type="dxa"/>
          </w:tcPr>
          <w:p w14:paraId="0CF10AA1"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43</w:t>
            </w:r>
          </w:p>
        </w:tc>
        <w:tc>
          <w:tcPr>
            <w:tcW w:w="2268" w:type="dxa"/>
          </w:tcPr>
          <w:p w14:paraId="16318866"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15</w:t>
            </w:r>
          </w:p>
        </w:tc>
      </w:tr>
      <w:tr w:rsidR="00820D82" w14:paraId="69C3E35C" w14:textId="77777777" w:rsidTr="002714FF">
        <w:trPr>
          <w:trHeight w:val="210"/>
        </w:trPr>
        <w:tc>
          <w:tcPr>
            <w:tcW w:w="3536" w:type="dxa"/>
            <w:tcBorders>
              <w:top w:val="single" w:sz="4" w:space="0" w:color="auto"/>
            </w:tcBorders>
          </w:tcPr>
          <w:p w14:paraId="14B447EA"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Downstream of Werai Forest</w:t>
            </w:r>
          </w:p>
        </w:tc>
        <w:tc>
          <w:tcPr>
            <w:tcW w:w="992" w:type="dxa"/>
          </w:tcPr>
          <w:p w14:paraId="6337934E"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291</w:t>
            </w:r>
          </w:p>
        </w:tc>
        <w:tc>
          <w:tcPr>
            <w:tcW w:w="2127" w:type="dxa"/>
          </w:tcPr>
          <w:p w14:paraId="661AF31F"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59</w:t>
            </w:r>
          </w:p>
        </w:tc>
        <w:tc>
          <w:tcPr>
            <w:tcW w:w="2268" w:type="dxa"/>
          </w:tcPr>
          <w:p w14:paraId="32EDD9A8"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20</w:t>
            </w:r>
          </w:p>
        </w:tc>
      </w:tr>
    </w:tbl>
    <w:p w14:paraId="1AF63EC1" w14:textId="77777777" w:rsidR="00820D82" w:rsidRDefault="00820D82" w:rsidP="00820D82">
      <w:pPr>
        <w:pStyle w:val="BodyText"/>
        <w:spacing w:after="240" w:line="259" w:lineRule="auto"/>
        <w:jc w:val="left"/>
        <w:rPr>
          <w:rFonts w:asciiTheme="minorHAnsi" w:hAnsiTheme="minorHAnsi"/>
          <w:bCs/>
          <w:iCs/>
          <w:sz w:val="22"/>
          <w:szCs w:val="22"/>
        </w:rPr>
      </w:pPr>
    </w:p>
    <w:p w14:paraId="73D22F07" w14:textId="77777777" w:rsidR="00820D82" w:rsidRPr="00B271D7" w:rsidRDefault="00820D82" w:rsidP="00820D82">
      <w:pPr>
        <w:pStyle w:val="BodyText"/>
        <w:spacing w:line="259" w:lineRule="auto"/>
        <w:jc w:val="left"/>
        <w:rPr>
          <w:rFonts w:ascii="Calibri" w:hAnsi="Calibri"/>
          <w:sz w:val="20"/>
          <w:szCs w:val="18"/>
          <w:lang w:val="en-AU"/>
        </w:rPr>
      </w:pPr>
      <w:r w:rsidRPr="00B271D7">
        <w:rPr>
          <w:rFonts w:ascii="Calibri" w:hAnsi="Calibri"/>
          <w:b/>
          <w:bCs/>
          <w:sz w:val="20"/>
          <w:szCs w:val="18"/>
          <w:lang w:val="en-AU"/>
        </w:rPr>
        <w:t xml:space="preserve">Table </w:t>
      </w:r>
      <w:r>
        <w:rPr>
          <w:rFonts w:ascii="Calibri" w:hAnsi="Calibri"/>
          <w:b/>
          <w:bCs/>
          <w:sz w:val="20"/>
          <w:szCs w:val="18"/>
          <w:lang w:val="en-AU"/>
        </w:rPr>
        <w:t>10</w:t>
      </w:r>
      <w:r w:rsidRPr="00B271D7">
        <w:rPr>
          <w:rFonts w:ascii="Calibri" w:hAnsi="Calibri"/>
          <w:b/>
          <w:bCs/>
          <w:sz w:val="20"/>
          <w:szCs w:val="18"/>
          <w:lang w:val="en-AU"/>
        </w:rPr>
        <w:t>.</w:t>
      </w:r>
      <w:r>
        <w:rPr>
          <w:rFonts w:ascii="Calibri" w:hAnsi="Calibri"/>
          <w:b/>
          <w:bCs/>
          <w:sz w:val="20"/>
          <w:szCs w:val="18"/>
          <w:lang w:val="en-AU"/>
        </w:rPr>
        <w:t>2</w:t>
      </w:r>
      <w:r w:rsidRPr="00B271D7">
        <w:rPr>
          <w:rFonts w:ascii="Calibri" w:hAnsi="Calibri"/>
          <w:sz w:val="20"/>
          <w:szCs w:val="18"/>
          <w:lang w:val="en-AU"/>
        </w:rPr>
        <w:t xml:space="preserve"> Summary of gross primary production (GPP) and ecosystem respiration (ER) rates and GPP/ER ratios for the </w:t>
      </w:r>
      <w:r>
        <w:rPr>
          <w:rFonts w:ascii="Calibri" w:hAnsi="Calibri"/>
          <w:sz w:val="20"/>
          <w:szCs w:val="18"/>
          <w:lang w:val="en-AU"/>
        </w:rPr>
        <w:t>two</w:t>
      </w:r>
      <w:r w:rsidRPr="00B271D7">
        <w:rPr>
          <w:rFonts w:ascii="Calibri" w:hAnsi="Calibri"/>
          <w:sz w:val="20"/>
          <w:szCs w:val="18"/>
          <w:lang w:val="en-AU"/>
        </w:rPr>
        <w:t xml:space="preserve"> sites, </w:t>
      </w:r>
      <w:r>
        <w:rPr>
          <w:rFonts w:ascii="Calibri" w:hAnsi="Calibri"/>
          <w:sz w:val="20"/>
          <w:szCs w:val="18"/>
          <w:lang w:val="en-AU"/>
        </w:rPr>
        <w:t>July</w:t>
      </w:r>
      <w:r w:rsidRPr="00B271D7">
        <w:rPr>
          <w:rFonts w:ascii="Calibri" w:hAnsi="Calibri"/>
          <w:sz w:val="20"/>
          <w:szCs w:val="18"/>
          <w:lang w:val="en-AU"/>
        </w:rPr>
        <w:t xml:space="preserve"> 2019 – June 2020. Each metabolic parameter is expressed as a median and mean with minimum and maximum values also included. ‘n’ is the number of days for which successful estimates of metabolic parameters were obtained.</w:t>
      </w: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15"/>
        <w:gridCol w:w="1322"/>
        <w:gridCol w:w="1323"/>
        <w:gridCol w:w="1322"/>
        <w:gridCol w:w="1323"/>
      </w:tblGrid>
      <w:tr w:rsidR="00820D82" w:rsidRPr="00B353C6" w14:paraId="75AA6918" w14:textId="77777777" w:rsidTr="002714FF">
        <w:trPr>
          <w:trHeight w:val="255"/>
        </w:trPr>
        <w:tc>
          <w:tcPr>
            <w:tcW w:w="2215" w:type="dxa"/>
            <w:vMerge w:val="restart"/>
            <w:tcBorders>
              <w:top w:val="nil"/>
              <w:left w:val="nil"/>
            </w:tcBorders>
            <w:shd w:val="clear" w:color="auto" w:fill="auto"/>
          </w:tcPr>
          <w:p w14:paraId="6163133B" w14:textId="77777777" w:rsidR="00820D82" w:rsidRPr="00B353C6" w:rsidRDefault="00820D82" w:rsidP="002714FF">
            <w:pPr>
              <w:pStyle w:val="BodyText"/>
              <w:spacing w:after="120" w:line="259" w:lineRule="auto"/>
              <w:jc w:val="center"/>
              <w:rPr>
                <w:rFonts w:asciiTheme="minorHAnsi" w:hAnsiTheme="minorHAnsi"/>
                <w:bCs/>
                <w:iCs/>
                <w:sz w:val="22"/>
                <w:szCs w:val="22"/>
              </w:rPr>
            </w:pPr>
          </w:p>
        </w:tc>
        <w:tc>
          <w:tcPr>
            <w:tcW w:w="5290" w:type="dxa"/>
            <w:gridSpan w:val="4"/>
            <w:shd w:val="clear" w:color="auto" w:fill="92CDDC"/>
          </w:tcPr>
          <w:p w14:paraId="30E5A9A8"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Downstream of Steven’s Weir (n = 43)</w:t>
            </w:r>
          </w:p>
        </w:tc>
      </w:tr>
      <w:tr w:rsidR="00820D82" w:rsidRPr="00B353C6" w14:paraId="1C98D2AE" w14:textId="77777777" w:rsidTr="002714FF">
        <w:trPr>
          <w:trHeight w:val="285"/>
        </w:trPr>
        <w:tc>
          <w:tcPr>
            <w:tcW w:w="2215" w:type="dxa"/>
            <w:vMerge/>
            <w:tcBorders>
              <w:left w:val="nil"/>
            </w:tcBorders>
            <w:shd w:val="clear" w:color="auto" w:fill="auto"/>
          </w:tcPr>
          <w:p w14:paraId="258EC078" w14:textId="77777777" w:rsidR="00820D82" w:rsidRPr="00B353C6" w:rsidRDefault="00820D82" w:rsidP="002714FF">
            <w:pPr>
              <w:pStyle w:val="BodyText"/>
              <w:spacing w:after="120" w:line="259" w:lineRule="auto"/>
              <w:jc w:val="center"/>
              <w:rPr>
                <w:rFonts w:asciiTheme="minorHAnsi" w:hAnsiTheme="minorHAnsi"/>
                <w:bCs/>
                <w:iCs/>
                <w:sz w:val="22"/>
                <w:szCs w:val="22"/>
              </w:rPr>
            </w:pPr>
          </w:p>
        </w:tc>
        <w:tc>
          <w:tcPr>
            <w:tcW w:w="1322" w:type="dxa"/>
            <w:shd w:val="clear" w:color="auto" w:fill="92CDDC"/>
          </w:tcPr>
          <w:p w14:paraId="707A9415"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Median</w:t>
            </w:r>
          </w:p>
        </w:tc>
        <w:tc>
          <w:tcPr>
            <w:tcW w:w="1323" w:type="dxa"/>
            <w:shd w:val="clear" w:color="auto" w:fill="92CDDC"/>
          </w:tcPr>
          <w:p w14:paraId="298FD753"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Mean</w:t>
            </w:r>
          </w:p>
        </w:tc>
        <w:tc>
          <w:tcPr>
            <w:tcW w:w="1322" w:type="dxa"/>
            <w:shd w:val="clear" w:color="auto" w:fill="92CDDC"/>
          </w:tcPr>
          <w:p w14:paraId="0E4461FF"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Min</w:t>
            </w:r>
          </w:p>
        </w:tc>
        <w:tc>
          <w:tcPr>
            <w:tcW w:w="1323" w:type="dxa"/>
            <w:shd w:val="clear" w:color="auto" w:fill="92CDDC"/>
          </w:tcPr>
          <w:p w14:paraId="70703B1E"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Max</w:t>
            </w:r>
          </w:p>
        </w:tc>
      </w:tr>
      <w:tr w:rsidR="00820D82" w:rsidRPr="00B353C6" w14:paraId="7474F328" w14:textId="77777777" w:rsidTr="002714FF">
        <w:trPr>
          <w:trHeight w:val="255"/>
        </w:trPr>
        <w:tc>
          <w:tcPr>
            <w:tcW w:w="2215" w:type="dxa"/>
          </w:tcPr>
          <w:p w14:paraId="2DD71C87"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GPP (mg O</w:t>
            </w:r>
            <w:r w:rsidRPr="00366042">
              <w:rPr>
                <w:rFonts w:asciiTheme="minorHAnsi" w:hAnsiTheme="minorHAnsi"/>
                <w:bCs/>
                <w:iCs/>
                <w:sz w:val="22"/>
                <w:szCs w:val="22"/>
                <w:vertAlign w:val="subscript"/>
              </w:rPr>
              <w:t>2</w:t>
            </w:r>
            <w:r>
              <w:rPr>
                <w:rFonts w:asciiTheme="minorHAnsi" w:hAnsiTheme="minorHAnsi"/>
                <w:bCs/>
                <w:iCs/>
                <w:sz w:val="22"/>
                <w:szCs w:val="22"/>
              </w:rPr>
              <w:t>/L/day)</w:t>
            </w:r>
          </w:p>
        </w:tc>
        <w:tc>
          <w:tcPr>
            <w:tcW w:w="1322" w:type="dxa"/>
          </w:tcPr>
          <w:p w14:paraId="306E2D2D" w14:textId="77777777" w:rsidR="00820D82" w:rsidRPr="00EA0437" w:rsidRDefault="00820D82" w:rsidP="002714FF">
            <w:pPr>
              <w:pStyle w:val="BodyText"/>
              <w:spacing w:after="120" w:line="259" w:lineRule="auto"/>
              <w:jc w:val="center"/>
              <w:rPr>
                <w:rFonts w:asciiTheme="minorHAnsi" w:hAnsiTheme="minorHAnsi" w:cstheme="minorHAnsi"/>
                <w:bCs/>
                <w:iCs/>
                <w:sz w:val="22"/>
                <w:szCs w:val="22"/>
              </w:rPr>
            </w:pPr>
            <w:r w:rsidRPr="00EA0437">
              <w:rPr>
                <w:rFonts w:asciiTheme="minorHAnsi" w:hAnsiTheme="minorHAnsi" w:cstheme="minorHAnsi"/>
                <w:sz w:val="22"/>
                <w:szCs w:val="22"/>
              </w:rPr>
              <w:t>2.7</w:t>
            </w:r>
            <w:r>
              <w:rPr>
                <w:rFonts w:asciiTheme="minorHAnsi" w:hAnsiTheme="minorHAnsi" w:cstheme="minorHAnsi"/>
                <w:sz w:val="22"/>
                <w:szCs w:val="22"/>
              </w:rPr>
              <w:t>9</w:t>
            </w:r>
          </w:p>
        </w:tc>
        <w:tc>
          <w:tcPr>
            <w:tcW w:w="1323" w:type="dxa"/>
          </w:tcPr>
          <w:p w14:paraId="0DC7F1CA" w14:textId="77777777" w:rsidR="00820D82" w:rsidRPr="00EA0437" w:rsidRDefault="00820D82" w:rsidP="002714FF">
            <w:pPr>
              <w:pStyle w:val="BodyText"/>
              <w:spacing w:after="120" w:line="259" w:lineRule="auto"/>
              <w:jc w:val="center"/>
              <w:rPr>
                <w:rFonts w:asciiTheme="minorHAnsi" w:hAnsiTheme="minorHAnsi" w:cstheme="minorHAnsi"/>
                <w:bCs/>
                <w:iCs/>
                <w:sz w:val="22"/>
                <w:szCs w:val="22"/>
              </w:rPr>
            </w:pPr>
            <w:r w:rsidRPr="00EA0437">
              <w:rPr>
                <w:rFonts w:asciiTheme="minorHAnsi" w:hAnsiTheme="minorHAnsi" w:cstheme="minorHAnsi"/>
                <w:sz w:val="22"/>
                <w:szCs w:val="22"/>
              </w:rPr>
              <w:t>1.50</w:t>
            </w:r>
          </w:p>
        </w:tc>
        <w:tc>
          <w:tcPr>
            <w:tcW w:w="1322" w:type="dxa"/>
          </w:tcPr>
          <w:p w14:paraId="4A938F13" w14:textId="77777777" w:rsidR="00820D82" w:rsidRPr="00EA0437" w:rsidRDefault="00820D82" w:rsidP="002714FF">
            <w:pPr>
              <w:pStyle w:val="BodyText"/>
              <w:spacing w:after="120" w:line="259" w:lineRule="auto"/>
              <w:jc w:val="center"/>
              <w:rPr>
                <w:rFonts w:asciiTheme="minorHAnsi" w:hAnsiTheme="minorHAnsi" w:cstheme="minorHAnsi"/>
                <w:bCs/>
                <w:iCs/>
                <w:sz w:val="22"/>
                <w:szCs w:val="22"/>
              </w:rPr>
            </w:pPr>
            <w:r w:rsidRPr="00EA0437">
              <w:rPr>
                <w:rFonts w:asciiTheme="minorHAnsi" w:hAnsiTheme="minorHAnsi" w:cstheme="minorHAnsi"/>
                <w:sz w:val="22"/>
                <w:szCs w:val="22"/>
              </w:rPr>
              <w:t>0.</w:t>
            </w:r>
            <w:r>
              <w:rPr>
                <w:rFonts w:asciiTheme="minorHAnsi" w:hAnsiTheme="minorHAnsi" w:cstheme="minorHAnsi"/>
                <w:sz w:val="22"/>
                <w:szCs w:val="22"/>
              </w:rPr>
              <w:t>30</w:t>
            </w:r>
          </w:p>
        </w:tc>
        <w:tc>
          <w:tcPr>
            <w:tcW w:w="1323" w:type="dxa"/>
          </w:tcPr>
          <w:p w14:paraId="19E4AAB0" w14:textId="77777777" w:rsidR="00820D82" w:rsidRPr="00EA0437" w:rsidRDefault="00820D82" w:rsidP="002714FF">
            <w:pPr>
              <w:pStyle w:val="BodyText"/>
              <w:spacing w:after="120" w:line="259" w:lineRule="auto"/>
              <w:jc w:val="center"/>
              <w:rPr>
                <w:rFonts w:asciiTheme="minorHAnsi" w:hAnsiTheme="minorHAnsi" w:cstheme="minorHAnsi"/>
                <w:bCs/>
                <w:iCs/>
                <w:sz w:val="22"/>
                <w:szCs w:val="22"/>
              </w:rPr>
            </w:pPr>
            <w:r w:rsidRPr="00EA0437">
              <w:rPr>
                <w:rFonts w:asciiTheme="minorHAnsi" w:hAnsiTheme="minorHAnsi" w:cstheme="minorHAnsi"/>
                <w:sz w:val="22"/>
                <w:szCs w:val="22"/>
              </w:rPr>
              <w:t>18.35</w:t>
            </w:r>
          </w:p>
        </w:tc>
      </w:tr>
      <w:tr w:rsidR="00820D82" w:rsidRPr="00B353C6" w14:paraId="3682D449" w14:textId="77777777" w:rsidTr="002714FF">
        <w:trPr>
          <w:trHeight w:val="285"/>
        </w:trPr>
        <w:tc>
          <w:tcPr>
            <w:tcW w:w="2215" w:type="dxa"/>
          </w:tcPr>
          <w:p w14:paraId="45A141D6" w14:textId="77777777" w:rsidR="00820D82"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ER (mg O</w:t>
            </w:r>
            <w:r w:rsidRPr="00366042">
              <w:rPr>
                <w:rFonts w:asciiTheme="minorHAnsi" w:hAnsiTheme="minorHAnsi"/>
                <w:bCs/>
                <w:iCs/>
                <w:sz w:val="22"/>
                <w:szCs w:val="22"/>
                <w:vertAlign w:val="subscript"/>
              </w:rPr>
              <w:t>2</w:t>
            </w:r>
            <w:r>
              <w:rPr>
                <w:rFonts w:asciiTheme="minorHAnsi" w:hAnsiTheme="minorHAnsi"/>
                <w:bCs/>
                <w:iCs/>
                <w:sz w:val="22"/>
                <w:szCs w:val="22"/>
              </w:rPr>
              <w:t>/L/day)</w:t>
            </w:r>
          </w:p>
        </w:tc>
        <w:tc>
          <w:tcPr>
            <w:tcW w:w="1322" w:type="dxa"/>
            <w:shd w:val="clear" w:color="auto" w:fill="FFFFFF"/>
            <w:vAlign w:val="center"/>
          </w:tcPr>
          <w:p w14:paraId="566795C4" w14:textId="77777777" w:rsidR="00820D82" w:rsidRPr="003D2E04" w:rsidRDefault="00820D82" w:rsidP="002714FF">
            <w:pPr>
              <w:pStyle w:val="BodyText"/>
              <w:spacing w:after="120" w:line="259" w:lineRule="auto"/>
              <w:jc w:val="center"/>
              <w:rPr>
                <w:rFonts w:asciiTheme="minorHAnsi" w:hAnsiTheme="minorHAnsi" w:cstheme="minorHAnsi"/>
                <w:bCs/>
                <w:iCs/>
                <w:sz w:val="22"/>
                <w:szCs w:val="22"/>
              </w:rPr>
            </w:pPr>
            <w:r w:rsidRPr="003D2E04">
              <w:rPr>
                <w:rFonts w:asciiTheme="minorHAnsi" w:hAnsiTheme="minorHAnsi" w:cstheme="minorHAnsi"/>
                <w:color w:val="000000"/>
                <w:sz w:val="22"/>
                <w:szCs w:val="22"/>
              </w:rPr>
              <w:t>5.85</w:t>
            </w:r>
          </w:p>
        </w:tc>
        <w:tc>
          <w:tcPr>
            <w:tcW w:w="1323" w:type="dxa"/>
            <w:shd w:val="clear" w:color="auto" w:fill="FFFFFF"/>
            <w:vAlign w:val="center"/>
          </w:tcPr>
          <w:p w14:paraId="5EE9770A" w14:textId="77777777" w:rsidR="00820D82" w:rsidRPr="003D2E04" w:rsidRDefault="00820D82" w:rsidP="002714FF">
            <w:pPr>
              <w:pStyle w:val="BodyText"/>
              <w:spacing w:after="120" w:line="259" w:lineRule="auto"/>
              <w:jc w:val="center"/>
              <w:rPr>
                <w:rFonts w:asciiTheme="minorHAnsi" w:hAnsiTheme="minorHAnsi" w:cstheme="minorHAnsi"/>
                <w:bCs/>
                <w:iCs/>
                <w:sz w:val="22"/>
                <w:szCs w:val="22"/>
              </w:rPr>
            </w:pPr>
            <w:r w:rsidRPr="003D2E04">
              <w:rPr>
                <w:rFonts w:asciiTheme="minorHAnsi" w:hAnsiTheme="minorHAnsi" w:cstheme="minorHAnsi"/>
                <w:color w:val="000000"/>
                <w:sz w:val="22"/>
                <w:szCs w:val="22"/>
              </w:rPr>
              <w:t>4.60</w:t>
            </w:r>
          </w:p>
        </w:tc>
        <w:tc>
          <w:tcPr>
            <w:tcW w:w="1322" w:type="dxa"/>
            <w:shd w:val="clear" w:color="auto" w:fill="FFFFFF"/>
            <w:vAlign w:val="center"/>
          </w:tcPr>
          <w:p w14:paraId="3D88979F" w14:textId="77777777" w:rsidR="00820D82" w:rsidRPr="003D2E04" w:rsidRDefault="00820D82" w:rsidP="002714FF">
            <w:pPr>
              <w:pStyle w:val="BodyText"/>
              <w:spacing w:after="120" w:line="259" w:lineRule="auto"/>
              <w:jc w:val="center"/>
              <w:rPr>
                <w:rFonts w:asciiTheme="minorHAnsi" w:hAnsiTheme="minorHAnsi" w:cstheme="minorHAnsi"/>
                <w:bCs/>
                <w:iCs/>
                <w:sz w:val="22"/>
                <w:szCs w:val="22"/>
              </w:rPr>
            </w:pPr>
            <w:r w:rsidRPr="003D2E04">
              <w:rPr>
                <w:rFonts w:asciiTheme="minorHAnsi" w:hAnsiTheme="minorHAnsi" w:cstheme="minorHAnsi"/>
                <w:color w:val="000000"/>
                <w:sz w:val="22"/>
                <w:szCs w:val="22"/>
              </w:rPr>
              <w:t>0.95</w:t>
            </w:r>
          </w:p>
        </w:tc>
        <w:tc>
          <w:tcPr>
            <w:tcW w:w="1323" w:type="dxa"/>
            <w:shd w:val="clear" w:color="auto" w:fill="FFFFFF"/>
            <w:vAlign w:val="center"/>
          </w:tcPr>
          <w:p w14:paraId="3C2D7233" w14:textId="77777777" w:rsidR="00820D82" w:rsidRPr="003D2E04" w:rsidRDefault="00820D82" w:rsidP="002714FF">
            <w:pPr>
              <w:pStyle w:val="BodyText"/>
              <w:spacing w:after="120" w:line="259" w:lineRule="auto"/>
              <w:jc w:val="center"/>
              <w:rPr>
                <w:rFonts w:asciiTheme="minorHAnsi" w:hAnsiTheme="minorHAnsi" w:cstheme="minorHAnsi"/>
                <w:bCs/>
                <w:iCs/>
                <w:sz w:val="22"/>
                <w:szCs w:val="22"/>
              </w:rPr>
            </w:pPr>
            <w:r w:rsidRPr="003D2E04">
              <w:rPr>
                <w:rFonts w:asciiTheme="minorHAnsi" w:hAnsiTheme="minorHAnsi" w:cstheme="minorHAnsi"/>
                <w:color w:val="000000"/>
                <w:sz w:val="22"/>
                <w:szCs w:val="22"/>
              </w:rPr>
              <w:t>23.01</w:t>
            </w:r>
          </w:p>
        </w:tc>
      </w:tr>
      <w:tr w:rsidR="00820D82" w:rsidRPr="00B353C6" w14:paraId="2284F008" w14:textId="77777777" w:rsidTr="002714FF">
        <w:tc>
          <w:tcPr>
            <w:tcW w:w="2215" w:type="dxa"/>
          </w:tcPr>
          <w:p w14:paraId="5416D27B"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GPP / ER</w:t>
            </w:r>
          </w:p>
        </w:tc>
        <w:tc>
          <w:tcPr>
            <w:tcW w:w="1322" w:type="dxa"/>
            <w:shd w:val="clear" w:color="auto" w:fill="FFFFFF"/>
            <w:vAlign w:val="center"/>
          </w:tcPr>
          <w:p w14:paraId="0A9589FC" w14:textId="77777777" w:rsidR="00820D82" w:rsidRPr="0077287E" w:rsidRDefault="00820D82" w:rsidP="002714FF">
            <w:pPr>
              <w:pStyle w:val="BodyText"/>
              <w:spacing w:after="120" w:line="259" w:lineRule="auto"/>
              <w:jc w:val="center"/>
              <w:rPr>
                <w:rFonts w:asciiTheme="minorHAnsi" w:hAnsiTheme="minorHAnsi" w:cstheme="minorHAnsi"/>
                <w:bCs/>
                <w:iCs/>
                <w:sz w:val="22"/>
                <w:szCs w:val="22"/>
              </w:rPr>
            </w:pPr>
            <w:r w:rsidRPr="0077287E">
              <w:rPr>
                <w:rFonts w:asciiTheme="minorHAnsi" w:hAnsiTheme="minorHAnsi" w:cstheme="minorHAnsi"/>
                <w:color w:val="000000"/>
                <w:sz w:val="22"/>
                <w:szCs w:val="22"/>
              </w:rPr>
              <w:t>0.55</w:t>
            </w:r>
          </w:p>
        </w:tc>
        <w:tc>
          <w:tcPr>
            <w:tcW w:w="1323" w:type="dxa"/>
            <w:shd w:val="clear" w:color="auto" w:fill="FFFFFF"/>
            <w:vAlign w:val="center"/>
          </w:tcPr>
          <w:p w14:paraId="25DB3F19" w14:textId="77777777" w:rsidR="00820D82" w:rsidRPr="0077287E" w:rsidRDefault="00820D82" w:rsidP="002714FF">
            <w:pPr>
              <w:pStyle w:val="BodyText"/>
              <w:spacing w:after="120" w:line="259" w:lineRule="auto"/>
              <w:jc w:val="center"/>
              <w:rPr>
                <w:rFonts w:asciiTheme="minorHAnsi" w:hAnsiTheme="minorHAnsi" w:cstheme="minorHAnsi"/>
                <w:bCs/>
                <w:iCs/>
                <w:sz w:val="22"/>
                <w:szCs w:val="22"/>
              </w:rPr>
            </w:pPr>
            <w:r w:rsidRPr="0077287E">
              <w:rPr>
                <w:rFonts w:asciiTheme="minorHAnsi" w:hAnsiTheme="minorHAnsi" w:cstheme="minorHAnsi"/>
                <w:color w:val="000000"/>
                <w:sz w:val="22"/>
                <w:szCs w:val="22"/>
              </w:rPr>
              <w:t>0.49</w:t>
            </w:r>
          </w:p>
        </w:tc>
        <w:tc>
          <w:tcPr>
            <w:tcW w:w="1322" w:type="dxa"/>
            <w:shd w:val="clear" w:color="auto" w:fill="FFFFFF"/>
            <w:vAlign w:val="center"/>
          </w:tcPr>
          <w:p w14:paraId="67105E8C" w14:textId="77777777" w:rsidR="00820D82" w:rsidRPr="0077287E" w:rsidRDefault="00820D82" w:rsidP="002714FF">
            <w:pPr>
              <w:pStyle w:val="BodyText"/>
              <w:spacing w:after="120" w:line="259" w:lineRule="auto"/>
              <w:jc w:val="center"/>
              <w:rPr>
                <w:rFonts w:asciiTheme="minorHAnsi" w:hAnsiTheme="minorHAnsi" w:cstheme="minorHAnsi"/>
                <w:bCs/>
                <w:iCs/>
                <w:sz w:val="22"/>
                <w:szCs w:val="22"/>
              </w:rPr>
            </w:pPr>
            <w:r w:rsidRPr="0077287E">
              <w:rPr>
                <w:rFonts w:asciiTheme="minorHAnsi" w:hAnsiTheme="minorHAnsi" w:cstheme="minorHAnsi"/>
                <w:color w:val="000000"/>
                <w:sz w:val="22"/>
                <w:szCs w:val="22"/>
              </w:rPr>
              <w:t>0.12</w:t>
            </w:r>
          </w:p>
        </w:tc>
        <w:tc>
          <w:tcPr>
            <w:tcW w:w="1323" w:type="dxa"/>
            <w:shd w:val="clear" w:color="auto" w:fill="FFFFFF"/>
            <w:vAlign w:val="center"/>
          </w:tcPr>
          <w:p w14:paraId="7A081119" w14:textId="77777777" w:rsidR="00820D82" w:rsidRPr="0077287E" w:rsidRDefault="00820D82" w:rsidP="002714FF">
            <w:pPr>
              <w:pStyle w:val="BodyText"/>
              <w:spacing w:after="120" w:line="259" w:lineRule="auto"/>
              <w:jc w:val="center"/>
              <w:rPr>
                <w:rFonts w:asciiTheme="minorHAnsi" w:hAnsiTheme="minorHAnsi" w:cstheme="minorHAnsi"/>
                <w:bCs/>
                <w:iCs/>
                <w:sz w:val="22"/>
                <w:szCs w:val="22"/>
              </w:rPr>
            </w:pPr>
            <w:r w:rsidRPr="0077287E">
              <w:rPr>
                <w:rFonts w:asciiTheme="minorHAnsi" w:hAnsiTheme="minorHAnsi" w:cstheme="minorHAnsi"/>
                <w:color w:val="000000"/>
                <w:sz w:val="22"/>
                <w:szCs w:val="22"/>
              </w:rPr>
              <w:t>1.46</w:t>
            </w:r>
          </w:p>
        </w:tc>
      </w:tr>
    </w:tbl>
    <w:p w14:paraId="60F937CC" w14:textId="77777777" w:rsidR="00820D82" w:rsidRPr="002D6FAA" w:rsidRDefault="00820D82" w:rsidP="00820D82">
      <w:pPr>
        <w:spacing w:after="0" w:line="240" w:lineRule="auto"/>
        <w:contextualSpacing/>
        <w:jc w:val="left"/>
        <w:rPr>
          <w:bCs/>
          <w:color w:val="31849B"/>
          <w:sz w:val="16"/>
          <w:szCs w:val="16"/>
        </w:rPr>
      </w:pPr>
    </w:p>
    <w:tbl>
      <w:tblPr>
        <w:tblStyle w:val="TableGridLight"/>
        <w:tblW w:w="0" w:type="auto"/>
        <w:tblInd w:w="8"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2215"/>
        <w:gridCol w:w="1322"/>
        <w:gridCol w:w="1323"/>
        <w:gridCol w:w="1322"/>
        <w:gridCol w:w="1323"/>
      </w:tblGrid>
      <w:tr w:rsidR="00820D82" w:rsidRPr="00B353C6" w14:paraId="1E40F5F3" w14:textId="77777777" w:rsidTr="002714FF">
        <w:trPr>
          <w:trHeight w:val="255"/>
        </w:trPr>
        <w:tc>
          <w:tcPr>
            <w:tcW w:w="2215" w:type="dxa"/>
            <w:vMerge w:val="restart"/>
            <w:tcBorders>
              <w:top w:val="nil"/>
              <w:left w:val="nil"/>
            </w:tcBorders>
            <w:shd w:val="clear" w:color="auto" w:fill="auto"/>
          </w:tcPr>
          <w:p w14:paraId="53DE8598" w14:textId="77777777" w:rsidR="00820D82" w:rsidRPr="00B353C6" w:rsidRDefault="00820D82" w:rsidP="002714FF">
            <w:pPr>
              <w:pStyle w:val="BodyText"/>
              <w:spacing w:after="120" w:line="259" w:lineRule="auto"/>
              <w:jc w:val="center"/>
              <w:rPr>
                <w:rFonts w:asciiTheme="minorHAnsi" w:hAnsiTheme="minorHAnsi"/>
                <w:bCs/>
                <w:iCs/>
                <w:sz w:val="22"/>
                <w:szCs w:val="22"/>
              </w:rPr>
            </w:pPr>
          </w:p>
        </w:tc>
        <w:tc>
          <w:tcPr>
            <w:tcW w:w="5290" w:type="dxa"/>
            <w:gridSpan w:val="4"/>
            <w:shd w:val="clear" w:color="auto" w:fill="92CDDC"/>
          </w:tcPr>
          <w:p w14:paraId="1AB7F50F" w14:textId="77777777" w:rsidR="00820D82" w:rsidRPr="00B353C6"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Downstream of Werai Forest (n = 59)</w:t>
            </w:r>
          </w:p>
        </w:tc>
      </w:tr>
      <w:tr w:rsidR="00820D82" w:rsidRPr="00B353C6" w14:paraId="77ACAE8F" w14:textId="77777777" w:rsidTr="002714FF">
        <w:trPr>
          <w:trHeight w:val="285"/>
        </w:trPr>
        <w:tc>
          <w:tcPr>
            <w:tcW w:w="2215" w:type="dxa"/>
            <w:vMerge/>
            <w:tcBorders>
              <w:left w:val="nil"/>
            </w:tcBorders>
            <w:shd w:val="clear" w:color="auto" w:fill="auto"/>
          </w:tcPr>
          <w:p w14:paraId="3D283947" w14:textId="77777777" w:rsidR="00820D82" w:rsidRPr="00B353C6" w:rsidRDefault="00820D82" w:rsidP="002714FF">
            <w:pPr>
              <w:pStyle w:val="BodyText"/>
              <w:spacing w:after="120" w:line="259" w:lineRule="auto"/>
              <w:jc w:val="center"/>
              <w:rPr>
                <w:rFonts w:asciiTheme="minorHAnsi" w:hAnsiTheme="minorHAnsi"/>
                <w:bCs/>
                <w:iCs/>
                <w:sz w:val="22"/>
                <w:szCs w:val="22"/>
              </w:rPr>
            </w:pPr>
          </w:p>
        </w:tc>
        <w:tc>
          <w:tcPr>
            <w:tcW w:w="1322" w:type="dxa"/>
            <w:shd w:val="clear" w:color="auto" w:fill="92CDDC"/>
          </w:tcPr>
          <w:p w14:paraId="4B2A3601"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Median</w:t>
            </w:r>
          </w:p>
        </w:tc>
        <w:tc>
          <w:tcPr>
            <w:tcW w:w="1323" w:type="dxa"/>
            <w:shd w:val="clear" w:color="auto" w:fill="92CDDC"/>
          </w:tcPr>
          <w:p w14:paraId="2D669CB5"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Mean</w:t>
            </w:r>
          </w:p>
        </w:tc>
        <w:tc>
          <w:tcPr>
            <w:tcW w:w="1322" w:type="dxa"/>
            <w:shd w:val="clear" w:color="auto" w:fill="92CDDC"/>
          </w:tcPr>
          <w:p w14:paraId="54968526"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Min</w:t>
            </w:r>
          </w:p>
        </w:tc>
        <w:tc>
          <w:tcPr>
            <w:tcW w:w="1323" w:type="dxa"/>
            <w:shd w:val="clear" w:color="auto" w:fill="92CDDC"/>
          </w:tcPr>
          <w:p w14:paraId="2D7EE1E4" w14:textId="77777777" w:rsidR="00820D82" w:rsidRDefault="00820D82" w:rsidP="002714FF">
            <w:pPr>
              <w:pStyle w:val="BodyText"/>
              <w:spacing w:after="120" w:line="259" w:lineRule="auto"/>
              <w:jc w:val="center"/>
              <w:rPr>
                <w:rFonts w:asciiTheme="minorHAnsi" w:hAnsiTheme="minorHAnsi"/>
                <w:bCs/>
                <w:iCs/>
                <w:sz w:val="22"/>
                <w:szCs w:val="22"/>
              </w:rPr>
            </w:pPr>
            <w:r>
              <w:rPr>
                <w:rFonts w:asciiTheme="minorHAnsi" w:hAnsiTheme="minorHAnsi"/>
                <w:bCs/>
                <w:iCs/>
                <w:sz w:val="22"/>
                <w:szCs w:val="22"/>
              </w:rPr>
              <w:t>Max</w:t>
            </w:r>
          </w:p>
        </w:tc>
      </w:tr>
      <w:tr w:rsidR="00820D82" w:rsidRPr="00B353C6" w14:paraId="07DC31CD" w14:textId="77777777" w:rsidTr="002714FF">
        <w:trPr>
          <w:trHeight w:val="255"/>
        </w:trPr>
        <w:tc>
          <w:tcPr>
            <w:tcW w:w="2215" w:type="dxa"/>
          </w:tcPr>
          <w:p w14:paraId="36B18FC6"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GPP (mg O</w:t>
            </w:r>
            <w:r w:rsidRPr="00366042">
              <w:rPr>
                <w:rFonts w:asciiTheme="minorHAnsi" w:hAnsiTheme="minorHAnsi"/>
                <w:bCs/>
                <w:iCs/>
                <w:sz w:val="22"/>
                <w:szCs w:val="22"/>
                <w:vertAlign w:val="subscript"/>
              </w:rPr>
              <w:t>2</w:t>
            </w:r>
            <w:r>
              <w:rPr>
                <w:rFonts w:asciiTheme="minorHAnsi" w:hAnsiTheme="minorHAnsi"/>
                <w:bCs/>
                <w:iCs/>
                <w:sz w:val="22"/>
                <w:szCs w:val="22"/>
              </w:rPr>
              <w:t>/L/day)</w:t>
            </w:r>
          </w:p>
        </w:tc>
        <w:tc>
          <w:tcPr>
            <w:tcW w:w="1322" w:type="dxa"/>
            <w:shd w:val="clear" w:color="auto" w:fill="FFFFFF"/>
            <w:vAlign w:val="center"/>
          </w:tcPr>
          <w:p w14:paraId="54E56117"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1.35</w:t>
            </w:r>
          </w:p>
        </w:tc>
        <w:tc>
          <w:tcPr>
            <w:tcW w:w="1323" w:type="dxa"/>
            <w:shd w:val="clear" w:color="auto" w:fill="FFFFFF"/>
            <w:vAlign w:val="center"/>
          </w:tcPr>
          <w:p w14:paraId="7ECA981A"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1.37</w:t>
            </w:r>
          </w:p>
        </w:tc>
        <w:tc>
          <w:tcPr>
            <w:tcW w:w="1322" w:type="dxa"/>
            <w:shd w:val="clear" w:color="auto" w:fill="FFFFFF"/>
            <w:vAlign w:val="center"/>
          </w:tcPr>
          <w:p w14:paraId="3D3A1B1A"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0.24</w:t>
            </w:r>
          </w:p>
        </w:tc>
        <w:tc>
          <w:tcPr>
            <w:tcW w:w="1323" w:type="dxa"/>
            <w:shd w:val="clear" w:color="auto" w:fill="FFFFFF"/>
            <w:vAlign w:val="center"/>
          </w:tcPr>
          <w:p w14:paraId="792E7F72"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2.55</w:t>
            </w:r>
          </w:p>
        </w:tc>
      </w:tr>
      <w:tr w:rsidR="00820D82" w:rsidRPr="00B353C6" w14:paraId="700AA1B1" w14:textId="77777777" w:rsidTr="002714FF">
        <w:trPr>
          <w:trHeight w:val="285"/>
        </w:trPr>
        <w:tc>
          <w:tcPr>
            <w:tcW w:w="2215" w:type="dxa"/>
          </w:tcPr>
          <w:p w14:paraId="256F42D7" w14:textId="77777777" w:rsidR="00820D82"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ER (mg O</w:t>
            </w:r>
            <w:r w:rsidRPr="00366042">
              <w:rPr>
                <w:rFonts w:asciiTheme="minorHAnsi" w:hAnsiTheme="minorHAnsi"/>
                <w:bCs/>
                <w:iCs/>
                <w:sz w:val="22"/>
                <w:szCs w:val="22"/>
                <w:vertAlign w:val="subscript"/>
              </w:rPr>
              <w:t>2</w:t>
            </w:r>
            <w:r>
              <w:rPr>
                <w:rFonts w:asciiTheme="minorHAnsi" w:hAnsiTheme="minorHAnsi"/>
                <w:bCs/>
                <w:iCs/>
                <w:sz w:val="22"/>
                <w:szCs w:val="22"/>
              </w:rPr>
              <w:t>/L/day)</w:t>
            </w:r>
          </w:p>
        </w:tc>
        <w:tc>
          <w:tcPr>
            <w:tcW w:w="1322" w:type="dxa"/>
            <w:shd w:val="clear" w:color="auto" w:fill="FFFFFF"/>
            <w:vAlign w:val="center"/>
          </w:tcPr>
          <w:p w14:paraId="386402E1"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2.5</w:t>
            </w:r>
            <w:r>
              <w:rPr>
                <w:rFonts w:asciiTheme="minorHAnsi" w:hAnsiTheme="minorHAnsi" w:cstheme="minorHAnsi"/>
                <w:color w:val="000000"/>
                <w:sz w:val="22"/>
                <w:szCs w:val="22"/>
              </w:rPr>
              <w:t>1</w:t>
            </w:r>
          </w:p>
        </w:tc>
        <w:tc>
          <w:tcPr>
            <w:tcW w:w="1323" w:type="dxa"/>
            <w:shd w:val="clear" w:color="auto" w:fill="FFFFFF"/>
            <w:vAlign w:val="center"/>
          </w:tcPr>
          <w:p w14:paraId="6FCF443B"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2.2</w:t>
            </w:r>
            <w:r>
              <w:rPr>
                <w:rFonts w:asciiTheme="minorHAnsi" w:hAnsiTheme="minorHAnsi" w:cstheme="minorHAnsi"/>
                <w:color w:val="000000"/>
                <w:sz w:val="22"/>
                <w:szCs w:val="22"/>
              </w:rPr>
              <w:t>7</w:t>
            </w:r>
          </w:p>
        </w:tc>
        <w:tc>
          <w:tcPr>
            <w:tcW w:w="1322" w:type="dxa"/>
            <w:shd w:val="clear" w:color="auto" w:fill="FFFFFF"/>
            <w:vAlign w:val="center"/>
          </w:tcPr>
          <w:p w14:paraId="7D798B1C"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0.9</w:t>
            </w:r>
            <w:r>
              <w:rPr>
                <w:rFonts w:asciiTheme="minorHAnsi" w:hAnsiTheme="minorHAnsi" w:cstheme="minorHAnsi"/>
                <w:color w:val="000000"/>
                <w:sz w:val="22"/>
                <w:szCs w:val="22"/>
              </w:rPr>
              <w:t>3</w:t>
            </w:r>
          </w:p>
        </w:tc>
        <w:tc>
          <w:tcPr>
            <w:tcW w:w="1323" w:type="dxa"/>
            <w:shd w:val="clear" w:color="auto" w:fill="FFFFFF"/>
            <w:vAlign w:val="center"/>
          </w:tcPr>
          <w:p w14:paraId="3ADA9ECB"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6.62</w:t>
            </w:r>
          </w:p>
        </w:tc>
      </w:tr>
      <w:tr w:rsidR="00820D82" w:rsidRPr="00B353C6" w14:paraId="0BC4443F" w14:textId="77777777" w:rsidTr="002714FF">
        <w:tc>
          <w:tcPr>
            <w:tcW w:w="2215" w:type="dxa"/>
          </w:tcPr>
          <w:p w14:paraId="62E9FC3C" w14:textId="77777777" w:rsidR="00820D82" w:rsidRPr="00B353C6" w:rsidRDefault="00820D82" w:rsidP="002714FF">
            <w:pPr>
              <w:pStyle w:val="BodyText"/>
              <w:spacing w:after="120" w:line="259" w:lineRule="auto"/>
              <w:jc w:val="left"/>
              <w:rPr>
                <w:rFonts w:asciiTheme="minorHAnsi" w:hAnsiTheme="minorHAnsi"/>
                <w:bCs/>
                <w:iCs/>
                <w:sz w:val="22"/>
                <w:szCs w:val="22"/>
              </w:rPr>
            </w:pPr>
            <w:r>
              <w:rPr>
                <w:rFonts w:asciiTheme="minorHAnsi" w:hAnsiTheme="minorHAnsi"/>
                <w:bCs/>
                <w:iCs/>
                <w:sz w:val="22"/>
                <w:szCs w:val="22"/>
              </w:rPr>
              <w:t>GPP / ER</w:t>
            </w:r>
          </w:p>
        </w:tc>
        <w:tc>
          <w:tcPr>
            <w:tcW w:w="1322" w:type="dxa"/>
            <w:shd w:val="clear" w:color="auto" w:fill="FFFFFF"/>
            <w:vAlign w:val="center"/>
          </w:tcPr>
          <w:p w14:paraId="457E6A3B"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0.59</w:t>
            </w:r>
          </w:p>
        </w:tc>
        <w:tc>
          <w:tcPr>
            <w:tcW w:w="1323" w:type="dxa"/>
            <w:shd w:val="clear" w:color="auto" w:fill="FFFFFF"/>
            <w:vAlign w:val="center"/>
          </w:tcPr>
          <w:p w14:paraId="1DBE2A82"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0.6</w:t>
            </w:r>
            <w:r>
              <w:rPr>
                <w:rFonts w:asciiTheme="minorHAnsi" w:hAnsiTheme="minorHAnsi" w:cstheme="minorHAnsi"/>
                <w:color w:val="000000"/>
                <w:sz w:val="22"/>
                <w:szCs w:val="22"/>
              </w:rPr>
              <w:t>3</w:t>
            </w:r>
          </w:p>
        </w:tc>
        <w:tc>
          <w:tcPr>
            <w:tcW w:w="1322" w:type="dxa"/>
            <w:shd w:val="clear" w:color="auto" w:fill="FFFFFF"/>
            <w:vAlign w:val="center"/>
          </w:tcPr>
          <w:p w14:paraId="2371853C"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0.09</w:t>
            </w:r>
          </w:p>
        </w:tc>
        <w:tc>
          <w:tcPr>
            <w:tcW w:w="1323" w:type="dxa"/>
            <w:shd w:val="clear" w:color="auto" w:fill="FFFFFF"/>
            <w:vAlign w:val="center"/>
          </w:tcPr>
          <w:p w14:paraId="551117A0" w14:textId="77777777" w:rsidR="00820D82" w:rsidRPr="00E1655B" w:rsidRDefault="00820D82" w:rsidP="002714FF">
            <w:pPr>
              <w:pStyle w:val="BodyText"/>
              <w:spacing w:after="120" w:line="259" w:lineRule="auto"/>
              <w:jc w:val="center"/>
              <w:rPr>
                <w:rFonts w:asciiTheme="minorHAnsi" w:hAnsiTheme="minorHAnsi" w:cstheme="minorHAnsi"/>
                <w:bCs/>
                <w:iCs/>
                <w:sz w:val="22"/>
                <w:szCs w:val="22"/>
              </w:rPr>
            </w:pPr>
            <w:r w:rsidRPr="00E1655B">
              <w:rPr>
                <w:rFonts w:asciiTheme="minorHAnsi" w:hAnsiTheme="minorHAnsi" w:cstheme="minorHAnsi"/>
                <w:color w:val="000000"/>
                <w:sz w:val="22"/>
                <w:szCs w:val="22"/>
              </w:rPr>
              <w:t>1.1</w:t>
            </w:r>
            <w:r>
              <w:rPr>
                <w:rFonts w:asciiTheme="minorHAnsi" w:hAnsiTheme="minorHAnsi" w:cstheme="minorHAnsi"/>
                <w:color w:val="000000"/>
                <w:sz w:val="22"/>
                <w:szCs w:val="22"/>
              </w:rPr>
              <w:t>5</w:t>
            </w:r>
          </w:p>
        </w:tc>
      </w:tr>
    </w:tbl>
    <w:p w14:paraId="037AE6AE" w14:textId="77777777" w:rsidR="00820D82" w:rsidRDefault="00820D82" w:rsidP="00820D82">
      <w:pPr>
        <w:spacing w:after="120" w:line="259" w:lineRule="auto"/>
        <w:jc w:val="left"/>
        <w:rPr>
          <w:bCs/>
          <w:color w:val="31849B"/>
          <w:sz w:val="24"/>
          <w:szCs w:val="24"/>
        </w:rPr>
      </w:pPr>
    </w:p>
    <w:p w14:paraId="1CF040C2" w14:textId="77777777" w:rsidR="00820D82" w:rsidRDefault="00820D82" w:rsidP="00820D82">
      <w:pPr>
        <w:spacing w:after="120" w:line="259" w:lineRule="auto"/>
        <w:jc w:val="left"/>
        <w:rPr>
          <w:rFonts w:asciiTheme="minorHAnsi" w:hAnsiTheme="minorHAnsi"/>
          <w:bCs/>
          <w:iCs/>
          <w:szCs w:val="22"/>
        </w:rPr>
      </w:pPr>
      <w:r>
        <w:rPr>
          <w:bCs/>
          <w:szCs w:val="22"/>
        </w:rPr>
        <w:t xml:space="preserve">High-flow events (&gt;2700 ML/day) occurred downstream of Steven’s Weir in October 2019 and June 2020. However, acceptable BASE results at both sites were scarce during these times. Acceptable data was therefore largely only available for early-mid 2020, and there was insufficient GPP and ER data to evaluate the potential effects of overbank flow events within Werai Forest on metabolism at either site (Figure 10.3). The most notable trends in the available data were (i) a greater occurrence of high GPP and ER events downstream of Steven’s Weir when compared with downstream of Werai Forest, and (ii) a seasonal progression from higher to lower GPP/ER ratios from summer to winter 2020 (Figure 10.3). As with the Wakool/Yallakool sites (Section 6), or for that matter most other flowing waters (Bernhardt et al. 2018), </w:t>
      </w:r>
      <w:r>
        <w:rPr>
          <w:rFonts w:asciiTheme="minorHAnsi" w:hAnsiTheme="minorHAnsi"/>
          <w:bCs/>
          <w:iCs/>
          <w:szCs w:val="22"/>
        </w:rPr>
        <w:t>w</w:t>
      </w:r>
      <w:r w:rsidRPr="00DD46A4">
        <w:rPr>
          <w:rFonts w:asciiTheme="minorHAnsi" w:hAnsiTheme="minorHAnsi"/>
          <w:bCs/>
          <w:iCs/>
          <w:szCs w:val="22"/>
        </w:rPr>
        <w:t>armer</w:t>
      </w:r>
      <w:r>
        <w:rPr>
          <w:rFonts w:asciiTheme="minorHAnsi" w:hAnsiTheme="minorHAnsi"/>
          <w:bCs/>
          <w:iCs/>
          <w:szCs w:val="22"/>
        </w:rPr>
        <w:t>, longer</w:t>
      </w:r>
      <w:r w:rsidRPr="00DD46A4">
        <w:rPr>
          <w:rFonts w:asciiTheme="minorHAnsi" w:hAnsiTheme="minorHAnsi"/>
          <w:bCs/>
          <w:iCs/>
          <w:szCs w:val="22"/>
        </w:rPr>
        <w:t xml:space="preserve"> days</w:t>
      </w:r>
      <w:r>
        <w:rPr>
          <w:rFonts w:asciiTheme="minorHAnsi" w:hAnsiTheme="minorHAnsi"/>
          <w:bCs/>
          <w:iCs/>
          <w:szCs w:val="22"/>
        </w:rPr>
        <w:t xml:space="preserve"> with more intense sunlight likely drive this trend by causing higher rates of GPP.</w:t>
      </w:r>
    </w:p>
    <w:p w14:paraId="47F11803" w14:textId="77777777" w:rsidR="00820D82" w:rsidRPr="00461864" w:rsidRDefault="00820D82" w:rsidP="00820D82">
      <w:pPr>
        <w:spacing w:after="120" w:line="259" w:lineRule="auto"/>
        <w:jc w:val="left"/>
        <w:rPr>
          <w:bCs/>
          <w:szCs w:val="22"/>
        </w:rPr>
      </w:pPr>
    </w:p>
    <w:p w14:paraId="0732F426" w14:textId="77777777" w:rsidR="00820D82" w:rsidRDefault="00820D82" w:rsidP="00820D82">
      <w:pPr>
        <w:spacing w:after="120" w:line="259" w:lineRule="auto"/>
        <w:jc w:val="center"/>
        <w:rPr>
          <w:bCs/>
          <w:color w:val="31849B"/>
          <w:sz w:val="24"/>
          <w:szCs w:val="24"/>
        </w:rPr>
      </w:pPr>
      <w:r>
        <w:rPr>
          <w:bCs/>
          <w:noProof/>
          <w:color w:val="31849B"/>
          <w:sz w:val="24"/>
          <w:szCs w:val="24"/>
          <w:lang w:eastAsia="en-AU"/>
        </w:rPr>
        <w:drawing>
          <wp:inline distT="0" distB="0" distL="0" distR="0" wp14:anchorId="6BFF1007" wp14:editId="3316BE40">
            <wp:extent cx="5471258" cy="709200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471258" cy="7092000"/>
                    </a:xfrm>
                    <a:prstGeom prst="rect">
                      <a:avLst/>
                    </a:prstGeom>
                    <a:noFill/>
                  </pic:spPr>
                </pic:pic>
              </a:graphicData>
            </a:graphic>
          </wp:inline>
        </w:drawing>
      </w:r>
    </w:p>
    <w:p w14:paraId="48CD0D1A" w14:textId="77777777" w:rsidR="00820D82" w:rsidRDefault="00820D82" w:rsidP="00820D82">
      <w:pPr>
        <w:spacing w:after="120" w:line="240" w:lineRule="auto"/>
        <w:jc w:val="left"/>
        <w:rPr>
          <w:bCs/>
          <w:sz w:val="20"/>
        </w:rPr>
      </w:pPr>
      <w:r w:rsidRPr="00464C58">
        <w:rPr>
          <w:b/>
          <w:sz w:val="20"/>
        </w:rPr>
        <w:t>F</w:t>
      </w:r>
      <w:r w:rsidRPr="002D6FAA">
        <w:rPr>
          <w:b/>
          <w:sz w:val="20"/>
        </w:rPr>
        <w:t>igure 10.3</w:t>
      </w:r>
      <w:r w:rsidRPr="002D6FAA">
        <w:rPr>
          <w:bCs/>
          <w:sz w:val="20"/>
        </w:rPr>
        <w:t xml:space="preserve"> Plots of discharge, average daily water temperature, oxygen production (GPP), consumption (ER), net production (NPP) and production: consumption ratio (GPP / ER) over both sites in 2019-20. Potential </w:t>
      </w:r>
      <w:r w:rsidRPr="002D6FAA">
        <w:rPr>
          <w:rStyle w:val="CommentReference"/>
          <w:sz w:val="20"/>
          <w:szCs w:val="20"/>
        </w:rPr>
        <w:t>for</w:t>
      </w:r>
      <w:r w:rsidRPr="002D6FAA">
        <w:rPr>
          <w:bCs/>
          <w:sz w:val="20"/>
        </w:rPr>
        <w:t xml:space="preserve"> high flow events </w:t>
      </w:r>
      <w:r>
        <w:rPr>
          <w:bCs/>
          <w:sz w:val="20"/>
        </w:rPr>
        <w:t>that may connect</w:t>
      </w:r>
      <w:r w:rsidRPr="002D6FAA">
        <w:rPr>
          <w:bCs/>
          <w:sz w:val="20"/>
        </w:rPr>
        <w:t xml:space="preserve"> Werai Forest, flows </w:t>
      </w:r>
      <w:r>
        <w:rPr>
          <w:bCs/>
          <w:sz w:val="20"/>
        </w:rPr>
        <w:t>&gt;2700 ML</w:t>
      </w:r>
      <w:r w:rsidRPr="002D6FAA">
        <w:rPr>
          <w:bCs/>
          <w:sz w:val="20"/>
        </w:rPr>
        <w:t xml:space="preserve">/day downstream of Steven’s Weir (13/9/19 - 22/10/19 and 16/5/20 - 20/5/19), are indicated by shaded bars. Shaded bars for site downstream of Werai Forest are indicated from downstream </w:t>
      </w:r>
      <w:r>
        <w:rPr>
          <w:bCs/>
          <w:sz w:val="20"/>
        </w:rPr>
        <w:t>Steven’s Weir gauge data</w:t>
      </w:r>
      <w:r w:rsidRPr="002D6FAA">
        <w:rPr>
          <w:bCs/>
          <w:sz w:val="20"/>
        </w:rPr>
        <w:t>. Discharge for the site downstream of Werai Forest is estimated from Moulamein gauge data.</w:t>
      </w:r>
    </w:p>
    <w:p w14:paraId="7D7C7A3B" w14:textId="77777777" w:rsidR="00820D82" w:rsidRDefault="00820D82" w:rsidP="00820D82">
      <w:pPr>
        <w:spacing w:after="120" w:line="259" w:lineRule="auto"/>
        <w:jc w:val="left"/>
        <w:rPr>
          <w:bCs/>
          <w:szCs w:val="22"/>
        </w:rPr>
      </w:pPr>
    </w:p>
    <w:p w14:paraId="2B6A16D5" w14:textId="77777777" w:rsidR="00820D82" w:rsidRDefault="00820D82" w:rsidP="00820D82">
      <w:pPr>
        <w:spacing w:after="120" w:line="259" w:lineRule="auto"/>
        <w:jc w:val="left"/>
        <w:rPr>
          <w:bCs/>
          <w:szCs w:val="22"/>
        </w:rPr>
      </w:pPr>
      <w:r>
        <w:rPr>
          <w:bCs/>
          <w:szCs w:val="22"/>
        </w:rPr>
        <w:t>When converted to units of C produced and consumed per day, the main patterns observable were again a seasonal decrease in GPP from summer to winter and the greater number of high GPP and ER events downstream of Steven’s Weir (Figure 10.4). Again, however, the lack of useable data constrains the conclusions that are able to be made around responses in GPP and ER to potential overbank flow events.</w:t>
      </w:r>
    </w:p>
    <w:p w14:paraId="1FFAA45A" w14:textId="77777777" w:rsidR="00820D82" w:rsidRPr="00006656" w:rsidRDefault="00820D82" w:rsidP="00820D82">
      <w:pPr>
        <w:spacing w:after="120" w:line="259" w:lineRule="auto"/>
        <w:jc w:val="left"/>
        <w:rPr>
          <w:bCs/>
          <w:szCs w:val="22"/>
        </w:rPr>
      </w:pPr>
    </w:p>
    <w:p w14:paraId="6D7FC24C" w14:textId="77777777" w:rsidR="00820D82" w:rsidRDefault="00820D82" w:rsidP="00820D82">
      <w:pPr>
        <w:spacing w:after="120" w:line="259" w:lineRule="auto"/>
        <w:jc w:val="center"/>
        <w:rPr>
          <w:bCs/>
          <w:szCs w:val="22"/>
        </w:rPr>
      </w:pPr>
      <w:r>
        <w:rPr>
          <w:bCs/>
          <w:noProof/>
          <w:szCs w:val="22"/>
          <w:lang w:eastAsia="en-AU"/>
        </w:rPr>
        <w:drawing>
          <wp:inline distT="0" distB="0" distL="0" distR="0" wp14:anchorId="0A8D71B3" wp14:editId="6F4F8856">
            <wp:extent cx="5724000" cy="5332079"/>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724000" cy="5332079"/>
                    </a:xfrm>
                    <a:prstGeom prst="rect">
                      <a:avLst/>
                    </a:prstGeom>
                    <a:noFill/>
                  </pic:spPr>
                </pic:pic>
              </a:graphicData>
            </a:graphic>
          </wp:inline>
        </w:drawing>
      </w:r>
    </w:p>
    <w:p w14:paraId="594DC0E3" w14:textId="77777777" w:rsidR="00820D82" w:rsidRDefault="00820D82" w:rsidP="00820D82">
      <w:pPr>
        <w:spacing w:after="120" w:line="259" w:lineRule="auto"/>
        <w:jc w:val="left"/>
        <w:rPr>
          <w:bCs/>
          <w:sz w:val="20"/>
        </w:rPr>
      </w:pPr>
      <w:r>
        <w:rPr>
          <w:b/>
          <w:sz w:val="20"/>
        </w:rPr>
        <w:t xml:space="preserve">Figure 10.4 </w:t>
      </w:r>
      <w:r>
        <w:rPr>
          <w:bCs/>
          <w:sz w:val="20"/>
        </w:rPr>
        <w:t>Plots of discharge, average daily water temperature, total daily production of C</w:t>
      </w:r>
      <w:r w:rsidRPr="00364C09">
        <w:rPr>
          <w:bCs/>
          <w:sz w:val="20"/>
        </w:rPr>
        <w:t xml:space="preserve"> (GPP), and </w:t>
      </w:r>
      <w:r>
        <w:rPr>
          <w:bCs/>
          <w:sz w:val="20"/>
        </w:rPr>
        <w:t>total daily consumption of C</w:t>
      </w:r>
      <w:r w:rsidRPr="00364C09">
        <w:rPr>
          <w:bCs/>
          <w:sz w:val="20"/>
        </w:rPr>
        <w:t xml:space="preserve"> (ER) over </w:t>
      </w:r>
      <w:r>
        <w:rPr>
          <w:bCs/>
          <w:sz w:val="20"/>
        </w:rPr>
        <w:t>both</w:t>
      </w:r>
      <w:r w:rsidRPr="00364C09">
        <w:rPr>
          <w:bCs/>
          <w:sz w:val="20"/>
        </w:rPr>
        <w:t xml:space="preserve"> sites in 2019-20. </w:t>
      </w:r>
      <w:r>
        <w:rPr>
          <w:bCs/>
          <w:sz w:val="20"/>
        </w:rPr>
        <w:t>Note that both GPP and ET are plotted on logarithmic scales so that variation around the flow pulse in June/July 2020 can be visualised. Potential high flow events for Werai Forest, as indicated by flows &gt;2700 ML/day downstream of Steven’s Weir</w:t>
      </w:r>
      <w:r w:rsidRPr="00364C09">
        <w:rPr>
          <w:bCs/>
          <w:sz w:val="20"/>
        </w:rPr>
        <w:t xml:space="preserve"> (1</w:t>
      </w:r>
      <w:r>
        <w:rPr>
          <w:bCs/>
          <w:sz w:val="20"/>
        </w:rPr>
        <w:t>3</w:t>
      </w:r>
      <w:r w:rsidRPr="00364C09">
        <w:rPr>
          <w:bCs/>
          <w:sz w:val="20"/>
        </w:rPr>
        <w:t>/</w:t>
      </w:r>
      <w:r>
        <w:rPr>
          <w:bCs/>
          <w:sz w:val="20"/>
        </w:rPr>
        <w:t>9</w:t>
      </w:r>
      <w:r w:rsidRPr="00364C09">
        <w:rPr>
          <w:bCs/>
          <w:sz w:val="20"/>
        </w:rPr>
        <w:t xml:space="preserve">/19 - </w:t>
      </w:r>
      <w:r>
        <w:rPr>
          <w:bCs/>
          <w:sz w:val="20"/>
        </w:rPr>
        <w:t>22</w:t>
      </w:r>
      <w:r w:rsidRPr="00364C09">
        <w:rPr>
          <w:bCs/>
          <w:sz w:val="20"/>
        </w:rPr>
        <w:t>/</w:t>
      </w:r>
      <w:r>
        <w:rPr>
          <w:bCs/>
          <w:sz w:val="20"/>
        </w:rPr>
        <w:t>10</w:t>
      </w:r>
      <w:r w:rsidRPr="00364C09">
        <w:rPr>
          <w:bCs/>
          <w:sz w:val="20"/>
        </w:rPr>
        <w:t xml:space="preserve">/19 and </w:t>
      </w:r>
      <w:r>
        <w:rPr>
          <w:bCs/>
          <w:sz w:val="20"/>
        </w:rPr>
        <w:t>16</w:t>
      </w:r>
      <w:r w:rsidRPr="00364C09">
        <w:rPr>
          <w:bCs/>
          <w:sz w:val="20"/>
        </w:rPr>
        <w:t>/</w:t>
      </w:r>
      <w:r>
        <w:rPr>
          <w:bCs/>
          <w:sz w:val="20"/>
        </w:rPr>
        <w:t>5</w:t>
      </w:r>
      <w:r w:rsidRPr="00364C09">
        <w:rPr>
          <w:bCs/>
          <w:sz w:val="20"/>
        </w:rPr>
        <w:t>/</w:t>
      </w:r>
      <w:r>
        <w:rPr>
          <w:bCs/>
          <w:sz w:val="20"/>
        </w:rPr>
        <w:t>20</w:t>
      </w:r>
      <w:r w:rsidRPr="00364C09">
        <w:rPr>
          <w:bCs/>
          <w:sz w:val="20"/>
        </w:rPr>
        <w:t xml:space="preserve"> - 2</w:t>
      </w:r>
      <w:r>
        <w:rPr>
          <w:bCs/>
          <w:sz w:val="20"/>
        </w:rPr>
        <w:t>0</w:t>
      </w:r>
      <w:r w:rsidRPr="00364C09">
        <w:rPr>
          <w:bCs/>
          <w:sz w:val="20"/>
        </w:rPr>
        <w:t>/</w:t>
      </w:r>
      <w:r>
        <w:rPr>
          <w:bCs/>
          <w:sz w:val="20"/>
        </w:rPr>
        <w:t>5</w:t>
      </w:r>
      <w:r w:rsidRPr="00364C09">
        <w:rPr>
          <w:bCs/>
          <w:sz w:val="20"/>
        </w:rPr>
        <w:t>/19)</w:t>
      </w:r>
      <w:r>
        <w:rPr>
          <w:bCs/>
          <w:sz w:val="20"/>
        </w:rPr>
        <w:t>,</w:t>
      </w:r>
      <w:r w:rsidRPr="00364C09">
        <w:rPr>
          <w:bCs/>
          <w:sz w:val="20"/>
        </w:rPr>
        <w:t xml:space="preserve"> are indicated by shaded bars.</w:t>
      </w:r>
      <w:r>
        <w:rPr>
          <w:bCs/>
          <w:sz w:val="20"/>
        </w:rPr>
        <w:t xml:space="preserve"> Shaded bars for site downstream of Werai Forest are indicated from downstream Steven’s Weir gauge data. Discharge for the site downstream of Werai Forest is estimated from Moulamein gauge data.</w:t>
      </w:r>
    </w:p>
    <w:p w14:paraId="16EDB83B" w14:textId="77777777" w:rsidR="00820D82" w:rsidRDefault="00820D82" w:rsidP="00820D82">
      <w:pPr>
        <w:spacing w:after="120" w:line="259" w:lineRule="auto"/>
        <w:jc w:val="left"/>
        <w:rPr>
          <w:bCs/>
          <w:szCs w:val="22"/>
        </w:rPr>
      </w:pPr>
    </w:p>
    <w:p w14:paraId="38C17B43" w14:textId="77777777" w:rsidR="00820D82" w:rsidRDefault="00820D82" w:rsidP="00820D82">
      <w:pPr>
        <w:spacing w:after="160" w:line="259" w:lineRule="auto"/>
        <w:jc w:val="left"/>
        <w:rPr>
          <w:bCs/>
          <w:szCs w:val="22"/>
        </w:rPr>
      </w:pPr>
      <w:r>
        <w:rPr>
          <w:bCs/>
          <w:szCs w:val="22"/>
        </w:rPr>
        <w:br w:type="page"/>
      </w:r>
    </w:p>
    <w:p w14:paraId="71A28C48" w14:textId="77777777" w:rsidR="00820D82" w:rsidRDefault="00820D82" w:rsidP="00820D82">
      <w:pPr>
        <w:spacing w:after="120" w:line="259" w:lineRule="auto"/>
        <w:jc w:val="left"/>
        <w:rPr>
          <w:bCs/>
          <w:szCs w:val="22"/>
        </w:rPr>
      </w:pPr>
      <w:r>
        <w:rPr>
          <w:bCs/>
          <w:szCs w:val="22"/>
        </w:rPr>
        <w:t xml:space="preserve">There was also little correlation between other potential indicators of inundation within Werai Forest (% inundation, daily rainfall) and any visible changes in GPP or ER rates (Figure 10.5). An approximately 10% drop in the estimated inundation percentage of Werai Forest between July and August 2019 may have led to a reduction in both </w:t>
      </w:r>
      <w:r w:rsidRPr="00DF7ABB">
        <w:rPr>
          <w:bCs/>
          <w:szCs w:val="22"/>
        </w:rPr>
        <w:t xml:space="preserve">total daily production </w:t>
      </w:r>
      <w:r>
        <w:rPr>
          <w:bCs/>
          <w:szCs w:val="22"/>
        </w:rPr>
        <w:t xml:space="preserve">and consumption </w:t>
      </w:r>
      <w:r w:rsidRPr="00DF7ABB">
        <w:rPr>
          <w:bCs/>
          <w:szCs w:val="22"/>
        </w:rPr>
        <w:t>of C</w:t>
      </w:r>
      <w:r>
        <w:rPr>
          <w:bCs/>
          <w:szCs w:val="22"/>
        </w:rPr>
        <w:t xml:space="preserve"> (Figure 10.5). However, there was no corresponding change in GPP/ER ratios, and changes in GPP and ER rates may thus largely correlate with variation in in-channel discharge.</w:t>
      </w:r>
    </w:p>
    <w:p w14:paraId="03ECA949" w14:textId="77777777" w:rsidR="00820D82" w:rsidRDefault="00820D82" w:rsidP="00820D82">
      <w:pPr>
        <w:spacing w:after="0" w:line="240" w:lineRule="auto"/>
        <w:jc w:val="center"/>
        <w:rPr>
          <w:bCs/>
          <w:szCs w:val="22"/>
        </w:rPr>
      </w:pPr>
      <w:r>
        <w:rPr>
          <w:bCs/>
          <w:noProof/>
          <w:szCs w:val="22"/>
          <w:lang w:eastAsia="en-AU"/>
        </w:rPr>
        <w:drawing>
          <wp:inline distT="0" distB="0" distL="0" distR="0" wp14:anchorId="592E40CE" wp14:editId="5671CD8E">
            <wp:extent cx="3667539" cy="6408000"/>
            <wp:effectExtent l="0" t="0" r="952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667539" cy="6408000"/>
                    </a:xfrm>
                    <a:prstGeom prst="rect">
                      <a:avLst/>
                    </a:prstGeom>
                    <a:noFill/>
                  </pic:spPr>
                </pic:pic>
              </a:graphicData>
            </a:graphic>
          </wp:inline>
        </w:drawing>
      </w:r>
    </w:p>
    <w:p w14:paraId="29270434" w14:textId="77777777" w:rsidR="00820D82" w:rsidRPr="002D6FAA" w:rsidRDefault="00820D82" w:rsidP="00820D82">
      <w:pPr>
        <w:spacing w:after="120" w:line="240" w:lineRule="auto"/>
        <w:jc w:val="left"/>
        <w:rPr>
          <w:bCs/>
          <w:sz w:val="20"/>
        </w:rPr>
      </w:pPr>
      <w:r w:rsidRPr="002D6FAA">
        <w:rPr>
          <w:b/>
          <w:sz w:val="20"/>
        </w:rPr>
        <w:t xml:space="preserve">Figure 10.5 </w:t>
      </w:r>
      <w:r w:rsidRPr="002D6FAA">
        <w:rPr>
          <w:bCs/>
          <w:sz w:val="20"/>
        </w:rPr>
        <w:t xml:space="preserve">Plots of discharge downstream of Steven’s Weir for 2019-20, percentage of Werai Forest estimated to be inundated (open water or wet vegetation) at various points throughout 2019, daily cumulative rainfall recorded by the Wakool (Calimo) weather station for 2019-20, total daily production of C (GPP), total daily consumption of C (ER), and GPP/ER ratios for the site downstream of Werai Forest in 2019-20. Dashed </w:t>
      </w:r>
      <w:r>
        <w:rPr>
          <w:bCs/>
          <w:sz w:val="20"/>
        </w:rPr>
        <w:t xml:space="preserve">vertical </w:t>
      </w:r>
      <w:r w:rsidRPr="002D6FAA">
        <w:rPr>
          <w:bCs/>
          <w:sz w:val="20"/>
        </w:rPr>
        <w:t xml:space="preserve">line </w:t>
      </w:r>
      <w:r>
        <w:rPr>
          <w:bCs/>
          <w:sz w:val="20"/>
        </w:rPr>
        <w:t xml:space="preserve">on the % inundation figure </w:t>
      </w:r>
      <w:r w:rsidRPr="002D6FAA">
        <w:rPr>
          <w:bCs/>
          <w:sz w:val="20"/>
        </w:rPr>
        <w:t>indicates limits of Werai Forest inundation data. Potential overbank flow events for Werai Forest, as indicated by high flows downstream of Steven’s Weir (13/9/19 - 22/10/19 and 16/5/20 - 20/5/19), are indicated by shaded bars.</w:t>
      </w:r>
    </w:p>
    <w:p w14:paraId="58D8F896" w14:textId="77777777" w:rsidR="00820D82" w:rsidRDefault="00820D82" w:rsidP="00820D82">
      <w:pPr>
        <w:spacing w:after="120" w:line="259" w:lineRule="auto"/>
        <w:jc w:val="left"/>
        <w:rPr>
          <w:b/>
          <w:color w:val="31849B"/>
          <w:sz w:val="28"/>
          <w:szCs w:val="28"/>
        </w:rPr>
      </w:pPr>
      <w:r>
        <w:rPr>
          <w:b/>
          <w:color w:val="31849B"/>
          <w:sz w:val="28"/>
          <w:szCs w:val="28"/>
        </w:rPr>
        <w:t>10.5</w:t>
      </w:r>
      <w:r w:rsidRPr="008A17DC">
        <w:rPr>
          <w:b/>
          <w:color w:val="31849B"/>
          <w:sz w:val="28"/>
          <w:szCs w:val="28"/>
        </w:rPr>
        <w:t xml:space="preserve"> </w:t>
      </w:r>
      <w:r>
        <w:rPr>
          <w:b/>
          <w:color w:val="31849B"/>
          <w:sz w:val="28"/>
          <w:szCs w:val="28"/>
        </w:rPr>
        <w:t>Discussion</w:t>
      </w:r>
    </w:p>
    <w:p w14:paraId="16C56717" w14:textId="53B53E95" w:rsidR="00820D82" w:rsidRDefault="00820D82" w:rsidP="00820D82">
      <w:pPr>
        <w:spacing w:after="120" w:line="259" w:lineRule="auto"/>
        <w:jc w:val="left"/>
        <w:rPr>
          <w:bCs/>
          <w:szCs w:val="22"/>
        </w:rPr>
      </w:pPr>
      <w:r w:rsidRPr="00814787">
        <w:rPr>
          <w:bCs/>
          <w:szCs w:val="22"/>
        </w:rPr>
        <w:t xml:space="preserve">Ultimately, there was not enough </w:t>
      </w:r>
      <w:r>
        <w:rPr>
          <w:bCs/>
          <w:szCs w:val="22"/>
        </w:rPr>
        <w:t>useable</w:t>
      </w:r>
      <w:r w:rsidRPr="00814787">
        <w:rPr>
          <w:bCs/>
          <w:szCs w:val="22"/>
        </w:rPr>
        <w:t xml:space="preserve"> data in 2019-20 </w:t>
      </w:r>
      <w:r>
        <w:rPr>
          <w:bCs/>
          <w:szCs w:val="22"/>
        </w:rPr>
        <w:t>to answer the research question – how does variation in the flow regime do</w:t>
      </w:r>
      <w:r w:rsidR="00C373D5">
        <w:rPr>
          <w:bCs/>
          <w:szCs w:val="22"/>
        </w:rPr>
        <w:t>wnstream of Steven’s Weir drive</w:t>
      </w:r>
      <w:r>
        <w:rPr>
          <w:bCs/>
          <w:szCs w:val="22"/>
        </w:rPr>
        <w:t xml:space="preserve"> changes in rates of GPP, ER and NEP </w:t>
      </w:r>
      <w:r w:rsidRPr="007F563D">
        <w:rPr>
          <w:rFonts w:eastAsiaTheme="minorHAnsi" w:cs="Calibri"/>
          <w:color w:val="000000"/>
          <w:szCs w:val="22"/>
        </w:rPr>
        <w:t>(net ecosystem producti</w:t>
      </w:r>
      <w:r>
        <w:rPr>
          <w:rFonts w:eastAsiaTheme="minorHAnsi" w:cs="Calibri"/>
          <w:color w:val="000000"/>
          <w:szCs w:val="22"/>
        </w:rPr>
        <w:t>on</w:t>
      </w:r>
      <w:r w:rsidRPr="007F563D">
        <w:rPr>
          <w:rFonts w:eastAsiaTheme="minorHAnsi" w:cs="Calibri"/>
          <w:color w:val="000000"/>
          <w:szCs w:val="22"/>
        </w:rPr>
        <w:t xml:space="preserve">; GPP – ER) in the </w:t>
      </w:r>
      <w:r>
        <w:t xml:space="preserve">Edward/Kolety </w:t>
      </w:r>
      <w:r w:rsidRPr="007F563D">
        <w:rPr>
          <w:rFonts w:eastAsiaTheme="minorHAnsi" w:cs="Calibri"/>
          <w:color w:val="000000"/>
          <w:szCs w:val="22"/>
        </w:rPr>
        <w:t>River</w:t>
      </w:r>
      <w:r>
        <w:rPr>
          <w:bCs/>
          <w:szCs w:val="22"/>
        </w:rPr>
        <w:t xml:space="preserve">. As with the regularly monitored sites (Section 6), the clearest pattern in rates of GPP and ER was a seasonal trend. The reduction in rates of GPP from summer into winter 2020, and greater reduction in GPP relative to ER, indicates that the higher discharge in the </w:t>
      </w:r>
      <w:r>
        <w:t xml:space="preserve">Edward/Kolety </w:t>
      </w:r>
      <w:r>
        <w:rPr>
          <w:bCs/>
          <w:szCs w:val="22"/>
        </w:rPr>
        <w:t>River relative to the regularly monitored Edward/Kolety-Wakool sites does not alter (i) the primary drivers of GPP and ER (i.e., light and temperature) or (ii) where these processes occur (i.e., biofilms on the riverbed and hard substrates within the river). However, much of this trend occurred during a period of declining or lower overall discharge and can therefore not be assessed in the context of variation driven by high-flow events.</w:t>
      </w:r>
    </w:p>
    <w:p w14:paraId="2E10939B" w14:textId="77777777" w:rsidR="00820D82" w:rsidRDefault="00820D82" w:rsidP="00820D82">
      <w:pPr>
        <w:spacing w:after="120" w:line="259" w:lineRule="auto"/>
        <w:jc w:val="left"/>
        <w:rPr>
          <w:bCs/>
          <w:szCs w:val="22"/>
        </w:rPr>
      </w:pPr>
      <w:r>
        <w:rPr>
          <w:bCs/>
          <w:szCs w:val="22"/>
        </w:rPr>
        <w:t xml:space="preserve">Examination of Sentinel satellite imagery (Fig. 10.2) suggests that low-lying areas prone to inundation are more likely to occur in the centre of Werai Forest than immediately adjacent to the </w:t>
      </w:r>
      <w:r>
        <w:t xml:space="preserve">Edward/Kolety </w:t>
      </w:r>
      <w:r>
        <w:rPr>
          <w:bCs/>
          <w:szCs w:val="22"/>
        </w:rPr>
        <w:t xml:space="preserve">River channel. Rather than increasing the area of inundated benches and floodplains along the </w:t>
      </w:r>
      <w:r>
        <w:t>Edward/Kolety River</w:t>
      </w:r>
      <w:r>
        <w:rPr>
          <w:bCs/>
          <w:szCs w:val="22"/>
        </w:rPr>
        <w:t xml:space="preserve">, high-flow events that inundate the forest and result in return flows to the Edward/Kolety River may therefore have had the greatest impact on the relative source proportions and quality of water contributing to discharge downstream of Werai Forest. Inundated floodplain wetlands within Werai Forest are likely to act as a strong “sink” for nutrients (i.e., they are retained within the system and either incorporated into organism biomass or sedimented, rather than exported downstream). In particular, reactive phosphorus is the nutrient most likely to limit GPP in the Edward/Kolety-Wakool systems (Watts et al. 2019) and is likely to be strongly retained in floodplain ecosystems. Slow-flowing floodplain wetlands may also retain large quantities of both terrestrial and aquatic carbon which might otherwise support in-channel respiration. The main effect of high-flow events on the productivity regime of the </w:t>
      </w:r>
      <w:r>
        <w:t xml:space="preserve">Edward/Kolety </w:t>
      </w:r>
      <w:r>
        <w:rPr>
          <w:bCs/>
          <w:szCs w:val="22"/>
        </w:rPr>
        <w:t xml:space="preserve">River may thus be higher proportions of discharge derived from nutrient and carbon-depleted Werai Forest outflows, which then contributes to lower rates of GPP and ER. Retention of nutrients and carbon within Werai Forest may therefore also lead to a lower frequency of pulsed events (i.e., days with very high GPP and/or ER) within the </w:t>
      </w:r>
      <w:r>
        <w:t xml:space="preserve">Edward/Kolety </w:t>
      </w:r>
      <w:r>
        <w:rPr>
          <w:bCs/>
          <w:szCs w:val="22"/>
        </w:rPr>
        <w:t>River downstream of the forest.</w:t>
      </w:r>
    </w:p>
    <w:p w14:paraId="4CFB6844" w14:textId="011EA93B" w:rsidR="00820D82" w:rsidRDefault="00820D82" w:rsidP="00820D82">
      <w:pPr>
        <w:spacing w:after="120" w:line="259" w:lineRule="auto"/>
        <w:jc w:val="left"/>
        <w:rPr>
          <w:bCs/>
          <w:szCs w:val="22"/>
        </w:rPr>
      </w:pPr>
      <w:r>
        <w:rPr>
          <w:bCs/>
          <w:szCs w:val="22"/>
        </w:rPr>
        <w:t xml:space="preserve">Much of the carbon cycled during </w:t>
      </w:r>
      <w:r w:rsidR="004136F8">
        <w:rPr>
          <w:bCs/>
          <w:szCs w:val="22"/>
        </w:rPr>
        <w:t>inundation</w:t>
      </w:r>
      <w:r>
        <w:rPr>
          <w:bCs/>
          <w:szCs w:val="22"/>
        </w:rPr>
        <w:t xml:space="preserve"> events can be both produced and consumed within shallow, slow-flowing anabranches and inundated floodplains. This carbon cycling might therefore not be reflected in oxygen cycles within main channels, particularly where the loggers (as here) are not located within reaches of the channel which are directly connected or adjacent to floodplains. Effects of floodplain inundation on main-channel GPP and ER are also likely to be highly pulsed, particularly with transport of terrestrial carbon, sediment and nutrients into river channels during the initial flooding front. Quantifying rates of GPP and ER within inundated floodplains presents challenges due to the unpredictable and pulsed nature of overbank flow events, difficulties with site selection and access, and methodological issues of monitoring metabolism in shallow, slow-flowing aquatic habitats. Yet a more comprehensive understanding of how </w:t>
      </w:r>
      <w:r w:rsidR="004136F8">
        <w:rPr>
          <w:bCs/>
          <w:szCs w:val="22"/>
        </w:rPr>
        <w:t>inundation</w:t>
      </w:r>
      <w:r>
        <w:rPr>
          <w:bCs/>
          <w:szCs w:val="22"/>
        </w:rPr>
        <w:t xml:space="preserve"> events </w:t>
      </w:r>
      <w:r w:rsidR="004136F8">
        <w:rPr>
          <w:bCs/>
          <w:szCs w:val="22"/>
        </w:rPr>
        <w:t xml:space="preserve">in Werai Forest </w:t>
      </w:r>
      <w:r>
        <w:rPr>
          <w:bCs/>
          <w:szCs w:val="22"/>
        </w:rPr>
        <w:t xml:space="preserve">influences whole-river metabolism will likely necessitate monitoring of several floodplain sites within </w:t>
      </w:r>
      <w:r w:rsidR="004136F8">
        <w:rPr>
          <w:bCs/>
          <w:szCs w:val="22"/>
        </w:rPr>
        <w:t>the forest</w:t>
      </w:r>
      <w:r>
        <w:rPr>
          <w:bCs/>
          <w:szCs w:val="22"/>
        </w:rPr>
        <w:t xml:space="preserve"> itself. In turn, related productivity outcomes of high flows (e.g., increased food supply for higher-order consumers) might also be concentrated within the floodplain wetlands of Werai Forest. Expansion of the metabolism research project into these sites could greatly increase our understanding of the benefits to productivity from anabranch and connection flows.</w:t>
      </w:r>
    </w:p>
    <w:p w14:paraId="63DBD311" w14:textId="77777777" w:rsidR="00820D82" w:rsidRDefault="00820D82" w:rsidP="00820D82">
      <w:pPr>
        <w:spacing w:after="120" w:line="259" w:lineRule="auto"/>
        <w:jc w:val="left"/>
      </w:pPr>
      <w:r>
        <w:t>Unlike for sites on Yallakool Creek, the Wakool River, and Colligen-Niemur River (Section 6), we did not convert volumetric rates of GPP and ER (mg O</w:t>
      </w:r>
      <w:r w:rsidRPr="00747137">
        <w:rPr>
          <w:vertAlign w:val="subscript"/>
        </w:rPr>
        <w:t>2</w:t>
      </w:r>
      <w:r>
        <w:t>/L/day) to areal rates (g O</w:t>
      </w:r>
      <w:r w:rsidRPr="00FF4450">
        <w:rPr>
          <w:vertAlign w:val="subscript"/>
        </w:rPr>
        <w:t>2</w:t>
      </w:r>
      <w:r>
        <w:t>/m</w:t>
      </w:r>
      <w:r w:rsidRPr="00F13D64">
        <w:rPr>
          <w:vertAlign w:val="superscript"/>
        </w:rPr>
        <w:t>2</w:t>
      </w:r>
      <w:r>
        <w:t>/day) by multiplication with average depth. Discharge was similar between the two sites monitored here and areal rates are thus likely to follow the same patterns as the volumetric rates presented. However, hydrological modelling of both the Edward/Kolety River channel and the extent of inundation within Werai Forest is likely to prove valuable in future comparisons of GPP and ER between these two hydrologically-disparate environments; characterising areal rates may allow estimates of total production to be modelled over the total area of inundation if floodplain metabolism proves difficult to measure directly (see above).</w:t>
      </w:r>
    </w:p>
    <w:p w14:paraId="587F603E" w14:textId="7930762E" w:rsidR="00820D82" w:rsidRPr="00054B18" w:rsidRDefault="00820D82" w:rsidP="00820D82">
      <w:pPr>
        <w:spacing w:after="120" w:line="259" w:lineRule="auto"/>
        <w:jc w:val="left"/>
      </w:pPr>
      <w:r>
        <w:t xml:space="preserve">We recommend that a campaign/intervention monitoring type of study be undertaken during a </w:t>
      </w:r>
      <w:r w:rsidR="004136F8">
        <w:t xml:space="preserve">flow event </w:t>
      </w:r>
      <w:r>
        <w:t>&gt;2700 M</w:t>
      </w:r>
      <w:r w:rsidR="004136F8">
        <w:t>L/day</w:t>
      </w:r>
      <w:r>
        <w:t xml:space="preserve"> that inundates low lying part</w:t>
      </w:r>
      <w:r w:rsidR="004136F8">
        <w:t>s</w:t>
      </w:r>
      <w:r>
        <w:t xml:space="preserve"> of Werai forest and is likely to return flows to either Colligen Creek or the Edward/Kolety River. The evaluation of primary productivity associated with the event would be enhanced by the installation of temporary gauges to collect data on the inflows to the forest. Analysis of Sentinel images would also quantify extent of inundation within Werai Forest.</w:t>
      </w:r>
    </w:p>
    <w:p w14:paraId="7C86E92F" w14:textId="6E32EA23" w:rsidR="00B96BA2" w:rsidRPr="00B96BA2" w:rsidRDefault="00B96BA2" w:rsidP="00B96BA2"/>
    <w:p w14:paraId="1ED9FC01" w14:textId="77777777" w:rsidR="00F3588E" w:rsidRDefault="00F3588E">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061E8DF9" w14:textId="50FD4201" w:rsidR="0020768B" w:rsidRPr="007A6D68" w:rsidRDefault="00B96BA2" w:rsidP="00836CDD">
      <w:pPr>
        <w:pStyle w:val="Heading1"/>
      </w:pPr>
      <w:bookmarkStart w:id="201" w:name="_Toc69846023"/>
      <w:r>
        <w:t>11</w:t>
      </w:r>
      <w:r>
        <w:tab/>
      </w:r>
      <w:bookmarkStart w:id="202" w:name="_Hlk66700919"/>
      <w:r w:rsidR="0020768B" w:rsidRPr="007A6D68">
        <w:t>Edward/Kolety River fish spawning research</w:t>
      </w:r>
      <w:bookmarkEnd w:id="201"/>
      <w:bookmarkEnd w:id="202"/>
    </w:p>
    <w:p w14:paraId="76BB5BD0" w14:textId="77777777" w:rsidR="0020768B" w:rsidRDefault="0020768B" w:rsidP="0020768B">
      <w:r>
        <w:t>Authors: Nicole McCasker, Robyn Watts, Dan Hutton, Troy Bright, Anthony Jones, John Trethewie</w:t>
      </w:r>
    </w:p>
    <w:p w14:paraId="792EDF88" w14:textId="77777777" w:rsidR="0020768B" w:rsidRPr="0020768B" w:rsidRDefault="0020768B" w:rsidP="0020768B">
      <w:pPr>
        <w:rPr>
          <w:b/>
          <w:color w:val="31849B" w:themeColor="accent5" w:themeShade="BF"/>
          <w:sz w:val="28"/>
          <w:szCs w:val="28"/>
        </w:rPr>
      </w:pPr>
      <w:r w:rsidRPr="0020768B">
        <w:rPr>
          <w:b/>
          <w:color w:val="31849B" w:themeColor="accent5" w:themeShade="BF"/>
          <w:sz w:val="28"/>
          <w:szCs w:val="28"/>
        </w:rPr>
        <w:t>11.1</w:t>
      </w:r>
      <w:r w:rsidRPr="0020768B">
        <w:rPr>
          <w:b/>
          <w:color w:val="31849B" w:themeColor="accent5" w:themeShade="BF"/>
          <w:sz w:val="28"/>
          <w:szCs w:val="28"/>
        </w:rPr>
        <w:tab/>
        <w:t>Background</w:t>
      </w:r>
    </w:p>
    <w:p w14:paraId="16424F8E" w14:textId="0EE12EBD" w:rsidR="0020768B" w:rsidRDefault="0020768B" w:rsidP="0020768B">
      <w:pPr>
        <w:spacing w:after="120" w:line="259" w:lineRule="auto"/>
        <w:jc w:val="left"/>
        <w:rPr>
          <w:rFonts w:cstheme="minorHAnsi"/>
        </w:rPr>
      </w:pPr>
      <w:r>
        <w:rPr>
          <w:rFonts w:cstheme="minorHAnsi"/>
        </w:rPr>
        <w:t>Fish reproduction has been a core component of the ongoing monitoring of Commonwealth Environmental Water in the Edward/Kolety-Wakool Selected Area. Throughout the LTIM project (2014-2019) one noticeable observation was the lack of golden perch spawning in the upper and Mid- Wakool River and Yallakool Creek. A small number of silver perch larvae were collected in Yallakool Creek in late spring/early summer 2017 (Watts et al. 2018) and again at several sites in Yallakool Creek and the Wakool River in late spring early summer 2018 (Watts et al. 2019) suggesting spawning in Yallakool Creek and the Wakool River is limited</w:t>
      </w:r>
      <w:r w:rsidR="00374015">
        <w:rPr>
          <w:rFonts w:cstheme="minorHAnsi"/>
        </w:rPr>
        <w:t>. For silver perch, spawning is likely to be dependent on the delivery of pulses in early summer once water temperatures reach around 23-25 degrees C</w:t>
      </w:r>
      <w:r>
        <w:rPr>
          <w:rFonts w:cstheme="minorHAnsi"/>
        </w:rPr>
        <w:t>.</w:t>
      </w:r>
      <w:r w:rsidR="00374015">
        <w:rPr>
          <w:rFonts w:cstheme="minorHAnsi"/>
        </w:rPr>
        <w:t xml:space="preserve"> For golden perch, spawning is likely to be dependent on a large and sharp rise in flows once water temperatures have reached about 18 degrees C.</w:t>
      </w:r>
    </w:p>
    <w:p w14:paraId="08F2CAD6" w14:textId="77777777" w:rsidR="0020768B" w:rsidRDefault="0020768B" w:rsidP="0020768B">
      <w:pPr>
        <w:spacing w:after="120" w:line="259" w:lineRule="auto"/>
        <w:jc w:val="left"/>
        <w:rPr>
          <w:rFonts w:cstheme="minorHAnsi"/>
        </w:rPr>
      </w:pPr>
      <w:r w:rsidRPr="00B300E7">
        <w:rPr>
          <w:rFonts w:cstheme="minorHAnsi"/>
        </w:rPr>
        <w:t xml:space="preserve">There has been a lack of information as to whether </w:t>
      </w:r>
      <w:r w:rsidRPr="00B300E7">
        <w:t>golden and silver perch</w:t>
      </w:r>
      <w:r w:rsidRPr="003D4AF0">
        <w:rPr>
          <w:rFonts w:cstheme="minorHAnsi"/>
        </w:rPr>
        <w:t xml:space="preserve"> could be spawning in unmonitored parts of the Edward/Kolety-Wakool system, such as the Edward/Ko</w:t>
      </w:r>
      <w:r w:rsidRPr="00A92551">
        <w:rPr>
          <w:rFonts w:cstheme="minorHAnsi"/>
        </w:rPr>
        <w:t>lety River where there are possibly higher flow velocities in the main channel as well as the connection to wetlands that may have the potential to serve as nursery areas. Local fishers have observed golden perch congregating downstream of Stevens Weir dur</w:t>
      </w:r>
      <w:r w:rsidRPr="00B300E7">
        <w:rPr>
          <w:rFonts w:cstheme="minorHAnsi"/>
        </w:rPr>
        <w:t>ing late spring, further prompting the importance of evaluating whether the hydrological conditions of Edward/Kolety River may be suitable for the spawning of golden perch and silver perch.</w:t>
      </w:r>
    </w:p>
    <w:p w14:paraId="655C3BD2" w14:textId="77777777" w:rsidR="0020768B" w:rsidRPr="00134D40" w:rsidRDefault="0020768B" w:rsidP="0020768B">
      <w:pPr>
        <w:spacing w:after="120" w:line="259" w:lineRule="auto"/>
        <w:jc w:val="left"/>
        <w:rPr>
          <w:rFonts w:cstheme="minorHAnsi"/>
        </w:rPr>
      </w:pPr>
      <w:r w:rsidRPr="00837395">
        <w:rPr>
          <w:rFonts w:cstheme="minorHAnsi"/>
        </w:rPr>
        <w:t>Golden perch and silver perch are valued by the local community as iconic species, a target for recreational fishing</w:t>
      </w:r>
      <w:r>
        <w:rPr>
          <w:rFonts w:cstheme="minorHAnsi"/>
        </w:rPr>
        <w:t>,</w:t>
      </w:r>
      <w:r w:rsidRPr="00837395">
        <w:rPr>
          <w:rFonts w:cstheme="minorHAnsi"/>
        </w:rPr>
        <w:t xml:space="preserve"> and are used by the community as an informal indicator of river health. Community Fish Forum’s organised by Murray Local Land Services are well attended by members of the community. Recreational fishing is an important activity for the community in </w:t>
      </w:r>
      <w:r>
        <w:rPr>
          <w:rFonts w:cstheme="minorHAnsi"/>
        </w:rPr>
        <w:t>the Edward/Kolety-Wakool area and t</w:t>
      </w:r>
      <w:r w:rsidRPr="00837395">
        <w:rPr>
          <w:rFonts w:cstheme="minorHAnsi"/>
        </w:rPr>
        <w:t xml:space="preserve">he Edward-Wakool Angling Association (EWAA, https://www.facebook.com/EdwardWakoolAnglingAssociation/) </w:t>
      </w:r>
      <w:r w:rsidRPr="00837395">
        <w:rPr>
          <w:rStyle w:val="d2edcug0"/>
        </w:rPr>
        <w:t>represents fishers and community groups throughout the Edward</w:t>
      </w:r>
      <w:r>
        <w:rPr>
          <w:rStyle w:val="d2edcug0"/>
        </w:rPr>
        <w:t>/Kolety</w:t>
      </w:r>
      <w:r w:rsidRPr="00837395">
        <w:rPr>
          <w:rStyle w:val="d2edcug0"/>
        </w:rPr>
        <w:t xml:space="preserve"> and Wakool River systems.</w:t>
      </w:r>
      <w:r w:rsidRPr="00837395">
        <w:rPr>
          <w:rFonts w:cstheme="minorHAnsi"/>
        </w:rPr>
        <w:t xml:space="preserve"> </w:t>
      </w:r>
      <w:r>
        <w:rPr>
          <w:rFonts w:cstheme="minorHAnsi"/>
        </w:rPr>
        <w:t>EWAA</w:t>
      </w:r>
      <w:r w:rsidRPr="00837395">
        <w:rPr>
          <w:rFonts w:cstheme="minorHAnsi"/>
        </w:rPr>
        <w:t xml:space="preserve"> is involved in rehabilitation of fish communities in the Deniliquin Lagoons, release of fi</w:t>
      </w:r>
      <w:r>
        <w:rPr>
          <w:rFonts w:cstheme="minorHAnsi"/>
        </w:rPr>
        <w:t xml:space="preserve">sh larvae to assist recovery of </w:t>
      </w:r>
      <w:r w:rsidRPr="00837395">
        <w:rPr>
          <w:rFonts w:cstheme="minorHAnsi"/>
        </w:rPr>
        <w:t xml:space="preserve">native fish populations, riverbank vegetation revegetation, </w:t>
      </w:r>
      <w:r>
        <w:rPr>
          <w:rFonts w:cstheme="minorHAnsi"/>
        </w:rPr>
        <w:t xml:space="preserve">a weekly wetland workshop with the Deniliquin High School, </w:t>
      </w:r>
      <w:r w:rsidRPr="00837395">
        <w:rPr>
          <w:rFonts w:cstheme="minorHAnsi"/>
        </w:rPr>
        <w:t xml:space="preserve">and organisation of events such as the Wakool Fishing Classic and Deniliquin Fishing Classic. These activities are </w:t>
      </w:r>
      <w:r w:rsidRPr="00134D40">
        <w:rPr>
          <w:rFonts w:cstheme="minorHAnsi"/>
        </w:rPr>
        <w:t>well attended by the community and involve local high school students. EWAA plays an important role in engaging the community in river and wetland related projects.</w:t>
      </w:r>
    </w:p>
    <w:p w14:paraId="1E6FDD74" w14:textId="77777777" w:rsidR="0020768B" w:rsidRDefault="0020768B" w:rsidP="00352133">
      <w:pPr>
        <w:spacing w:after="120" w:line="259" w:lineRule="auto"/>
        <w:jc w:val="left"/>
        <w:rPr>
          <w:rFonts w:cstheme="minorHAnsi"/>
        </w:rPr>
      </w:pPr>
      <w:r w:rsidRPr="00134D40">
        <w:rPr>
          <w:rFonts w:cstheme="minorHAnsi"/>
        </w:rPr>
        <w:t>Charles Sturt University and EWAA discussed the opportunity to collaborate to assess the s</w:t>
      </w:r>
      <w:r>
        <w:rPr>
          <w:rFonts w:cstheme="minorHAnsi"/>
        </w:rPr>
        <w:t>p</w:t>
      </w:r>
      <w:r w:rsidRPr="00134D40">
        <w:rPr>
          <w:rFonts w:cstheme="minorHAnsi"/>
        </w:rPr>
        <w:t>awning of golden and silver perch in the Edward/Kolety River to address both the knowledge gap about the spawning of these species and as an opportunity to engage with community. This aim of this research is to investigate if golden and silver perch spawning occurs in the Edward/Kolety River, and if they are, to understand what aspects of the flow regime are associated with spawning.</w:t>
      </w:r>
    </w:p>
    <w:p w14:paraId="6FCAB687" w14:textId="77777777" w:rsidR="00054B18" w:rsidRDefault="00054B18" w:rsidP="0020768B">
      <w:pPr>
        <w:spacing w:after="240" w:line="259" w:lineRule="auto"/>
        <w:rPr>
          <w:b/>
          <w:color w:val="31849B" w:themeColor="accent5" w:themeShade="BF"/>
          <w:sz w:val="28"/>
          <w:szCs w:val="28"/>
        </w:rPr>
      </w:pPr>
    </w:p>
    <w:p w14:paraId="4EC95011" w14:textId="77777777" w:rsidR="00054B18" w:rsidRDefault="00054B18" w:rsidP="0020768B">
      <w:pPr>
        <w:spacing w:after="240" w:line="259" w:lineRule="auto"/>
        <w:rPr>
          <w:b/>
          <w:color w:val="31849B" w:themeColor="accent5" w:themeShade="BF"/>
          <w:sz w:val="28"/>
          <w:szCs w:val="28"/>
        </w:rPr>
      </w:pPr>
    </w:p>
    <w:p w14:paraId="448F6FC6" w14:textId="77777777" w:rsidR="0020768B" w:rsidRPr="0020768B" w:rsidRDefault="0020768B" w:rsidP="0020768B">
      <w:pPr>
        <w:spacing w:after="240" w:line="259" w:lineRule="auto"/>
        <w:rPr>
          <w:b/>
          <w:color w:val="31849B" w:themeColor="accent5" w:themeShade="BF"/>
          <w:sz w:val="28"/>
          <w:szCs w:val="28"/>
        </w:rPr>
      </w:pPr>
      <w:r w:rsidRPr="0020768B">
        <w:rPr>
          <w:b/>
          <w:color w:val="31849B" w:themeColor="accent5" w:themeShade="BF"/>
          <w:sz w:val="28"/>
          <w:szCs w:val="28"/>
        </w:rPr>
        <w:t>11.2</w:t>
      </w:r>
      <w:r w:rsidRPr="0020768B">
        <w:rPr>
          <w:b/>
          <w:color w:val="31849B" w:themeColor="accent5" w:themeShade="BF"/>
          <w:sz w:val="28"/>
          <w:szCs w:val="28"/>
        </w:rPr>
        <w:tab/>
        <w:t>Research Question</w:t>
      </w:r>
    </w:p>
    <w:p w14:paraId="4DBFE774" w14:textId="77777777" w:rsidR="0020768B" w:rsidRPr="00054B18" w:rsidRDefault="0020768B" w:rsidP="0020768B">
      <w:pPr>
        <w:pStyle w:val="ListBullet"/>
        <w:spacing w:after="80"/>
        <w:rPr>
          <w:sz w:val="22"/>
          <w:szCs w:val="22"/>
        </w:rPr>
      </w:pPr>
      <w:r w:rsidRPr="00054B18">
        <w:rPr>
          <w:sz w:val="22"/>
          <w:szCs w:val="22"/>
        </w:rPr>
        <w:t>Did golden perch and silver perch spawn in the Edward/Kolety River downstream of Steven’s Weir in 2019-20?</w:t>
      </w:r>
    </w:p>
    <w:p w14:paraId="561F35E4" w14:textId="77777777" w:rsidR="0020768B" w:rsidRPr="000A2FD6" w:rsidRDefault="0020768B" w:rsidP="0020768B">
      <w:pPr>
        <w:pStyle w:val="ListBullet"/>
        <w:spacing w:after="80"/>
        <w:ind w:left="360" w:hanging="360"/>
      </w:pPr>
    </w:p>
    <w:p w14:paraId="2912C731" w14:textId="35CDBC41" w:rsidR="0020768B" w:rsidRPr="0020768B" w:rsidRDefault="0020768B" w:rsidP="0020768B">
      <w:pPr>
        <w:spacing w:after="240" w:line="259" w:lineRule="auto"/>
        <w:rPr>
          <w:b/>
          <w:color w:val="31849B" w:themeColor="accent5" w:themeShade="BF"/>
          <w:sz w:val="28"/>
          <w:szCs w:val="28"/>
        </w:rPr>
      </w:pPr>
      <w:r w:rsidRPr="0020768B">
        <w:rPr>
          <w:b/>
          <w:color w:val="31849B" w:themeColor="accent5" w:themeShade="BF"/>
          <w:sz w:val="28"/>
          <w:szCs w:val="28"/>
        </w:rPr>
        <w:t>11.3</w:t>
      </w:r>
      <w:r w:rsidRPr="0020768B">
        <w:rPr>
          <w:b/>
          <w:color w:val="31849B" w:themeColor="accent5" w:themeShade="BF"/>
          <w:sz w:val="28"/>
          <w:szCs w:val="28"/>
        </w:rPr>
        <w:tab/>
        <w:t>Methods</w:t>
      </w:r>
    </w:p>
    <w:p w14:paraId="50706EDA" w14:textId="77777777" w:rsidR="0020768B" w:rsidRPr="00B23189" w:rsidRDefault="0020768B" w:rsidP="0020768B">
      <w:pPr>
        <w:spacing w:after="240" w:line="259" w:lineRule="auto"/>
        <w:rPr>
          <w:i/>
          <w:color w:val="006666"/>
        </w:rPr>
      </w:pPr>
      <w:r w:rsidRPr="00B23189">
        <w:rPr>
          <w:i/>
          <w:color w:val="006666"/>
        </w:rPr>
        <w:t xml:space="preserve">EWAA/CSU </w:t>
      </w:r>
      <w:r w:rsidRPr="0020768B">
        <w:rPr>
          <w:i/>
          <w:color w:val="31849B" w:themeColor="accent5" w:themeShade="BF"/>
        </w:rPr>
        <w:t>collaboration</w:t>
      </w:r>
    </w:p>
    <w:p w14:paraId="0459890D" w14:textId="6522C689" w:rsidR="0020768B" w:rsidRDefault="0020768B" w:rsidP="0020768B">
      <w:pPr>
        <w:spacing w:after="240" w:line="259" w:lineRule="auto"/>
        <w:jc w:val="left"/>
        <w:rPr>
          <w:rFonts w:cstheme="minorHAnsi"/>
          <w:color w:val="000000" w:themeColor="text1"/>
        </w:rPr>
      </w:pPr>
      <w:r>
        <w:rPr>
          <w:rFonts w:cstheme="minorHAnsi"/>
          <w:color w:val="000000" w:themeColor="text1"/>
        </w:rPr>
        <w:t xml:space="preserve">The collaboration was initiated through telephone conversations and followed by a workshop held in Deniliquin in October 2019 where CSU staff and EWAA members discussed the research project, methods, field safety and logistics for the collaborative project. Dan Hutton was EWAA coordinator for the collaborative project, providing a key link between CSU and EWAA and central coordination of logistics and EWAA member involvement. John Trethewie from CSU provided logistical support and field training of EWAA members. Kris Gibbs (CSU) provided administrative support for EWAA members. The MER program funded the costs of the field work, employment of EWAA members on the project, and travel and boat fuel costs. </w:t>
      </w:r>
      <w:r w:rsidRPr="003123EA">
        <w:rPr>
          <w:rFonts w:cstheme="minorHAnsi"/>
          <w:color w:val="000000" w:themeColor="text1"/>
        </w:rPr>
        <w:t xml:space="preserve">Members of </w:t>
      </w:r>
      <w:r>
        <w:rPr>
          <w:rFonts w:cstheme="minorHAnsi"/>
          <w:color w:val="000000" w:themeColor="text1"/>
        </w:rPr>
        <w:t xml:space="preserve">EWAA from Deniliquin undertook the weekly larval fish </w:t>
      </w:r>
      <w:r w:rsidRPr="003123EA">
        <w:rPr>
          <w:rFonts w:cstheme="minorHAnsi"/>
          <w:color w:val="000000" w:themeColor="text1"/>
        </w:rPr>
        <w:t>sampling</w:t>
      </w:r>
      <w:r w:rsidRPr="00D640D6">
        <w:rPr>
          <w:rFonts w:cstheme="minorHAnsi"/>
          <w:color w:val="000000" w:themeColor="text1"/>
        </w:rPr>
        <w:t xml:space="preserve"> </w:t>
      </w:r>
      <w:r>
        <w:rPr>
          <w:rFonts w:cstheme="minorHAnsi"/>
          <w:color w:val="000000" w:themeColor="text1"/>
        </w:rPr>
        <w:t>in the Edward</w:t>
      </w:r>
      <w:r w:rsidRPr="003123EA">
        <w:rPr>
          <w:rFonts w:cstheme="minorHAnsi"/>
          <w:color w:val="000000" w:themeColor="text1"/>
        </w:rPr>
        <w:t>/Kolety River</w:t>
      </w:r>
      <w:r>
        <w:rPr>
          <w:rFonts w:cstheme="minorHAnsi"/>
          <w:color w:val="000000" w:themeColor="text1"/>
        </w:rPr>
        <w:t xml:space="preserve"> </w:t>
      </w:r>
      <w:r w:rsidRPr="003123EA">
        <w:rPr>
          <w:rFonts w:cstheme="minorHAnsi"/>
          <w:color w:val="000000" w:themeColor="text1"/>
        </w:rPr>
        <w:t>(Figure 11.</w:t>
      </w:r>
      <w:r>
        <w:rPr>
          <w:rFonts w:cstheme="minorHAnsi"/>
          <w:color w:val="000000" w:themeColor="text1"/>
        </w:rPr>
        <w:t>1</w:t>
      </w:r>
      <w:r w:rsidRPr="003123EA">
        <w:rPr>
          <w:rFonts w:cstheme="minorHAnsi"/>
          <w:color w:val="000000" w:themeColor="text1"/>
        </w:rPr>
        <w:t>)</w:t>
      </w:r>
      <w:r>
        <w:rPr>
          <w:rFonts w:cstheme="minorHAnsi"/>
          <w:color w:val="000000" w:themeColor="text1"/>
        </w:rPr>
        <w:t xml:space="preserve"> over a period of </w:t>
      </w:r>
      <w:r w:rsidR="00213051">
        <w:rPr>
          <w:rFonts w:cstheme="minorHAnsi"/>
          <w:color w:val="000000" w:themeColor="text1"/>
        </w:rPr>
        <w:t>twenty-two</w:t>
      </w:r>
      <w:r>
        <w:rPr>
          <w:rFonts w:cstheme="minorHAnsi"/>
          <w:color w:val="000000" w:themeColor="text1"/>
        </w:rPr>
        <w:t xml:space="preserve"> weeks in 2019-20.</w:t>
      </w:r>
    </w:p>
    <w:p w14:paraId="79EB61C1" w14:textId="77777777" w:rsidR="0020768B" w:rsidRPr="002701B4" w:rsidRDefault="0020768B" w:rsidP="0020768B">
      <w:pPr>
        <w:pStyle w:val="BodyText"/>
        <w:spacing w:line="240" w:lineRule="auto"/>
        <w:jc w:val="lef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w:t>
      </w:r>
      <w:r>
        <w:rPr>
          <w:rFonts w:asciiTheme="minorHAnsi" w:hAnsiTheme="minorHAnsi" w:cstheme="minorHAnsi"/>
          <w:noProof/>
          <w:color w:val="000000" w:themeColor="text1"/>
          <w:sz w:val="22"/>
          <w:szCs w:val="22"/>
          <w:lang w:val="en-AU" w:eastAsia="en-AU"/>
        </w:rPr>
        <w:drawing>
          <wp:inline distT="0" distB="0" distL="0" distR="0" wp14:anchorId="3F98A0C9" wp14:editId="5D5D2239">
            <wp:extent cx="2783794" cy="208800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011_164815.jpg"/>
                    <pic:cNvPicPr/>
                  </pic:nvPicPr>
                  <pic:blipFill>
                    <a:blip r:embed="rId199" cstate="email">
                      <a:extLst>
                        <a:ext uri="{28A0092B-C50C-407E-A947-70E740481C1C}">
                          <a14:useLocalDpi xmlns:a14="http://schemas.microsoft.com/office/drawing/2010/main"/>
                        </a:ext>
                      </a:extLst>
                    </a:blip>
                    <a:stretch>
                      <a:fillRect/>
                    </a:stretch>
                  </pic:blipFill>
                  <pic:spPr>
                    <a:xfrm>
                      <a:off x="0" y="0"/>
                      <a:ext cx="2783794" cy="2088000"/>
                    </a:xfrm>
                    <a:prstGeom prst="rect">
                      <a:avLst/>
                    </a:prstGeom>
                  </pic:spPr>
                </pic:pic>
              </a:graphicData>
            </a:graphic>
          </wp:inline>
        </w:drawing>
      </w:r>
      <w:r>
        <w:rPr>
          <w:rFonts w:asciiTheme="minorHAnsi" w:hAnsiTheme="minorHAnsi" w:cstheme="minorHAnsi"/>
          <w:color w:val="000000" w:themeColor="text1"/>
          <w:sz w:val="22"/>
          <w:szCs w:val="22"/>
        </w:rPr>
        <w:t xml:space="preserve"> </w:t>
      </w:r>
      <w:r>
        <w:rPr>
          <w:rFonts w:asciiTheme="minorHAnsi" w:hAnsiTheme="minorHAnsi" w:cstheme="minorHAnsi"/>
          <w:noProof/>
          <w:color w:val="000000" w:themeColor="text1"/>
          <w:sz w:val="22"/>
          <w:szCs w:val="22"/>
          <w:lang w:val="en-AU" w:eastAsia="en-AU"/>
        </w:rPr>
        <w:drawing>
          <wp:inline distT="0" distB="0" distL="0" distR="0" wp14:anchorId="58F6D16D" wp14:editId="0FCD31F2">
            <wp:extent cx="2877337"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287733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612257E" w14:textId="77777777" w:rsidR="0020768B" w:rsidRDefault="0020768B" w:rsidP="0020768B">
      <w:pPr>
        <w:pStyle w:val="BodyText"/>
        <w:spacing w:line="240" w:lineRule="auto"/>
        <w:ind w:right="1088"/>
        <w:jc w:val="left"/>
        <w:rPr>
          <w:rStyle w:val="CommentReference"/>
        </w:rPr>
      </w:pPr>
      <w:r>
        <w:rPr>
          <w:rFonts w:asciiTheme="minorHAnsi" w:hAnsiTheme="minorHAnsi"/>
          <w:b/>
          <w:color w:val="000000" w:themeColor="text1"/>
          <w:sz w:val="20"/>
          <w:szCs w:val="20"/>
        </w:rPr>
        <w:t xml:space="preserve">Figure 11.1 </w:t>
      </w:r>
      <w:r>
        <w:rPr>
          <w:rFonts w:asciiTheme="minorHAnsi" w:hAnsiTheme="minorHAnsi"/>
          <w:color w:val="000000" w:themeColor="text1"/>
          <w:sz w:val="20"/>
          <w:szCs w:val="20"/>
        </w:rPr>
        <w:t>Members of the Edward/Kolety River fish spawning monitoring team setting drift nets and retrieving and preserving samples. Left, John Trethewie (CSU) and Anthony Jones (EWAA). Right: Dan Hutton and Anthony Jones (EWAA).</w:t>
      </w:r>
    </w:p>
    <w:p w14:paraId="113540B2" w14:textId="77777777" w:rsidR="0020768B" w:rsidRDefault="0020768B" w:rsidP="0020768B">
      <w:pPr>
        <w:pStyle w:val="BodyText"/>
        <w:spacing w:line="240" w:lineRule="auto"/>
        <w:ind w:right="1088"/>
        <w:jc w:val="left"/>
        <w:rPr>
          <w:rFonts w:asciiTheme="minorHAnsi" w:hAnsiTheme="minorHAnsi"/>
          <w:color w:val="000000" w:themeColor="text1"/>
          <w:sz w:val="20"/>
          <w:szCs w:val="20"/>
        </w:rPr>
      </w:pPr>
    </w:p>
    <w:p w14:paraId="42FFB20C" w14:textId="77777777" w:rsidR="0020768B" w:rsidRPr="00B23189" w:rsidRDefault="0020768B" w:rsidP="0020768B">
      <w:pPr>
        <w:spacing w:after="120" w:line="259" w:lineRule="auto"/>
        <w:rPr>
          <w:i/>
          <w:color w:val="006666"/>
        </w:rPr>
      </w:pPr>
      <w:r w:rsidRPr="00B23189">
        <w:rPr>
          <w:i/>
          <w:color w:val="006666"/>
        </w:rPr>
        <w:t>Field monitoring</w:t>
      </w:r>
    </w:p>
    <w:p w14:paraId="665E57D7" w14:textId="77777777" w:rsidR="0020768B" w:rsidRDefault="0020768B" w:rsidP="0020768B">
      <w:pPr>
        <w:spacing w:after="120" w:line="259" w:lineRule="auto"/>
        <w:jc w:val="left"/>
        <w:rPr>
          <w:rFonts w:cstheme="minorHAnsi"/>
          <w:color w:val="000000" w:themeColor="text1"/>
        </w:rPr>
      </w:pPr>
      <w:r w:rsidRPr="007B7500">
        <w:rPr>
          <w:rFonts w:cstheme="minorHAnsi"/>
          <w:color w:val="000000" w:themeColor="text1"/>
        </w:rPr>
        <w:t xml:space="preserve">Occurrence of golden and silver perch spawning was monitored </w:t>
      </w:r>
      <w:r>
        <w:rPr>
          <w:rFonts w:cstheme="minorHAnsi"/>
          <w:color w:val="000000" w:themeColor="text1"/>
        </w:rPr>
        <w:t xml:space="preserve">at three sites </w:t>
      </w:r>
      <w:r w:rsidRPr="007B7500">
        <w:rPr>
          <w:rFonts w:cstheme="minorHAnsi"/>
          <w:color w:val="000000" w:themeColor="text1"/>
        </w:rPr>
        <w:t>in the Edward</w:t>
      </w:r>
      <w:r>
        <w:rPr>
          <w:rFonts w:cstheme="minorHAnsi"/>
          <w:color w:val="000000" w:themeColor="text1"/>
        </w:rPr>
        <w:t xml:space="preserve">/Kolety River. All three sites were located between Stevens Weir, Deniliquin and Werai State Forest </w:t>
      </w:r>
      <w:r w:rsidRPr="007B7500">
        <w:rPr>
          <w:rFonts w:cstheme="minorHAnsi"/>
          <w:color w:val="000000" w:themeColor="text1"/>
        </w:rPr>
        <w:t>(</w:t>
      </w:r>
      <w:r w:rsidRPr="00E31900">
        <w:rPr>
          <w:rFonts w:cstheme="minorHAnsi"/>
          <w:color w:val="000000" w:themeColor="text1"/>
        </w:rPr>
        <w:t>refer to section 3;</w:t>
      </w:r>
      <w:r>
        <w:rPr>
          <w:rFonts w:cstheme="minorHAnsi"/>
          <w:color w:val="000000" w:themeColor="text1"/>
        </w:rPr>
        <w:t xml:space="preserve"> s</w:t>
      </w:r>
      <w:r w:rsidRPr="007B7500">
        <w:rPr>
          <w:rFonts w:cstheme="minorHAnsi"/>
          <w:color w:val="000000" w:themeColor="text1"/>
        </w:rPr>
        <w:t>ite</w:t>
      </w:r>
      <w:r>
        <w:rPr>
          <w:rFonts w:cstheme="minorHAnsi"/>
          <w:color w:val="000000" w:themeColor="text1"/>
        </w:rPr>
        <w:t xml:space="preserve"> 1 - 35.38765 S 144.65224 E; s</w:t>
      </w:r>
      <w:r w:rsidRPr="007B7500">
        <w:rPr>
          <w:rFonts w:cstheme="minorHAnsi"/>
          <w:color w:val="000000" w:themeColor="text1"/>
        </w:rPr>
        <w:t>ite</w:t>
      </w:r>
      <w:r>
        <w:rPr>
          <w:rFonts w:cstheme="minorHAnsi"/>
          <w:color w:val="000000" w:themeColor="text1"/>
        </w:rPr>
        <w:t xml:space="preserve"> 2 - 35.38599 S 144.65079 E; site 3 - 35.37516 S 144.65654</w:t>
      </w:r>
      <w:r w:rsidRPr="007B7500">
        <w:rPr>
          <w:rFonts w:cstheme="minorHAnsi"/>
          <w:color w:val="000000" w:themeColor="text1"/>
        </w:rPr>
        <w:t xml:space="preserve"> E).</w:t>
      </w:r>
    </w:p>
    <w:p w14:paraId="4C5CB902" w14:textId="3DF9EDBC" w:rsidR="0020768B" w:rsidRDefault="0020768B" w:rsidP="0020768B">
      <w:pPr>
        <w:pStyle w:val="BodyText"/>
        <w:spacing w:after="120" w:line="259" w:lineRule="auto"/>
        <w:jc w:val="left"/>
        <w:rPr>
          <w:rFonts w:cstheme="minorHAnsi"/>
          <w:color w:val="000000" w:themeColor="text1"/>
        </w:rPr>
      </w:pPr>
      <w:r w:rsidRPr="003123EA">
        <w:rPr>
          <w:rFonts w:asciiTheme="minorHAnsi" w:hAnsiTheme="minorHAnsi" w:cstheme="minorHAnsi"/>
          <w:color w:val="000000" w:themeColor="text1"/>
          <w:sz w:val="22"/>
          <w:szCs w:val="22"/>
        </w:rPr>
        <w:t xml:space="preserve">Three drift nets were deployed at each of 3 sites weekly, from 11 Oct 2019 – 22 Feb 2020 (22 sampling nights). Drift nets were constructed from 500 µm </w:t>
      </w:r>
      <w:r w:rsidR="00213051" w:rsidRPr="003123EA">
        <w:rPr>
          <w:rFonts w:asciiTheme="minorHAnsi" w:hAnsiTheme="minorHAnsi" w:cstheme="minorHAnsi"/>
          <w:color w:val="000000" w:themeColor="text1"/>
          <w:sz w:val="22"/>
          <w:szCs w:val="22"/>
        </w:rPr>
        <w:t>mesh and</w:t>
      </w:r>
      <w:r w:rsidRPr="003123EA">
        <w:rPr>
          <w:rFonts w:asciiTheme="minorHAnsi" w:hAnsiTheme="minorHAnsi" w:cstheme="minorHAnsi"/>
          <w:color w:val="000000" w:themeColor="text1"/>
          <w:sz w:val="22"/>
          <w:szCs w:val="22"/>
        </w:rPr>
        <w:t xml:space="preserve"> had an opening diameter of 50 cm which tapered over 1.5 m to an end of 9 cm, to which a reducing jar was fitted. Drift nets were set by boat and attached to snags in good flowing sections of the Edward/Kolety River channel. Nets were set late </w:t>
      </w:r>
      <w:r w:rsidR="00213051" w:rsidRPr="003123EA">
        <w:rPr>
          <w:rFonts w:asciiTheme="minorHAnsi" w:hAnsiTheme="minorHAnsi" w:cstheme="minorHAnsi"/>
          <w:color w:val="000000" w:themeColor="text1"/>
          <w:sz w:val="22"/>
          <w:szCs w:val="22"/>
        </w:rPr>
        <w:t>afternoon and</w:t>
      </w:r>
      <w:r w:rsidRPr="003123EA">
        <w:rPr>
          <w:rFonts w:asciiTheme="minorHAnsi" w:hAnsiTheme="minorHAnsi" w:cstheme="minorHAnsi"/>
          <w:color w:val="000000" w:themeColor="text1"/>
          <w:sz w:val="22"/>
          <w:szCs w:val="22"/>
        </w:rPr>
        <w:t xml:space="preserve"> retrieved the following morning. Upon retrieval, drift nets were rinsed down, and entire samples preserved in 70% ethanol, and returned to the </w:t>
      </w:r>
      <w:r>
        <w:rPr>
          <w:rFonts w:asciiTheme="minorHAnsi" w:hAnsiTheme="minorHAnsi" w:cstheme="minorHAnsi"/>
          <w:color w:val="000000" w:themeColor="text1"/>
          <w:sz w:val="22"/>
          <w:szCs w:val="22"/>
        </w:rPr>
        <w:t xml:space="preserve">CSU </w:t>
      </w:r>
      <w:r w:rsidRPr="003123EA">
        <w:rPr>
          <w:rFonts w:asciiTheme="minorHAnsi" w:hAnsiTheme="minorHAnsi" w:cstheme="minorHAnsi"/>
          <w:color w:val="000000" w:themeColor="text1"/>
          <w:sz w:val="22"/>
          <w:szCs w:val="22"/>
        </w:rPr>
        <w:t>laboratory for processing. All eggs and fish larvae were picked from the drift samples, identified to species and enumerated.</w:t>
      </w:r>
      <w:r>
        <w:rPr>
          <w:rFonts w:cstheme="minorHAnsi"/>
          <w:color w:val="000000" w:themeColor="text1"/>
        </w:rPr>
        <w:t xml:space="preserve"> </w:t>
      </w:r>
    </w:p>
    <w:p w14:paraId="1C325CC4" w14:textId="38221759" w:rsidR="0020768B" w:rsidRPr="00AA2646" w:rsidRDefault="0020768B" w:rsidP="0020768B">
      <w:pPr>
        <w:spacing w:after="120" w:line="259" w:lineRule="auto"/>
        <w:jc w:val="left"/>
        <w:rPr>
          <w:rFonts w:cstheme="minorHAnsi"/>
          <w:color w:val="000000" w:themeColor="text1"/>
        </w:rPr>
      </w:pPr>
      <w:r w:rsidRPr="007B7500">
        <w:rPr>
          <w:rFonts w:cstheme="minorHAnsi"/>
          <w:color w:val="000000" w:themeColor="text1"/>
        </w:rPr>
        <w:t>Any eggs</w:t>
      </w:r>
      <w:r>
        <w:rPr>
          <w:rFonts w:cstheme="minorHAnsi"/>
          <w:color w:val="000000" w:themeColor="text1"/>
        </w:rPr>
        <w:t xml:space="preserve"> or poorly preserved larvae</w:t>
      </w:r>
      <w:r w:rsidRPr="007B7500">
        <w:rPr>
          <w:rFonts w:cstheme="minorHAnsi"/>
          <w:color w:val="000000" w:themeColor="text1"/>
        </w:rPr>
        <w:t xml:space="preserve"> </w:t>
      </w:r>
      <w:r>
        <w:rPr>
          <w:rFonts w:cstheme="minorHAnsi"/>
          <w:color w:val="000000" w:themeColor="text1"/>
        </w:rPr>
        <w:t xml:space="preserve">collected </w:t>
      </w:r>
      <w:r w:rsidRPr="007B7500">
        <w:rPr>
          <w:rFonts w:cstheme="minorHAnsi"/>
          <w:color w:val="000000" w:themeColor="text1"/>
        </w:rPr>
        <w:t>were sent to Australian Genome Research Facility (AG</w:t>
      </w:r>
      <w:r>
        <w:rPr>
          <w:rFonts w:cstheme="minorHAnsi"/>
          <w:color w:val="000000" w:themeColor="text1"/>
        </w:rPr>
        <w:t>RF)</w:t>
      </w:r>
      <w:r w:rsidRPr="007B7500">
        <w:rPr>
          <w:rFonts w:cstheme="minorHAnsi"/>
          <w:color w:val="000000" w:themeColor="text1"/>
        </w:rPr>
        <w:t xml:space="preserve"> for species determination.</w:t>
      </w:r>
      <w:r>
        <w:rPr>
          <w:rFonts w:cstheme="minorHAnsi"/>
          <w:color w:val="000000" w:themeColor="text1"/>
        </w:rPr>
        <w:t xml:space="preserve"> Since both Murray cod and trout cod are known to the Edward/Kolety River, a subsample of cod larvae </w:t>
      </w:r>
      <w:r w:rsidR="00213051">
        <w:rPr>
          <w:rFonts w:cstheme="minorHAnsi"/>
          <w:color w:val="000000" w:themeColor="text1"/>
        </w:rPr>
        <w:t>was</w:t>
      </w:r>
      <w:r>
        <w:rPr>
          <w:rFonts w:cstheme="minorHAnsi"/>
          <w:color w:val="000000" w:themeColor="text1"/>
        </w:rPr>
        <w:t xml:space="preserve"> also sent to AGRF for species confirmation. </w:t>
      </w:r>
      <w:r>
        <w:rPr>
          <w:rFonts w:cs="Calibri"/>
          <w:color w:val="000000" w:themeColor="text1"/>
        </w:rPr>
        <w:t xml:space="preserve">Nucleic acid extraction and subsequent verification of species assignment was based on dual direction sequencing following PCR amplification. Results of the PCR amplification revealed all cod larvae to be Murry cod, and thus, from here on, we report all cod larvae collected in the study zone to be Murry cod. </w:t>
      </w:r>
      <w:r w:rsidRPr="004701D9">
        <w:rPr>
          <w:color w:val="000000" w:themeColor="text1"/>
        </w:rPr>
        <w:t>The developmental stage of each individual was recorded as egg</w:t>
      </w:r>
      <w:r>
        <w:rPr>
          <w:color w:val="000000" w:themeColor="text1"/>
        </w:rPr>
        <w:t xml:space="preserve">, </w:t>
      </w:r>
      <w:r w:rsidRPr="004701D9">
        <w:rPr>
          <w:color w:val="000000" w:themeColor="text1"/>
        </w:rPr>
        <w:t>larvae, or juvenile/adult, according to classifications o</w:t>
      </w:r>
      <w:r>
        <w:rPr>
          <w:color w:val="000000" w:themeColor="text1"/>
        </w:rPr>
        <w:t>f Serafini and Humphries (2004). O</w:t>
      </w:r>
      <w:r w:rsidRPr="004701D9">
        <w:rPr>
          <w:color w:val="000000" w:themeColor="text1"/>
        </w:rPr>
        <w:t xml:space="preserve">nly the trends in abundances of </w:t>
      </w:r>
      <w:r>
        <w:rPr>
          <w:color w:val="000000" w:themeColor="text1"/>
        </w:rPr>
        <w:t xml:space="preserve">eggs and </w:t>
      </w:r>
      <w:r w:rsidRPr="004701D9">
        <w:rPr>
          <w:color w:val="000000" w:themeColor="text1"/>
        </w:rPr>
        <w:t xml:space="preserve">larvae </w:t>
      </w:r>
      <w:r>
        <w:rPr>
          <w:color w:val="000000" w:themeColor="text1"/>
        </w:rPr>
        <w:t>are reported</w:t>
      </w:r>
      <w:r w:rsidRPr="004701D9">
        <w:rPr>
          <w:color w:val="000000" w:themeColor="text1"/>
        </w:rPr>
        <w:t>.</w:t>
      </w:r>
    </w:p>
    <w:p w14:paraId="531D9947" w14:textId="77777777" w:rsidR="0020768B" w:rsidRDefault="0020768B" w:rsidP="0020768B">
      <w:pPr>
        <w:pStyle w:val="BodyText"/>
        <w:spacing w:after="120" w:line="259" w:lineRule="auto"/>
        <w:jc w:val="left"/>
        <w:rPr>
          <w:rFonts w:asciiTheme="minorHAnsi" w:hAnsiTheme="minorHAnsi" w:cstheme="minorHAnsi"/>
          <w:color w:val="000000" w:themeColor="text1"/>
          <w:sz w:val="22"/>
          <w:szCs w:val="22"/>
        </w:rPr>
      </w:pPr>
    </w:p>
    <w:p w14:paraId="318E1CF9" w14:textId="77777777" w:rsidR="0020768B" w:rsidRPr="0020768B" w:rsidRDefault="0020768B" w:rsidP="0020768B">
      <w:pPr>
        <w:spacing w:after="120" w:line="259" w:lineRule="auto"/>
        <w:rPr>
          <w:b/>
          <w:color w:val="31849B" w:themeColor="accent5" w:themeShade="BF"/>
          <w:sz w:val="28"/>
          <w:szCs w:val="28"/>
        </w:rPr>
      </w:pPr>
      <w:r w:rsidRPr="0020768B">
        <w:rPr>
          <w:b/>
          <w:color w:val="31849B" w:themeColor="accent5" w:themeShade="BF"/>
          <w:sz w:val="28"/>
          <w:szCs w:val="28"/>
        </w:rPr>
        <w:t>11.4</w:t>
      </w:r>
      <w:r w:rsidRPr="0020768B">
        <w:rPr>
          <w:b/>
          <w:color w:val="31849B" w:themeColor="accent5" w:themeShade="BF"/>
          <w:sz w:val="28"/>
          <w:szCs w:val="28"/>
        </w:rPr>
        <w:tab/>
        <w:t>Results</w:t>
      </w:r>
    </w:p>
    <w:p w14:paraId="33FA50AD" w14:textId="77777777" w:rsidR="0020768B" w:rsidRPr="0020768B" w:rsidRDefault="0020768B" w:rsidP="0020768B">
      <w:pPr>
        <w:spacing w:after="120" w:line="259" w:lineRule="auto"/>
        <w:rPr>
          <w:i/>
          <w:color w:val="31849B" w:themeColor="accent5" w:themeShade="BF"/>
        </w:rPr>
      </w:pPr>
      <w:r w:rsidRPr="0020768B">
        <w:rPr>
          <w:i/>
          <w:color w:val="31849B" w:themeColor="accent5" w:themeShade="BF"/>
        </w:rPr>
        <w:t>Hydrological and temperature conditions</w:t>
      </w:r>
    </w:p>
    <w:p w14:paraId="24F5DCFC" w14:textId="77777777" w:rsidR="0020768B" w:rsidRPr="007A6D68" w:rsidRDefault="0020768B" w:rsidP="0020768B">
      <w:pPr>
        <w:spacing w:after="120" w:line="259" w:lineRule="auto"/>
        <w:jc w:val="left"/>
      </w:pPr>
      <w:r w:rsidRPr="007A6D68">
        <w:t>River Murray Channel (RMC) flows in the Edward/Kolety River resulted in an increase in discharge throughout the study reach from 1500 ML/day 1 Sep 2019 up to 3500 ML/day in mid-October, when weekly drift netting commenced. This ris</w:t>
      </w:r>
      <w:r>
        <w:t xml:space="preserve">e in flow corresponded with a 1 to </w:t>
      </w:r>
      <w:r w:rsidRPr="007A6D68">
        <w:t>1.5 m increase in river height (Figure 11.</w:t>
      </w:r>
      <w:r>
        <w:t>2</w:t>
      </w:r>
      <w:r w:rsidRPr="007A6D68">
        <w:t xml:space="preserve">). </w:t>
      </w:r>
      <w:r>
        <w:t>The</w:t>
      </w:r>
      <w:r w:rsidRPr="007A6D68">
        <w:t xml:space="preserve"> elevated flows result</w:t>
      </w:r>
      <w:r>
        <w:t>ing from</w:t>
      </w:r>
      <w:r w:rsidRPr="007A6D68">
        <w:t xml:space="preserve"> the RMC spring fresh </w:t>
      </w:r>
      <w:r>
        <w:t>was evident</w:t>
      </w:r>
      <w:r w:rsidRPr="007A6D68">
        <w:t xml:space="preserve"> through</w:t>
      </w:r>
      <w:r>
        <w:t xml:space="preserve">out the Edward/Kolety River </w:t>
      </w:r>
      <w:r w:rsidRPr="007A6D68">
        <w:t xml:space="preserve">(refer to Hydrology section), highlighting the longitudinal extent to which the RMC influenced flow conditions throughout the Selected </w:t>
      </w:r>
      <w:r>
        <w:t>Area at this time. D</w:t>
      </w:r>
      <w:r w:rsidRPr="007A6D68">
        <w:t xml:space="preserve">ischarge remained relatively stable 3500 ML/day peak for </w:t>
      </w:r>
      <w:r>
        <w:t>two weeks in October</w:t>
      </w:r>
      <w:r w:rsidRPr="007A6D68">
        <w:t xml:space="preserve"> before dropping to 2500 ML/day by the start of November. Discharge </w:t>
      </w:r>
      <w:r>
        <w:t xml:space="preserve">from </w:t>
      </w:r>
      <w:r w:rsidRPr="007A6D68">
        <w:t xml:space="preserve">Nov 2019 </w:t>
      </w:r>
      <w:r>
        <w:t xml:space="preserve">through to mid-January </w:t>
      </w:r>
      <w:r w:rsidRPr="007A6D68">
        <w:t>remaine</w:t>
      </w:r>
      <w:r>
        <w:t>d stable around 2500 ML/day, with the exception of a short period of lower discharge in early December. There was a steady recession</w:t>
      </w:r>
      <w:r w:rsidRPr="007A6D68">
        <w:t xml:space="preserve"> from February </w:t>
      </w:r>
      <w:r>
        <w:t>into</w:t>
      </w:r>
      <w:r w:rsidRPr="007A6D68">
        <w:t xml:space="preserve"> March </w:t>
      </w:r>
      <w:r>
        <w:t>after</w:t>
      </w:r>
      <w:r w:rsidRPr="007A6D68">
        <w:t xml:space="preserve"> the sampling had ceased. Mean daily water temperature ranged from 16.9 </w:t>
      </w:r>
      <w:r w:rsidRPr="007A6D68">
        <w:rPr>
          <w:rFonts w:cstheme="minorHAnsi"/>
        </w:rPr>
        <w:t>°C (11 Oct 2019) to 27.7 °C (2 Feb 2020) during the sampling period.</w:t>
      </w:r>
    </w:p>
    <w:p w14:paraId="072B64C0" w14:textId="77777777" w:rsidR="0020768B" w:rsidRPr="0020768B" w:rsidRDefault="0020768B" w:rsidP="0020768B">
      <w:pPr>
        <w:spacing w:after="120" w:line="259" w:lineRule="auto"/>
        <w:rPr>
          <w:color w:val="31849B" w:themeColor="accent5" w:themeShade="BF"/>
        </w:rPr>
      </w:pPr>
      <w:r w:rsidRPr="0020768B">
        <w:rPr>
          <w:i/>
          <w:color w:val="31849B" w:themeColor="accent5" w:themeShade="BF"/>
        </w:rPr>
        <w:t>Detection of fish eggs and larvae</w:t>
      </w:r>
    </w:p>
    <w:p w14:paraId="26C4CBE1" w14:textId="77777777" w:rsidR="0020768B" w:rsidRPr="007A6D68" w:rsidRDefault="0020768B" w:rsidP="0020768B">
      <w:pPr>
        <w:spacing w:after="120" w:line="259" w:lineRule="auto"/>
        <w:jc w:val="left"/>
      </w:pPr>
      <w:bookmarkStart w:id="203" w:name="_Hlk66700485"/>
      <w:r w:rsidRPr="007A6D68">
        <w:t>A total of 353 Murray cod larvae, 2 Murray cod eggs and 1 Australian smelt egg were collected from the three study sites during the</w:t>
      </w:r>
      <w:r>
        <w:t xml:space="preserve"> October to </w:t>
      </w:r>
      <w:r w:rsidRPr="007A6D68">
        <w:t>Mar</w:t>
      </w:r>
      <w:r>
        <w:t>ch</w:t>
      </w:r>
      <w:r w:rsidRPr="007A6D68">
        <w:t xml:space="preserve"> sampling period</w:t>
      </w:r>
      <w:bookmarkEnd w:id="203"/>
      <w:r w:rsidRPr="007A6D68">
        <w:t xml:space="preserve"> (Table 11.1). There was no indication of golden or silver perch spawning in the study reach during the sampling period, as evidenced by the lack of eggs or larvae recorded for these two species (Table 11.1). </w:t>
      </w:r>
      <w:bookmarkStart w:id="204" w:name="_Hlk66700258"/>
      <w:r w:rsidRPr="007A6D68">
        <w:t xml:space="preserve">Murray cod larvae appeared </w:t>
      </w:r>
      <w:bookmarkEnd w:id="204"/>
      <w:r w:rsidRPr="007A6D68">
        <w:t xml:space="preserve">in drift nets </w:t>
      </w:r>
      <w:r>
        <w:t>from</w:t>
      </w:r>
      <w:r w:rsidRPr="007A6D68">
        <w:t xml:space="preserve"> </w:t>
      </w:r>
      <w:bookmarkStart w:id="205" w:name="_Hlk66700204"/>
      <w:r w:rsidRPr="007A6D68">
        <w:t>1 Nov 2019 through to 6 Dec 2019.</w:t>
      </w:r>
      <w:bookmarkEnd w:id="205"/>
    </w:p>
    <w:p w14:paraId="66CE3E11" w14:textId="77777777" w:rsidR="0020768B" w:rsidRPr="007A6D68" w:rsidRDefault="0020768B" w:rsidP="0020768B">
      <w:pPr>
        <w:pStyle w:val="BodyText"/>
        <w:spacing w:after="120" w:line="240" w:lineRule="auto"/>
        <w:ind w:right="96"/>
        <w:jc w:val="left"/>
        <w:rPr>
          <w:rFonts w:ascii="Calibri" w:hAnsi="Calibri"/>
          <w:color w:val="000000" w:themeColor="text1"/>
          <w:sz w:val="20"/>
          <w:szCs w:val="20"/>
        </w:rPr>
      </w:pPr>
      <w:r w:rsidRPr="007A6D68">
        <w:rPr>
          <w:rFonts w:ascii="Calibri" w:hAnsi="Calibri"/>
          <w:b/>
          <w:color w:val="000000" w:themeColor="text1"/>
          <w:sz w:val="20"/>
          <w:szCs w:val="20"/>
        </w:rPr>
        <w:t xml:space="preserve">Table 11.1 </w:t>
      </w:r>
      <w:r w:rsidRPr="007A6D68">
        <w:rPr>
          <w:rFonts w:ascii="Calibri" w:hAnsi="Calibri"/>
          <w:color w:val="000000" w:themeColor="text1"/>
          <w:sz w:val="20"/>
          <w:szCs w:val="20"/>
        </w:rPr>
        <w:t>Combined catch of fish larvae and eggs at the three Edward</w:t>
      </w:r>
      <w:r>
        <w:rPr>
          <w:rFonts w:ascii="Calibri" w:hAnsi="Calibri"/>
          <w:color w:val="000000" w:themeColor="text1"/>
          <w:sz w:val="20"/>
          <w:szCs w:val="20"/>
        </w:rPr>
        <w:t>/Kolety</w:t>
      </w:r>
      <w:r w:rsidRPr="007A6D68">
        <w:rPr>
          <w:rFonts w:ascii="Calibri" w:hAnsi="Calibri"/>
          <w:color w:val="000000" w:themeColor="text1"/>
          <w:sz w:val="20"/>
          <w:szCs w:val="20"/>
        </w:rPr>
        <w:t xml:space="preserve"> River drift net sites located </w:t>
      </w:r>
      <w:bookmarkStart w:id="206" w:name="_Hlk66700395"/>
      <w:r w:rsidRPr="007A6D68">
        <w:rPr>
          <w:rFonts w:ascii="Calibri" w:hAnsi="Calibri"/>
          <w:color w:val="000000" w:themeColor="text1"/>
          <w:sz w:val="20"/>
          <w:szCs w:val="20"/>
        </w:rPr>
        <w:t xml:space="preserve">between </w:t>
      </w:r>
      <w:bookmarkStart w:id="207" w:name="_Hlk66700178"/>
      <w:r w:rsidRPr="007A6D68">
        <w:rPr>
          <w:rFonts w:ascii="Calibri" w:hAnsi="Calibri"/>
          <w:color w:val="000000" w:themeColor="text1"/>
          <w:sz w:val="20"/>
          <w:szCs w:val="20"/>
        </w:rPr>
        <w:t>Steven’s Weir and Werai State Forest</w:t>
      </w:r>
      <w:bookmarkEnd w:id="206"/>
      <w:bookmarkEnd w:id="207"/>
      <w:r w:rsidRPr="007A6D68">
        <w:rPr>
          <w:rFonts w:ascii="Calibri" w:hAnsi="Calibri"/>
          <w:color w:val="000000" w:themeColor="text1"/>
          <w:sz w:val="20"/>
          <w:szCs w:val="20"/>
        </w:rPr>
        <w:t>. Three nets were deployed at each site weekly from October</w:t>
      </w:r>
      <w:r>
        <w:rPr>
          <w:rFonts w:ascii="Calibri" w:hAnsi="Calibri"/>
          <w:color w:val="000000" w:themeColor="text1"/>
          <w:sz w:val="20"/>
          <w:szCs w:val="20"/>
        </w:rPr>
        <w:t xml:space="preserve"> 2019 to</w:t>
      </w:r>
      <w:r w:rsidRPr="007A6D68">
        <w:rPr>
          <w:rFonts w:ascii="Calibri" w:hAnsi="Calibri"/>
          <w:color w:val="000000" w:themeColor="text1"/>
          <w:sz w:val="20"/>
          <w:szCs w:val="20"/>
        </w:rPr>
        <w:t xml:space="preserve"> March 2020.</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904"/>
        <w:gridCol w:w="905"/>
        <w:gridCol w:w="904"/>
        <w:gridCol w:w="905"/>
        <w:gridCol w:w="902"/>
        <w:gridCol w:w="902"/>
        <w:gridCol w:w="874"/>
        <w:gridCol w:w="875"/>
      </w:tblGrid>
      <w:tr w:rsidR="0020768B" w14:paraId="51962A70" w14:textId="77777777" w:rsidTr="00F37E2D">
        <w:trPr>
          <w:jc w:val="center"/>
        </w:trPr>
        <w:tc>
          <w:tcPr>
            <w:tcW w:w="1134" w:type="dxa"/>
            <w:tcBorders>
              <w:top w:val="single" w:sz="12" w:space="0" w:color="auto"/>
              <w:left w:val="nil"/>
              <w:bottom w:val="nil"/>
              <w:right w:val="nil"/>
            </w:tcBorders>
          </w:tcPr>
          <w:p w14:paraId="11300F62" w14:textId="77777777" w:rsidR="0020768B" w:rsidRPr="00CE5EF7" w:rsidRDefault="0020768B" w:rsidP="00054B18">
            <w:pPr>
              <w:spacing w:after="120" w:line="320" w:lineRule="exact"/>
              <w:rPr>
                <w:szCs w:val="22"/>
              </w:rPr>
            </w:pPr>
          </w:p>
        </w:tc>
        <w:tc>
          <w:tcPr>
            <w:tcW w:w="1809" w:type="dxa"/>
            <w:gridSpan w:val="2"/>
            <w:tcBorders>
              <w:top w:val="single" w:sz="12" w:space="0" w:color="auto"/>
              <w:left w:val="nil"/>
              <w:bottom w:val="single" w:sz="8" w:space="0" w:color="auto"/>
              <w:right w:val="single" w:sz="12" w:space="0" w:color="FFFFFF" w:themeColor="background1"/>
            </w:tcBorders>
          </w:tcPr>
          <w:p w14:paraId="7BCAEA14" w14:textId="77777777" w:rsidR="0020768B" w:rsidRPr="00CE5EF7" w:rsidRDefault="0020768B" w:rsidP="00054B18">
            <w:pPr>
              <w:spacing w:after="120" w:line="320" w:lineRule="exact"/>
              <w:jc w:val="center"/>
              <w:rPr>
                <w:szCs w:val="22"/>
              </w:rPr>
            </w:pPr>
            <w:r w:rsidRPr="00CE5EF7">
              <w:rPr>
                <w:szCs w:val="22"/>
              </w:rPr>
              <w:t>golden perch</w:t>
            </w:r>
          </w:p>
        </w:tc>
        <w:tc>
          <w:tcPr>
            <w:tcW w:w="1809" w:type="dxa"/>
            <w:gridSpan w:val="2"/>
            <w:tcBorders>
              <w:top w:val="single" w:sz="12" w:space="0" w:color="auto"/>
              <w:left w:val="single" w:sz="12" w:space="0" w:color="FFFFFF" w:themeColor="background1"/>
              <w:right w:val="single" w:sz="12" w:space="0" w:color="FFFFFF" w:themeColor="background1"/>
            </w:tcBorders>
          </w:tcPr>
          <w:p w14:paraId="32830C69" w14:textId="77777777" w:rsidR="0020768B" w:rsidRPr="00CE5EF7" w:rsidRDefault="0020768B" w:rsidP="00054B18">
            <w:pPr>
              <w:spacing w:after="120" w:line="320" w:lineRule="exact"/>
              <w:jc w:val="center"/>
              <w:rPr>
                <w:szCs w:val="22"/>
              </w:rPr>
            </w:pPr>
            <w:r w:rsidRPr="00CE5EF7">
              <w:rPr>
                <w:szCs w:val="22"/>
              </w:rPr>
              <w:t>silver perch</w:t>
            </w:r>
          </w:p>
        </w:tc>
        <w:tc>
          <w:tcPr>
            <w:tcW w:w="1804" w:type="dxa"/>
            <w:gridSpan w:val="2"/>
            <w:tcBorders>
              <w:top w:val="single" w:sz="12" w:space="0" w:color="auto"/>
              <w:left w:val="single" w:sz="12" w:space="0" w:color="FFFFFF" w:themeColor="background1"/>
              <w:right w:val="single" w:sz="12" w:space="0" w:color="FFFFFF" w:themeColor="background1"/>
            </w:tcBorders>
          </w:tcPr>
          <w:p w14:paraId="687FD775" w14:textId="77777777" w:rsidR="0020768B" w:rsidRPr="00CE5EF7" w:rsidRDefault="0020768B" w:rsidP="00054B18">
            <w:pPr>
              <w:spacing w:after="120" w:line="320" w:lineRule="exact"/>
              <w:jc w:val="center"/>
              <w:rPr>
                <w:szCs w:val="22"/>
              </w:rPr>
            </w:pPr>
            <w:r w:rsidRPr="00CE5EF7">
              <w:rPr>
                <w:szCs w:val="22"/>
              </w:rPr>
              <w:t>Australian smelt</w:t>
            </w:r>
          </w:p>
        </w:tc>
        <w:tc>
          <w:tcPr>
            <w:tcW w:w="1749" w:type="dxa"/>
            <w:gridSpan w:val="2"/>
            <w:tcBorders>
              <w:top w:val="single" w:sz="12" w:space="0" w:color="auto"/>
              <w:left w:val="single" w:sz="12" w:space="0" w:color="FFFFFF" w:themeColor="background1"/>
              <w:right w:val="nil"/>
            </w:tcBorders>
          </w:tcPr>
          <w:p w14:paraId="0B799001" w14:textId="77777777" w:rsidR="0020768B" w:rsidRPr="00CE5EF7" w:rsidRDefault="0020768B" w:rsidP="00054B18">
            <w:pPr>
              <w:spacing w:after="120" w:line="320" w:lineRule="exact"/>
              <w:jc w:val="center"/>
              <w:rPr>
                <w:szCs w:val="22"/>
              </w:rPr>
            </w:pPr>
            <w:r w:rsidRPr="00CE5EF7">
              <w:rPr>
                <w:szCs w:val="22"/>
              </w:rPr>
              <w:t>Murray cod</w:t>
            </w:r>
          </w:p>
        </w:tc>
      </w:tr>
      <w:tr w:rsidR="0020768B" w14:paraId="2280A146" w14:textId="77777777" w:rsidTr="00F37E2D">
        <w:trPr>
          <w:jc w:val="center"/>
        </w:trPr>
        <w:tc>
          <w:tcPr>
            <w:tcW w:w="1134" w:type="dxa"/>
            <w:tcBorders>
              <w:top w:val="nil"/>
              <w:left w:val="single" w:sz="12" w:space="0" w:color="FFFFFF" w:themeColor="background1"/>
              <w:bottom w:val="single" w:sz="8" w:space="0" w:color="auto"/>
              <w:right w:val="single" w:sz="12" w:space="0" w:color="FFFFFF" w:themeColor="background1"/>
            </w:tcBorders>
          </w:tcPr>
          <w:p w14:paraId="08E6EDBF" w14:textId="77777777" w:rsidR="0020768B" w:rsidRPr="00CE5EF7" w:rsidRDefault="0020768B" w:rsidP="00054B18">
            <w:pPr>
              <w:spacing w:after="120" w:line="320" w:lineRule="exact"/>
              <w:rPr>
                <w:szCs w:val="22"/>
              </w:rPr>
            </w:pPr>
            <w:r w:rsidRPr="00CE5EF7">
              <w:rPr>
                <w:szCs w:val="22"/>
              </w:rPr>
              <w:t>site</w:t>
            </w:r>
          </w:p>
        </w:tc>
        <w:tc>
          <w:tcPr>
            <w:tcW w:w="904" w:type="dxa"/>
            <w:tcBorders>
              <w:top w:val="single" w:sz="8" w:space="0" w:color="auto"/>
              <w:left w:val="single" w:sz="12" w:space="0" w:color="FFFFFF" w:themeColor="background1"/>
              <w:right w:val="single" w:sz="12" w:space="0" w:color="FFFFFF" w:themeColor="background1"/>
            </w:tcBorders>
          </w:tcPr>
          <w:p w14:paraId="1E3B70CF" w14:textId="77777777" w:rsidR="0020768B" w:rsidRPr="00CE5EF7" w:rsidRDefault="0020768B" w:rsidP="00054B18">
            <w:pPr>
              <w:spacing w:after="120" w:line="320" w:lineRule="exact"/>
              <w:jc w:val="center"/>
              <w:rPr>
                <w:szCs w:val="22"/>
              </w:rPr>
            </w:pPr>
            <w:r w:rsidRPr="00CE5EF7">
              <w:rPr>
                <w:szCs w:val="22"/>
              </w:rPr>
              <w:t>eggs</w:t>
            </w:r>
          </w:p>
        </w:tc>
        <w:tc>
          <w:tcPr>
            <w:tcW w:w="905" w:type="dxa"/>
            <w:tcBorders>
              <w:top w:val="single" w:sz="8" w:space="0" w:color="auto"/>
              <w:left w:val="single" w:sz="12" w:space="0" w:color="FFFFFF" w:themeColor="background1"/>
              <w:right w:val="single" w:sz="12" w:space="0" w:color="FFFFFF" w:themeColor="background1"/>
            </w:tcBorders>
          </w:tcPr>
          <w:p w14:paraId="6963866B" w14:textId="77777777" w:rsidR="0020768B" w:rsidRPr="00CE5EF7" w:rsidRDefault="0020768B" w:rsidP="00054B18">
            <w:pPr>
              <w:spacing w:after="120" w:line="320" w:lineRule="exact"/>
              <w:jc w:val="center"/>
              <w:rPr>
                <w:szCs w:val="22"/>
              </w:rPr>
            </w:pPr>
            <w:r w:rsidRPr="00CE5EF7">
              <w:rPr>
                <w:szCs w:val="22"/>
              </w:rPr>
              <w:t>larvae</w:t>
            </w:r>
          </w:p>
        </w:tc>
        <w:tc>
          <w:tcPr>
            <w:tcW w:w="904" w:type="dxa"/>
            <w:tcBorders>
              <w:left w:val="single" w:sz="12" w:space="0" w:color="FFFFFF" w:themeColor="background1"/>
              <w:right w:val="single" w:sz="12" w:space="0" w:color="FFFFFF" w:themeColor="background1"/>
            </w:tcBorders>
          </w:tcPr>
          <w:p w14:paraId="2A28B32E" w14:textId="77777777" w:rsidR="0020768B" w:rsidRPr="00CE5EF7" w:rsidRDefault="0020768B" w:rsidP="00054B18">
            <w:pPr>
              <w:spacing w:after="120" w:line="320" w:lineRule="exact"/>
              <w:jc w:val="center"/>
              <w:rPr>
                <w:szCs w:val="22"/>
              </w:rPr>
            </w:pPr>
            <w:r w:rsidRPr="00CE5EF7">
              <w:rPr>
                <w:szCs w:val="22"/>
              </w:rPr>
              <w:t>eggs</w:t>
            </w:r>
          </w:p>
        </w:tc>
        <w:tc>
          <w:tcPr>
            <w:tcW w:w="905" w:type="dxa"/>
            <w:tcBorders>
              <w:left w:val="single" w:sz="12" w:space="0" w:color="FFFFFF" w:themeColor="background1"/>
              <w:right w:val="single" w:sz="12" w:space="0" w:color="FFFFFF" w:themeColor="background1"/>
            </w:tcBorders>
          </w:tcPr>
          <w:p w14:paraId="766EAC4C" w14:textId="77777777" w:rsidR="0020768B" w:rsidRPr="00CE5EF7" w:rsidRDefault="0020768B" w:rsidP="00054B18">
            <w:pPr>
              <w:spacing w:after="120" w:line="320" w:lineRule="exact"/>
              <w:jc w:val="center"/>
              <w:rPr>
                <w:szCs w:val="22"/>
              </w:rPr>
            </w:pPr>
            <w:r w:rsidRPr="00CE5EF7">
              <w:rPr>
                <w:szCs w:val="22"/>
              </w:rPr>
              <w:t>larvae</w:t>
            </w:r>
          </w:p>
        </w:tc>
        <w:tc>
          <w:tcPr>
            <w:tcW w:w="902" w:type="dxa"/>
            <w:tcBorders>
              <w:left w:val="single" w:sz="12" w:space="0" w:color="FFFFFF" w:themeColor="background1"/>
              <w:right w:val="single" w:sz="12" w:space="0" w:color="FFFFFF" w:themeColor="background1"/>
            </w:tcBorders>
          </w:tcPr>
          <w:p w14:paraId="0ED4CF7B" w14:textId="77777777" w:rsidR="0020768B" w:rsidRPr="00CE5EF7" w:rsidRDefault="0020768B" w:rsidP="00054B18">
            <w:pPr>
              <w:spacing w:after="120" w:line="320" w:lineRule="exact"/>
              <w:jc w:val="center"/>
              <w:rPr>
                <w:szCs w:val="22"/>
              </w:rPr>
            </w:pPr>
            <w:r w:rsidRPr="00CE5EF7">
              <w:rPr>
                <w:szCs w:val="22"/>
              </w:rPr>
              <w:t>eggs</w:t>
            </w:r>
          </w:p>
        </w:tc>
        <w:tc>
          <w:tcPr>
            <w:tcW w:w="902" w:type="dxa"/>
            <w:tcBorders>
              <w:left w:val="single" w:sz="12" w:space="0" w:color="FFFFFF" w:themeColor="background1"/>
              <w:right w:val="single" w:sz="12" w:space="0" w:color="FFFFFF" w:themeColor="background1"/>
            </w:tcBorders>
          </w:tcPr>
          <w:p w14:paraId="15285C81" w14:textId="77777777" w:rsidR="0020768B" w:rsidRPr="00CE5EF7" w:rsidRDefault="0020768B" w:rsidP="00054B18">
            <w:pPr>
              <w:spacing w:after="120" w:line="320" w:lineRule="exact"/>
              <w:jc w:val="center"/>
              <w:rPr>
                <w:szCs w:val="22"/>
              </w:rPr>
            </w:pPr>
            <w:r w:rsidRPr="00CE5EF7">
              <w:rPr>
                <w:szCs w:val="22"/>
              </w:rPr>
              <w:t>larvae</w:t>
            </w:r>
          </w:p>
        </w:tc>
        <w:tc>
          <w:tcPr>
            <w:tcW w:w="874" w:type="dxa"/>
            <w:tcBorders>
              <w:left w:val="single" w:sz="12" w:space="0" w:color="FFFFFF" w:themeColor="background1"/>
              <w:right w:val="single" w:sz="12" w:space="0" w:color="FFFFFF" w:themeColor="background1"/>
            </w:tcBorders>
          </w:tcPr>
          <w:p w14:paraId="48718AE4" w14:textId="77777777" w:rsidR="0020768B" w:rsidRPr="00CE5EF7" w:rsidRDefault="0020768B" w:rsidP="00054B18">
            <w:pPr>
              <w:spacing w:after="120" w:line="320" w:lineRule="exact"/>
              <w:jc w:val="center"/>
              <w:rPr>
                <w:szCs w:val="22"/>
              </w:rPr>
            </w:pPr>
            <w:r w:rsidRPr="00CE5EF7">
              <w:rPr>
                <w:szCs w:val="22"/>
              </w:rPr>
              <w:t>eggs</w:t>
            </w:r>
          </w:p>
        </w:tc>
        <w:tc>
          <w:tcPr>
            <w:tcW w:w="875" w:type="dxa"/>
            <w:tcBorders>
              <w:left w:val="single" w:sz="12" w:space="0" w:color="FFFFFF" w:themeColor="background1"/>
              <w:right w:val="nil"/>
            </w:tcBorders>
          </w:tcPr>
          <w:p w14:paraId="46EA385A" w14:textId="77777777" w:rsidR="0020768B" w:rsidRPr="00CE5EF7" w:rsidRDefault="0020768B" w:rsidP="00054B18">
            <w:pPr>
              <w:spacing w:after="120" w:line="320" w:lineRule="exact"/>
              <w:jc w:val="center"/>
              <w:rPr>
                <w:szCs w:val="22"/>
              </w:rPr>
            </w:pPr>
            <w:r w:rsidRPr="00CE5EF7">
              <w:rPr>
                <w:szCs w:val="22"/>
              </w:rPr>
              <w:t>larvae</w:t>
            </w:r>
          </w:p>
        </w:tc>
      </w:tr>
      <w:tr w:rsidR="0020768B" w14:paraId="1EEE61F1" w14:textId="77777777" w:rsidTr="00F37E2D">
        <w:trPr>
          <w:jc w:val="center"/>
        </w:trPr>
        <w:tc>
          <w:tcPr>
            <w:tcW w:w="1134" w:type="dxa"/>
            <w:tcBorders>
              <w:top w:val="single" w:sz="8" w:space="0" w:color="auto"/>
              <w:left w:val="single" w:sz="12" w:space="0" w:color="FFFFFF" w:themeColor="background1"/>
              <w:bottom w:val="nil"/>
              <w:right w:val="single" w:sz="12" w:space="0" w:color="FFFFFF" w:themeColor="background1"/>
            </w:tcBorders>
          </w:tcPr>
          <w:p w14:paraId="3BB7C655" w14:textId="77777777" w:rsidR="0020768B" w:rsidRPr="00CE5EF7" w:rsidRDefault="0020768B" w:rsidP="00054B18">
            <w:pPr>
              <w:spacing w:after="120" w:line="320" w:lineRule="exact"/>
              <w:rPr>
                <w:szCs w:val="22"/>
              </w:rPr>
            </w:pPr>
            <w:r w:rsidRPr="00CE5EF7">
              <w:rPr>
                <w:szCs w:val="22"/>
              </w:rPr>
              <w:t>site 1</w:t>
            </w:r>
          </w:p>
        </w:tc>
        <w:tc>
          <w:tcPr>
            <w:tcW w:w="904" w:type="dxa"/>
            <w:tcBorders>
              <w:left w:val="single" w:sz="12" w:space="0" w:color="FFFFFF" w:themeColor="background1"/>
              <w:bottom w:val="nil"/>
              <w:right w:val="single" w:sz="12" w:space="0" w:color="FFFFFF" w:themeColor="background1"/>
            </w:tcBorders>
          </w:tcPr>
          <w:p w14:paraId="144084CC" w14:textId="77777777" w:rsidR="0020768B" w:rsidRPr="00CE5EF7" w:rsidRDefault="0020768B" w:rsidP="00054B18">
            <w:pPr>
              <w:spacing w:after="120" w:line="320" w:lineRule="exact"/>
              <w:jc w:val="center"/>
              <w:rPr>
                <w:szCs w:val="22"/>
              </w:rPr>
            </w:pPr>
            <w:r w:rsidRPr="00CE5EF7">
              <w:rPr>
                <w:szCs w:val="22"/>
              </w:rPr>
              <w:t>-</w:t>
            </w:r>
          </w:p>
        </w:tc>
        <w:tc>
          <w:tcPr>
            <w:tcW w:w="905" w:type="dxa"/>
            <w:tcBorders>
              <w:left w:val="single" w:sz="12" w:space="0" w:color="FFFFFF" w:themeColor="background1"/>
              <w:bottom w:val="nil"/>
              <w:right w:val="single" w:sz="12" w:space="0" w:color="FFFFFF" w:themeColor="background1"/>
            </w:tcBorders>
          </w:tcPr>
          <w:p w14:paraId="0A333864" w14:textId="77777777" w:rsidR="0020768B" w:rsidRPr="00CE5EF7" w:rsidRDefault="0020768B" w:rsidP="00054B18">
            <w:pPr>
              <w:spacing w:after="120" w:line="320" w:lineRule="exact"/>
              <w:jc w:val="center"/>
              <w:rPr>
                <w:szCs w:val="22"/>
              </w:rPr>
            </w:pPr>
            <w:r w:rsidRPr="00CE5EF7">
              <w:rPr>
                <w:szCs w:val="22"/>
              </w:rPr>
              <w:t>-</w:t>
            </w:r>
          </w:p>
        </w:tc>
        <w:tc>
          <w:tcPr>
            <w:tcW w:w="904" w:type="dxa"/>
            <w:tcBorders>
              <w:left w:val="single" w:sz="12" w:space="0" w:color="FFFFFF" w:themeColor="background1"/>
              <w:bottom w:val="nil"/>
              <w:right w:val="single" w:sz="12" w:space="0" w:color="FFFFFF" w:themeColor="background1"/>
            </w:tcBorders>
          </w:tcPr>
          <w:p w14:paraId="6A07033B" w14:textId="77777777" w:rsidR="0020768B" w:rsidRPr="00CE5EF7" w:rsidRDefault="0020768B" w:rsidP="00054B18">
            <w:pPr>
              <w:spacing w:after="120" w:line="320" w:lineRule="exact"/>
              <w:jc w:val="center"/>
              <w:rPr>
                <w:szCs w:val="22"/>
              </w:rPr>
            </w:pPr>
            <w:r w:rsidRPr="00CE5EF7">
              <w:rPr>
                <w:szCs w:val="22"/>
              </w:rPr>
              <w:t>-</w:t>
            </w:r>
          </w:p>
        </w:tc>
        <w:tc>
          <w:tcPr>
            <w:tcW w:w="905" w:type="dxa"/>
            <w:tcBorders>
              <w:left w:val="single" w:sz="12" w:space="0" w:color="FFFFFF" w:themeColor="background1"/>
              <w:bottom w:val="nil"/>
              <w:right w:val="single" w:sz="12" w:space="0" w:color="FFFFFF" w:themeColor="background1"/>
            </w:tcBorders>
          </w:tcPr>
          <w:p w14:paraId="2A13E366" w14:textId="77777777" w:rsidR="0020768B" w:rsidRPr="00CE5EF7" w:rsidRDefault="0020768B" w:rsidP="00054B18">
            <w:pPr>
              <w:spacing w:after="120" w:line="320" w:lineRule="exact"/>
              <w:jc w:val="center"/>
              <w:rPr>
                <w:szCs w:val="22"/>
              </w:rPr>
            </w:pPr>
            <w:r w:rsidRPr="00CE5EF7">
              <w:rPr>
                <w:szCs w:val="22"/>
              </w:rPr>
              <w:t>-</w:t>
            </w:r>
          </w:p>
        </w:tc>
        <w:tc>
          <w:tcPr>
            <w:tcW w:w="902" w:type="dxa"/>
            <w:tcBorders>
              <w:left w:val="single" w:sz="12" w:space="0" w:color="FFFFFF" w:themeColor="background1"/>
              <w:bottom w:val="nil"/>
              <w:right w:val="single" w:sz="12" w:space="0" w:color="FFFFFF" w:themeColor="background1"/>
            </w:tcBorders>
          </w:tcPr>
          <w:p w14:paraId="58078849" w14:textId="77777777" w:rsidR="0020768B" w:rsidRPr="00CE5EF7" w:rsidRDefault="0020768B" w:rsidP="00054B18">
            <w:pPr>
              <w:spacing w:after="120" w:line="320" w:lineRule="exact"/>
              <w:jc w:val="center"/>
              <w:rPr>
                <w:szCs w:val="22"/>
              </w:rPr>
            </w:pPr>
            <w:r w:rsidRPr="00CE5EF7">
              <w:rPr>
                <w:szCs w:val="22"/>
              </w:rPr>
              <w:t>-</w:t>
            </w:r>
          </w:p>
        </w:tc>
        <w:tc>
          <w:tcPr>
            <w:tcW w:w="902" w:type="dxa"/>
            <w:tcBorders>
              <w:left w:val="single" w:sz="12" w:space="0" w:color="FFFFFF" w:themeColor="background1"/>
              <w:bottom w:val="nil"/>
              <w:right w:val="single" w:sz="12" w:space="0" w:color="FFFFFF" w:themeColor="background1"/>
            </w:tcBorders>
          </w:tcPr>
          <w:p w14:paraId="34043642" w14:textId="77777777" w:rsidR="0020768B" w:rsidRPr="00CE5EF7" w:rsidRDefault="0020768B" w:rsidP="00054B18">
            <w:pPr>
              <w:spacing w:after="120" w:line="320" w:lineRule="exact"/>
              <w:jc w:val="center"/>
              <w:rPr>
                <w:szCs w:val="22"/>
              </w:rPr>
            </w:pPr>
            <w:r w:rsidRPr="00CE5EF7">
              <w:rPr>
                <w:szCs w:val="22"/>
              </w:rPr>
              <w:t>-</w:t>
            </w:r>
          </w:p>
        </w:tc>
        <w:tc>
          <w:tcPr>
            <w:tcW w:w="874" w:type="dxa"/>
            <w:tcBorders>
              <w:left w:val="single" w:sz="12" w:space="0" w:color="FFFFFF" w:themeColor="background1"/>
              <w:bottom w:val="nil"/>
              <w:right w:val="single" w:sz="12" w:space="0" w:color="FFFFFF" w:themeColor="background1"/>
            </w:tcBorders>
          </w:tcPr>
          <w:p w14:paraId="20A23E5F" w14:textId="77777777" w:rsidR="0020768B" w:rsidRPr="00CE5EF7" w:rsidRDefault="0020768B" w:rsidP="00054B18">
            <w:pPr>
              <w:spacing w:after="120" w:line="320" w:lineRule="exact"/>
              <w:jc w:val="center"/>
              <w:rPr>
                <w:szCs w:val="22"/>
              </w:rPr>
            </w:pPr>
            <w:r w:rsidRPr="00CE5EF7">
              <w:rPr>
                <w:szCs w:val="22"/>
              </w:rPr>
              <w:t>-</w:t>
            </w:r>
          </w:p>
        </w:tc>
        <w:tc>
          <w:tcPr>
            <w:tcW w:w="875" w:type="dxa"/>
            <w:tcBorders>
              <w:left w:val="single" w:sz="12" w:space="0" w:color="FFFFFF" w:themeColor="background1"/>
              <w:bottom w:val="nil"/>
              <w:right w:val="nil"/>
            </w:tcBorders>
          </w:tcPr>
          <w:p w14:paraId="0B3F856D" w14:textId="77777777" w:rsidR="0020768B" w:rsidRPr="00CE5EF7" w:rsidRDefault="0020768B" w:rsidP="00054B18">
            <w:pPr>
              <w:spacing w:after="120" w:line="320" w:lineRule="exact"/>
              <w:jc w:val="center"/>
              <w:rPr>
                <w:szCs w:val="22"/>
              </w:rPr>
            </w:pPr>
            <w:r w:rsidRPr="00CE5EF7">
              <w:rPr>
                <w:szCs w:val="22"/>
              </w:rPr>
              <w:t>267</w:t>
            </w:r>
          </w:p>
        </w:tc>
      </w:tr>
      <w:tr w:rsidR="0020768B" w14:paraId="703DC746" w14:textId="77777777" w:rsidTr="00F37E2D">
        <w:trPr>
          <w:jc w:val="center"/>
        </w:trPr>
        <w:tc>
          <w:tcPr>
            <w:tcW w:w="1134" w:type="dxa"/>
            <w:tcBorders>
              <w:top w:val="nil"/>
              <w:left w:val="single" w:sz="12" w:space="0" w:color="FFFFFF" w:themeColor="background1"/>
              <w:bottom w:val="nil"/>
              <w:right w:val="nil"/>
            </w:tcBorders>
          </w:tcPr>
          <w:p w14:paraId="3A302EFF" w14:textId="77777777" w:rsidR="0020768B" w:rsidRPr="00CE5EF7" w:rsidRDefault="0020768B" w:rsidP="00054B18">
            <w:pPr>
              <w:spacing w:after="120" w:line="320" w:lineRule="exact"/>
              <w:rPr>
                <w:szCs w:val="22"/>
              </w:rPr>
            </w:pPr>
            <w:r w:rsidRPr="00CE5EF7">
              <w:rPr>
                <w:szCs w:val="22"/>
              </w:rPr>
              <w:t>site 2</w:t>
            </w:r>
          </w:p>
        </w:tc>
        <w:tc>
          <w:tcPr>
            <w:tcW w:w="904" w:type="dxa"/>
            <w:tcBorders>
              <w:top w:val="nil"/>
              <w:left w:val="nil"/>
              <w:bottom w:val="nil"/>
              <w:right w:val="nil"/>
            </w:tcBorders>
          </w:tcPr>
          <w:p w14:paraId="6587BB4F" w14:textId="77777777" w:rsidR="0020768B" w:rsidRPr="00CE5EF7" w:rsidRDefault="0020768B" w:rsidP="00054B18">
            <w:pPr>
              <w:spacing w:after="120" w:line="320" w:lineRule="exact"/>
              <w:jc w:val="center"/>
              <w:rPr>
                <w:szCs w:val="22"/>
              </w:rPr>
            </w:pPr>
            <w:r w:rsidRPr="00CE5EF7">
              <w:rPr>
                <w:szCs w:val="22"/>
              </w:rPr>
              <w:t>-</w:t>
            </w:r>
          </w:p>
        </w:tc>
        <w:tc>
          <w:tcPr>
            <w:tcW w:w="905" w:type="dxa"/>
            <w:tcBorders>
              <w:top w:val="nil"/>
              <w:left w:val="nil"/>
              <w:bottom w:val="nil"/>
              <w:right w:val="nil"/>
            </w:tcBorders>
          </w:tcPr>
          <w:p w14:paraId="2329BB44" w14:textId="77777777" w:rsidR="0020768B" w:rsidRPr="00CE5EF7" w:rsidRDefault="0020768B" w:rsidP="00054B18">
            <w:pPr>
              <w:spacing w:after="120" w:line="320" w:lineRule="exact"/>
              <w:jc w:val="center"/>
              <w:rPr>
                <w:szCs w:val="22"/>
              </w:rPr>
            </w:pPr>
            <w:r w:rsidRPr="00CE5EF7">
              <w:rPr>
                <w:szCs w:val="22"/>
              </w:rPr>
              <w:t>-</w:t>
            </w:r>
          </w:p>
        </w:tc>
        <w:tc>
          <w:tcPr>
            <w:tcW w:w="904" w:type="dxa"/>
            <w:tcBorders>
              <w:top w:val="nil"/>
              <w:left w:val="nil"/>
              <w:bottom w:val="nil"/>
              <w:right w:val="nil"/>
            </w:tcBorders>
          </w:tcPr>
          <w:p w14:paraId="1301D2F5" w14:textId="77777777" w:rsidR="0020768B" w:rsidRPr="00CE5EF7" w:rsidRDefault="0020768B" w:rsidP="00054B18">
            <w:pPr>
              <w:spacing w:after="120" w:line="320" w:lineRule="exact"/>
              <w:jc w:val="center"/>
              <w:rPr>
                <w:szCs w:val="22"/>
              </w:rPr>
            </w:pPr>
            <w:r w:rsidRPr="00CE5EF7">
              <w:rPr>
                <w:szCs w:val="22"/>
              </w:rPr>
              <w:t>-</w:t>
            </w:r>
          </w:p>
        </w:tc>
        <w:tc>
          <w:tcPr>
            <w:tcW w:w="905" w:type="dxa"/>
            <w:tcBorders>
              <w:top w:val="nil"/>
              <w:left w:val="nil"/>
              <w:bottom w:val="nil"/>
              <w:right w:val="nil"/>
            </w:tcBorders>
          </w:tcPr>
          <w:p w14:paraId="4806BDC5" w14:textId="77777777" w:rsidR="0020768B" w:rsidRPr="00CE5EF7" w:rsidRDefault="0020768B" w:rsidP="00054B18">
            <w:pPr>
              <w:spacing w:after="120" w:line="320" w:lineRule="exact"/>
              <w:jc w:val="center"/>
              <w:rPr>
                <w:szCs w:val="22"/>
              </w:rPr>
            </w:pPr>
            <w:r w:rsidRPr="00CE5EF7">
              <w:rPr>
                <w:szCs w:val="22"/>
              </w:rPr>
              <w:t>-</w:t>
            </w:r>
          </w:p>
        </w:tc>
        <w:tc>
          <w:tcPr>
            <w:tcW w:w="902" w:type="dxa"/>
            <w:tcBorders>
              <w:top w:val="nil"/>
              <w:left w:val="nil"/>
              <w:bottom w:val="nil"/>
              <w:right w:val="nil"/>
            </w:tcBorders>
          </w:tcPr>
          <w:p w14:paraId="45AB1452" w14:textId="77777777" w:rsidR="0020768B" w:rsidRPr="00CE5EF7" w:rsidRDefault="0020768B" w:rsidP="00054B18">
            <w:pPr>
              <w:spacing w:after="120" w:line="320" w:lineRule="exact"/>
              <w:jc w:val="center"/>
              <w:rPr>
                <w:szCs w:val="22"/>
              </w:rPr>
            </w:pPr>
            <w:r w:rsidRPr="00CE5EF7">
              <w:rPr>
                <w:szCs w:val="22"/>
              </w:rPr>
              <w:t>1</w:t>
            </w:r>
          </w:p>
        </w:tc>
        <w:tc>
          <w:tcPr>
            <w:tcW w:w="902" w:type="dxa"/>
            <w:tcBorders>
              <w:top w:val="nil"/>
              <w:left w:val="nil"/>
              <w:bottom w:val="nil"/>
              <w:right w:val="nil"/>
            </w:tcBorders>
          </w:tcPr>
          <w:p w14:paraId="4F375AE4" w14:textId="77777777" w:rsidR="0020768B" w:rsidRPr="00CE5EF7" w:rsidRDefault="0020768B" w:rsidP="00054B18">
            <w:pPr>
              <w:spacing w:after="120" w:line="320" w:lineRule="exact"/>
              <w:jc w:val="center"/>
              <w:rPr>
                <w:szCs w:val="22"/>
              </w:rPr>
            </w:pPr>
            <w:r w:rsidRPr="00CE5EF7">
              <w:rPr>
                <w:szCs w:val="22"/>
              </w:rPr>
              <w:t>-</w:t>
            </w:r>
          </w:p>
        </w:tc>
        <w:tc>
          <w:tcPr>
            <w:tcW w:w="874" w:type="dxa"/>
            <w:tcBorders>
              <w:top w:val="nil"/>
              <w:left w:val="nil"/>
              <w:bottom w:val="nil"/>
              <w:right w:val="nil"/>
            </w:tcBorders>
          </w:tcPr>
          <w:p w14:paraId="19A6B326" w14:textId="77777777" w:rsidR="0020768B" w:rsidRPr="00CE5EF7" w:rsidRDefault="0020768B" w:rsidP="00054B18">
            <w:pPr>
              <w:spacing w:after="120" w:line="320" w:lineRule="exact"/>
              <w:jc w:val="center"/>
              <w:rPr>
                <w:szCs w:val="22"/>
              </w:rPr>
            </w:pPr>
            <w:r w:rsidRPr="00CE5EF7">
              <w:rPr>
                <w:szCs w:val="22"/>
              </w:rPr>
              <w:t>-</w:t>
            </w:r>
          </w:p>
        </w:tc>
        <w:tc>
          <w:tcPr>
            <w:tcW w:w="875" w:type="dxa"/>
            <w:tcBorders>
              <w:top w:val="nil"/>
              <w:left w:val="nil"/>
              <w:bottom w:val="nil"/>
              <w:right w:val="nil"/>
            </w:tcBorders>
          </w:tcPr>
          <w:p w14:paraId="2B3375DF" w14:textId="77777777" w:rsidR="0020768B" w:rsidRPr="00CE5EF7" w:rsidRDefault="0020768B" w:rsidP="00054B18">
            <w:pPr>
              <w:spacing w:after="120" w:line="320" w:lineRule="exact"/>
              <w:jc w:val="center"/>
              <w:rPr>
                <w:szCs w:val="22"/>
              </w:rPr>
            </w:pPr>
            <w:r w:rsidRPr="00CE5EF7">
              <w:rPr>
                <w:szCs w:val="22"/>
              </w:rPr>
              <w:t>43</w:t>
            </w:r>
          </w:p>
        </w:tc>
      </w:tr>
      <w:tr w:rsidR="0020768B" w14:paraId="5963E02A" w14:textId="77777777" w:rsidTr="00F37E2D">
        <w:trPr>
          <w:trHeight w:val="233"/>
          <w:jc w:val="center"/>
        </w:trPr>
        <w:tc>
          <w:tcPr>
            <w:tcW w:w="1134" w:type="dxa"/>
            <w:tcBorders>
              <w:top w:val="nil"/>
              <w:left w:val="single" w:sz="12" w:space="0" w:color="FFFFFF" w:themeColor="background1"/>
              <w:bottom w:val="nil"/>
              <w:right w:val="nil"/>
            </w:tcBorders>
          </w:tcPr>
          <w:p w14:paraId="0D12AB6A" w14:textId="77777777" w:rsidR="0020768B" w:rsidRPr="00CE5EF7" w:rsidRDefault="0020768B" w:rsidP="00054B18">
            <w:pPr>
              <w:spacing w:after="120" w:line="320" w:lineRule="exact"/>
              <w:rPr>
                <w:szCs w:val="22"/>
              </w:rPr>
            </w:pPr>
            <w:r w:rsidRPr="00CE5EF7">
              <w:rPr>
                <w:szCs w:val="22"/>
              </w:rPr>
              <w:t>site 3</w:t>
            </w:r>
          </w:p>
        </w:tc>
        <w:tc>
          <w:tcPr>
            <w:tcW w:w="904" w:type="dxa"/>
            <w:tcBorders>
              <w:top w:val="nil"/>
              <w:left w:val="nil"/>
              <w:bottom w:val="nil"/>
              <w:right w:val="nil"/>
            </w:tcBorders>
          </w:tcPr>
          <w:p w14:paraId="2046B30A" w14:textId="77777777" w:rsidR="0020768B" w:rsidRPr="00CE5EF7" w:rsidRDefault="0020768B" w:rsidP="00054B18">
            <w:pPr>
              <w:spacing w:after="120" w:line="320" w:lineRule="exact"/>
              <w:jc w:val="center"/>
              <w:rPr>
                <w:szCs w:val="22"/>
              </w:rPr>
            </w:pPr>
            <w:r w:rsidRPr="00CE5EF7">
              <w:rPr>
                <w:szCs w:val="22"/>
              </w:rPr>
              <w:t>-</w:t>
            </w:r>
          </w:p>
        </w:tc>
        <w:tc>
          <w:tcPr>
            <w:tcW w:w="905" w:type="dxa"/>
            <w:tcBorders>
              <w:top w:val="nil"/>
              <w:left w:val="nil"/>
              <w:bottom w:val="nil"/>
              <w:right w:val="nil"/>
            </w:tcBorders>
          </w:tcPr>
          <w:p w14:paraId="534F3C95" w14:textId="77777777" w:rsidR="0020768B" w:rsidRPr="00CE5EF7" w:rsidRDefault="0020768B" w:rsidP="00054B18">
            <w:pPr>
              <w:spacing w:after="120" w:line="320" w:lineRule="exact"/>
              <w:jc w:val="center"/>
              <w:rPr>
                <w:szCs w:val="22"/>
              </w:rPr>
            </w:pPr>
            <w:r w:rsidRPr="00CE5EF7">
              <w:rPr>
                <w:szCs w:val="22"/>
              </w:rPr>
              <w:t>-</w:t>
            </w:r>
          </w:p>
        </w:tc>
        <w:tc>
          <w:tcPr>
            <w:tcW w:w="904" w:type="dxa"/>
            <w:tcBorders>
              <w:top w:val="nil"/>
              <w:left w:val="nil"/>
              <w:bottom w:val="nil"/>
              <w:right w:val="nil"/>
            </w:tcBorders>
          </w:tcPr>
          <w:p w14:paraId="21D3F194" w14:textId="77777777" w:rsidR="0020768B" w:rsidRPr="00CE5EF7" w:rsidRDefault="0020768B" w:rsidP="00054B18">
            <w:pPr>
              <w:spacing w:after="120" w:line="320" w:lineRule="exact"/>
              <w:jc w:val="center"/>
              <w:rPr>
                <w:szCs w:val="22"/>
              </w:rPr>
            </w:pPr>
            <w:r w:rsidRPr="00CE5EF7">
              <w:rPr>
                <w:szCs w:val="22"/>
              </w:rPr>
              <w:t>-</w:t>
            </w:r>
          </w:p>
        </w:tc>
        <w:tc>
          <w:tcPr>
            <w:tcW w:w="905" w:type="dxa"/>
            <w:tcBorders>
              <w:top w:val="nil"/>
              <w:left w:val="nil"/>
              <w:bottom w:val="nil"/>
              <w:right w:val="nil"/>
            </w:tcBorders>
          </w:tcPr>
          <w:p w14:paraId="5AE77F40" w14:textId="77777777" w:rsidR="0020768B" w:rsidRPr="00CE5EF7" w:rsidRDefault="0020768B" w:rsidP="00054B18">
            <w:pPr>
              <w:spacing w:after="120" w:line="320" w:lineRule="exact"/>
              <w:jc w:val="center"/>
              <w:rPr>
                <w:szCs w:val="22"/>
              </w:rPr>
            </w:pPr>
            <w:r w:rsidRPr="00CE5EF7">
              <w:rPr>
                <w:szCs w:val="22"/>
              </w:rPr>
              <w:t>-</w:t>
            </w:r>
          </w:p>
        </w:tc>
        <w:tc>
          <w:tcPr>
            <w:tcW w:w="902" w:type="dxa"/>
            <w:tcBorders>
              <w:top w:val="nil"/>
              <w:left w:val="nil"/>
              <w:bottom w:val="nil"/>
              <w:right w:val="nil"/>
            </w:tcBorders>
          </w:tcPr>
          <w:p w14:paraId="7E0994D6" w14:textId="77777777" w:rsidR="0020768B" w:rsidRPr="00CE5EF7" w:rsidRDefault="0020768B" w:rsidP="00054B18">
            <w:pPr>
              <w:spacing w:after="120" w:line="320" w:lineRule="exact"/>
              <w:jc w:val="center"/>
              <w:rPr>
                <w:szCs w:val="22"/>
              </w:rPr>
            </w:pPr>
            <w:r w:rsidRPr="00CE5EF7">
              <w:rPr>
                <w:szCs w:val="22"/>
              </w:rPr>
              <w:t>-</w:t>
            </w:r>
          </w:p>
        </w:tc>
        <w:tc>
          <w:tcPr>
            <w:tcW w:w="902" w:type="dxa"/>
            <w:tcBorders>
              <w:top w:val="nil"/>
              <w:left w:val="nil"/>
              <w:bottom w:val="nil"/>
              <w:right w:val="nil"/>
            </w:tcBorders>
          </w:tcPr>
          <w:p w14:paraId="509FC6BC" w14:textId="77777777" w:rsidR="0020768B" w:rsidRPr="00CE5EF7" w:rsidRDefault="0020768B" w:rsidP="00054B18">
            <w:pPr>
              <w:spacing w:after="120" w:line="320" w:lineRule="exact"/>
              <w:jc w:val="center"/>
              <w:rPr>
                <w:szCs w:val="22"/>
              </w:rPr>
            </w:pPr>
            <w:r w:rsidRPr="00CE5EF7">
              <w:rPr>
                <w:szCs w:val="22"/>
              </w:rPr>
              <w:t>-</w:t>
            </w:r>
          </w:p>
        </w:tc>
        <w:tc>
          <w:tcPr>
            <w:tcW w:w="874" w:type="dxa"/>
            <w:tcBorders>
              <w:top w:val="nil"/>
              <w:left w:val="nil"/>
              <w:bottom w:val="nil"/>
              <w:right w:val="nil"/>
            </w:tcBorders>
          </w:tcPr>
          <w:p w14:paraId="1C97F0D7" w14:textId="77777777" w:rsidR="0020768B" w:rsidRPr="00CE5EF7" w:rsidRDefault="0020768B" w:rsidP="00054B18">
            <w:pPr>
              <w:spacing w:after="120" w:line="320" w:lineRule="exact"/>
              <w:jc w:val="center"/>
              <w:rPr>
                <w:szCs w:val="22"/>
              </w:rPr>
            </w:pPr>
            <w:r w:rsidRPr="00CE5EF7">
              <w:rPr>
                <w:szCs w:val="22"/>
              </w:rPr>
              <w:t>2</w:t>
            </w:r>
          </w:p>
        </w:tc>
        <w:tc>
          <w:tcPr>
            <w:tcW w:w="875" w:type="dxa"/>
            <w:tcBorders>
              <w:top w:val="nil"/>
              <w:left w:val="nil"/>
              <w:bottom w:val="nil"/>
              <w:right w:val="nil"/>
            </w:tcBorders>
          </w:tcPr>
          <w:p w14:paraId="0BFF3A15" w14:textId="77777777" w:rsidR="0020768B" w:rsidRPr="00CE5EF7" w:rsidRDefault="0020768B" w:rsidP="00054B18">
            <w:pPr>
              <w:spacing w:after="120" w:line="320" w:lineRule="exact"/>
              <w:jc w:val="center"/>
              <w:rPr>
                <w:szCs w:val="22"/>
              </w:rPr>
            </w:pPr>
            <w:r w:rsidRPr="00CE5EF7">
              <w:rPr>
                <w:szCs w:val="22"/>
              </w:rPr>
              <w:t>43</w:t>
            </w:r>
          </w:p>
        </w:tc>
      </w:tr>
      <w:tr w:rsidR="0020768B" w14:paraId="68889703" w14:textId="77777777" w:rsidTr="00F37E2D">
        <w:trPr>
          <w:jc w:val="center"/>
        </w:trPr>
        <w:tc>
          <w:tcPr>
            <w:tcW w:w="1134" w:type="dxa"/>
            <w:tcBorders>
              <w:top w:val="nil"/>
              <w:left w:val="single" w:sz="12" w:space="0" w:color="FFFFFF" w:themeColor="background1"/>
              <w:bottom w:val="single" w:sz="12" w:space="0" w:color="auto"/>
              <w:right w:val="single" w:sz="12" w:space="0" w:color="FFFFFF" w:themeColor="background1"/>
            </w:tcBorders>
            <w:shd w:val="clear" w:color="auto" w:fill="auto"/>
          </w:tcPr>
          <w:p w14:paraId="679B8F5C" w14:textId="77777777" w:rsidR="0020768B" w:rsidRPr="00CE5EF7" w:rsidRDefault="0020768B" w:rsidP="00054B18">
            <w:pPr>
              <w:spacing w:after="120" w:line="320" w:lineRule="exact"/>
              <w:rPr>
                <w:b/>
                <w:color w:val="000000" w:themeColor="text1"/>
                <w:szCs w:val="22"/>
              </w:rPr>
            </w:pPr>
            <w:r w:rsidRPr="00CE5EF7">
              <w:rPr>
                <w:b/>
                <w:color w:val="000000" w:themeColor="text1"/>
                <w:szCs w:val="22"/>
              </w:rPr>
              <w:t>total</w:t>
            </w:r>
          </w:p>
        </w:tc>
        <w:tc>
          <w:tcPr>
            <w:tcW w:w="904" w:type="dxa"/>
            <w:tcBorders>
              <w:top w:val="nil"/>
              <w:left w:val="single" w:sz="12" w:space="0" w:color="FFFFFF" w:themeColor="background1"/>
              <w:bottom w:val="single" w:sz="12" w:space="0" w:color="auto"/>
              <w:right w:val="single" w:sz="12" w:space="0" w:color="FFFFFF" w:themeColor="background1"/>
            </w:tcBorders>
          </w:tcPr>
          <w:p w14:paraId="55D7B009"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w:t>
            </w:r>
          </w:p>
        </w:tc>
        <w:tc>
          <w:tcPr>
            <w:tcW w:w="905" w:type="dxa"/>
            <w:tcBorders>
              <w:top w:val="nil"/>
              <w:left w:val="single" w:sz="12" w:space="0" w:color="FFFFFF" w:themeColor="background1"/>
              <w:bottom w:val="single" w:sz="12" w:space="0" w:color="auto"/>
              <w:right w:val="single" w:sz="12" w:space="0" w:color="FFFFFF" w:themeColor="background1"/>
            </w:tcBorders>
          </w:tcPr>
          <w:p w14:paraId="4E892D86"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w:t>
            </w:r>
          </w:p>
        </w:tc>
        <w:tc>
          <w:tcPr>
            <w:tcW w:w="904" w:type="dxa"/>
            <w:tcBorders>
              <w:top w:val="nil"/>
              <w:left w:val="single" w:sz="12" w:space="0" w:color="FFFFFF" w:themeColor="background1"/>
              <w:bottom w:val="single" w:sz="12" w:space="0" w:color="auto"/>
              <w:right w:val="single" w:sz="12" w:space="0" w:color="FFFFFF" w:themeColor="background1"/>
            </w:tcBorders>
          </w:tcPr>
          <w:p w14:paraId="7FA448DD"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w:t>
            </w:r>
          </w:p>
        </w:tc>
        <w:tc>
          <w:tcPr>
            <w:tcW w:w="905" w:type="dxa"/>
            <w:tcBorders>
              <w:top w:val="nil"/>
              <w:left w:val="single" w:sz="12" w:space="0" w:color="FFFFFF" w:themeColor="background1"/>
              <w:bottom w:val="single" w:sz="12" w:space="0" w:color="auto"/>
              <w:right w:val="single" w:sz="12" w:space="0" w:color="FFFFFF" w:themeColor="background1"/>
            </w:tcBorders>
          </w:tcPr>
          <w:p w14:paraId="5C8C48A9"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w:t>
            </w:r>
          </w:p>
        </w:tc>
        <w:tc>
          <w:tcPr>
            <w:tcW w:w="902" w:type="dxa"/>
            <w:tcBorders>
              <w:top w:val="nil"/>
              <w:left w:val="single" w:sz="12" w:space="0" w:color="FFFFFF" w:themeColor="background1"/>
              <w:bottom w:val="single" w:sz="12" w:space="0" w:color="auto"/>
              <w:right w:val="single" w:sz="12" w:space="0" w:color="FFFFFF" w:themeColor="background1"/>
            </w:tcBorders>
          </w:tcPr>
          <w:p w14:paraId="0CCC5756"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1</w:t>
            </w:r>
          </w:p>
        </w:tc>
        <w:tc>
          <w:tcPr>
            <w:tcW w:w="902" w:type="dxa"/>
            <w:tcBorders>
              <w:top w:val="nil"/>
              <w:left w:val="single" w:sz="12" w:space="0" w:color="FFFFFF" w:themeColor="background1"/>
              <w:bottom w:val="single" w:sz="12" w:space="0" w:color="auto"/>
              <w:right w:val="single" w:sz="12" w:space="0" w:color="FFFFFF" w:themeColor="background1"/>
            </w:tcBorders>
          </w:tcPr>
          <w:p w14:paraId="163F2CDA"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w:t>
            </w:r>
          </w:p>
        </w:tc>
        <w:tc>
          <w:tcPr>
            <w:tcW w:w="874" w:type="dxa"/>
            <w:tcBorders>
              <w:top w:val="nil"/>
              <w:left w:val="single" w:sz="12" w:space="0" w:color="FFFFFF" w:themeColor="background1"/>
              <w:bottom w:val="single" w:sz="12" w:space="0" w:color="auto"/>
              <w:right w:val="single" w:sz="12" w:space="0" w:color="FFFFFF" w:themeColor="background1"/>
            </w:tcBorders>
          </w:tcPr>
          <w:p w14:paraId="10A859ED"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2</w:t>
            </w:r>
          </w:p>
        </w:tc>
        <w:tc>
          <w:tcPr>
            <w:tcW w:w="875" w:type="dxa"/>
            <w:tcBorders>
              <w:top w:val="nil"/>
              <w:left w:val="single" w:sz="12" w:space="0" w:color="FFFFFF" w:themeColor="background1"/>
              <w:bottom w:val="single" w:sz="12" w:space="0" w:color="auto"/>
              <w:right w:val="nil"/>
            </w:tcBorders>
          </w:tcPr>
          <w:p w14:paraId="258E8B74" w14:textId="77777777" w:rsidR="0020768B" w:rsidRPr="00CE5EF7" w:rsidRDefault="0020768B" w:rsidP="00054B18">
            <w:pPr>
              <w:spacing w:after="120" w:line="320" w:lineRule="exact"/>
              <w:jc w:val="center"/>
              <w:rPr>
                <w:color w:val="000000" w:themeColor="text1"/>
                <w:szCs w:val="22"/>
              </w:rPr>
            </w:pPr>
            <w:r w:rsidRPr="00CE5EF7">
              <w:rPr>
                <w:color w:val="000000" w:themeColor="text1"/>
                <w:szCs w:val="22"/>
              </w:rPr>
              <w:t>353</w:t>
            </w:r>
          </w:p>
        </w:tc>
      </w:tr>
    </w:tbl>
    <w:p w14:paraId="5B163EEE" w14:textId="09BB32E6" w:rsidR="0020768B" w:rsidRDefault="002632D5" w:rsidP="0020768B">
      <w:pPr>
        <w:pStyle w:val="BodyText"/>
        <w:rPr>
          <w:rFonts w:ascii="Calibri" w:hAnsi="Calibri"/>
          <w:b/>
          <w:color w:val="31849B" w:themeColor="accent5" w:themeShade="BF"/>
        </w:rPr>
      </w:pPr>
      <w:r>
        <w:rPr>
          <w:rFonts w:ascii="Calibri" w:hAnsi="Calibri"/>
          <w:b/>
          <w:noProof/>
          <w:color w:val="31849B" w:themeColor="accent5" w:themeShade="BF"/>
          <w:lang w:val="en-AU" w:eastAsia="en-AU"/>
        </w:rPr>
        <w:drawing>
          <wp:inline distT="0" distB="0" distL="0" distR="0" wp14:anchorId="56D57A4B" wp14:editId="45A0D1DF">
            <wp:extent cx="4717604" cy="5040000"/>
            <wp:effectExtent l="0" t="0" r="6985" b="8255"/>
            <wp:docPr id="22638" name="Picture 2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717604" cy="5040000"/>
                    </a:xfrm>
                    <a:prstGeom prst="rect">
                      <a:avLst/>
                    </a:prstGeom>
                    <a:noFill/>
                  </pic:spPr>
                </pic:pic>
              </a:graphicData>
            </a:graphic>
          </wp:inline>
        </w:drawing>
      </w:r>
    </w:p>
    <w:p w14:paraId="7F791F6D" w14:textId="73F99949" w:rsidR="0020768B" w:rsidRDefault="0020768B" w:rsidP="0020768B">
      <w:pPr>
        <w:pStyle w:val="BodyText"/>
        <w:spacing w:line="240" w:lineRule="auto"/>
        <w:jc w:val="center"/>
        <w:rPr>
          <w:rFonts w:ascii="Calibri" w:hAnsi="Calibri"/>
          <w:b/>
          <w:color w:val="31849B" w:themeColor="accent5" w:themeShade="BF"/>
        </w:rPr>
      </w:pPr>
    </w:p>
    <w:p w14:paraId="64B7992C" w14:textId="02056C1C" w:rsidR="0020768B" w:rsidRPr="00C55AA1" w:rsidRDefault="0020768B" w:rsidP="0020768B">
      <w:pPr>
        <w:spacing w:line="240" w:lineRule="auto"/>
        <w:ind w:right="-46"/>
        <w:jc w:val="left"/>
        <w:rPr>
          <w:sz w:val="20"/>
        </w:rPr>
      </w:pPr>
      <w:r w:rsidRPr="00C55AA1">
        <w:rPr>
          <w:b/>
          <w:sz w:val="20"/>
        </w:rPr>
        <w:t>Figure</w:t>
      </w:r>
      <w:r>
        <w:rPr>
          <w:b/>
          <w:sz w:val="20"/>
        </w:rPr>
        <w:t xml:space="preserve"> 11</w:t>
      </w:r>
      <w:r w:rsidRPr="00C55AA1">
        <w:rPr>
          <w:b/>
          <w:sz w:val="20"/>
        </w:rPr>
        <w:t>.</w:t>
      </w:r>
      <w:r>
        <w:rPr>
          <w:b/>
          <w:sz w:val="20"/>
        </w:rPr>
        <w:t>2</w:t>
      </w:r>
      <w:r w:rsidRPr="00C55AA1">
        <w:rPr>
          <w:b/>
          <w:sz w:val="20"/>
        </w:rPr>
        <w:t xml:space="preserve"> </w:t>
      </w:r>
      <w:r w:rsidRPr="00C55AA1">
        <w:rPr>
          <w:sz w:val="20"/>
        </w:rPr>
        <w:t xml:space="preserve">Occurrence of </w:t>
      </w:r>
      <w:r>
        <w:rPr>
          <w:sz w:val="20"/>
        </w:rPr>
        <w:t xml:space="preserve">Murray cod larvae </w:t>
      </w:r>
      <w:r w:rsidRPr="00C55AA1">
        <w:rPr>
          <w:sz w:val="20"/>
        </w:rPr>
        <w:t>in the Edward/Kolety River (</w:t>
      </w:r>
      <w:r>
        <w:rPr>
          <w:sz w:val="20"/>
        </w:rPr>
        <w:t xml:space="preserve">between </w:t>
      </w:r>
      <w:r w:rsidRPr="00C55AA1">
        <w:rPr>
          <w:sz w:val="20"/>
        </w:rPr>
        <w:t>Stevens Weir</w:t>
      </w:r>
      <w:r>
        <w:rPr>
          <w:sz w:val="20"/>
        </w:rPr>
        <w:t xml:space="preserve"> and Werai State Forest</w:t>
      </w:r>
      <w:r w:rsidRPr="00C55AA1">
        <w:rPr>
          <w:sz w:val="20"/>
        </w:rPr>
        <w:t>) during the</w:t>
      </w:r>
      <w:r>
        <w:rPr>
          <w:sz w:val="20"/>
        </w:rPr>
        <w:t xml:space="preserve"> 2019-20 watering year</w:t>
      </w:r>
      <w:r w:rsidRPr="00C55AA1">
        <w:rPr>
          <w:sz w:val="20"/>
        </w:rPr>
        <w:t xml:space="preserve"> in relation to a) Water temperature b) Discharge, and c) Water level. Drift nets were deployed weekly at 3 sites (n=9), </w:t>
      </w:r>
      <w:r>
        <w:rPr>
          <w:sz w:val="20"/>
        </w:rPr>
        <w:t xml:space="preserve">over the time period </w:t>
      </w:r>
      <w:r w:rsidRPr="00C55AA1">
        <w:rPr>
          <w:sz w:val="20"/>
        </w:rPr>
        <w:t xml:space="preserve">denoted by the dashed horizontal line. </w:t>
      </w:r>
      <w:r>
        <w:rPr>
          <w:sz w:val="20"/>
        </w:rPr>
        <w:t>The black horizontal bar denotes the dates when Murray cod larvae</w:t>
      </w:r>
      <w:r w:rsidRPr="00C55AA1">
        <w:rPr>
          <w:sz w:val="20"/>
        </w:rPr>
        <w:t xml:space="preserve"> w</w:t>
      </w:r>
      <w:r>
        <w:rPr>
          <w:sz w:val="20"/>
        </w:rPr>
        <w:t xml:space="preserve">ere detected (1 Nov – 6 Dec 2019). </w:t>
      </w:r>
      <w:r w:rsidRPr="00C55AA1">
        <w:rPr>
          <w:sz w:val="20"/>
        </w:rPr>
        <w:t>The blue vertical bar denotes the River Murray Channel flow.</w:t>
      </w:r>
      <w:r w:rsidR="00054B18">
        <w:rPr>
          <w:sz w:val="20"/>
        </w:rPr>
        <w:t xml:space="preserve"> The red horizontal line indicates the temperature threshold at which silver perch </w:t>
      </w:r>
      <w:r w:rsidR="002632D5">
        <w:rPr>
          <w:sz w:val="20"/>
        </w:rPr>
        <w:t xml:space="preserve">are known to </w:t>
      </w:r>
      <w:r w:rsidR="00054B18">
        <w:rPr>
          <w:sz w:val="20"/>
        </w:rPr>
        <w:t>spawn. The orange horizontal line indicates the temperature threshold at which golden perch are known to spawn.</w:t>
      </w:r>
    </w:p>
    <w:p w14:paraId="1F1DF049" w14:textId="77777777" w:rsidR="0020768B" w:rsidRPr="0020768B" w:rsidRDefault="0020768B" w:rsidP="0020768B">
      <w:pPr>
        <w:spacing w:after="120" w:line="259" w:lineRule="auto"/>
        <w:rPr>
          <w:b/>
          <w:color w:val="31849B" w:themeColor="accent5" w:themeShade="BF"/>
          <w:sz w:val="28"/>
          <w:szCs w:val="28"/>
        </w:rPr>
      </w:pPr>
      <w:r w:rsidRPr="0020768B">
        <w:rPr>
          <w:b/>
          <w:color w:val="31849B" w:themeColor="accent5" w:themeShade="BF"/>
          <w:sz w:val="28"/>
          <w:szCs w:val="28"/>
        </w:rPr>
        <w:t>11.5</w:t>
      </w:r>
      <w:r w:rsidRPr="0020768B">
        <w:rPr>
          <w:b/>
          <w:color w:val="31849B" w:themeColor="accent5" w:themeShade="BF"/>
          <w:sz w:val="28"/>
          <w:szCs w:val="28"/>
        </w:rPr>
        <w:tab/>
        <w:t>Discussion</w:t>
      </w:r>
    </w:p>
    <w:p w14:paraId="1862A0ED" w14:textId="764A9926" w:rsidR="005B4FD4" w:rsidRDefault="0020768B" w:rsidP="0020768B">
      <w:pPr>
        <w:spacing w:after="120" w:line="259" w:lineRule="auto"/>
        <w:jc w:val="left"/>
        <w:rPr>
          <w:color w:val="000000" w:themeColor="text1"/>
        </w:rPr>
      </w:pPr>
      <w:r w:rsidRPr="008B0AA5">
        <w:rPr>
          <w:color w:val="000000" w:themeColor="text1"/>
        </w:rPr>
        <w:t>Golden perch and silver perch are long-lived, large bodied native fish species which are dependent on the presence of suitable hydrological conditions to initiate s</w:t>
      </w:r>
      <w:r>
        <w:rPr>
          <w:color w:val="000000" w:themeColor="text1"/>
        </w:rPr>
        <w:t xml:space="preserve">pawning. </w:t>
      </w:r>
      <w:r w:rsidRPr="008B0AA5">
        <w:rPr>
          <w:color w:val="000000" w:themeColor="text1"/>
        </w:rPr>
        <w:t xml:space="preserve">Understanding the flow related conditions required for successful spawning and recruitment in golden and silver perch has been a priority for </w:t>
      </w:r>
      <w:r>
        <w:rPr>
          <w:color w:val="000000" w:themeColor="text1"/>
        </w:rPr>
        <w:t>LTIM</w:t>
      </w:r>
      <w:r w:rsidR="006F403B">
        <w:rPr>
          <w:color w:val="000000" w:themeColor="text1"/>
        </w:rPr>
        <w:t>/MER</w:t>
      </w:r>
      <w:r>
        <w:rPr>
          <w:color w:val="000000" w:themeColor="text1"/>
        </w:rPr>
        <w:t xml:space="preserve"> </w:t>
      </w:r>
      <w:r w:rsidRPr="008B0AA5">
        <w:rPr>
          <w:color w:val="000000" w:themeColor="text1"/>
        </w:rPr>
        <w:t>environmental watering monitoring programs in the Goulburn River, mid Murray, Murrumbidgee, Lachlan and Edw</w:t>
      </w:r>
      <w:r>
        <w:rPr>
          <w:color w:val="000000" w:themeColor="text1"/>
        </w:rPr>
        <w:t xml:space="preserve">ard/Kolety-Wakool River </w:t>
      </w:r>
      <w:r w:rsidR="006F403B">
        <w:rPr>
          <w:color w:val="000000" w:themeColor="text1"/>
        </w:rPr>
        <w:t xml:space="preserve">Selected Areas. </w:t>
      </w:r>
      <w:bookmarkStart w:id="208" w:name="_Hlk66700583"/>
      <w:r w:rsidR="005B4FD4">
        <w:rPr>
          <w:color w:val="000000" w:themeColor="text1"/>
        </w:rPr>
        <w:t>Over the past 5 years of LTIM/MER monitoring silver perch spawning has</w:t>
      </w:r>
      <w:r w:rsidRPr="008B0AA5">
        <w:rPr>
          <w:color w:val="000000" w:themeColor="text1"/>
        </w:rPr>
        <w:t xml:space="preserve"> been recorded in all </w:t>
      </w:r>
      <w:r w:rsidR="006F403B">
        <w:rPr>
          <w:color w:val="000000" w:themeColor="text1"/>
        </w:rPr>
        <w:t xml:space="preserve">of </w:t>
      </w:r>
      <w:r w:rsidRPr="008B0AA5">
        <w:rPr>
          <w:color w:val="000000" w:themeColor="text1"/>
        </w:rPr>
        <w:t xml:space="preserve">these </w:t>
      </w:r>
      <w:r w:rsidR="006F403B">
        <w:rPr>
          <w:color w:val="000000" w:themeColor="text1"/>
        </w:rPr>
        <w:t>Selected Areas</w:t>
      </w:r>
      <w:r w:rsidRPr="008B0AA5">
        <w:rPr>
          <w:color w:val="000000" w:themeColor="text1"/>
        </w:rPr>
        <w:t xml:space="preserve">, </w:t>
      </w:r>
      <w:r w:rsidR="006F403B">
        <w:rPr>
          <w:color w:val="000000" w:themeColor="text1"/>
        </w:rPr>
        <w:t xml:space="preserve">however </w:t>
      </w:r>
      <w:r w:rsidR="005B4FD4">
        <w:rPr>
          <w:color w:val="000000" w:themeColor="text1"/>
        </w:rPr>
        <w:t xml:space="preserve">only small number of </w:t>
      </w:r>
      <w:r w:rsidR="006F403B">
        <w:rPr>
          <w:color w:val="000000" w:themeColor="text1"/>
        </w:rPr>
        <w:t xml:space="preserve">silver perch eggs </w:t>
      </w:r>
      <w:r w:rsidR="005B4FD4">
        <w:rPr>
          <w:color w:val="000000" w:themeColor="text1"/>
        </w:rPr>
        <w:t>have been recorded</w:t>
      </w:r>
      <w:r w:rsidR="006F403B">
        <w:rPr>
          <w:color w:val="000000" w:themeColor="text1"/>
        </w:rPr>
        <w:t xml:space="preserve"> in </w:t>
      </w:r>
      <w:r w:rsidR="005B4FD4">
        <w:rPr>
          <w:color w:val="000000" w:themeColor="text1"/>
        </w:rPr>
        <w:t xml:space="preserve">Yallakool Creek in </w:t>
      </w:r>
      <w:r w:rsidRPr="008B0AA5">
        <w:rPr>
          <w:color w:val="000000" w:themeColor="text1"/>
        </w:rPr>
        <w:t>the Edward/Kolety-Wakool system</w:t>
      </w:r>
      <w:r w:rsidR="006F403B">
        <w:rPr>
          <w:color w:val="000000" w:themeColor="text1"/>
        </w:rPr>
        <w:t>.</w:t>
      </w:r>
      <w:bookmarkEnd w:id="208"/>
      <w:r w:rsidR="006F403B">
        <w:rPr>
          <w:color w:val="000000" w:themeColor="text1"/>
        </w:rPr>
        <w:t xml:space="preserve"> </w:t>
      </w:r>
      <w:r w:rsidR="005B4FD4">
        <w:rPr>
          <w:color w:val="000000" w:themeColor="text1"/>
        </w:rPr>
        <w:t xml:space="preserve">Over the past years LTIM/MER monitoring golden perch spawning has been recorded in the Goulburn River, mid Murray and Murrumbidgee systems, but </w:t>
      </w:r>
      <w:bookmarkStart w:id="209" w:name="_Hlk66700621"/>
      <w:r w:rsidR="005B4FD4" w:rsidRPr="008B0AA5">
        <w:rPr>
          <w:color w:val="000000" w:themeColor="text1"/>
        </w:rPr>
        <w:t xml:space="preserve">golden perch eggs or larvae </w:t>
      </w:r>
      <w:r w:rsidR="005B4FD4">
        <w:rPr>
          <w:color w:val="000000" w:themeColor="text1"/>
        </w:rPr>
        <w:t>ha</w:t>
      </w:r>
      <w:r w:rsidR="002632D5">
        <w:rPr>
          <w:color w:val="000000" w:themeColor="text1"/>
        </w:rPr>
        <w:t>ve</w:t>
      </w:r>
      <w:r w:rsidR="005B4FD4">
        <w:rPr>
          <w:color w:val="000000" w:themeColor="text1"/>
        </w:rPr>
        <w:t xml:space="preserve"> not been recorded in t</w:t>
      </w:r>
      <w:r w:rsidR="006F403B">
        <w:rPr>
          <w:color w:val="000000" w:themeColor="text1"/>
        </w:rPr>
        <w:t>he Edward/Kolety-Wakoo</w:t>
      </w:r>
      <w:r w:rsidR="005B4FD4">
        <w:rPr>
          <w:color w:val="000000" w:themeColor="text1"/>
        </w:rPr>
        <w:t>l and Lachlan River systems</w:t>
      </w:r>
      <w:r w:rsidRPr="008B0AA5">
        <w:rPr>
          <w:color w:val="000000" w:themeColor="text1"/>
        </w:rPr>
        <w:t xml:space="preserve">. </w:t>
      </w:r>
    </w:p>
    <w:bookmarkEnd w:id="209"/>
    <w:p w14:paraId="5A97F0C4" w14:textId="7DFD3525" w:rsidR="0020768B" w:rsidRPr="008B0AA5" w:rsidRDefault="0020768B" w:rsidP="0020768B">
      <w:pPr>
        <w:spacing w:after="120" w:line="259" w:lineRule="auto"/>
        <w:jc w:val="left"/>
        <w:rPr>
          <w:color w:val="000000" w:themeColor="text1"/>
        </w:rPr>
      </w:pPr>
      <w:r w:rsidRPr="008B0AA5">
        <w:rPr>
          <w:color w:val="000000" w:themeColor="text1"/>
        </w:rPr>
        <w:t xml:space="preserve">In the Edward/Kolety-Wakool MER </w:t>
      </w:r>
      <w:r>
        <w:rPr>
          <w:color w:val="000000" w:themeColor="text1"/>
        </w:rPr>
        <w:t xml:space="preserve">fish monitoring </w:t>
      </w:r>
      <w:r w:rsidRPr="008B0AA5">
        <w:rPr>
          <w:color w:val="000000" w:themeColor="text1"/>
        </w:rPr>
        <w:t>program (</w:t>
      </w:r>
      <w:r>
        <w:rPr>
          <w:color w:val="000000" w:themeColor="text1"/>
        </w:rPr>
        <w:t xml:space="preserve">section 8), </w:t>
      </w:r>
      <w:r w:rsidR="005B4FD4">
        <w:rPr>
          <w:color w:val="000000" w:themeColor="text1"/>
        </w:rPr>
        <w:t xml:space="preserve">we describe that </w:t>
      </w:r>
      <w:r>
        <w:rPr>
          <w:color w:val="000000" w:themeColor="text1"/>
        </w:rPr>
        <w:t>the</w:t>
      </w:r>
      <w:r w:rsidR="005B4FD4">
        <w:rPr>
          <w:color w:val="000000" w:themeColor="text1"/>
        </w:rPr>
        <w:t xml:space="preserve"> monitoring of </w:t>
      </w:r>
      <w:r>
        <w:rPr>
          <w:color w:val="000000" w:themeColor="text1"/>
        </w:rPr>
        <w:t xml:space="preserve">fish spawning </w:t>
      </w:r>
      <w:r w:rsidR="006F403B">
        <w:rPr>
          <w:color w:val="000000" w:themeColor="text1"/>
        </w:rPr>
        <w:t xml:space="preserve">monitoring has </w:t>
      </w:r>
      <w:r w:rsidR="005B4FD4">
        <w:rPr>
          <w:color w:val="000000" w:themeColor="text1"/>
        </w:rPr>
        <w:t xml:space="preserve">previously </w:t>
      </w:r>
      <w:r w:rsidR="006F403B">
        <w:rPr>
          <w:color w:val="000000" w:themeColor="text1"/>
        </w:rPr>
        <w:t>focussed on t</w:t>
      </w:r>
      <w:r w:rsidRPr="008B0AA5">
        <w:rPr>
          <w:color w:val="000000" w:themeColor="text1"/>
        </w:rPr>
        <w:t xml:space="preserve">he Wakool River and Yallakool Creek, as these systems have been a focus for the delivery </w:t>
      </w:r>
      <w:r>
        <w:rPr>
          <w:color w:val="000000" w:themeColor="text1"/>
        </w:rPr>
        <w:t>of Commonwealth</w:t>
      </w:r>
      <w:r w:rsidRPr="008B0AA5">
        <w:rPr>
          <w:color w:val="000000" w:themeColor="text1"/>
        </w:rPr>
        <w:t xml:space="preserve"> water for the environment. The </w:t>
      </w:r>
      <w:r w:rsidR="006F403B">
        <w:rPr>
          <w:color w:val="000000" w:themeColor="text1"/>
        </w:rPr>
        <w:t>research on fish spawning</w:t>
      </w:r>
      <w:r w:rsidRPr="008B0AA5">
        <w:rPr>
          <w:color w:val="000000" w:themeColor="text1"/>
        </w:rPr>
        <w:t xml:space="preserve"> undertaken by the EWAA</w:t>
      </w:r>
      <w:r>
        <w:rPr>
          <w:color w:val="000000" w:themeColor="text1"/>
        </w:rPr>
        <w:t xml:space="preserve"> and CSU</w:t>
      </w:r>
      <w:r w:rsidRPr="008B0AA5">
        <w:rPr>
          <w:color w:val="000000" w:themeColor="text1"/>
        </w:rPr>
        <w:t xml:space="preserve"> in this current study </w:t>
      </w:r>
      <w:r w:rsidR="005B4FD4">
        <w:rPr>
          <w:color w:val="000000" w:themeColor="text1"/>
        </w:rPr>
        <w:t xml:space="preserve">in the Edward/Kolety River </w:t>
      </w:r>
      <w:r>
        <w:rPr>
          <w:color w:val="000000" w:themeColor="text1"/>
        </w:rPr>
        <w:t xml:space="preserve">will provide </w:t>
      </w:r>
      <w:r w:rsidR="005B4FD4">
        <w:rPr>
          <w:color w:val="000000" w:themeColor="text1"/>
        </w:rPr>
        <w:t>insight as to whether there are</w:t>
      </w:r>
      <w:r w:rsidRPr="008B0AA5">
        <w:rPr>
          <w:color w:val="000000" w:themeColor="text1"/>
        </w:rPr>
        <w:t xml:space="preserve"> suitable hydrological conditions for the spawning of these two flow-dependent species</w:t>
      </w:r>
      <w:r>
        <w:rPr>
          <w:color w:val="000000" w:themeColor="text1"/>
        </w:rPr>
        <w:t xml:space="preserve"> </w:t>
      </w:r>
      <w:r w:rsidR="005B4FD4">
        <w:rPr>
          <w:color w:val="000000" w:themeColor="text1"/>
        </w:rPr>
        <w:t xml:space="preserve">in the </w:t>
      </w:r>
      <w:r w:rsidR="005B4FD4" w:rsidRPr="008B0AA5">
        <w:rPr>
          <w:color w:val="000000" w:themeColor="text1"/>
        </w:rPr>
        <w:t xml:space="preserve">Edward/Kolety River </w:t>
      </w:r>
      <w:r>
        <w:rPr>
          <w:color w:val="000000" w:themeColor="text1"/>
        </w:rPr>
        <w:t xml:space="preserve">and </w:t>
      </w:r>
      <w:r w:rsidR="006F403B">
        <w:rPr>
          <w:color w:val="000000" w:themeColor="text1"/>
        </w:rPr>
        <w:t xml:space="preserve">this will inform </w:t>
      </w:r>
      <w:r>
        <w:rPr>
          <w:color w:val="000000" w:themeColor="text1"/>
        </w:rPr>
        <w:t>future delivery of Commonwealth environmental water</w:t>
      </w:r>
      <w:r w:rsidRPr="008B0AA5">
        <w:rPr>
          <w:color w:val="000000" w:themeColor="text1"/>
        </w:rPr>
        <w:t>.</w:t>
      </w:r>
    </w:p>
    <w:p w14:paraId="7C93E12B" w14:textId="79B3EB71" w:rsidR="00CF050B" w:rsidRPr="00CF050B" w:rsidRDefault="00CF050B" w:rsidP="00CF050B">
      <w:pPr>
        <w:spacing w:after="120" w:line="259" w:lineRule="auto"/>
        <w:jc w:val="left"/>
        <w:rPr>
          <w:color w:val="000000" w:themeColor="text1"/>
        </w:rPr>
      </w:pPr>
      <w:r>
        <w:rPr>
          <w:color w:val="000000" w:themeColor="text1"/>
        </w:rPr>
        <w:t>The temperature thresholds at which golden perch and silver perch spawn are well documented. S</w:t>
      </w:r>
      <w:r w:rsidRPr="00CF050B">
        <w:rPr>
          <w:color w:val="000000" w:themeColor="text1"/>
        </w:rPr>
        <w:t xml:space="preserve">ilver perch </w:t>
      </w:r>
      <w:r>
        <w:rPr>
          <w:color w:val="000000" w:themeColor="text1"/>
        </w:rPr>
        <w:t>have been ob</w:t>
      </w:r>
      <w:r w:rsidRPr="00CF050B">
        <w:rPr>
          <w:color w:val="000000" w:themeColor="text1"/>
        </w:rPr>
        <w:t>served to to spawn when water temperature is above 2</w:t>
      </w:r>
      <w:r>
        <w:rPr>
          <w:color w:val="000000" w:themeColor="text1"/>
        </w:rPr>
        <w:t xml:space="preserve">3 </w:t>
      </w:r>
      <w:r w:rsidRPr="00CF050B">
        <w:rPr>
          <w:color w:val="000000" w:themeColor="text1"/>
        </w:rPr>
        <w:t xml:space="preserve">degrees celcius, and golden perch spawns at temperatures over 18 dgrees celcius. </w:t>
      </w:r>
      <w:r>
        <w:rPr>
          <w:color w:val="000000" w:themeColor="text1"/>
        </w:rPr>
        <w:t>The monitoring in the Edward/Kolety River commenced just before the water temperature was 18 degrees and well before the critical spawning temperature for silver perch. So water temperature during the monitoring was in the range suitable for these species.</w:t>
      </w:r>
    </w:p>
    <w:p w14:paraId="5D264B9E" w14:textId="77777777" w:rsidR="00CF050B" w:rsidRDefault="005B4FD4" w:rsidP="0020768B">
      <w:pPr>
        <w:spacing w:after="120" w:line="259" w:lineRule="auto"/>
        <w:jc w:val="left"/>
        <w:rPr>
          <w:color w:val="000000" w:themeColor="text1"/>
        </w:rPr>
      </w:pPr>
      <w:r>
        <w:rPr>
          <w:color w:val="000000" w:themeColor="text1"/>
        </w:rPr>
        <w:t>Although</w:t>
      </w:r>
      <w:r w:rsidR="0020768B" w:rsidRPr="008B0AA5">
        <w:rPr>
          <w:color w:val="000000" w:themeColor="text1"/>
        </w:rPr>
        <w:t xml:space="preserve"> </w:t>
      </w:r>
      <w:bookmarkStart w:id="210" w:name="_Hlk66700808"/>
      <w:r w:rsidR="0020768B" w:rsidRPr="008B0AA5">
        <w:rPr>
          <w:color w:val="000000" w:themeColor="text1"/>
        </w:rPr>
        <w:t>the</w:t>
      </w:r>
      <w:r>
        <w:rPr>
          <w:color w:val="000000" w:themeColor="text1"/>
        </w:rPr>
        <w:t>re</w:t>
      </w:r>
      <w:r w:rsidR="0020768B" w:rsidRPr="008B0AA5">
        <w:rPr>
          <w:color w:val="000000" w:themeColor="text1"/>
        </w:rPr>
        <w:t xml:space="preserve"> were no golden or silver perch eggs or larvae detected in the Edward/Kolety River in 2019-20</w:t>
      </w:r>
      <w:bookmarkEnd w:id="210"/>
      <w:r w:rsidR="0020768B" w:rsidRPr="008B0AA5">
        <w:rPr>
          <w:color w:val="000000" w:themeColor="text1"/>
        </w:rPr>
        <w:t xml:space="preserve">, further monitoring over a longer period of time is warranted. Obligate riverine species, particularly golden perch, are likely complete their lifecycles over a broader geographic scale, that is, the scale of 100’s of </w:t>
      </w:r>
      <w:r w:rsidR="0020768B">
        <w:rPr>
          <w:color w:val="000000" w:themeColor="text1"/>
        </w:rPr>
        <w:t>kilometres</w:t>
      </w:r>
      <w:r w:rsidR="0020768B" w:rsidRPr="008B0AA5">
        <w:rPr>
          <w:color w:val="000000" w:themeColor="text1"/>
        </w:rPr>
        <w:t xml:space="preserve"> (</w:t>
      </w:r>
      <w:r w:rsidR="0020768B">
        <w:rPr>
          <w:color w:val="000000" w:themeColor="text1"/>
        </w:rPr>
        <w:t xml:space="preserve">Zampatti et al. 2015, </w:t>
      </w:r>
      <w:r w:rsidR="0020768B" w:rsidRPr="008B0AA5">
        <w:rPr>
          <w:color w:val="000000" w:themeColor="text1"/>
        </w:rPr>
        <w:t xml:space="preserve">Mallen-Cooper and Zampatti 2018). For example, immigration of juveniles from the nearby mid-Murray River, and sometimes as far afield as the Darling River, appear to play a major role in structuring the sub-adult and adult populations observed in the Edward/Kolety-Wakool River System (Mallen-Cooper and Zampatti et al. 2018, Watts et al. 2019). </w:t>
      </w:r>
    </w:p>
    <w:p w14:paraId="11FC7DA7" w14:textId="225C21D7" w:rsidR="0020768B" w:rsidRDefault="00CF050B" w:rsidP="0020768B">
      <w:pPr>
        <w:spacing w:after="120" w:line="259" w:lineRule="auto"/>
        <w:jc w:val="left"/>
        <w:rPr>
          <w:color w:val="000000" w:themeColor="text1"/>
        </w:rPr>
      </w:pPr>
      <w:r>
        <w:rPr>
          <w:color w:val="000000" w:themeColor="text1"/>
        </w:rPr>
        <w:t>The</w:t>
      </w:r>
      <w:r w:rsidR="0020768B" w:rsidRPr="008B0AA5">
        <w:rPr>
          <w:color w:val="000000" w:themeColor="text1"/>
        </w:rPr>
        <w:t xml:space="preserve"> hydraulic conditions (e.g</w:t>
      </w:r>
      <w:r w:rsidR="0020768B">
        <w:rPr>
          <w:color w:val="000000" w:themeColor="text1"/>
        </w:rPr>
        <w:t>.</w:t>
      </w:r>
      <w:r w:rsidR="0020768B" w:rsidRPr="008B0AA5">
        <w:rPr>
          <w:color w:val="000000" w:themeColor="text1"/>
        </w:rPr>
        <w:t xml:space="preserve"> minim</w:t>
      </w:r>
      <w:r w:rsidR="005B4FD4">
        <w:rPr>
          <w:color w:val="000000" w:themeColor="text1"/>
        </w:rPr>
        <w:t>um or threshold velocity paths)</w:t>
      </w:r>
      <w:r w:rsidR="0020768B" w:rsidRPr="008B0AA5">
        <w:rPr>
          <w:color w:val="000000" w:themeColor="text1"/>
        </w:rPr>
        <w:t xml:space="preserve"> </w:t>
      </w:r>
      <w:r w:rsidR="005B4FD4" w:rsidRPr="008B0AA5">
        <w:rPr>
          <w:color w:val="000000" w:themeColor="text1"/>
        </w:rPr>
        <w:t xml:space="preserve">required </w:t>
      </w:r>
      <w:r w:rsidR="0020768B" w:rsidRPr="008B0AA5">
        <w:rPr>
          <w:color w:val="000000" w:themeColor="text1"/>
        </w:rPr>
        <w:t xml:space="preserve">for successful spawning and recruitment of golden and silver perch </w:t>
      </w:r>
      <w:r>
        <w:rPr>
          <w:color w:val="000000" w:themeColor="text1"/>
        </w:rPr>
        <w:t>are</w:t>
      </w:r>
      <w:r w:rsidR="0020768B" w:rsidRPr="008B0AA5">
        <w:rPr>
          <w:color w:val="000000" w:themeColor="text1"/>
        </w:rPr>
        <w:t xml:space="preserve"> not </w:t>
      </w:r>
      <w:r w:rsidR="0020768B">
        <w:rPr>
          <w:color w:val="000000" w:themeColor="text1"/>
        </w:rPr>
        <w:t>yet</w:t>
      </w:r>
      <w:r w:rsidR="0020768B" w:rsidRPr="008B0AA5">
        <w:rPr>
          <w:color w:val="000000" w:themeColor="text1"/>
        </w:rPr>
        <w:t xml:space="preserve"> clear. </w:t>
      </w:r>
      <w:r w:rsidR="005B4FD4">
        <w:rPr>
          <w:color w:val="000000" w:themeColor="text1"/>
        </w:rPr>
        <w:t>Recent insights from other S</w:t>
      </w:r>
      <w:r w:rsidR="0020768B">
        <w:rPr>
          <w:color w:val="000000" w:themeColor="text1"/>
        </w:rPr>
        <w:t>el</w:t>
      </w:r>
      <w:r w:rsidR="005B4FD4">
        <w:rPr>
          <w:color w:val="000000" w:themeColor="text1"/>
        </w:rPr>
        <w:t>ected A</w:t>
      </w:r>
      <w:r w:rsidR="0020768B">
        <w:rPr>
          <w:color w:val="000000" w:themeColor="text1"/>
        </w:rPr>
        <w:t>rea LTIM/MER monitoring projects suggests that traditional ideas proposing that these species required river level rises or changes in discharge may not be the relevant hydrological measure to which these species respond to (King et al. 2005, Wassens et al. 2020). Instead, for species with drifting eggs and larval phases, the provision of suitable water velocities over large distances may be the relevant ecological requirement – ensuring that eggs and larvae maintain their position in the water column while maximising their opportunity to disperse downstream to suitable, productive and safe nursery environments (Stuart and Sharpe 2020). T</w:t>
      </w:r>
      <w:r w:rsidR="0020768B" w:rsidRPr="008B0AA5">
        <w:rPr>
          <w:color w:val="000000" w:themeColor="text1"/>
        </w:rPr>
        <w:t xml:space="preserve">he growing appreciation of large spatial scales at which these species operate, highlights the need for continued monitoring of spawning and recruitment indicators across key main channel </w:t>
      </w:r>
      <w:r w:rsidR="0020768B">
        <w:rPr>
          <w:color w:val="000000" w:themeColor="text1"/>
        </w:rPr>
        <w:t>and off-channel environments in both the s</w:t>
      </w:r>
      <w:r w:rsidR="0020768B" w:rsidRPr="008B0AA5">
        <w:rPr>
          <w:color w:val="000000" w:themeColor="text1"/>
        </w:rPr>
        <w:t xml:space="preserve">outhern and </w:t>
      </w:r>
      <w:r w:rsidR="0020768B">
        <w:rPr>
          <w:color w:val="000000" w:themeColor="text1"/>
        </w:rPr>
        <w:t>n</w:t>
      </w:r>
      <w:r w:rsidR="0020768B" w:rsidRPr="008B0AA5">
        <w:rPr>
          <w:color w:val="000000" w:themeColor="text1"/>
        </w:rPr>
        <w:t>orthern Murray-Darling Basin.</w:t>
      </w:r>
      <w:r w:rsidR="0020768B">
        <w:rPr>
          <w:color w:val="000000" w:themeColor="text1"/>
        </w:rPr>
        <w:t xml:space="preserve"> Ongoing monitoring and analysis of the pattern of flow delivery and water velocities across multiple years will be able to better inform a discussion about spawning of silver perch and golden perch in the Edward/Kolety River.</w:t>
      </w:r>
    </w:p>
    <w:p w14:paraId="5A68E571" w14:textId="5FF28C4C" w:rsidR="0020768B" w:rsidRPr="008B0AA5" w:rsidRDefault="0020768B" w:rsidP="0020768B">
      <w:pPr>
        <w:spacing w:after="120" w:line="259" w:lineRule="auto"/>
        <w:jc w:val="left"/>
        <w:rPr>
          <w:color w:val="000000" w:themeColor="text1"/>
        </w:rPr>
      </w:pPr>
      <w:r>
        <w:rPr>
          <w:color w:val="000000" w:themeColor="text1"/>
        </w:rPr>
        <w:t xml:space="preserve">Although no golden or silver perch eggs or larvae were detected during this study, the project demonstrated that collaboration between researchers and community groups is an effective way to undertake research and engage the local community. Local community fish experts from the Edward-Wakool Angling Association are involved in several </w:t>
      </w:r>
      <w:r>
        <w:rPr>
          <w:rFonts w:cstheme="minorHAnsi"/>
        </w:rPr>
        <w:t>projects related to the rehabilitation of</w:t>
      </w:r>
      <w:r w:rsidRPr="00837395">
        <w:rPr>
          <w:rFonts w:cstheme="minorHAnsi"/>
        </w:rPr>
        <w:t xml:space="preserve"> fish communities</w:t>
      </w:r>
      <w:r>
        <w:rPr>
          <w:color w:val="000000" w:themeColor="text1"/>
        </w:rPr>
        <w:t xml:space="preserve"> in the region, and this project provides them an opportunity to collaborate with scientists from Charles Sturt University. </w:t>
      </w:r>
      <w:r>
        <w:rPr>
          <w:rFonts w:eastAsia="Times New Roman" w:cstheme="minorHAnsi"/>
          <w:lang w:eastAsia="en-AU"/>
        </w:rPr>
        <w:t>Involving local community in this project</w:t>
      </w:r>
      <w:r w:rsidRPr="00A76066">
        <w:rPr>
          <w:rFonts w:eastAsia="Times New Roman" w:cstheme="minorHAnsi"/>
          <w:lang w:eastAsia="en-AU"/>
        </w:rPr>
        <w:t xml:space="preserve"> ensures multiple successful outcomes by </w:t>
      </w:r>
      <w:r>
        <w:rPr>
          <w:rFonts w:eastAsia="Times New Roman" w:cstheme="minorHAnsi"/>
          <w:lang w:eastAsia="en-AU"/>
        </w:rPr>
        <w:t>tapping into</w:t>
      </w:r>
      <w:r w:rsidRPr="00A76066">
        <w:rPr>
          <w:rFonts w:eastAsia="Times New Roman" w:cstheme="minorHAnsi"/>
          <w:lang w:eastAsia="en-AU"/>
        </w:rPr>
        <w:t xml:space="preserve"> local expert knowledge, providing local employment and training, program cost savings </w:t>
      </w:r>
      <w:r>
        <w:rPr>
          <w:rFonts w:eastAsia="Times New Roman" w:cstheme="minorHAnsi"/>
          <w:lang w:eastAsia="en-AU"/>
        </w:rPr>
        <w:t>and reduced carbon emissions due to reduced travel, and ensuring the</w:t>
      </w:r>
      <w:r w:rsidRPr="00A76066">
        <w:rPr>
          <w:rFonts w:eastAsia="Times New Roman" w:cstheme="minorHAnsi"/>
          <w:lang w:eastAsia="en-AU"/>
        </w:rPr>
        <w:t xml:space="preserve"> results and findings are quickly comm</w:t>
      </w:r>
      <w:r>
        <w:rPr>
          <w:rFonts w:eastAsia="Times New Roman" w:cstheme="minorHAnsi"/>
          <w:lang w:eastAsia="en-AU"/>
        </w:rPr>
        <w:t xml:space="preserve">unicated to the local community </w:t>
      </w:r>
      <w:r>
        <w:rPr>
          <w:color w:val="000000" w:themeColor="text1"/>
        </w:rPr>
        <w:t>(Section 11.8). The collaboration between CSU and EWAA was successful due to the expertise, local knowledge, dedication and commitment of EWAA members to undertake weekly monitoring, the appointment of a local coordinator being a key link between EWAA and CSU staff, and availability of funding from CEWO.</w:t>
      </w:r>
    </w:p>
    <w:p w14:paraId="26E24EBA" w14:textId="77777777" w:rsidR="002632D5" w:rsidRDefault="002632D5" w:rsidP="0020768B">
      <w:pPr>
        <w:spacing w:after="120" w:line="259" w:lineRule="auto"/>
        <w:jc w:val="left"/>
        <w:rPr>
          <w:b/>
          <w:color w:val="006666"/>
          <w:sz w:val="28"/>
          <w:szCs w:val="28"/>
        </w:rPr>
      </w:pPr>
    </w:p>
    <w:p w14:paraId="05370894" w14:textId="77777777" w:rsidR="0020768B" w:rsidRDefault="0020768B" w:rsidP="0020768B">
      <w:pPr>
        <w:spacing w:after="120" w:line="259" w:lineRule="auto"/>
        <w:jc w:val="left"/>
        <w:rPr>
          <w:b/>
          <w:color w:val="006666"/>
          <w:sz w:val="28"/>
          <w:szCs w:val="28"/>
        </w:rPr>
      </w:pPr>
      <w:r>
        <w:rPr>
          <w:b/>
          <w:color w:val="006666"/>
          <w:sz w:val="28"/>
          <w:szCs w:val="28"/>
        </w:rPr>
        <w:t>11.6</w:t>
      </w:r>
      <w:r>
        <w:rPr>
          <w:b/>
          <w:color w:val="006666"/>
          <w:sz w:val="28"/>
          <w:szCs w:val="28"/>
        </w:rPr>
        <w:tab/>
        <w:t>Acknowledgements</w:t>
      </w:r>
    </w:p>
    <w:p w14:paraId="2A6A7645" w14:textId="77777777" w:rsidR="006F403B" w:rsidRDefault="0020768B" w:rsidP="0020768B">
      <w:pPr>
        <w:spacing w:after="120" w:line="259" w:lineRule="auto"/>
        <w:jc w:val="left"/>
        <w:rPr>
          <w:rFonts w:cstheme="minorHAnsi"/>
          <w:color w:val="000000" w:themeColor="text1"/>
        </w:rPr>
      </w:pPr>
      <w:r>
        <w:rPr>
          <w:rFonts w:cstheme="minorHAnsi"/>
          <w:color w:val="000000" w:themeColor="text1"/>
        </w:rPr>
        <w:t xml:space="preserve">Dan Hutton coordinated the Edward-Wakool Angling Association participation in the project. </w:t>
      </w:r>
      <w:r w:rsidRPr="003123EA">
        <w:rPr>
          <w:rFonts w:cstheme="minorHAnsi"/>
          <w:color w:val="000000" w:themeColor="text1"/>
        </w:rPr>
        <w:t>We thank Anthony Jones, Warren Parsons, Zac McCullock, Ale</w:t>
      </w:r>
      <w:r>
        <w:rPr>
          <w:rFonts w:cstheme="minorHAnsi"/>
          <w:color w:val="000000" w:themeColor="text1"/>
        </w:rPr>
        <w:t>c</w:t>
      </w:r>
      <w:r w:rsidRPr="003123EA">
        <w:rPr>
          <w:rFonts w:cstheme="minorHAnsi"/>
          <w:color w:val="000000" w:themeColor="text1"/>
        </w:rPr>
        <w:t xml:space="preserve"> Buckley and Dan Hutton for the</w:t>
      </w:r>
      <w:r>
        <w:rPr>
          <w:rFonts w:cstheme="minorHAnsi"/>
          <w:color w:val="000000" w:themeColor="text1"/>
        </w:rPr>
        <w:t>ir valuable contribution to this project through undertaking the field work to</w:t>
      </w:r>
      <w:r w:rsidRPr="003123EA">
        <w:rPr>
          <w:rFonts w:cstheme="minorHAnsi"/>
          <w:color w:val="000000" w:themeColor="text1"/>
        </w:rPr>
        <w:t xml:space="preserve"> </w:t>
      </w:r>
      <w:r>
        <w:rPr>
          <w:rFonts w:cstheme="minorHAnsi"/>
          <w:color w:val="000000" w:themeColor="text1"/>
        </w:rPr>
        <w:t xml:space="preserve">set and retrieve drift nets during </w:t>
      </w:r>
      <w:r w:rsidRPr="003123EA">
        <w:rPr>
          <w:rFonts w:cstheme="minorHAnsi"/>
          <w:color w:val="000000" w:themeColor="text1"/>
        </w:rPr>
        <w:t xml:space="preserve">the 2019-20 sampling season. </w:t>
      </w:r>
      <w:r>
        <w:rPr>
          <w:rFonts w:cstheme="minorHAnsi"/>
          <w:color w:val="000000" w:themeColor="text1"/>
        </w:rPr>
        <w:t xml:space="preserve">John Trethewie (CSU) provided support to the Edward-Wakool Angling Association. Dale Campbell (CSU) undertook the laboratory work to sort and identify </w:t>
      </w:r>
      <w:r w:rsidRPr="003123EA">
        <w:rPr>
          <w:rFonts w:cstheme="minorHAnsi"/>
          <w:color w:val="000000" w:themeColor="text1"/>
        </w:rPr>
        <w:t>eggs and fish lar</w:t>
      </w:r>
      <w:r>
        <w:rPr>
          <w:rFonts w:cstheme="minorHAnsi"/>
          <w:color w:val="000000" w:themeColor="text1"/>
        </w:rPr>
        <w:t xml:space="preserve">vae </w:t>
      </w:r>
      <w:r w:rsidRPr="003123EA">
        <w:rPr>
          <w:rFonts w:cstheme="minorHAnsi"/>
          <w:color w:val="000000" w:themeColor="text1"/>
        </w:rPr>
        <w:t xml:space="preserve">from the drift </w:t>
      </w:r>
      <w:r>
        <w:rPr>
          <w:rFonts w:cstheme="minorHAnsi"/>
          <w:color w:val="000000" w:themeColor="text1"/>
        </w:rPr>
        <w:t>samples.</w:t>
      </w:r>
      <w:r w:rsidRPr="003123EA">
        <w:rPr>
          <w:rFonts w:cstheme="minorHAnsi"/>
          <w:color w:val="000000" w:themeColor="text1"/>
        </w:rPr>
        <w:t xml:space="preserve"> Thank you to Ian Fisher from the Edward-Wakool Angling Association for use of his boat for </w:t>
      </w:r>
      <w:r>
        <w:rPr>
          <w:rFonts w:cstheme="minorHAnsi"/>
          <w:color w:val="000000" w:themeColor="text1"/>
        </w:rPr>
        <w:t xml:space="preserve">the </w:t>
      </w:r>
      <w:r w:rsidRPr="003123EA">
        <w:rPr>
          <w:rFonts w:cstheme="minorHAnsi"/>
          <w:color w:val="000000" w:themeColor="text1"/>
        </w:rPr>
        <w:t>field work.</w:t>
      </w:r>
      <w:r w:rsidR="006F403B">
        <w:rPr>
          <w:rFonts w:cstheme="minorHAnsi"/>
          <w:color w:val="000000" w:themeColor="text1"/>
        </w:rPr>
        <w:t xml:space="preserve"> </w:t>
      </w:r>
    </w:p>
    <w:p w14:paraId="6BFA2ACA" w14:textId="77777777" w:rsidR="006F403B" w:rsidRDefault="006F403B" w:rsidP="0020768B">
      <w:pPr>
        <w:spacing w:after="120" w:line="259" w:lineRule="auto"/>
        <w:rPr>
          <w:b/>
          <w:color w:val="006666"/>
          <w:sz w:val="28"/>
          <w:szCs w:val="28"/>
        </w:rPr>
      </w:pPr>
    </w:p>
    <w:p w14:paraId="0E135A8F" w14:textId="02F38B7B" w:rsidR="0020768B" w:rsidRPr="00824A14" w:rsidRDefault="0020768B" w:rsidP="006F403B">
      <w:pPr>
        <w:spacing w:after="240" w:line="259" w:lineRule="auto"/>
        <w:rPr>
          <w:highlight w:val="yellow"/>
        </w:rPr>
      </w:pPr>
      <w:r>
        <w:rPr>
          <w:b/>
          <w:color w:val="006666"/>
          <w:sz w:val="28"/>
          <w:szCs w:val="28"/>
        </w:rPr>
        <w:t>11.</w:t>
      </w:r>
      <w:r w:rsidR="00F3588E">
        <w:rPr>
          <w:b/>
          <w:color w:val="006666"/>
          <w:sz w:val="28"/>
          <w:szCs w:val="28"/>
        </w:rPr>
        <w:t>7</w:t>
      </w:r>
      <w:r>
        <w:rPr>
          <w:b/>
          <w:color w:val="006666"/>
          <w:sz w:val="28"/>
          <w:szCs w:val="28"/>
        </w:rPr>
        <w:tab/>
        <w:t xml:space="preserve">Appendices </w:t>
      </w:r>
    </w:p>
    <w:p w14:paraId="39ACAF19" w14:textId="77777777" w:rsidR="006E4461" w:rsidRPr="006E4461" w:rsidRDefault="006E4461" w:rsidP="0020768B">
      <w:pPr>
        <w:spacing w:after="120" w:line="240" w:lineRule="auto"/>
        <w:rPr>
          <w:rFonts w:eastAsia="Times New Roman" w:cstheme="minorHAnsi"/>
          <w:b/>
          <w:sz w:val="28"/>
          <w:szCs w:val="28"/>
          <w:lang w:eastAsia="en-AU"/>
        </w:rPr>
      </w:pPr>
      <w:r w:rsidRPr="006E4461">
        <w:rPr>
          <w:rFonts w:eastAsia="Times New Roman" w:cstheme="minorHAnsi"/>
          <w:b/>
          <w:sz w:val="28"/>
          <w:szCs w:val="28"/>
          <w:lang w:eastAsia="en-AU"/>
        </w:rPr>
        <w:t>Working together on fish project</w:t>
      </w:r>
    </w:p>
    <w:p w14:paraId="05DB9974" w14:textId="30C62D92" w:rsidR="0020768B" w:rsidRPr="00C20E59" w:rsidRDefault="0020768B" w:rsidP="0020768B">
      <w:pPr>
        <w:spacing w:after="120" w:line="240" w:lineRule="auto"/>
        <w:rPr>
          <w:rFonts w:eastAsia="Times New Roman" w:cstheme="minorHAnsi"/>
          <w:b/>
          <w:lang w:eastAsia="en-AU"/>
        </w:rPr>
      </w:pPr>
      <w:r w:rsidRPr="00C20E59">
        <w:rPr>
          <w:rFonts w:eastAsia="Times New Roman" w:cstheme="minorHAnsi"/>
          <w:b/>
          <w:lang w:eastAsia="en-AU"/>
        </w:rPr>
        <w:t xml:space="preserve">Article published in Deniliquin Pastoral Times, 5 March 2020 </w:t>
      </w:r>
    </w:p>
    <w:p w14:paraId="549A9EDA" w14:textId="77777777" w:rsidR="0020768B" w:rsidRPr="009E0954" w:rsidRDefault="0020768B" w:rsidP="0020768B">
      <w:pPr>
        <w:spacing w:after="120" w:line="240" w:lineRule="auto"/>
        <w:rPr>
          <w:rFonts w:ascii="Times New Roman" w:eastAsia="Times New Roman" w:hAnsi="Times New Roman"/>
          <w:sz w:val="24"/>
          <w:szCs w:val="24"/>
          <w:lang w:eastAsia="en-AU"/>
        </w:rPr>
      </w:pPr>
    </w:p>
    <w:p w14:paraId="4ACCF560"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Working with local fish experts has been the key to extending the region’s native fish breeding conservation efforts.</w:t>
      </w:r>
    </w:p>
    <w:p w14:paraId="33EE3818"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A study to monitor species of fish larvae in the Edward-Wakool River system started in October 2019 and thanks to promising initial results, the program has been extended. </w:t>
      </w:r>
    </w:p>
    <w:p w14:paraId="54EAD0DA"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The project has been a part of a multi-year Charles Sturt University study, initially to gauge environmental responses within the river system.</w:t>
      </w:r>
    </w:p>
    <w:p w14:paraId="4F5B16C2"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After research showed species of fish were breeding specifically further down the Edward River, the university paired up with local experts to monitor fish larvae trends. </w:t>
      </w:r>
    </w:p>
    <w:p w14:paraId="7484E8F7"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Local environmental consultant Dan Hutton says the initial results from CSU yielded promising signs for the Murray Cod but further study was needed downstream.</w:t>
      </w:r>
    </w:p>
    <w:p w14:paraId="29EA396D"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‘‘For a number of years CSU has been monitoring environmental responses within the Edward-Wakool River system, this monitoring is ongoing and includes native fish breeding,’’ he said.</w:t>
      </w:r>
    </w:p>
    <w:p w14:paraId="19A9E171"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‘‘The collected data has been utilised to manage flows within the system to successfully promote and support native fish breeding.</w:t>
      </w:r>
    </w:p>
    <w:p w14:paraId="253A7389"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‘‘Murray cod have responded well, however thus far there has been limited evidence of silver perch breeding.</w:t>
      </w:r>
    </w:p>
    <w:p w14:paraId="4E6F0D2F"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‘‘This raises the question of whether flow-dependent spawning species (eg. golden and silver perch) may be spawning in other parts of the E-W system, such as the Edward River. Local fishers have observed fish, including golden and silver perch, congregating downstream of Stevens Weir during late spring, which suggests the Edward River may be a spawning area for this species.</w:t>
      </w:r>
    </w:p>
    <w:p w14:paraId="1559A9AE"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‘‘This spring (in 2019) CSU extended their fish breeding monitoring to the Edward River downstream of Stevens Weir and approached Edward Wakool Angling Association (with whom they had a long relationship) to conduct the monitoring of those sites.</w:t>
      </w:r>
    </w:p>
    <w:p w14:paraId="2BCF3761"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‘‘The monitoring consists of setting three drift nets at each of three locations in late afternoon, then retrieving the nets and collecting and processing the sample the following morning. The sample are then viewed under a microscope to identify the species of any fish larvae.’’</w:t>
      </w:r>
    </w:p>
    <w:p w14:paraId="478C3C6F"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After seeing positive results from the first round of the program, CSU has extended it and intend to continue entrusting the project to locals.</w:t>
      </w:r>
    </w:p>
    <w:p w14:paraId="69F75101"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‘‘The monitoring program commenced in October and has been conducted by Anthony Jones, Warren Parsons, Alec Buckley and Zak McCullock. They detected the first Murray cod larvae in the samples before Christmas,’’ Mr Hutton said.</w:t>
      </w:r>
    </w:p>
    <w:p w14:paraId="4FEB75AB"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‘‘By utilising locals with appropriate skill and knowledge, CSU is able to expand the monitoring program at relatively low cost by avoiding travel and accommodation expenses.</w:t>
      </w:r>
    </w:p>
    <w:p w14:paraId="170E06F4"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‘‘Having local field technicians conduct the monitoring includes the local community in the program, providing an important platform for valuable local input into management of the local waterways.’’</w:t>
      </w:r>
    </w:p>
    <w:p w14:paraId="102D6C5A"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The project includes contributions from Commonwealth Environmental Water Office (funding), Charles Sturt University (contracted to conduct the monitoring program) and Edward Wakool Angling Association (conducting some of the fish breeding monitoring for CSU).</w:t>
      </w:r>
    </w:p>
    <w:p w14:paraId="39A26487"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Mr Hutton believes the use of local experts not only ensures positive results but also helps contribute back to the Deniliquin community, hoping it will be continued into the future.</w:t>
      </w:r>
    </w:p>
    <w:p w14:paraId="25F772D9"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‘‘Utilising existing, local field technicians ensures multiple successful outcomes by tapping into local expert knowledge, providing local employment and training, program cost savings and ensures monitoring results and findings are quickly communicated to the local community.</w:t>
      </w:r>
    </w:p>
    <w:p w14:paraId="20FDC693" w14:textId="77777777" w:rsidR="0020768B" w:rsidRPr="00A76066" w:rsidRDefault="0020768B" w:rsidP="0020768B">
      <w:pPr>
        <w:spacing w:after="120" w:line="240" w:lineRule="auto"/>
        <w:rPr>
          <w:rFonts w:eastAsia="Times New Roman" w:cstheme="minorHAnsi"/>
          <w:lang w:eastAsia="en-AU"/>
        </w:rPr>
      </w:pPr>
      <w:r w:rsidRPr="00A76066">
        <w:rPr>
          <w:rFonts w:eastAsia="Times New Roman" w:cstheme="minorHAnsi"/>
          <w:lang w:eastAsia="en-AU"/>
        </w:rPr>
        <w:t>‘‘It is proposed EWAA repeat the monitoring next summer and we hope it will be expanded from three to six sites.’’</w:t>
      </w:r>
    </w:p>
    <w:p w14:paraId="42B7C3C7" w14:textId="77777777" w:rsidR="0020768B" w:rsidRDefault="0020768B" w:rsidP="0020768B">
      <w:pPr>
        <w:spacing w:after="120" w:line="240" w:lineRule="auto"/>
        <w:rPr>
          <w:rFonts w:ascii="Times New Roman" w:eastAsia="Times New Roman" w:hAnsi="Times New Roman"/>
          <w:sz w:val="24"/>
          <w:szCs w:val="24"/>
          <w:lang w:eastAsia="en-AU"/>
        </w:rPr>
      </w:pPr>
      <w:r w:rsidRPr="00A76066">
        <w:rPr>
          <w:rFonts w:eastAsia="Times New Roman" w:cstheme="minorHAnsi"/>
          <w:lang w:eastAsia="en-AU"/>
        </w:rPr>
        <w:t>CSU has also engaged other local field technicians to conduct some turtle and riverbank vegetation surveys.</w:t>
      </w:r>
    </w:p>
    <w:p w14:paraId="1EDE82FC" w14:textId="77777777" w:rsidR="0020768B" w:rsidRDefault="0020768B" w:rsidP="0020768B">
      <w:pPr>
        <w:spacing w:after="120" w:line="240" w:lineRule="auto"/>
        <w:rPr>
          <w:rFonts w:ascii="Times New Roman" w:eastAsia="Times New Roman" w:hAnsi="Times New Roman"/>
          <w:sz w:val="24"/>
          <w:szCs w:val="24"/>
          <w:lang w:eastAsia="en-AU"/>
        </w:rPr>
      </w:pPr>
    </w:p>
    <w:p w14:paraId="1C80CDA8" w14:textId="77777777" w:rsidR="006E4461" w:rsidRPr="006E4461" w:rsidRDefault="006E4461" w:rsidP="006E4461">
      <w:pPr>
        <w:spacing w:after="120"/>
        <w:ind w:right="-125"/>
        <w:rPr>
          <w:rFonts w:eastAsia="Times New Roman" w:cstheme="minorHAnsi"/>
          <w:b/>
          <w:sz w:val="28"/>
          <w:szCs w:val="28"/>
          <w:lang w:eastAsia="en-AU"/>
        </w:rPr>
      </w:pPr>
      <w:r w:rsidRPr="006E4461">
        <w:rPr>
          <w:rFonts w:eastAsia="Times New Roman" w:cstheme="minorHAnsi"/>
          <w:b/>
          <w:sz w:val="28"/>
          <w:szCs w:val="28"/>
          <w:lang w:eastAsia="en-AU"/>
        </w:rPr>
        <w:t>Focus on Edward/Kolety River fish spawning project</w:t>
      </w:r>
    </w:p>
    <w:p w14:paraId="6D65BADB" w14:textId="145E748F" w:rsidR="0020768B" w:rsidRPr="00C20E59" w:rsidRDefault="0020768B" w:rsidP="006E4461">
      <w:pPr>
        <w:ind w:right="-123"/>
        <w:jc w:val="left"/>
        <w:rPr>
          <w:rFonts w:eastAsia="Times New Roman" w:cstheme="minorHAnsi"/>
          <w:b/>
          <w:lang w:eastAsia="en-AU"/>
        </w:rPr>
      </w:pPr>
      <w:r w:rsidRPr="00C20E59">
        <w:rPr>
          <w:rFonts w:eastAsia="Times New Roman" w:cstheme="minorHAnsi"/>
          <w:b/>
          <w:lang w:eastAsia="en-AU"/>
        </w:rPr>
        <w:t>From: Watts, R.J., Liu X., Healy S., Trethewie J., Vietz G., Sutton N. and Hutton D. (2020) Edward/Kolety-Wakool System Environmental Flows Newsletter, Issue 3. Charles Sturt University</w:t>
      </w:r>
    </w:p>
    <w:p w14:paraId="72BE5CDD" w14:textId="77777777" w:rsidR="0020768B" w:rsidRPr="001A3BDE" w:rsidRDefault="0020768B" w:rsidP="006E4461">
      <w:pPr>
        <w:spacing w:after="120" w:line="240" w:lineRule="auto"/>
        <w:ind w:right="-164"/>
        <w:jc w:val="left"/>
      </w:pPr>
      <w:r w:rsidRPr="001A3BDE">
        <w:t xml:space="preserve">Fish larvae have been monitored in Yallakool Creek and the Wakool River for over 5 years </w:t>
      </w:r>
      <w:r>
        <w:t xml:space="preserve">as part of the LTIM program </w:t>
      </w:r>
      <w:r w:rsidRPr="001A3BDE">
        <w:t xml:space="preserve">and the data have been used to inform water management and promote and support native fish breeding. </w:t>
      </w:r>
      <w:r>
        <w:t>Between 2014 and 2019 there</w:t>
      </w:r>
      <w:r w:rsidRPr="001A3BDE">
        <w:t xml:space="preserve"> was limited evidence of silver perch spawning and no evidence of golden perch spawning in </w:t>
      </w:r>
      <w:r>
        <w:t>the Wakool River and Yallakool Creek</w:t>
      </w:r>
      <w:r w:rsidRPr="001A3BDE">
        <w:t>. Local fishers have observed fish, including golden and silver perch, congregating downstream of Stevens Weir du</w:t>
      </w:r>
      <w:r>
        <w:t>ring late spring, suggesting</w:t>
      </w:r>
      <w:r w:rsidRPr="001A3BDE">
        <w:t xml:space="preserve"> the Edward</w:t>
      </w:r>
      <w:r>
        <w:t>/Kolety</w:t>
      </w:r>
      <w:r w:rsidRPr="001A3BDE">
        <w:t xml:space="preserve"> River may be a spawning area for this species.</w:t>
      </w:r>
      <w:r>
        <w:t xml:space="preserve"> A collaborative research project on fish spawning in the Edward/Kolety River involving Charles Sturt University and the Edward-Wakool Angling Association (EWAA) was initiated as a result of these observations.</w:t>
      </w:r>
    </w:p>
    <w:p w14:paraId="0BFD8D7D" w14:textId="77777777" w:rsidR="0020768B" w:rsidRPr="001A3BDE" w:rsidRDefault="0020768B" w:rsidP="006E4461">
      <w:pPr>
        <w:spacing w:after="120" w:line="240" w:lineRule="auto"/>
        <w:ind w:right="-164"/>
        <w:jc w:val="left"/>
      </w:pPr>
      <w:r w:rsidRPr="001A3BDE">
        <w:t xml:space="preserve">Each week from October 2019 through to the end of February 2020 members of EWAA set drift nets at three locations in late afternoon and then retrieved the nets and collected the samples the following morning. The monitoring program commenced in October and has been conducted by Anthony Jones, Warren Parsons, Alec Buckley and Zak McCullock. They detected the first Murray cod larvae in the samples before Christmas. The samples are being processed through microscopy at Charles Sturt University to </w:t>
      </w:r>
      <w:r>
        <w:t>identify the</w:t>
      </w:r>
      <w:r w:rsidRPr="001A3BDE">
        <w:t xml:space="preserve"> very small eggs or fish larvae in the samples.</w:t>
      </w:r>
    </w:p>
    <w:p w14:paraId="1929A9FD" w14:textId="77777777" w:rsidR="0020768B" w:rsidRPr="001A3BDE" w:rsidRDefault="0020768B" w:rsidP="006E4461">
      <w:pPr>
        <w:spacing w:after="120" w:line="240" w:lineRule="auto"/>
        <w:ind w:right="-164"/>
        <w:jc w:val="left"/>
      </w:pPr>
      <w:r w:rsidRPr="001A3BDE">
        <w:t>Local EWAA member Dan Hutton, who coordinate</w:t>
      </w:r>
      <w:r>
        <w:t>d</w:t>
      </w:r>
      <w:r w:rsidRPr="001A3BDE">
        <w:t xml:space="preserve"> the </w:t>
      </w:r>
      <w:r>
        <w:t>EWAA field work,</w:t>
      </w:r>
      <w:r w:rsidRPr="001A3BDE">
        <w:t xml:space="preserve"> said that “employing</w:t>
      </w:r>
      <w:r>
        <w:t xml:space="preserve"> locals with appropriate skills and knowledge </w:t>
      </w:r>
      <w:r w:rsidRPr="001A3BDE">
        <w:t>to undertake the field work ensures multiple successful outcomes</w:t>
      </w:r>
      <w:r>
        <w:t>.</w:t>
      </w:r>
      <w:r w:rsidRPr="001A3BDE">
        <w:t xml:space="preserve"> </w:t>
      </w:r>
      <w:r>
        <w:t>The collaboration has provided</w:t>
      </w:r>
      <w:r w:rsidRPr="001A3BDE">
        <w:t xml:space="preserve"> local employment and training, program cost savings and ensures monitoring results and findings are quickly communicated to the local community. This research provides an important platform for valuable local input into management of the local waterways’’.</w:t>
      </w:r>
    </w:p>
    <w:p w14:paraId="6E6AFD83" w14:textId="77777777" w:rsidR="0020768B" w:rsidRDefault="0020768B" w:rsidP="0020768B">
      <w:pPr>
        <w:spacing w:after="0"/>
        <w:ind w:right="-306"/>
        <w:rPr>
          <w:noProof/>
          <w:sz w:val="24"/>
          <w:szCs w:val="24"/>
          <w:lang w:eastAsia="en-AU"/>
        </w:rPr>
      </w:pPr>
      <w:r>
        <w:rPr>
          <w:noProof/>
          <w:sz w:val="24"/>
          <w:szCs w:val="24"/>
          <w:lang w:eastAsia="en-AU"/>
        </w:rPr>
        <w:drawing>
          <wp:inline distT="0" distB="0" distL="0" distR="0" wp14:anchorId="464433FB" wp14:editId="418B090A">
            <wp:extent cx="1880553" cy="19440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t and Dan 12_10_2019.jpg"/>
                    <pic:cNvPicPr/>
                  </pic:nvPicPr>
                  <pic:blipFill rotWithShape="1">
                    <a:blip r:embed="rId202" cstate="email">
                      <a:extLst>
                        <a:ext uri="{28A0092B-C50C-407E-A947-70E740481C1C}">
                          <a14:useLocalDpi xmlns:a14="http://schemas.microsoft.com/office/drawing/2010/main"/>
                        </a:ext>
                      </a:extLst>
                    </a:blip>
                    <a:srcRect/>
                    <a:stretch/>
                  </pic:blipFill>
                  <pic:spPr bwMode="auto">
                    <a:xfrm>
                      <a:off x="0" y="0"/>
                      <a:ext cx="1880553" cy="194400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eastAsia="en-AU"/>
        </w:rPr>
        <w:t xml:space="preserve"> </w:t>
      </w:r>
      <w:r>
        <w:rPr>
          <w:noProof/>
          <w:sz w:val="24"/>
          <w:szCs w:val="24"/>
          <w:lang w:eastAsia="en-AU"/>
        </w:rPr>
        <w:drawing>
          <wp:inline distT="0" distB="0" distL="0" distR="0" wp14:anchorId="0DE68AD8" wp14:editId="60693B83">
            <wp:extent cx="1529884" cy="1944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thony drift photo 9 Nov 2019.jpg"/>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1529884" cy="194400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eastAsia="en-AU"/>
        </w:rPr>
        <w:t xml:space="preserve"> </w:t>
      </w:r>
      <w:r>
        <w:rPr>
          <w:noProof/>
          <w:sz w:val="24"/>
          <w:szCs w:val="24"/>
          <w:lang w:eastAsia="en-AU"/>
        </w:rPr>
        <w:drawing>
          <wp:inline distT="0" distB="0" distL="0" distR="0" wp14:anchorId="401CEF86" wp14:editId="311DC6D7">
            <wp:extent cx="2229661" cy="1944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tting drift nets.jpg"/>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229661" cy="1944000"/>
                    </a:xfrm>
                    <a:prstGeom prst="rect">
                      <a:avLst/>
                    </a:prstGeom>
                    <a:ln>
                      <a:noFill/>
                    </a:ln>
                    <a:extLst>
                      <a:ext uri="{53640926-AAD7-44D8-BBD7-CCE9431645EC}">
                        <a14:shadowObscured xmlns:a14="http://schemas.microsoft.com/office/drawing/2010/main"/>
                      </a:ext>
                    </a:extLst>
                  </pic:spPr>
                </pic:pic>
              </a:graphicData>
            </a:graphic>
          </wp:inline>
        </w:drawing>
      </w:r>
    </w:p>
    <w:p w14:paraId="198C8A0C" w14:textId="77777777" w:rsidR="0020768B" w:rsidRDefault="0020768B" w:rsidP="0020768B">
      <w:pPr>
        <w:spacing w:after="0"/>
        <w:ind w:right="-306"/>
        <w:rPr>
          <w:rFonts w:ascii="Arial Narrow" w:eastAsia="Times New Roman" w:hAnsi="Arial Narrow"/>
          <w:i/>
          <w:iCs/>
          <w:sz w:val="20"/>
          <w:lang w:eastAsia="en-AU"/>
        </w:rPr>
      </w:pPr>
      <w:r>
        <w:rPr>
          <w:rFonts w:ascii="Arial Narrow" w:eastAsia="Times New Roman" w:hAnsi="Arial Narrow"/>
          <w:i/>
          <w:iCs/>
          <w:sz w:val="20"/>
          <w:lang w:eastAsia="en-AU"/>
        </w:rPr>
        <w:t>Fish spawning research in the Edward/Kolety River near Werai Forest. Left: Anthony Jones and Dan Hutton from the Edward-Wakool Angling Association. Right: Anthony Jones (EWAA) and John Trethewie (CSU) setting larval fish nets.</w:t>
      </w:r>
    </w:p>
    <w:p w14:paraId="2A01B638" w14:textId="77777777" w:rsidR="00B96BA2" w:rsidRDefault="00B96BA2">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0662AAEE" w14:textId="7541C419" w:rsidR="00B96BA2" w:rsidRDefault="00D41E78" w:rsidP="00836CDD">
      <w:pPr>
        <w:pStyle w:val="Heading1"/>
      </w:pPr>
      <w:bookmarkStart w:id="211" w:name="_Toc69846024"/>
      <w:r>
        <w:t>12</w:t>
      </w:r>
      <w:r>
        <w:tab/>
        <w:t>E</w:t>
      </w:r>
      <w:r w:rsidR="00B96BA2">
        <w:t>nvironmental DNA</w:t>
      </w:r>
      <w:r w:rsidR="006501A4">
        <w:t xml:space="preserve"> biodiversity research</w:t>
      </w:r>
      <w:bookmarkEnd w:id="211"/>
    </w:p>
    <w:p w14:paraId="3349A253" w14:textId="36712558" w:rsidR="006501A4" w:rsidRPr="00364C60" w:rsidRDefault="00ED4BE8" w:rsidP="006501A4">
      <w:pPr>
        <w:spacing w:after="120"/>
      </w:pPr>
      <w:r>
        <w:t xml:space="preserve">Authors: </w:t>
      </w:r>
      <w:r w:rsidR="006501A4" w:rsidRPr="00364C60">
        <w:t>Meaghan Duncan</w:t>
      </w:r>
      <w:r w:rsidR="006501A4">
        <w:t>,</w:t>
      </w:r>
      <w:r w:rsidR="006501A4" w:rsidRPr="00364C60">
        <w:t xml:space="preserve"> Jackson Wilkes Walburn</w:t>
      </w:r>
      <w:r w:rsidR="006501A4">
        <w:t>, Elka Blackm</w:t>
      </w:r>
      <w:r w:rsidR="0046477B">
        <w:t>an, Jason Thiem and Robyn Watts</w:t>
      </w:r>
    </w:p>
    <w:p w14:paraId="2AE510A9" w14:textId="77777777" w:rsidR="006501A4" w:rsidRDefault="006501A4" w:rsidP="00546470">
      <w:pPr>
        <w:spacing w:after="240" w:line="259" w:lineRule="auto"/>
        <w:rPr>
          <w:rFonts w:cstheme="minorHAnsi"/>
          <w:b/>
          <w:color w:val="31849B"/>
          <w:sz w:val="28"/>
          <w:szCs w:val="28"/>
        </w:rPr>
      </w:pPr>
      <w:r>
        <w:rPr>
          <w:rFonts w:cstheme="minorHAnsi"/>
          <w:b/>
          <w:color w:val="31849B"/>
          <w:sz w:val="28"/>
          <w:szCs w:val="28"/>
        </w:rPr>
        <w:t xml:space="preserve">12.1 </w:t>
      </w:r>
      <w:r w:rsidRPr="002A0CF6">
        <w:rPr>
          <w:rFonts w:cstheme="minorHAnsi"/>
          <w:b/>
          <w:color w:val="31849B"/>
          <w:sz w:val="28"/>
          <w:szCs w:val="28"/>
        </w:rPr>
        <w:t>Introduction</w:t>
      </w:r>
    </w:p>
    <w:p w14:paraId="30BCFA50" w14:textId="77777777" w:rsidR="006501A4" w:rsidRPr="00364C60" w:rsidRDefault="006501A4" w:rsidP="00546470">
      <w:pPr>
        <w:spacing w:after="120" w:line="259" w:lineRule="auto"/>
        <w:jc w:val="left"/>
      </w:pPr>
      <w:r w:rsidRPr="00364C60">
        <w:t xml:space="preserve">Monitoring aquatic species using traditional methods can ineffectively sample rare or cryptic species. It is critical that the distribution of these species be accurately understood given that their continued survival will depend on appropriate water management. Environmental DNA (eDNA) provides an indirect approach to detecting the presence or absence of a species </w:t>
      </w:r>
      <w:r w:rsidRPr="00364C60">
        <w:fldChar w:fldCharType="begin"/>
      </w:r>
      <w:r>
        <w:instrText xml:space="preserve"> ADDIN EN.CITE &lt;EndNote&gt;&lt;Cite&gt;&lt;Author&gt;Taberlet&lt;/Author&gt;&lt;Year&gt;2012&lt;/Year&gt;&lt;RecNum&gt;2347&lt;/RecNum&gt;&lt;DisplayText&gt;(Taberlet&lt;style face="italic"&gt; et al.&lt;/style&gt;, 2012)&lt;/DisplayText&gt;&lt;record&gt;&lt;rec-number&gt;2347&lt;/rec-number&gt;&lt;foreign-keys&gt;&lt;key app="EN" db-id="e0dt5ads0f5edteap9hv95toswsre9f2wed5" timestamp="1582072308"&gt;2347&lt;/key&gt;&lt;/foreign-keys&gt;&lt;ref-type name="Journal Article"&gt;17&lt;/ref-type&gt;&lt;contributors&gt;&lt;authors&gt;&lt;author&gt;Taberlet, Pierre&lt;/author&gt;&lt;author&gt;Coissac, Eric&lt;/author&gt;&lt;author&gt;Hajibabaei, Mehrdad&lt;/author&gt;&lt;author&gt;Rieseberg, Loren H.&lt;/author&gt;&lt;/authors&gt;&lt;/contributors&gt;&lt;titles&gt;&lt;title&gt;Environmental DNA&lt;/title&gt;&lt;secondary-title&gt;Molecular Ecology&lt;/secondary-title&gt;&lt;/titles&gt;&lt;pages&gt;1789-1793&lt;/pages&gt;&lt;volume&gt;21&lt;/volume&gt;&lt;number&gt;8&lt;/number&gt;&lt;dates&gt;&lt;year&gt;2012&lt;/year&gt;&lt;/dates&gt;&lt;isbn&gt;0962-1083&lt;/isbn&gt;&lt;urls&gt;&lt;related-urls&gt;&lt;url&gt;https://onlinelibrary.wiley.com/doi/abs/10.1111/j.1365-294X.2012.05542.x&lt;/url&gt;&lt;/related-urls&gt;&lt;/urls&gt;&lt;electronic-resource-num&gt;10.1111/j.1365-294X.2012.05542.x&lt;/electronic-resource-num&gt;&lt;/record&gt;&lt;/Cite&gt;&lt;/EndNote&gt;</w:instrText>
      </w:r>
      <w:r w:rsidRPr="00364C60">
        <w:fldChar w:fldCharType="separate"/>
      </w:r>
      <w:r>
        <w:rPr>
          <w:noProof/>
        </w:rPr>
        <w:t>(Taberlet</w:t>
      </w:r>
      <w:r w:rsidRPr="00D22CDC">
        <w:rPr>
          <w:i/>
          <w:noProof/>
        </w:rPr>
        <w:t xml:space="preserve"> et al.</w:t>
      </w:r>
      <w:r>
        <w:rPr>
          <w:noProof/>
        </w:rPr>
        <w:t>, 2012)</w:t>
      </w:r>
      <w:r w:rsidRPr="00364C60">
        <w:fldChar w:fldCharType="end"/>
      </w:r>
      <w:r w:rsidRPr="00364C60">
        <w:t>. eDNA includes any DNA found in a wide range of substrates, including water, soil, ice or air. In the aquatic environment, eDNA is continuously shed by organisms when they defecate and shed cells, including gametes. This eDNA can be captured by filtering the water, extracting the eDNA and using targeted PCR to identify if the species is present or absent.</w:t>
      </w:r>
    </w:p>
    <w:p w14:paraId="5CDB9D83" w14:textId="77777777" w:rsidR="006501A4" w:rsidRPr="00364C60" w:rsidRDefault="006501A4" w:rsidP="00546470">
      <w:pPr>
        <w:spacing w:after="120" w:line="259" w:lineRule="auto"/>
        <w:jc w:val="left"/>
      </w:pPr>
      <w:r w:rsidRPr="00364C60">
        <w:t>eDNA has some benefits over traditional techniques given that it does not require the species to be physically sampled, it is less labour intensive, economical and it can potentially detect species that are not targeted or not efficiently sampled as part of the Cat 1 and 3 components due to their low abundance and/or cryptic nature. The added benefit of collecting eDNA is that the extracted DNA sample contains a snapshot of the species present at that location and time. Therefore, these samples can be stored and used to identify other species of interest in the future, which can allow for range expansions/contractions to be tracked.</w:t>
      </w:r>
    </w:p>
    <w:p w14:paraId="70368B3F" w14:textId="6BF84F06" w:rsidR="006501A4" w:rsidRPr="00364C60" w:rsidRDefault="006501A4" w:rsidP="00546470">
      <w:pPr>
        <w:spacing w:after="120" w:line="259" w:lineRule="auto"/>
        <w:jc w:val="left"/>
      </w:pPr>
      <w:r w:rsidRPr="00364C60">
        <w:t xml:space="preserve">The aim of this </w:t>
      </w:r>
      <w:r>
        <w:t>research</w:t>
      </w:r>
      <w:r w:rsidR="007D4D5C">
        <w:t xml:space="preserve"> was</w:t>
      </w:r>
      <w:r w:rsidRPr="00364C60">
        <w:t xml:space="preserve"> to use eDNA to identify the presence and spatial distribution of threatened, uncommon and iconic species of crustacean, turtles, fish and</w:t>
      </w:r>
      <w:r>
        <w:t xml:space="preserve"> </w:t>
      </w:r>
      <w:r w:rsidRPr="00364C60">
        <w:t xml:space="preserve">aquatic mammals in the </w:t>
      </w:r>
      <w:r>
        <w:t>Edward/</w:t>
      </w:r>
      <w:r w:rsidRPr="00364C60">
        <w:t>Kolety-Wakool system. This question is a priority given the presence of any of the species listed under the research proposal may result in changes to the way environmental water is managed. If the outcome of this project indicated eDNA is a suitable method for documenting the distribution of the target species, it could potentially be used in the future to identify population expansion as a result of targeted environmental watering.</w:t>
      </w:r>
    </w:p>
    <w:p w14:paraId="7788D5DC" w14:textId="77777777" w:rsidR="006501A4" w:rsidRPr="00364C60" w:rsidRDefault="006501A4" w:rsidP="00546470">
      <w:pPr>
        <w:spacing w:after="120" w:line="259" w:lineRule="auto"/>
        <w:jc w:val="left"/>
      </w:pPr>
      <w:r w:rsidRPr="00364C60">
        <w:t xml:space="preserve">There are two approaches for identifying species from eDNA: a targeted approach (to detect a single species) or multispecies (or metabarcoding) approach. The choice of approach depends on the study’s aims and the resources available </w:t>
      </w:r>
      <w:r w:rsidRPr="00364C60">
        <w:fldChar w:fldCharType="begin"/>
      </w:r>
      <w:r>
        <w:instrText xml:space="preserve"> ADDIN EN.CITE &lt;EndNote&gt;&lt;Cite&gt;&lt;Author&gt;McColl-Gausden&lt;/Author&gt;&lt;Year&gt;2019&lt;/Year&gt;&lt;RecNum&gt;1669&lt;/RecNum&gt;&lt;DisplayText&gt;(McColl-Gausden&lt;style face="italic"&gt; et al.&lt;/style&gt;, 2019)&lt;/DisplayText&gt;&lt;record&gt;&lt;rec-number&gt;1669&lt;/rec-number&gt;&lt;foreign-keys&gt;&lt;key app="EN" db-id="e0dt5ads0f5edteap9hv95toswsre9f2wed5" timestamp="1571781716"&gt;1669&lt;/key&gt;&lt;/foreign-keys&gt;&lt;ref-type name="Journal Article"&gt;17&lt;/ref-type&gt;&lt;contributors&gt;&lt;authors&gt;&lt;author&gt;Emily F. McColl-Gausden&lt;/author&gt;&lt;author&gt;Andrew R. Weeks&lt;/author&gt;&lt;author&gt;Reid Tingley&lt;/author&gt;&lt;/authors&gt;&lt;/contributors&gt;&lt;titles&gt;&lt;title&gt;A field ecologist&amp;apos;s guide to environmental DNA sampling in freshwater environments&lt;/title&gt;&lt;secondary-title&gt;Australian Zoologist&lt;/secondary-title&gt;&lt;/titles&gt;&lt;pages&gt;null&lt;/pages&gt;&lt;volume&gt;0&lt;/volume&gt;&lt;number&gt;0&lt;/number&gt;&lt;dates&gt;&lt;year&gt;2019&lt;/year&gt;&lt;/dates&gt;&lt;urls&gt;&lt;related-urls&gt;&lt;url&gt;&lt;style face="underline" font="default" size="100%"&gt;https://publications.rzsnsw.org.au/doi/abs/10.7882/AZ.2019.025&lt;/style&gt;&lt;/url&gt;&lt;/related-urls&gt;&lt;/urls&gt;&lt;electronic-resource-num&gt;10.7882/az.2019.025&lt;/electronic-resource-num&gt;&lt;/record&gt;&lt;/Cite&gt;&lt;/EndNote&gt;</w:instrText>
      </w:r>
      <w:r w:rsidRPr="00364C60">
        <w:fldChar w:fldCharType="separate"/>
      </w:r>
      <w:r>
        <w:rPr>
          <w:noProof/>
        </w:rPr>
        <w:t>(McColl-Gausden</w:t>
      </w:r>
      <w:r w:rsidRPr="00D22CDC">
        <w:rPr>
          <w:i/>
          <w:noProof/>
        </w:rPr>
        <w:t xml:space="preserve"> et al.</w:t>
      </w:r>
      <w:r>
        <w:rPr>
          <w:noProof/>
        </w:rPr>
        <w:t>, 2019)</w:t>
      </w:r>
      <w:r w:rsidRPr="00364C60">
        <w:fldChar w:fldCharType="end"/>
      </w:r>
      <w:r w:rsidRPr="00364C60">
        <w:t xml:space="preserve">. For example, a targeted approach can be carried out with relatively standard genetic equipment located in a dedicated eDNA laboratory. Primer design allows flexibility in the choice of the target gene to maximise the chance that the target species can be detected and differentiated from congeneric species. The metabarcoding approach requires an accurate reference library containing sequences from the target gene region from all known species in the target group. In some cases, metabarcoding may not be able to identify species beyond family or genus. Furthermore, metabarcoding requires complex bioinformatic tools that can be labour intensive to develop and require greater expertise to develop in comparison to the targeted approach </w:t>
      </w:r>
      <w:r w:rsidRPr="00364C60">
        <w:fldChar w:fldCharType="begin"/>
      </w:r>
      <w:r>
        <w:instrText xml:space="preserve"> ADDIN EN.CITE &lt;EndNote&gt;&lt;Cite&gt;&lt;Author&gt;McColl-Gausden&lt;/Author&gt;&lt;Year&gt;2019&lt;/Year&gt;&lt;RecNum&gt;1669&lt;/RecNum&gt;&lt;DisplayText&gt;(McColl-Gausden&lt;style face="italic"&gt; et al.&lt;/style&gt;, 2019)&lt;/DisplayText&gt;&lt;record&gt;&lt;rec-number&gt;1669&lt;/rec-number&gt;&lt;foreign-keys&gt;&lt;key app="EN" db-id="e0dt5ads0f5edteap9hv95toswsre9f2wed5" timestamp="1571781716"&gt;1669&lt;/key&gt;&lt;/foreign-keys&gt;&lt;ref-type name="Journal Article"&gt;17&lt;/ref-type&gt;&lt;contributors&gt;&lt;authors&gt;&lt;author&gt;Emily F. McColl-Gausden&lt;/author&gt;&lt;author&gt;Andrew R. Weeks&lt;/author&gt;&lt;author&gt;Reid Tingley&lt;/author&gt;&lt;/authors&gt;&lt;/contributors&gt;&lt;titles&gt;&lt;title&gt;A field ecologist&amp;apos;s guide to environmental DNA sampling in freshwater environments&lt;/title&gt;&lt;secondary-title&gt;Australian Zoologist&lt;/secondary-title&gt;&lt;/titles&gt;&lt;pages&gt;null&lt;/pages&gt;&lt;volume&gt;0&lt;/volume&gt;&lt;number&gt;0&lt;/number&gt;&lt;dates&gt;&lt;year&gt;2019&lt;/year&gt;&lt;/dates&gt;&lt;urls&gt;&lt;related-urls&gt;&lt;url&gt;&lt;style face="underline" font="default" size="100%"&gt;https://publications.rzsnsw.org.au/doi/abs/10.7882/AZ.2019.025&lt;/style&gt;&lt;/url&gt;&lt;/related-urls&gt;&lt;/urls&gt;&lt;electronic-resource-num&gt;10.7882/az.2019.025&lt;/electronic-resource-num&gt;&lt;/record&gt;&lt;/Cite&gt;&lt;/EndNote&gt;</w:instrText>
      </w:r>
      <w:r w:rsidRPr="00364C60">
        <w:fldChar w:fldCharType="separate"/>
      </w:r>
      <w:r>
        <w:rPr>
          <w:noProof/>
        </w:rPr>
        <w:t>(McColl-Gausden</w:t>
      </w:r>
      <w:r w:rsidRPr="00366BE5">
        <w:rPr>
          <w:i/>
          <w:noProof/>
        </w:rPr>
        <w:t xml:space="preserve"> et al.</w:t>
      </w:r>
      <w:r>
        <w:rPr>
          <w:noProof/>
        </w:rPr>
        <w:t>, 2019)</w:t>
      </w:r>
      <w:r w:rsidRPr="00364C60">
        <w:fldChar w:fldCharType="end"/>
      </w:r>
      <w:r w:rsidRPr="00364C60">
        <w:t xml:space="preserve">. While metabarcoding is valuable for identifying whole communities, primer specificity biases may result in a failure to detect some species, while the eDNA of extremely abundant species could reduce the probability of detecting rare species </w:t>
      </w:r>
      <w:r w:rsidRPr="00364C60">
        <w:fldChar w:fldCharType="begin">
          <w:fldData xml:space="preserve">PEVuZE5vdGU+PENpdGU+PEF1dGhvcj5CeWxlbWFuczwvQXV0aG9yPjxZZWFyPjIwMTg8L1llYXI+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</w:fldData>
        </w:fldChar>
      </w:r>
      <w:r>
        <w:instrText xml:space="preserve"> ADDIN EN.CITE </w:instrText>
      </w:r>
      <w:r>
        <w:fldChar w:fldCharType="begin">
          <w:fldData xml:space="preserve">PEVuZE5vdGU+PENpdGU+PEF1dGhvcj5CeWxlbWFuczwvQXV0aG9yPjxZZWFyPjIwMTg8L1llYXI+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</w:fldData>
        </w:fldChar>
      </w:r>
      <w:r>
        <w:instrText xml:space="preserve"> ADDIN EN.CITE.DATA </w:instrText>
      </w:r>
      <w:r>
        <w:fldChar w:fldCharType="end"/>
      </w:r>
      <w:r w:rsidRPr="00364C60">
        <w:fldChar w:fldCharType="separate"/>
      </w:r>
      <w:r>
        <w:rPr>
          <w:noProof/>
        </w:rPr>
        <w:t>(Bylemans</w:t>
      </w:r>
      <w:r w:rsidRPr="00D22CDC">
        <w:rPr>
          <w:i/>
          <w:noProof/>
        </w:rPr>
        <w:t xml:space="preserve"> et al.</w:t>
      </w:r>
      <w:r>
        <w:rPr>
          <w:noProof/>
        </w:rPr>
        <w:t>, 2018; Kelly</w:t>
      </w:r>
      <w:r w:rsidRPr="00D22CDC">
        <w:rPr>
          <w:i/>
          <w:noProof/>
        </w:rPr>
        <w:t xml:space="preserve"> et al.</w:t>
      </w:r>
      <w:r>
        <w:rPr>
          <w:noProof/>
        </w:rPr>
        <w:t>, 2014)</w:t>
      </w:r>
      <w:r w:rsidRPr="00364C60">
        <w:fldChar w:fldCharType="end"/>
      </w:r>
      <w:r w:rsidRPr="00364C60">
        <w:t xml:space="preserve">. While few studies have directly compared the sensitivity of the targeted approach and metabarcoding at detecting the presence of a single species, it is likely that detectability may be higher with a targeted approach </w:t>
      </w:r>
      <w:r w:rsidRPr="00364C60">
        <w:fldChar w:fldCharType="begin">
          <w:fldData xml:space="preserve">PEVuZE5vdGU+PENpdGU+PEF1dGhvcj5CeWxlbWFuczwvQXV0aG9yPjxZZWFyPjIwMTk8L1llYXI+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</w:fldData>
        </w:fldChar>
      </w:r>
      <w:r>
        <w:instrText xml:space="preserve"> ADDIN EN.CITE </w:instrText>
      </w:r>
      <w:r>
        <w:fldChar w:fldCharType="begin">
          <w:fldData xml:space="preserve">PEVuZE5vdGU+PENpdGU+PEF1dGhvcj5CeWxlbWFuczwvQXV0aG9yPjxZZWFyPjIwMTk8L1llYXI+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</w:fldData>
        </w:fldChar>
      </w:r>
      <w:r>
        <w:instrText xml:space="preserve"> ADDIN EN.CITE.DATA </w:instrText>
      </w:r>
      <w:r>
        <w:fldChar w:fldCharType="end"/>
      </w:r>
      <w:r w:rsidRPr="00364C60">
        <w:fldChar w:fldCharType="separate"/>
      </w:r>
      <w:r>
        <w:rPr>
          <w:noProof/>
        </w:rPr>
        <w:t>(Bylemans</w:t>
      </w:r>
      <w:r w:rsidRPr="00D22CDC">
        <w:rPr>
          <w:i/>
          <w:noProof/>
        </w:rPr>
        <w:t xml:space="preserve"> et al.</w:t>
      </w:r>
      <w:r>
        <w:rPr>
          <w:noProof/>
        </w:rPr>
        <w:t>, 2019; Harper</w:t>
      </w:r>
      <w:r w:rsidRPr="00D22CDC">
        <w:rPr>
          <w:i/>
          <w:noProof/>
        </w:rPr>
        <w:t xml:space="preserve"> et al.</w:t>
      </w:r>
      <w:r>
        <w:rPr>
          <w:noProof/>
        </w:rPr>
        <w:t>, 2018)</w:t>
      </w:r>
      <w:r w:rsidRPr="00364C60">
        <w:fldChar w:fldCharType="end"/>
      </w:r>
      <w:r w:rsidRPr="00364C60">
        <w:t>.</w:t>
      </w:r>
    </w:p>
    <w:p w14:paraId="5781615D" w14:textId="77777777" w:rsidR="006501A4" w:rsidRPr="00364C60" w:rsidRDefault="006501A4" w:rsidP="00546470">
      <w:pPr>
        <w:spacing w:after="240" w:line="259" w:lineRule="auto"/>
        <w:jc w:val="left"/>
      </w:pPr>
      <w:r w:rsidRPr="00364C60">
        <w:t xml:space="preserve">Given the information above, here we apply a targeted eDNA approach to develop assays to detect up to 13 aquatic species in the </w:t>
      </w:r>
      <w:r>
        <w:t>Edward/</w:t>
      </w:r>
      <w:r w:rsidRPr="00364C60">
        <w:t>Kolety-Wakool system</w:t>
      </w:r>
      <w:bookmarkStart w:id="212" w:name="_Hlk48828193"/>
      <w:r w:rsidRPr="00364C60">
        <w:t>; Murray cod (</w:t>
      </w:r>
      <w:r w:rsidRPr="0095048A">
        <w:rPr>
          <w:i/>
        </w:rPr>
        <w:t>Maccullochella peelii</w:t>
      </w:r>
      <w:r w:rsidRPr="00364C60">
        <w:t>), trout cod (</w:t>
      </w:r>
      <w:r w:rsidRPr="0095048A">
        <w:rPr>
          <w:i/>
        </w:rPr>
        <w:t>M. macquariensis</w:t>
      </w:r>
      <w:r w:rsidRPr="00364C60">
        <w:t>), silver perch (</w:t>
      </w:r>
      <w:r w:rsidRPr="0095048A">
        <w:rPr>
          <w:i/>
        </w:rPr>
        <w:t>Bidyanus bidyanus</w:t>
      </w:r>
      <w:r w:rsidRPr="00364C60">
        <w:t>), freshwater catfish (</w:t>
      </w:r>
      <w:r w:rsidRPr="0095048A">
        <w:rPr>
          <w:i/>
        </w:rPr>
        <w:t>Tandanus tandanus</w:t>
      </w:r>
      <w:r w:rsidRPr="00364C60">
        <w:t>), river blackfish (</w:t>
      </w:r>
      <w:r w:rsidRPr="0095048A">
        <w:rPr>
          <w:i/>
        </w:rPr>
        <w:t>Gadopsis marmoratus</w:t>
      </w:r>
      <w:r w:rsidRPr="00364C60">
        <w:t>), dwarf flathead gudgeon (</w:t>
      </w:r>
      <w:r w:rsidRPr="0095048A">
        <w:rPr>
          <w:i/>
        </w:rPr>
        <w:t>Philypnodon macrostomus</w:t>
      </w:r>
      <w:r w:rsidRPr="00364C60">
        <w:t>), unspecked hardyhead (</w:t>
      </w:r>
      <w:r w:rsidRPr="0095048A">
        <w:rPr>
          <w:i/>
        </w:rPr>
        <w:t>Craterocephalus fulvus</w:t>
      </w:r>
      <w:r w:rsidRPr="00364C60">
        <w:t>), obscure galaxias (</w:t>
      </w:r>
      <w:r w:rsidRPr="0095048A">
        <w:rPr>
          <w:i/>
        </w:rPr>
        <w:t>Galaxias oliros</w:t>
      </w:r>
      <w:r w:rsidRPr="00364C60">
        <w:t>), Murray crayfish (</w:t>
      </w:r>
      <w:r w:rsidRPr="0095048A">
        <w:rPr>
          <w:i/>
        </w:rPr>
        <w:t>Euastacus armatus</w:t>
      </w:r>
      <w:r w:rsidRPr="00364C60">
        <w:t>), river mussel (</w:t>
      </w:r>
      <w:r w:rsidRPr="0095048A">
        <w:rPr>
          <w:i/>
        </w:rPr>
        <w:t>Alathyria jacksoni</w:t>
      </w:r>
      <w:r w:rsidRPr="00364C60">
        <w:t>), eastern long-necked turtle (Chelodina longicollis), short-necked turtle (</w:t>
      </w:r>
      <w:r w:rsidRPr="0095048A">
        <w:rPr>
          <w:i/>
        </w:rPr>
        <w:t>Emydura macquarii</w:t>
      </w:r>
      <w:r w:rsidRPr="00364C60">
        <w:t>) and platypus (</w:t>
      </w:r>
      <w:r w:rsidRPr="0095048A">
        <w:rPr>
          <w:i/>
        </w:rPr>
        <w:t>Ornithorhynchus anatinus</w:t>
      </w:r>
      <w:r w:rsidRPr="00364C60">
        <w:t>)</w:t>
      </w:r>
      <w:r>
        <w:t>.</w:t>
      </w:r>
      <w:bookmarkEnd w:id="212"/>
    </w:p>
    <w:p w14:paraId="19812426" w14:textId="77777777" w:rsidR="006501A4" w:rsidRPr="002A0CF6" w:rsidRDefault="006501A4" w:rsidP="00546470">
      <w:pPr>
        <w:spacing w:after="120" w:line="259" w:lineRule="auto"/>
        <w:jc w:val="left"/>
        <w:rPr>
          <w:rFonts w:cstheme="minorHAnsi"/>
          <w:b/>
          <w:color w:val="31849B"/>
          <w:sz w:val="28"/>
          <w:szCs w:val="28"/>
        </w:rPr>
      </w:pPr>
      <w:r>
        <w:rPr>
          <w:rFonts w:cstheme="minorHAnsi"/>
          <w:b/>
          <w:color w:val="31849B"/>
          <w:sz w:val="28"/>
          <w:szCs w:val="28"/>
        </w:rPr>
        <w:t>12.2 Methods</w:t>
      </w:r>
    </w:p>
    <w:p w14:paraId="0A5486D9" w14:textId="77777777" w:rsidR="006501A4" w:rsidRPr="00546470" w:rsidRDefault="006501A4" w:rsidP="00546470">
      <w:pPr>
        <w:spacing w:after="120" w:line="259" w:lineRule="auto"/>
        <w:jc w:val="left"/>
        <w:rPr>
          <w:rFonts w:cstheme="minorHAnsi"/>
          <w:b/>
          <w:i/>
          <w:color w:val="31849B"/>
          <w:sz w:val="24"/>
          <w:szCs w:val="24"/>
        </w:rPr>
      </w:pPr>
      <w:r w:rsidRPr="00546470">
        <w:rPr>
          <w:rFonts w:cstheme="minorHAnsi"/>
          <w:b/>
          <w:i/>
          <w:color w:val="31849B"/>
          <w:sz w:val="24"/>
          <w:szCs w:val="24"/>
        </w:rPr>
        <w:t xml:space="preserve">Targeted assay development </w:t>
      </w:r>
    </w:p>
    <w:p w14:paraId="67C5D96B" w14:textId="77777777" w:rsidR="006501A4" w:rsidRPr="00546470" w:rsidRDefault="006501A4" w:rsidP="00546470">
      <w:pPr>
        <w:spacing w:after="120" w:line="259" w:lineRule="auto"/>
        <w:jc w:val="left"/>
        <w:rPr>
          <w:rFonts w:cstheme="minorHAnsi"/>
          <w:b/>
          <w:i/>
          <w:color w:val="31849B"/>
          <w:sz w:val="24"/>
          <w:szCs w:val="24"/>
        </w:rPr>
      </w:pPr>
      <w:r w:rsidRPr="00546470">
        <w:rPr>
          <w:rFonts w:cstheme="minorHAnsi"/>
          <w:b/>
          <w:i/>
          <w:color w:val="31849B"/>
          <w:sz w:val="24"/>
          <w:szCs w:val="24"/>
        </w:rPr>
        <w:t>Assay design</w:t>
      </w:r>
    </w:p>
    <w:p w14:paraId="2C32CC9E" w14:textId="77777777" w:rsidR="006501A4" w:rsidRPr="00364C60" w:rsidRDefault="006501A4" w:rsidP="00546470">
      <w:pPr>
        <w:spacing w:after="120" w:line="259" w:lineRule="auto"/>
        <w:jc w:val="left"/>
      </w:pPr>
      <w:bookmarkStart w:id="213" w:name="_Hlk49175376"/>
      <w:r w:rsidRPr="00364C60">
        <w:t>Note, assay design was attempted for all 13 species (except for platypus as the assay was available in the literature). However, for various reasons assay design did not progress further for six species (see results). Here we describe assay development for six species.</w:t>
      </w:r>
    </w:p>
    <w:p w14:paraId="33E08EB5" w14:textId="77777777" w:rsidR="006501A4" w:rsidRPr="00364C60" w:rsidRDefault="006501A4" w:rsidP="00546470">
      <w:pPr>
        <w:spacing w:after="120" w:line="259" w:lineRule="auto"/>
        <w:jc w:val="left"/>
      </w:pPr>
      <w:r w:rsidRPr="00364C60">
        <w:t xml:space="preserve">Targeted quantitative PCR (qPCR) assays were developed to amplify a short region of the mitochondrial 12S rRNA gene in Murray cod, trout cod, silver perch, dwarf flathead gudgeon, </w:t>
      </w:r>
      <w:r>
        <w:t xml:space="preserve">freshwater catfish and </w:t>
      </w:r>
      <w:r w:rsidRPr="00364C60">
        <w:t xml:space="preserve">Murray crayfish. Fin clips from all target </w:t>
      </w:r>
      <w:r>
        <w:t xml:space="preserve">fish </w:t>
      </w:r>
      <w:r w:rsidRPr="00364C60">
        <w:t>species</w:t>
      </w:r>
      <w:r>
        <w:t xml:space="preserve"> </w:t>
      </w:r>
      <w:r w:rsidRPr="00364C60">
        <w:t xml:space="preserve">were sourced from at least five individuals from the Murray-Darling Basin in New South </w:t>
      </w:r>
      <w:bookmarkEnd w:id="213"/>
      <w:r w:rsidRPr="00364C60">
        <w:t>Wales (NSW), Australia</w:t>
      </w:r>
      <w:r>
        <w:t xml:space="preserve"> in order to generate sequences from the target region</w:t>
      </w:r>
      <w:r w:rsidRPr="00364C60">
        <w:t>.</w:t>
      </w:r>
      <w:r>
        <w:t xml:space="preserve"> Note that sequences were not generated for Murray crayfish and we relied on GenBank sequences for this species.</w:t>
      </w:r>
      <w:r w:rsidRPr="00364C60">
        <w:t xml:space="preserve"> </w:t>
      </w:r>
      <w:r>
        <w:t>Fish g</w:t>
      </w:r>
      <w:r w:rsidRPr="00364C60">
        <w:t xml:space="preserve">enomic DNA was extracted using the PureLink Genomic DNA Mini Kit (Invitrogen) according to the manufacturer’s instructions. A 390 bp region of the 12S rRNA gene was amplified using universal vertebrate primers MT1091L (50-CAAACTGGGATTAGATACCCCACTAT-30) and MT1478H (50-TGACTGCAGAGGGTGACGGGCGGTGTGT-30) </w:t>
      </w:r>
      <w:r w:rsidRPr="00364C60">
        <w:fldChar w:fldCharType="begin"/>
      </w:r>
      <w:r>
        <w:instrText xml:space="preserve"> ADDIN EN.CITE &lt;EndNote&gt;&lt;Cite&gt;&lt;Author&gt;Fuller&lt;/Author&gt;&lt;Year&gt;1998&lt;/Year&gt;&lt;RecNum&gt;2453&lt;/RecNum&gt;&lt;DisplayText&gt;(Fuller&lt;style face="italic"&gt; et al.&lt;/style&gt;, 1998)&lt;/DisplayText&gt;&lt;record&gt;&lt;rec-number&gt;2453&lt;/rec-number&gt;&lt;foreign-keys&gt;&lt;key app="EN" db-id="e0dt5ads0f5edteap9hv95toswsre9f2wed5" timestamp="1600645269"&gt;2453&lt;/key&gt;&lt;/foreign-keys&gt;&lt;ref-type name="Journal Article"&gt;17&lt;/ref-type&gt;&lt;contributors&gt;&lt;authors&gt;&lt;author&gt;Fuller, Susan&lt;/author&gt;&lt;author&gt;Baverstock, Peter&lt;/author&gt;&lt;author&gt;King, Dennis&lt;/author&gt;&lt;/authors&gt;&lt;/contributors&gt;&lt;titles&gt;&lt;title&gt;Biogeographic Origins of Goannas (Varanidae): A Molecular Perspective&lt;/title&gt;&lt;secondary-title&gt;Molecular Phylogenetics and Evolution&lt;/secondary-title&gt;&lt;/titles&gt;&lt;pages&gt;294-307&lt;/pages&gt;&lt;volume&gt;9&lt;/volume&gt;&lt;number&gt;2&lt;/number&gt;&lt;dates&gt;&lt;year&gt;1998&lt;/year&gt;&lt;pub-dates&gt;&lt;date&gt;1998/04/01/&lt;/date&gt;&lt;/pub-dates&gt;&lt;/dates&gt;&lt;isbn&gt;1055-7903&lt;/isbn&gt;&lt;urls&gt;&lt;related-urls&gt;&lt;url&gt;http://www.sciencedirect.com/science/article/pii/S1055790397904760&lt;/url&gt;&lt;/related-urls&gt;&lt;/urls&gt;&lt;electronic-resource-num&gt;https://doi.org/10.1006/mpev.1997.0476&lt;/electronic-resource-num&gt;&lt;/record&gt;&lt;/Cite&gt;&lt;/EndNote&gt;</w:instrText>
      </w:r>
      <w:r w:rsidRPr="00364C60">
        <w:fldChar w:fldCharType="separate"/>
      </w:r>
      <w:r>
        <w:rPr>
          <w:noProof/>
        </w:rPr>
        <w:t>(Fuller</w:t>
      </w:r>
      <w:r w:rsidRPr="00D22CDC">
        <w:rPr>
          <w:i/>
          <w:noProof/>
        </w:rPr>
        <w:t xml:space="preserve"> et al.</w:t>
      </w:r>
      <w:r>
        <w:rPr>
          <w:noProof/>
        </w:rPr>
        <w:t>, 1998)</w:t>
      </w:r>
      <w:r w:rsidRPr="00364C60">
        <w:fldChar w:fldCharType="end"/>
      </w:r>
      <w:r w:rsidRPr="00364C60">
        <w:t>. Quantitative PCR was performed using a QuantStudio3 PCR System (Applied Biosystems) with 50 µL reactions containing 25 µL of TaqMan Environmental Master Mix 2.0 (2X), 2.5 µL forward primer, 2.5 µL reverse primer, 15 µL DNase/RNase free water and 5 µL of template DNA. PCR cycling conditions consisted of an initial denaturation step at 94 °C (2 min) followed by 35 cycles of 94 °C (30 sec), primer annealing at 55 °C (1 min) and extension at 72 °C (30 sec), with a final extension at 72 °C (10 min). PCR products were purified using the PureLink PCR Purification Kit (Invitrogen) and then sent to the Australian Genome Research Facility (AGRF) (Sydney, Australia) for forward and reverse Sanger sequencing on a 3730xl DNA Analyzer using the above primers.</w:t>
      </w:r>
    </w:p>
    <w:p w14:paraId="48CF9044" w14:textId="77777777" w:rsidR="006501A4" w:rsidRPr="00364C60" w:rsidRDefault="006501A4" w:rsidP="00546470">
      <w:pPr>
        <w:spacing w:after="120" w:line="259" w:lineRule="auto"/>
        <w:jc w:val="left"/>
      </w:pPr>
      <w:r w:rsidRPr="00364C60">
        <w:t xml:space="preserve">Sequences were imported into Geneious Prime (2020.0.5) and aligned to all other 12S rRNA sequences recorded for the target species and all closely-related species (at the family level) that co-occur in the Murray-Darling Basin </w:t>
      </w:r>
      <w:r w:rsidRPr="00364C60">
        <w:fldChar w:fldCharType="begin"/>
      </w:r>
      <w:r>
        <w:instrText xml:space="preserve"> ADDIN EN.CITE &lt;EndNote&gt;&lt;Cite&gt;&lt;Author&gt;Hardy&lt;/Author&gt;&lt;Year&gt;2011&lt;/Year&gt;&lt;RecNum&gt;1177&lt;/RecNum&gt;&lt;Prefix&gt;Appendix 12.1`; &lt;/Prefix&gt;&lt;DisplayText&gt;(Appendix 12.1; Hardy&lt;style face="italic"&gt; et al.&lt;/style&gt;, 2011)&lt;/DisplayText&gt;&lt;record&gt;&lt;rec-number&gt;1177&lt;/rec-number&gt;&lt;foreign-keys&gt;&lt;key app="EN" db-id="e0dt5ads0f5edteap9hv95toswsre9f2wed5" timestamp="1462758069"&gt;1177&lt;/key&gt;&lt;/foreign-keys&gt;&lt;ref-type name="Journal Article"&gt;17&lt;/ref-type&gt;&lt;contributors&gt;&lt;authors&gt;&lt;author&gt;Hardy, C. M.&lt;/author&gt;&lt;author&gt;Adams, M&lt;/author&gt;&lt;author&gt;Jerry, D. R&lt;/author&gt;&lt;author&gt;Court, L. N&lt;/author&gt;&lt;author&gt;Morgan, M. J&lt;/author&gt;&lt;author&gt;Hartley, D. M.&lt;/author&gt;&lt;/authors&gt;&lt;/contributors&gt;&lt;titles&gt;&lt;title&gt;DNA barcoding to support conservation: species identification, genetic strucutre and biogeography of fishes in the Murray-Darling River Basin, Australia&lt;/title&gt;&lt;secondary-title&gt;Marine and Freshwater Research&lt;/secondary-title&gt;&lt;/titles&gt;&lt;periodical&gt;&lt;full-title&gt;Marine and Freshwater Research&lt;/full-title&gt;&lt;abbr-1&gt;Mar Freshw Res&lt;/abbr-1&gt;&lt;/periodical&gt;&lt;pages&gt;887-901&lt;/pages&gt;&lt;volume&gt;62&lt;/volume&gt;&lt;dates&gt;&lt;year&gt;2011&lt;/year&gt;&lt;/dates&gt;&lt;urls&gt;&lt;/urls&gt;&lt;/record&gt;&lt;/Cite&gt;&lt;/EndNote&gt;</w:instrText>
      </w:r>
      <w:r w:rsidRPr="00364C60">
        <w:fldChar w:fldCharType="separate"/>
      </w:r>
      <w:r>
        <w:rPr>
          <w:noProof/>
        </w:rPr>
        <w:t>(Appendix 12.1; Hardy</w:t>
      </w:r>
      <w:r w:rsidRPr="00D22CDC">
        <w:rPr>
          <w:i/>
          <w:noProof/>
        </w:rPr>
        <w:t xml:space="preserve"> et al.</w:t>
      </w:r>
      <w:r>
        <w:rPr>
          <w:noProof/>
        </w:rPr>
        <w:t>, 2011)</w:t>
      </w:r>
      <w:r w:rsidRPr="00364C60">
        <w:fldChar w:fldCharType="end"/>
      </w:r>
      <w:r w:rsidRPr="00364C60">
        <w:t xml:space="preserve">. Primers and probe were designed manually to amplify a short fragment of the 12S rRNA gene in the target species (Table 12.1), maximising the number of bp mismatches with all other species that potentially co-occur with the target species. Secondary structure was checked using the in-build Primer3 software in Geneious Prime. The primer/probe assays were then tested for specificity in silico against the National Centre for Biotechnology Information (NCBI) GenBank database using Primer-BLAST </w:t>
      </w:r>
      <w:r w:rsidRPr="00364C60">
        <w:fldChar w:fldCharType="begin"/>
      </w:r>
      <w:r>
        <w:instrText xml:space="preserve"> ADDIN EN.CITE &lt;EndNote&gt;&lt;Cite&gt;&lt;Author&gt;Ye&lt;/Author&gt;&lt;Year&gt;2012&lt;/Year&gt;&lt;RecNum&gt;2454&lt;/RecNum&gt;&lt;DisplayText&gt;(Ye&lt;style face="italic"&gt; et al.&lt;/style&gt;, 2012)&lt;/DisplayText&gt;&lt;record&gt;&lt;rec-number&gt;2454&lt;/rec-number&gt;&lt;foreign-keys&gt;&lt;key app="EN" db-id="e0dt5ads0f5edteap9hv95toswsre9f2wed5" timestamp="1600645711"&gt;2454&lt;/key&gt;&lt;/foreign-keys&gt;&lt;ref-type name="Journal Article"&gt;17&lt;/ref-type&gt;&lt;contributors&gt;&lt;authors&gt;&lt;author&gt;Ye, Jian&lt;/author&gt;&lt;author&gt;Coulouris, George&lt;/author&gt;&lt;author&gt;Zaretskaya, Irena&lt;/author&gt;&lt;author&gt;Cutcutache, Ioana&lt;/author&gt;&lt;author&gt;Rozen, Steve&lt;/author&gt;&lt;author&gt;Madden, Thomas L.&lt;/author&gt;&lt;/authors&gt;&lt;/contributors&gt;&lt;titles&gt;&lt;title&gt;Primer-BLAST: A tool to design target-specific primers for polymerase chain reaction&lt;/title&gt;&lt;secondary-title&gt;BMC Bioinformatics&lt;/secondary-title&gt;&lt;/titles&gt;&lt;periodical&gt;&lt;full-title&gt;BMC Bioinformatics&lt;/full-title&gt;&lt;abbr-1&gt;BMC Bioinformatics&lt;/abbr-1&gt;&lt;abbr-2&gt;1471-2105&lt;/abbr-2&gt;&lt;/periodical&gt;&lt;pages&gt;134&lt;/pages&gt;&lt;volume&gt;13&lt;/volume&gt;&lt;number&gt;1&lt;/number&gt;&lt;dates&gt;&lt;year&gt;2012&lt;/year&gt;&lt;pub-dates&gt;&lt;date&gt;2012/06/18&lt;/date&gt;&lt;/pub-dates&gt;&lt;/dates&gt;&lt;isbn&gt;1471-2105&lt;/isbn&gt;&lt;urls&gt;&lt;related-urls&gt;&lt;url&gt;https://doi.org/10.1186/1471-2105-13-134&lt;/url&gt;&lt;/related-urls&gt;&lt;/urls&gt;&lt;electronic-resource-num&gt;10.1186/1471-2105-13-134&lt;/electronic-resource-num&gt;&lt;/record&gt;&lt;/Cite&gt;&lt;/EndNote&gt;</w:instrText>
      </w:r>
      <w:r w:rsidRPr="00364C60">
        <w:fldChar w:fldCharType="separate"/>
      </w:r>
      <w:r>
        <w:rPr>
          <w:noProof/>
        </w:rPr>
        <w:t>(Ye</w:t>
      </w:r>
      <w:r w:rsidRPr="00D22CDC">
        <w:rPr>
          <w:i/>
          <w:noProof/>
        </w:rPr>
        <w:t xml:space="preserve"> et al.</w:t>
      </w:r>
      <w:r>
        <w:rPr>
          <w:noProof/>
        </w:rPr>
        <w:t>, 2012)</w:t>
      </w:r>
      <w:r w:rsidRPr="00364C60">
        <w:fldChar w:fldCharType="end"/>
      </w:r>
      <w:r w:rsidRPr="00364C60">
        <w:t>. Any matches to non-freshwater species not found in Australia were disregarded.</w:t>
      </w:r>
    </w:p>
    <w:p w14:paraId="08BB0030" w14:textId="77777777" w:rsidR="00546470" w:rsidRDefault="00546470">
      <w:pPr>
        <w:spacing w:after="0" w:line="240" w:lineRule="auto"/>
        <w:jc w:val="left"/>
        <w:rPr>
          <w:rFonts w:cstheme="minorHAnsi"/>
          <w:b/>
          <w:i/>
          <w:color w:val="31849B"/>
          <w:sz w:val="28"/>
          <w:szCs w:val="28"/>
        </w:rPr>
      </w:pPr>
      <w:r>
        <w:rPr>
          <w:rFonts w:cstheme="minorHAnsi"/>
          <w:b/>
          <w:i/>
          <w:color w:val="31849B"/>
          <w:sz w:val="28"/>
          <w:szCs w:val="28"/>
        </w:rPr>
        <w:br w:type="page"/>
      </w:r>
    </w:p>
    <w:p w14:paraId="5DDE6ABA" w14:textId="0A340546"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Assay specificity and sensitivity assessments</w:t>
      </w:r>
    </w:p>
    <w:p w14:paraId="38B13C3C" w14:textId="77777777" w:rsidR="006501A4" w:rsidRPr="00364C60" w:rsidRDefault="006501A4" w:rsidP="00546470">
      <w:pPr>
        <w:spacing w:after="120" w:line="259" w:lineRule="auto"/>
        <w:jc w:val="left"/>
      </w:pPr>
      <w:r w:rsidRPr="00364C60">
        <w:t xml:space="preserve">The assays were tested for specificity by performing qPCR on genomic DNA from the target species and non-target closely related species (Appendix </w:t>
      </w:r>
      <w:r>
        <w:t>12.1</w:t>
      </w:r>
      <w:r w:rsidRPr="00364C60">
        <w:t xml:space="preserve">). Quantitative PCRs were carried out in triplicate 20 µL reactions, consisting of 10 µL Environmental Master Mix 2.0, 1 µL TaqMan Gene Expression assay 20X, 7 µL DNase/RNase free water and 2 µL of genomic DNA from at least three individuals of each species. PCR cycling was conducted on a QuantStudio 3 PCR System with thermal cycling conditions set at 50 °C (2 min), 95 °C (1 min), followed by 50 cycles of 95 °C (15 sec), 60 °C (60 sec). Any non-target positive amplification was Sanger sequenced at AGRF to ensure assays were specific only to the target species. The efficiency of each assay was tested using synthetic oligonucleotides (gBlock Gene Fragments) (Integrated DNA Technologies) of the target species’ 12S rRNA gene. Synthetic oligos were diluted in tRNA buffer (1:250 diluted in DNase/RNase water) (Sigma-Aldrich) by a factor of ten to generate concentrations between 10-2 and 10-8 ng/µL. Following annealing temperature optimisation, calibration curves were generated using eight 20 µL qPCR </w:t>
      </w:r>
      <w:r>
        <w:t>technical replicates</w:t>
      </w:r>
      <w:r w:rsidRPr="00364C60">
        <w:t xml:space="preserve"> with 2 µL of each concentration as template. The limit of detection (LOD) of each assay was assessed by further diluting the synthetic oligos to 50, 30, 10 and 1 copies/ µL. Sensitivity tests were carried out using qPCR reactions and conditions as above and the optimised annealing temperature for each species (Table 12.</w:t>
      </w:r>
      <w:r>
        <w:t>2</w:t>
      </w:r>
      <w:r w:rsidRPr="00364C60">
        <w:t>).</w:t>
      </w:r>
    </w:p>
    <w:p w14:paraId="02609B66" w14:textId="77777777"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Assay field assessment</w:t>
      </w:r>
    </w:p>
    <w:p w14:paraId="4F36441D" w14:textId="77777777" w:rsidR="006501A4" w:rsidRPr="00364C60" w:rsidRDefault="006501A4" w:rsidP="00546470">
      <w:pPr>
        <w:spacing w:after="120" w:line="259" w:lineRule="auto"/>
        <w:jc w:val="left"/>
      </w:pPr>
      <w:r w:rsidRPr="00364C60">
        <w:t>Assay performance was evaluated at sites with a recent historical record of each target species</w:t>
      </w:r>
      <w:r>
        <w:t>.</w:t>
      </w:r>
      <w:r w:rsidRPr="00364C60">
        <w:t xml:space="preserve"> Eight water samples were filtered in situ using the eDNA sampling ANDe™ system (Smith-Root, USA). Water samples consisted of 0.5 to 2.0 L (depending on turbidity) filtered through a 5 µm polyethersulfone (PES) filter enclosed in a sterile filter housing (Smith-Root, USA) at 1.0 L/min and with a max pressure of 14.0 psi. An equipment control</w:t>
      </w:r>
      <w:r>
        <w:t xml:space="preserve"> </w:t>
      </w:r>
      <w:r w:rsidRPr="00364C60">
        <w:t>composed of 1.0 L of sterile water was filtered per site prior to the field samples to enable potential contamination of the equipment to be identified. Filter papers were immediately preserved in 100% ethanol and then stored in the laboratory at 4°C. All further laboratory processing then occurred in a purpose built eDNA facility at the Narrandera Fisheries Centre (NFC) (Narrandera, Australia), with separate UV-sterile rooms for DNA extraction, PCR preparation and DNA template loading. In addition, work in each room was carried out in a sterile PCR hood. DNA was extracted from the filter paper using the PureLink Genomic DNA Mini Kit (Invitrogen) with a modified protocol. In short, each filter paper was halved into two tubes using sterile scissors and forceps before incubation with 500 µL of Digestion buffer and 20 µL Proteinase K. After one hour of incubation the filter paper was removed and 400 µL of both Binding/Lysis buffer and 100% ethanol were added. Lysate was then loaded into spin columns and the protocol then followed the manufacturer’s instructions. A negative extraction control</w:t>
      </w:r>
      <w:r>
        <w:t xml:space="preserve"> </w:t>
      </w:r>
      <w:r w:rsidRPr="00364C60">
        <w:t xml:space="preserve">consisting of 100 µL of RNase/DNase free water was also included. Prior to qPCR analysis each sample was checked in triplicate for inhibitors using the TaqMan Internal Positive Control (Exo-IPC, Applied Biosystems). Six 20 µL qPCR </w:t>
      </w:r>
      <w:r>
        <w:t>technical replicates</w:t>
      </w:r>
      <w:r w:rsidRPr="00364C60">
        <w:t xml:space="preserve"> were then run per sample (as described under ‘Assay specificity and sensitivity assessments’, including the </w:t>
      </w:r>
      <w:r>
        <w:t>equipment control</w:t>
      </w:r>
      <w:r w:rsidRPr="00364C60">
        <w:t>, negative extraction control (to identify contamination at the eDNA extraction stage) and a negative PCR control (to identify contamination at the PCR stage). In addition, a positive control (containing genomic DNA from the target species to ensure the qPCR had performed correctly) was run in triplicate on each plate. Fifty percent of positive samples (i.e. a single PCR replicate from each positive sample) were Sanger sequenced at AGRF to ensure the amplicon matched the target species.</w:t>
      </w:r>
    </w:p>
    <w:p w14:paraId="464D7459" w14:textId="77777777" w:rsidR="00546470" w:rsidRDefault="00546470">
      <w:pPr>
        <w:spacing w:after="0" w:line="240" w:lineRule="auto"/>
        <w:jc w:val="left"/>
        <w:rPr>
          <w:rFonts w:cstheme="minorHAnsi"/>
          <w:b/>
          <w:i/>
          <w:color w:val="31849B"/>
          <w:sz w:val="28"/>
          <w:szCs w:val="28"/>
        </w:rPr>
      </w:pPr>
      <w:r>
        <w:rPr>
          <w:rFonts w:cstheme="minorHAnsi"/>
          <w:b/>
          <w:i/>
          <w:color w:val="31849B"/>
          <w:sz w:val="28"/>
          <w:szCs w:val="28"/>
        </w:rPr>
        <w:br w:type="page"/>
      </w:r>
    </w:p>
    <w:p w14:paraId="7A76667B" w14:textId="7A6315EF"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Environmental DNA field sampling methods and analysis</w:t>
      </w:r>
    </w:p>
    <w:p w14:paraId="2B46698E" w14:textId="77777777" w:rsidR="006501A4" w:rsidRPr="00546470" w:rsidRDefault="006501A4" w:rsidP="00546470">
      <w:pPr>
        <w:spacing w:after="120" w:line="259" w:lineRule="auto"/>
        <w:jc w:val="left"/>
        <w:rPr>
          <w:rFonts w:cstheme="minorHAnsi"/>
          <w:b/>
          <w:i/>
          <w:color w:val="31849B"/>
          <w:sz w:val="24"/>
          <w:szCs w:val="24"/>
        </w:rPr>
      </w:pPr>
      <w:r w:rsidRPr="00546470">
        <w:rPr>
          <w:rFonts w:cstheme="minorHAnsi"/>
          <w:b/>
          <w:i/>
          <w:color w:val="31849B"/>
          <w:sz w:val="24"/>
          <w:szCs w:val="24"/>
        </w:rPr>
        <w:t>Sampling Sites</w:t>
      </w:r>
    </w:p>
    <w:p w14:paraId="474C4394" w14:textId="77777777" w:rsidR="006501A4" w:rsidRDefault="006501A4" w:rsidP="00546470">
      <w:pPr>
        <w:spacing w:after="120" w:line="259" w:lineRule="auto"/>
        <w:jc w:val="left"/>
      </w:pPr>
      <w:r>
        <w:rPr>
          <w:b/>
          <w:bCs/>
          <w:noProof/>
          <w:sz w:val="20"/>
          <w:lang w:eastAsia="en-AU"/>
        </w:rPr>
        <w:drawing>
          <wp:anchor distT="0" distB="0" distL="114300" distR="114300" simplePos="0" relativeHeight="251658241" behindDoc="0" locked="0" layoutInCell="1" allowOverlap="1" wp14:anchorId="561C33F4" wp14:editId="613A6B46">
            <wp:simplePos x="0" y="0"/>
            <wp:positionH relativeFrom="margin">
              <wp:posOffset>-37465</wp:posOffset>
            </wp:positionH>
            <wp:positionV relativeFrom="paragraph">
              <wp:posOffset>948690</wp:posOffset>
            </wp:positionV>
            <wp:extent cx="5961380" cy="4189095"/>
            <wp:effectExtent l="0" t="0" r="1270" b="1905"/>
            <wp:wrapSquare wrapText="bothSides"/>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DNA_sites_300920_font10.jpg"/>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961380" cy="4189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18055DF">
        <w:t>Six sites were selected from existing sampling locations used for Cat 1 and Cat 3 fish river methods (Figure 12.1, Appendix 12.</w:t>
      </w:r>
      <w:r>
        <w:t>2</w:t>
      </w:r>
      <w:r w:rsidRPr="018055DF">
        <w:t xml:space="preserve">; sites </w:t>
      </w:r>
      <w:r>
        <w:t>5-10</w:t>
      </w:r>
      <w:r w:rsidRPr="018055DF">
        <w:t>), in addition to four sites in the Edward</w:t>
      </w:r>
      <w:r>
        <w:t>/Kolety</w:t>
      </w:r>
      <w:r w:rsidRPr="018055DF">
        <w:t xml:space="preserve"> River to ensure integration with other components of the Edward</w:t>
      </w:r>
      <w:r>
        <w:t>/</w:t>
      </w:r>
      <w:r w:rsidRPr="018055DF">
        <w:t>Kolety River integrated research project</w:t>
      </w:r>
      <w:r>
        <w:t xml:space="preserve"> </w:t>
      </w:r>
      <w:r w:rsidRPr="018055DF">
        <w:t>(Figure 12.1, Appendix 12.</w:t>
      </w:r>
      <w:r>
        <w:t>2; sites 1-4</w:t>
      </w:r>
      <w:r w:rsidRPr="018055DF">
        <w:t>).</w:t>
      </w:r>
    </w:p>
    <w:p w14:paraId="53C95A2F" w14:textId="376A629C" w:rsidR="006501A4" w:rsidRDefault="006501A4" w:rsidP="00546470">
      <w:pPr>
        <w:spacing w:after="120" w:line="259" w:lineRule="auto"/>
        <w:jc w:val="left"/>
      </w:pPr>
      <w:r w:rsidRPr="018055DF">
        <w:rPr>
          <w:b/>
          <w:bCs/>
          <w:sz w:val="20"/>
        </w:rPr>
        <w:t>Figure 12.1</w:t>
      </w:r>
      <w:r w:rsidRPr="018055DF">
        <w:rPr>
          <w:sz w:val="20"/>
        </w:rPr>
        <w:t xml:space="preserve"> Map of all sampling sites within the Edward</w:t>
      </w:r>
      <w:r w:rsidR="005D191E">
        <w:rPr>
          <w:sz w:val="20"/>
        </w:rPr>
        <w:t>/</w:t>
      </w:r>
      <w:r w:rsidRPr="018055DF">
        <w:rPr>
          <w:sz w:val="20"/>
        </w:rPr>
        <w:t>Kolety-Wakool system for the eDNA monitoring survey.</w:t>
      </w:r>
    </w:p>
    <w:p w14:paraId="6E95999C" w14:textId="77777777" w:rsidR="006501A4" w:rsidRPr="00B0188B" w:rsidRDefault="006501A4" w:rsidP="00546470">
      <w:pPr>
        <w:spacing w:after="120" w:line="259" w:lineRule="auto"/>
        <w:jc w:val="left"/>
        <w:rPr>
          <w:rFonts w:cstheme="minorHAnsi"/>
          <w:b/>
          <w:i/>
          <w:color w:val="31849B"/>
          <w:sz w:val="28"/>
          <w:szCs w:val="28"/>
        </w:rPr>
      </w:pPr>
      <w:r w:rsidRPr="00316E1D">
        <w:rPr>
          <w:rFonts w:cstheme="minorHAnsi"/>
          <w:b/>
          <w:i/>
          <w:color w:val="31849B"/>
          <w:sz w:val="28"/>
          <w:szCs w:val="28"/>
        </w:rPr>
        <w:t>Field sample collection</w:t>
      </w:r>
      <w:r w:rsidRPr="00364C60">
        <w:rPr>
          <w:rFonts w:cstheme="minorHAnsi"/>
          <w:b/>
          <w:i/>
          <w:color w:val="31849B"/>
        </w:rPr>
        <w:t xml:space="preserve"> </w:t>
      </w:r>
    </w:p>
    <w:p w14:paraId="7C32DC05" w14:textId="77777777" w:rsidR="006501A4" w:rsidRDefault="006501A4" w:rsidP="00546470">
      <w:pPr>
        <w:spacing w:after="120" w:line="259" w:lineRule="auto"/>
        <w:jc w:val="left"/>
      </w:pPr>
      <w:r w:rsidRPr="00680C4D">
        <w:t xml:space="preserve">Field sampling was carried out between the 25th and 28th of November 2019 given there is some evidence that eDNA concentrations in the water increase in the spring and summer months </w:t>
      </w:r>
      <w:r w:rsidRPr="00364C60">
        <w:fldChar w:fldCharType="begin">
          <w:fldData xml:space="preserve">PEVuZE5vdGU+PENpdGU+PEF1dGhvcj5kZSBTb3V6YTwvQXV0aG9yPjxZZWFyPjIwMTY8L1llYXI+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</w:fldData>
        </w:fldChar>
      </w:r>
      <w:r>
        <w:instrText xml:space="preserve"> ADDIN EN.CITE </w:instrText>
      </w:r>
      <w:r>
        <w:fldChar w:fldCharType="begin">
          <w:fldData xml:space="preserve">PEVuZE5vdGU+PENpdGU+PEF1dGhvcj5kZSBTb3V6YTwvQXV0aG9yPjxZZWFyPjIwMTY8L1llYXI+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</w:fldData>
        </w:fldChar>
      </w:r>
      <w:r>
        <w:instrText xml:space="preserve"> ADDIN EN.CITE.DATA </w:instrText>
      </w:r>
      <w:r>
        <w:fldChar w:fldCharType="end"/>
      </w:r>
      <w:r w:rsidRPr="00364C60">
        <w:fldChar w:fldCharType="separate"/>
      </w:r>
      <w:r>
        <w:rPr>
          <w:noProof/>
        </w:rPr>
        <w:t>(de Souza</w:t>
      </w:r>
      <w:r w:rsidRPr="00D22CDC">
        <w:rPr>
          <w:i/>
          <w:noProof/>
        </w:rPr>
        <w:t xml:space="preserve"> et al.</w:t>
      </w:r>
      <w:r>
        <w:rPr>
          <w:noProof/>
        </w:rPr>
        <w:t>, 2016; Furlan</w:t>
      </w:r>
      <w:r w:rsidRPr="00D22CDC">
        <w:rPr>
          <w:i/>
          <w:noProof/>
        </w:rPr>
        <w:t xml:space="preserve"> et al.</w:t>
      </w:r>
      <w:r>
        <w:rPr>
          <w:noProof/>
        </w:rPr>
        <w:t>, 2016b)</w:t>
      </w:r>
      <w:r w:rsidRPr="00364C60">
        <w:fldChar w:fldCharType="end"/>
      </w:r>
      <w:r w:rsidRPr="00364C60">
        <w:t>.</w:t>
      </w:r>
      <w:r w:rsidRPr="00680C4D">
        <w:t xml:space="preserve"> For each sampling site eight water samples were filtered in situ using the eDNA sampling ANDe™ system</w:t>
      </w:r>
      <w:r>
        <w:t xml:space="preserve"> (a total of 80 water samples).</w:t>
      </w:r>
      <w:r w:rsidRPr="00680C4D">
        <w:t xml:space="preserve"> Samples were collected from the surface, including three from each bank and two from the channel, spaced apart by at least 50 m and targeted a variety of different structural habitat and mesohabitat within each site. Water was filtered through a 5 µm PES filter enclosed in a sterile filter housing at 1.0 L/min and with a max pressure of 14.0 psi, with a target filtration volume of 2.0 L. If the volume filtered was less than 0.5 L, a second filter and filter housing was used (a maximum of two filters per sampling site). An EC composed of 1.0</w:t>
      </w:r>
      <w:r>
        <w:t> </w:t>
      </w:r>
      <w:r w:rsidRPr="00680C4D">
        <w:t>L of sterile water was filtered per site prior to the field samples. Filter papers were immediately preserved in 100% ethanol and once transported stored in the laboratory at 4°C.</w:t>
      </w:r>
    </w:p>
    <w:p w14:paraId="462FB0D0" w14:textId="77777777" w:rsidR="006501A4" w:rsidRPr="00680C4D" w:rsidRDefault="006501A4" w:rsidP="00546470">
      <w:pPr>
        <w:spacing w:after="120" w:line="259" w:lineRule="auto"/>
        <w:jc w:val="left"/>
      </w:pPr>
    </w:p>
    <w:p w14:paraId="2E9F054A" w14:textId="77777777"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Laboratory eDNA analysis</w:t>
      </w:r>
    </w:p>
    <w:p w14:paraId="259AA6AD" w14:textId="77777777" w:rsidR="006501A4" w:rsidRPr="00680C4D" w:rsidRDefault="006501A4" w:rsidP="00546470">
      <w:pPr>
        <w:spacing w:after="120" w:line="259" w:lineRule="auto"/>
        <w:jc w:val="left"/>
      </w:pPr>
      <w:r w:rsidRPr="00680C4D">
        <w:t xml:space="preserve">All laboratory processing occurred in the purpose build eDNA facility at the Narrandera Fisheries Centre. DNA was extracted from </w:t>
      </w:r>
      <w:r>
        <w:t>each of the 80</w:t>
      </w:r>
      <w:r w:rsidRPr="00680C4D">
        <w:t xml:space="preserve"> filter paper</w:t>
      </w:r>
      <w:r>
        <w:t>s</w:t>
      </w:r>
      <w:r w:rsidRPr="00680C4D">
        <w:t xml:space="preserve"> using the PureLink Genomic DNA Mini Kit (Invitrogen) with a modified protocol, detailed above. A negative extraction control was included of 100 µL of RNase/DNase free water. Environmental DNA extracts were diluted to 1:2 concentration with 1 x TE buffer to provide an adequate volume of template DNA, then stored at -20°C. Prior to qPCR analysis each sample was checked in triplicate for inhibitors using the TaqMan Exo-IPC (Applied Biosystems). A sample was considered to contain inhibitors if the sample’s IPC Ct value was &gt;2 Ct higher than the IPC Ct value in the negative PCR control.</w:t>
      </w:r>
    </w:p>
    <w:p w14:paraId="38F8F691" w14:textId="7FDB18E2" w:rsidR="006501A4" w:rsidRPr="00680C4D" w:rsidRDefault="006501A4" w:rsidP="00546470">
      <w:pPr>
        <w:spacing w:after="240" w:line="259" w:lineRule="auto"/>
        <w:jc w:val="left"/>
      </w:pPr>
      <w:r w:rsidRPr="00680C4D">
        <w:t xml:space="preserve">Samples were analysed using qPCR for the presence of eight target species; Murray cod, trout cod, silver perch, dwarf flathead gudgeon, freshwater catfish and Murray crayfish (using the assays developed above), as well as platypus using a targeted assay developed by Lugg et al. </w:t>
      </w:r>
      <w:r w:rsidRPr="00680C4D">
        <w:fldChar w:fldCharType="begin"/>
      </w:r>
      <w:r w:rsidRPr="00680C4D">
        <w:instrText xml:space="preserve"> ADDIN EN.CITE &lt;EndNote&gt;&lt;Cite ExcludeAuth="1"&gt;&lt;Author&gt;Lugg&lt;/Author&gt;&lt;Year&gt;2018&lt;/Year&gt;&lt;RecNum&gt;2335&lt;/RecNum&gt;&lt;DisplayText&gt;(2018)&lt;/DisplayText&gt;&lt;record&gt;&lt;rec-number&gt;2335&lt;/rec-number&gt;&lt;foreign-keys&gt;&lt;key app="EN" db-id="e0dt5ads0f5edteap9hv95toswsre9f2wed5" timestamp="1582063877"&gt;2335&lt;/key&gt;&lt;/foreign-keys&gt;&lt;ref-type name="Journal Article"&gt;17&lt;/ref-type&gt;&lt;contributors&gt;&lt;authors&gt;&lt;author&gt;Lugg, William H.&lt;/author&gt;&lt;author&gt;Griffiths, Josh&lt;/author&gt;&lt;author&gt;van Rooyen, Anthony R.&lt;/author&gt;&lt;author&gt;Weeks, Andrew R.&lt;/author&gt;&lt;author&gt;Tingley, Reid&lt;/author&gt;&lt;/authors&gt;&lt;/contributors&gt;&lt;titles&gt;&lt;title&gt;Optimal survey designs for environmental DNA sampling&lt;/title&gt;&lt;secondary-title&gt;Methods in Ecology and Evolution&lt;/secondary-title&gt;&lt;/titles&gt;&lt;pages&gt;1049-1059&lt;/pages&gt;&lt;volume&gt;9&lt;/volume&gt;&lt;number&gt;4&lt;/number&gt;&lt;dates&gt;&lt;year&gt;2018&lt;/year&gt;&lt;/dates&gt;&lt;isbn&gt;2041-210X&lt;/isbn&gt;&lt;urls&gt;&lt;related-urls&gt;&lt;url&gt;https://besjournals.onlinelibrary.wiley.com/doi/abs/10.1111/2041-210X.12951&lt;/url&gt;&lt;/related-urls&gt;&lt;/urls&gt;&lt;electronic-resource-num&gt;10.1111/2041-210x.12951&lt;/electronic-resource-num&gt;&lt;/record&gt;&lt;/Cite&gt;&lt;/EndNote&gt;</w:instrText>
      </w:r>
      <w:r w:rsidRPr="00680C4D">
        <w:fldChar w:fldCharType="separate"/>
      </w:r>
      <w:r w:rsidRPr="00680C4D">
        <w:t>(2018)</w:t>
      </w:r>
      <w:r w:rsidRPr="00680C4D">
        <w:fldChar w:fldCharType="end"/>
      </w:r>
      <w:r w:rsidRPr="00680C4D">
        <w:t xml:space="preserve"> and redfish perch (</w:t>
      </w:r>
      <w:r w:rsidRPr="003B4B5F">
        <w:rPr>
          <w:i/>
        </w:rPr>
        <w:t>Perca fluviatilis</w:t>
      </w:r>
      <w:r w:rsidRPr="00680C4D">
        <w:t xml:space="preserve">) using a targeted assay developed by Furlan &amp; Gleeson </w:t>
      </w:r>
      <w:r w:rsidRPr="00364C60">
        <w:fldChar w:fldCharType="begin"/>
      </w:r>
      <w:r>
        <w:instrText xml:space="preserve"> ADDIN EN.CITE &lt;EndNote&gt;&lt;Cite ExcludeAuth="1"&gt;&lt;Author&gt;Furlan&lt;/Author&gt;&lt;Year&gt;2016&lt;/Year&gt;&lt;RecNum&gt;1568&lt;/RecNum&gt;&lt;DisplayText&gt;(2016a)&lt;/DisplayText&gt;&lt;record&gt;&lt;rec-number&gt;1568&lt;/rec-number&gt;&lt;foreign-keys&gt;&lt;key app="EN" db-id="e0dt5ads0f5edteap9hv95toswsre9f2wed5" timestamp="1536641255"&gt;1568&lt;/key&gt;&lt;/foreign-keys&gt;&lt;ref-type name="Journal Article"&gt;17&lt;/ref-type&gt;&lt;contributors&gt;&lt;authors&gt;&lt;author&gt;Furlan, Elise M.&lt;/author&gt;&lt;author&gt;Gleeson, Dianne&lt;/author&gt;&lt;/authors&gt;&lt;/contributors&gt;&lt;titles&gt;&lt;title&gt;&lt;style face="normal" font="default" size="100%"&gt;Environmental DNA detection of redfin perch, &lt;/style&gt;&lt;style face="italic" font="default" size="100%"&gt;Perca fluviatilis&lt;/style&gt;&lt;/title&gt;&lt;secondary-title&gt;Conservation Genetics Resources&lt;/secondary-title&gt;&lt;/titles&gt;&lt;pages&gt;115-118&lt;/pages&gt;&lt;volume&gt;8&lt;/volume&gt;&lt;number&gt;2&lt;/number&gt;&lt;dates&gt;&lt;year&gt;2016&lt;/year&gt;&lt;pub-dates&gt;&lt;date&gt;June 01&lt;/date&gt;&lt;/pub-dates&gt;&lt;/dates&gt;&lt;isbn&gt;1877-7260&lt;/isbn&gt;&lt;label&gt;Furlan2016&lt;/label&gt;&lt;work-type&gt;journal article&lt;/work-type&gt;&lt;urls&gt;&lt;related-urls&gt;&lt;url&gt;https://doi.org/10.1007/s12686-016-0523-1&lt;/url&gt;&lt;/related-urls&gt;&lt;/urls&gt;&lt;electronic-resource-num&gt;10.1007/s12686-016-0523-1&lt;/electronic-resource-num&gt;&lt;/record&gt;&lt;/Cite&gt;&lt;/EndNote&gt;</w:instrText>
      </w:r>
      <w:r w:rsidRPr="00364C60">
        <w:fldChar w:fldCharType="separate"/>
      </w:r>
      <w:r>
        <w:rPr>
          <w:noProof/>
        </w:rPr>
        <w:t>(2016a)</w:t>
      </w:r>
      <w:r w:rsidRPr="00364C60">
        <w:fldChar w:fldCharType="end"/>
      </w:r>
      <w:r w:rsidRPr="00364C60">
        <w:t>.</w:t>
      </w:r>
      <w:r w:rsidRPr="00680C4D">
        <w:t xml:space="preserve"> Redfin perch were not on the original list of target species. However, given the assay has already been developed and the species is rarely detected in the </w:t>
      </w:r>
      <w:r w:rsidR="005D191E">
        <w:t>Edward/</w:t>
      </w:r>
      <w:r>
        <w:t>Kolety-Wakool</w:t>
      </w:r>
      <w:r w:rsidRPr="00680C4D">
        <w:t xml:space="preserve"> system, it was decided to include this species to determine if this invasive species is more widely distributed in the system than is currently documented. For each </w:t>
      </w:r>
      <w:r>
        <w:t>species,</w:t>
      </w:r>
      <w:r w:rsidRPr="00680C4D">
        <w:t xml:space="preserve"> six qPCR </w:t>
      </w:r>
      <w:r>
        <w:t xml:space="preserve">technical replicates </w:t>
      </w:r>
      <w:r w:rsidRPr="00680C4D">
        <w:t xml:space="preserve">were run per </w:t>
      </w:r>
      <w:r>
        <w:t xml:space="preserve">eDNA </w:t>
      </w:r>
      <w:r w:rsidRPr="00680C4D">
        <w:t>sample</w:t>
      </w:r>
      <w:r>
        <w:t xml:space="preserve"> (i.e. 80 samples x 6 PCR technical replicates = 408 PCR reactions per species) to increase the chance of positive detections given eDNA is heterogeneously distributed in the water. PCR reactions consisted of</w:t>
      </w:r>
      <w:r w:rsidRPr="00680C4D">
        <w:t xml:space="preserve"> 10 µL Environmental Master Mix 2.0 (Applied Biosystems), 1 µL TaqMan Gene Expression assay (Applied Biosystems), 7 µL DNase/RNase free water and 2 µL of DNA template. PCR cycling was conducted on a QuantStudio 3 PCR System (Applied Biosystems) with thermal cycling conditions set at 50 °C (2 min), 95 °C (1 min), followed by 50 cycles of 95 °C (15 sec), 60 °C (60 sec). Six </w:t>
      </w:r>
      <w:r>
        <w:t>technical replicates</w:t>
      </w:r>
      <w:r w:rsidRPr="00680C4D">
        <w:t xml:space="preserve"> were also run for each equipment control, </w:t>
      </w:r>
      <w:r>
        <w:t xml:space="preserve">negative </w:t>
      </w:r>
      <w:r w:rsidRPr="00680C4D">
        <w:t xml:space="preserve">extraction control and </w:t>
      </w:r>
      <w:r>
        <w:t xml:space="preserve">negative </w:t>
      </w:r>
      <w:r w:rsidRPr="00680C4D">
        <w:t xml:space="preserve">PCR control and an additional positive control was run in triplicate on each plate. All PCR </w:t>
      </w:r>
      <w:r>
        <w:t>technical replicates</w:t>
      </w:r>
      <w:r w:rsidRPr="00680C4D">
        <w:t xml:space="preserve"> were visually inspected, and </w:t>
      </w:r>
      <w:r>
        <w:t>technical replicates</w:t>
      </w:r>
      <w:r w:rsidRPr="00680C4D">
        <w:t xml:space="preserve"> were only considered positive if there was an exponential phase at any point during the 50 reaction cycles. A single qPCR replicate was selected from twenty five percent of positive samples from for Sanger sequencing at AGRF to ensure amplicon matched the target species. </w:t>
      </w:r>
      <w:r>
        <w:t>A positive detection at a sampling site</w:t>
      </w:r>
      <w:r w:rsidRPr="00680C4D">
        <w:t xml:space="preserve"> </w:t>
      </w:r>
      <w:r>
        <w:t>(e.g. Gee Gee) was achieved</w:t>
      </w:r>
      <w:r w:rsidRPr="00680C4D">
        <w:t xml:space="preserve"> if either a) </w:t>
      </w:r>
      <w:r w:rsidRPr="00364C60">
        <w:t>a</w:t>
      </w:r>
      <w:r>
        <w:t>t least</w:t>
      </w:r>
      <w:r w:rsidRPr="00680C4D">
        <w:t xml:space="preserve"> three</w:t>
      </w:r>
      <w:r>
        <w:t xml:space="preserve"> of the eight</w:t>
      </w:r>
      <w:r w:rsidRPr="00680C4D">
        <w:t xml:space="preserve"> </w:t>
      </w:r>
      <w:r>
        <w:t xml:space="preserve">water </w:t>
      </w:r>
      <w:r w:rsidRPr="00680C4D">
        <w:t>samples</w:t>
      </w:r>
      <w:r>
        <w:t xml:space="preserve"> had a minimum one</w:t>
      </w:r>
      <w:r w:rsidRPr="00364C60">
        <w:t xml:space="preserve"> </w:t>
      </w:r>
      <w:r>
        <w:t xml:space="preserve">positive PCR </w:t>
      </w:r>
      <w:r w:rsidRPr="00364C60">
        <w:t>replicate</w:t>
      </w:r>
      <w:r>
        <w:t>,</w:t>
      </w:r>
      <w:r w:rsidRPr="00680C4D">
        <w:t xml:space="preserve"> or b</w:t>
      </w:r>
      <w:r w:rsidRPr="00364C60">
        <w:t>)</w:t>
      </w:r>
      <w:r>
        <w:t>,</w:t>
      </w:r>
      <w:r w:rsidRPr="00680C4D">
        <w:t xml:space="preserve"> there were </w:t>
      </w:r>
      <w:r>
        <w:t xml:space="preserve">two or more </w:t>
      </w:r>
      <w:r w:rsidRPr="00364C60">
        <w:t>positive</w:t>
      </w:r>
      <w:r>
        <w:t xml:space="preserve"> PCR</w:t>
      </w:r>
      <w:r w:rsidRPr="00364C60">
        <w:t xml:space="preserve"> </w:t>
      </w:r>
      <w:r>
        <w:t>technical replicates</w:t>
      </w:r>
      <w:r w:rsidRPr="00364C60">
        <w:t xml:space="preserve"> in a single </w:t>
      </w:r>
      <w:r>
        <w:t xml:space="preserve">water </w:t>
      </w:r>
      <w:r w:rsidRPr="00364C60">
        <w:t>sample.</w:t>
      </w:r>
      <w:r>
        <w:t xml:space="preserve"> If a single PCR replicate was positive in a water sample where no other PCR technical replicates at that site were positive, a further 12 PCR technical replicates were carried out to attempt to replicate the positive result. If none of these were positive, that original positive sample was considered to be a false positive.</w:t>
      </w:r>
    </w:p>
    <w:p w14:paraId="4217E999" w14:textId="77777777" w:rsidR="006501A4" w:rsidRPr="002A0CF6" w:rsidRDefault="006501A4" w:rsidP="00546470">
      <w:pPr>
        <w:spacing w:after="120" w:line="259" w:lineRule="auto"/>
        <w:jc w:val="left"/>
        <w:rPr>
          <w:rFonts w:cstheme="minorHAnsi"/>
          <w:b/>
          <w:color w:val="31849B"/>
          <w:sz w:val="28"/>
          <w:szCs w:val="28"/>
        </w:rPr>
      </w:pPr>
      <w:r>
        <w:rPr>
          <w:rFonts w:cstheme="minorHAnsi"/>
          <w:b/>
          <w:color w:val="31849B"/>
          <w:sz w:val="28"/>
          <w:szCs w:val="28"/>
        </w:rPr>
        <w:t>12.3 Results</w:t>
      </w:r>
    </w:p>
    <w:p w14:paraId="2A697304" w14:textId="77777777"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Targeted assay development</w:t>
      </w:r>
    </w:p>
    <w:p w14:paraId="2A6E3187" w14:textId="77777777" w:rsidR="006501A4" w:rsidRPr="00680C4D" w:rsidRDefault="006501A4" w:rsidP="00546470">
      <w:pPr>
        <w:spacing w:after="120" w:line="259" w:lineRule="auto"/>
        <w:jc w:val="left"/>
      </w:pPr>
      <w:bookmarkStart w:id="214" w:name="_Hlk49175342"/>
      <w:r w:rsidRPr="00680C4D">
        <w:t xml:space="preserve">Of the 13 target species, assay development did not progress for six species; river blackfish, unspecked hardyhead, obscure galaxias, river mussel, eastern long-necked turtle and short-necked turtle. River blackfish had too much within-species variation in the 12S gene to be a target for assay binding. Unspecked hardyhead and obscure galaxias had a high level of sequence similarity to closely related co-occurring species at the 12S gene. The river mussel also had close sequence similarity to the freshwater mussel </w:t>
      </w:r>
      <w:r w:rsidRPr="003B4B5F">
        <w:rPr>
          <w:i/>
        </w:rPr>
        <w:t>A. condola</w:t>
      </w:r>
      <w:r w:rsidRPr="00680C4D">
        <w:t>. Additional sequencing of the 28S gene did not resolve this issue and the 16S gene did not amplify. The river mussel and freshwater mussels have very similar morphology and thus the specimens that we obtained may have been incorrectly identified. Further morphological assessment of this species is recommended before progressing eDNA assay development for river mussels. The eastern long-necked turtle is not suitable for eDNA primer design at any mitochondrial gene given it shares its mitochondrial genome with the closely related broad-shelled river turtle (</w:t>
      </w:r>
      <w:r w:rsidRPr="003B4B5F">
        <w:rPr>
          <w:i/>
        </w:rPr>
        <w:t>C. Expansa</w:t>
      </w:r>
      <w:r w:rsidRPr="00680C4D">
        <w:t>). Progressing assay development for these species will require substantial further work that is beyond the scope of the current project.</w:t>
      </w:r>
    </w:p>
    <w:p w14:paraId="606ED00C" w14:textId="7B584583" w:rsidR="006501A4" w:rsidRDefault="006501A4" w:rsidP="00546470">
      <w:pPr>
        <w:spacing w:after="120" w:line="259" w:lineRule="auto"/>
        <w:jc w:val="left"/>
      </w:pPr>
      <w:r w:rsidRPr="00680C4D">
        <w:t xml:space="preserve">Targeted assays were successfully developed for Murray cod, trout cod, silver perch, freshwater catfish, dwarf flathead gudgeon and Murray crayfish (Table </w:t>
      </w:r>
      <w:r>
        <w:t>12.1</w:t>
      </w:r>
      <w:r w:rsidRPr="00680C4D">
        <w:t xml:space="preserve">). Occasional amplification was observed for some closely related species (Appendix </w:t>
      </w:r>
      <w:r w:rsidRPr="00364C60">
        <w:t>1</w:t>
      </w:r>
      <w:r>
        <w:t>2.3</w:t>
      </w:r>
      <w:r w:rsidRPr="00364C60">
        <w:t>)</w:t>
      </w:r>
      <w:r>
        <w:t xml:space="preserve">, which was confirmed through </w:t>
      </w:r>
      <w:r w:rsidRPr="00364C60">
        <w:t>Sanger sequencing</w:t>
      </w:r>
      <w:r>
        <w:t>. For example, the</w:t>
      </w:r>
      <w:r w:rsidRPr="00680C4D">
        <w:t xml:space="preserve"> Murray cod assay amplified eastern freshwater cod (</w:t>
      </w:r>
      <w:r w:rsidRPr="00FA0448">
        <w:rPr>
          <w:i/>
        </w:rPr>
        <w:t>M. ikei</w:t>
      </w:r>
      <w:r w:rsidRPr="00680C4D">
        <w:t>) and Mary River cod (</w:t>
      </w:r>
      <w:r w:rsidRPr="00FA0448">
        <w:rPr>
          <w:i/>
        </w:rPr>
        <w:t>M. mariensis</w:t>
      </w:r>
      <w:r w:rsidRPr="00680C4D">
        <w:t>). In addition, the freshwater catfish assay amplified the Bellinger catfish (</w:t>
      </w:r>
      <w:r w:rsidRPr="00FA0448">
        <w:rPr>
          <w:i/>
        </w:rPr>
        <w:t>T. bellingerensis</w:t>
      </w:r>
      <w:r w:rsidRPr="00680C4D">
        <w:t>) and the freshwater cobbler (</w:t>
      </w:r>
      <w:r w:rsidRPr="00FA0448">
        <w:rPr>
          <w:i/>
        </w:rPr>
        <w:t>T. bostocki</w:t>
      </w:r>
      <w:r w:rsidRPr="00364C60">
        <w:t>)</w:t>
      </w:r>
      <w:r>
        <w:t xml:space="preserve"> (Appendix 12.3</w:t>
      </w:r>
      <w:r w:rsidRPr="00680C4D">
        <w:t xml:space="preserve">). Nevertheless, these assays were considered acceptable for use in the </w:t>
      </w:r>
      <w:r w:rsidR="005D191E">
        <w:t>Edward/</w:t>
      </w:r>
      <w:r>
        <w:t>Kolety-Wakool</w:t>
      </w:r>
      <w:r w:rsidRPr="00680C4D">
        <w:t xml:space="preserve"> system given the other species are not sympatric and thus any amplification can be attributed to the target species. We also observed unexpected amplification of the target species’ DNA sequence in the DNA samples of some closely related species (Appendix </w:t>
      </w:r>
      <w:r w:rsidRPr="00364C60">
        <w:t>1</w:t>
      </w:r>
      <w:r>
        <w:t>2.3</w:t>
      </w:r>
      <w:r w:rsidRPr="00680C4D">
        <w:t xml:space="preserve">), suggesting contamination had occurred at some stage during sample collection, DNA extraction or qPCR preparation. Following substantial troubleshooting, we confidently ruled out contamination at the eDNA extraction and qPCR preparation stages. Thus, it was concluded that the contamination was occurring </w:t>
      </w:r>
      <w:r>
        <w:t>during</w:t>
      </w:r>
      <w:r w:rsidRPr="00364C60">
        <w:t xml:space="preserve"> </w:t>
      </w:r>
      <w:r w:rsidRPr="00680C4D">
        <w:t xml:space="preserve">fin-clip collection. For example, Murray cod DNA sequences were detected in samples containing DNA extracted from golden perch </w:t>
      </w:r>
      <w:r>
        <w:t>(</w:t>
      </w:r>
      <w:r w:rsidRPr="00592AAE">
        <w:rPr>
          <w:i/>
          <w:iCs/>
        </w:rPr>
        <w:t>Macquaria ambigua</w:t>
      </w:r>
      <w:r>
        <w:t>)</w:t>
      </w:r>
      <w:r w:rsidRPr="00364C60">
        <w:t xml:space="preserve"> fin-clips.</w:t>
      </w:r>
      <w:r w:rsidRPr="00680C4D">
        <w:t xml:space="preserve"> The golden perch fin-clips were collected from hatchery broodfish housed in a facility that also houses Murray cod. Thus, our data suggests that Murray cod eDNA on the surface of the tank or the measuring board contaminated the tissue samples as they were collected. Similarly, samples collected in the field could also be easily contaminated with DNA from the target species from the sampling equipment </w:t>
      </w:r>
      <w:r>
        <w:t xml:space="preserve">also contacts the target </w:t>
      </w:r>
      <w:r w:rsidRPr="00364C60">
        <w:t xml:space="preserve">species. </w:t>
      </w:r>
      <w:r w:rsidRPr="00680C4D">
        <w:t>Thus, we considered it safe to continue to sensitivity testing and field testing of each assay.</w:t>
      </w:r>
      <w:bookmarkEnd w:id="214"/>
    </w:p>
    <w:p w14:paraId="495577CE" w14:textId="77777777" w:rsidR="00546470" w:rsidRPr="00680C4D" w:rsidRDefault="00546470" w:rsidP="00546470">
      <w:pPr>
        <w:spacing w:after="120" w:line="259" w:lineRule="auto"/>
        <w:jc w:val="left"/>
      </w:pPr>
      <w:r w:rsidRPr="00680C4D">
        <w:t xml:space="preserve">An assessment of sensitivity showed that each assay was able to reliably detect concentrations of its target DNA down to </w:t>
      </w:r>
      <w:r>
        <w:t>between two and</w:t>
      </w:r>
      <w:r w:rsidRPr="00364C60">
        <w:t xml:space="preserve"> </w:t>
      </w:r>
      <w:r w:rsidRPr="00680C4D">
        <w:t>10 copies/ µL</w:t>
      </w:r>
      <w:r>
        <w:t>,</w:t>
      </w:r>
      <w:r w:rsidRPr="00680C4D">
        <w:t xml:space="preserve"> and all assays performed this with efficiencies of &gt;95% (Table </w:t>
      </w:r>
      <w:r>
        <w:t>12.2</w:t>
      </w:r>
      <w:r w:rsidRPr="00680C4D">
        <w:t xml:space="preserve">). The field assessment of each assay detected the presence of each target species at the two sites where the species was known to be distributed based off historical electrofishing/netting or craypot data from NSW DPI (Table </w:t>
      </w:r>
      <w:r>
        <w:t>12.3</w:t>
      </w:r>
      <w:r w:rsidRPr="00680C4D">
        <w:t>). Sequencing a single replicate from 50% of positive samples confirmed amplification matched the DNA sequence of each target species. All negative control samples</w:t>
      </w:r>
      <w:r>
        <w:t xml:space="preserve"> (equipment control, negative extraction control and negative PCR control) were clear, indicating contamination had not occurred. </w:t>
      </w:r>
      <w:r w:rsidRPr="00364C60">
        <w:t xml:space="preserve">All assays </w:t>
      </w:r>
      <w:r w:rsidRPr="00680C4D">
        <w:t>detected their target species in an average of 93.7% of the samples collected at each test site.</w:t>
      </w:r>
    </w:p>
    <w:p w14:paraId="4697D1B9" w14:textId="77777777" w:rsidR="00546470" w:rsidRDefault="00546470" w:rsidP="00546470">
      <w:pPr>
        <w:spacing w:after="120" w:line="259" w:lineRule="auto"/>
        <w:jc w:val="left"/>
      </w:pPr>
    </w:p>
    <w:p w14:paraId="6C317252" w14:textId="77777777" w:rsidR="00546470" w:rsidRDefault="00546470">
      <w:pPr>
        <w:spacing w:after="0" w:line="240" w:lineRule="auto"/>
        <w:jc w:val="left"/>
        <w:rPr>
          <w:b/>
          <w:sz w:val="20"/>
        </w:rPr>
      </w:pPr>
      <w:r>
        <w:rPr>
          <w:b/>
          <w:sz w:val="20"/>
        </w:rPr>
        <w:br w:type="page"/>
      </w:r>
    </w:p>
    <w:p w14:paraId="16304B8E" w14:textId="6EE1EC41" w:rsidR="006501A4" w:rsidRPr="00D86F7C" w:rsidRDefault="006501A4" w:rsidP="00546470">
      <w:pPr>
        <w:spacing w:after="120" w:line="259" w:lineRule="auto"/>
        <w:jc w:val="left"/>
        <w:rPr>
          <w:sz w:val="20"/>
        </w:rPr>
      </w:pPr>
      <w:r w:rsidRPr="00D86F7C">
        <w:rPr>
          <w:b/>
          <w:sz w:val="20"/>
        </w:rPr>
        <w:t xml:space="preserve">Table </w:t>
      </w:r>
      <w:r w:rsidRPr="00D86F7C">
        <w:rPr>
          <w:b/>
          <w:bCs/>
          <w:sz w:val="20"/>
        </w:rPr>
        <w:t>12.</w:t>
      </w:r>
      <w:r>
        <w:rPr>
          <w:b/>
          <w:bCs/>
          <w:sz w:val="20"/>
        </w:rPr>
        <w:t>1</w:t>
      </w:r>
      <w:r w:rsidRPr="00D86F7C">
        <w:rPr>
          <w:sz w:val="20"/>
        </w:rPr>
        <w:t xml:space="preserve"> The primer and probe sequences and amplicon length for each targeted assay.</w:t>
      </w:r>
    </w:p>
    <w:tbl>
      <w:tblPr>
        <w:tblW w:w="9365" w:type="dxa"/>
        <w:tblLayout w:type="fixed"/>
        <w:tblCellMar>
          <w:top w:w="15" w:type="dxa"/>
          <w:bottom w:w="15" w:type="dxa"/>
        </w:tblCellMar>
        <w:tblLook w:val="04A0" w:firstRow="1" w:lastRow="0" w:firstColumn="1" w:lastColumn="0" w:noHBand="0" w:noVBand="1"/>
      </w:tblPr>
      <w:tblGrid>
        <w:gridCol w:w="2278"/>
        <w:gridCol w:w="2126"/>
        <w:gridCol w:w="3402"/>
        <w:gridCol w:w="1559"/>
      </w:tblGrid>
      <w:tr w:rsidR="006501A4" w:rsidRPr="00507FF6" w14:paraId="334E128E" w14:textId="77777777" w:rsidTr="0095397F">
        <w:trPr>
          <w:trHeight w:val="300"/>
        </w:trPr>
        <w:tc>
          <w:tcPr>
            <w:tcW w:w="2278" w:type="dxa"/>
            <w:tcBorders>
              <w:top w:val="single" w:sz="4" w:space="0" w:color="auto"/>
              <w:left w:val="single" w:sz="4" w:space="0" w:color="auto"/>
              <w:bottom w:val="single" w:sz="4" w:space="0" w:color="auto"/>
              <w:right w:val="single" w:sz="4" w:space="0" w:color="auto"/>
            </w:tcBorders>
            <w:shd w:val="clear" w:color="auto" w:fill="92CDDC"/>
          </w:tcPr>
          <w:p w14:paraId="55CF4F57" w14:textId="77777777" w:rsidR="006501A4" w:rsidRPr="009E3AA9" w:rsidRDefault="006501A4" w:rsidP="00546470">
            <w:pPr>
              <w:spacing w:after="120" w:line="259" w:lineRule="auto"/>
              <w:jc w:val="left"/>
              <w:rPr>
                <w:rFonts w:eastAsia="Times New Roman" w:cs="Calibri"/>
                <w:b/>
                <w:color w:val="000000"/>
                <w:sz w:val="20"/>
                <w:lang w:eastAsia="en-AU"/>
              </w:rPr>
            </w:pPr>
            <w:r w:rsidRPr="009E3AA9">
              <w:rPr>
                <w:rFonts w:eastAsia="Times New Roman" w:cs="Calibri"/>
                <w:b/>
                <w:color w:val="000000"/>
                <w:sz w:val="20"/>
                <w:lang w:eastAsia="en-AU"/>
              </w:rPr>
              <w:t>Target species</w:t>
            </w:r>
          </w:p>
        </w:tc>
        <w:tc>
          <w:tcPr>
            <w:tcW w:w="2126" w:type="dxa"/>
            <w:tcBorders>
              <w:top w:val="single" w:sz="4" w:space="0" w:color="auto"/>
              <w:left w:val="single" w:sz="4" w:space="0" w:color="auto"/>
              <w:bottom w:val="single" w:sz="4" w:space="0" w:color="auto"/>
              <w:right w:val="nil"/>
            </w:tcBorders>
            <w:shd w:val="clear" w:color="auto" w:fill="92CDDC"/>
            <w:noWrap/>
            <w:vAlign w:val="center"/>
            <w:hideMark/>
          </w:tcPr>
          <w:p w14:paraId="0D23A4C2" w14:textId="77777777" w:rsidR="006501A4" w:rsidRPr="009E3AA9" w:rsidRDefault="006501A4" w:rsidP="00546470">
            <w:pPr>
              <w:spacing w:after="120" w:line="259" w:lineRule="auto"/>
              <w:jc w:val="left"/>
              <w:rPr>
                <w:rFonts w:eastAsia="Times New Roman" w:cs="Calibri"/>
                <w:b/>
                <w:color w:val="000000"/>
                <w:sz w:val="20"/>
                <w:lang w:eastAsia="en-AU"/>
              </w:rPr>
            </w:pPr>
            <w:r w:rsidRPr="009E3AA9">
              <w:rPr>
                <w:rFonts w:eastAsia="Times New Roman" w:cs="Calibri"/>
                <w:b/>
                <w:color w:val="000000"/>
                <w:sz w:val="20"/>
                <w:lang w:eastAsia="en-AU"/>
              </w:rPr>
              <w:t>Label</w:t>
            </w:r>
          </w:p>
        </w:tc>
        <w:tc>
          <w:tcPr>
            <w:tcW w:w="3402" w:type="dxa"/>
            <w:tcBorders>
              <w:top w:val="single" w:sz="4" w:space="0" w:color="auto"/>
              <w:left w:val="nil"/>
              <w:bottom w:val="single" w:sz="4" w:space="0" w:color="auto"/>
              <w:right w:val="nil"/>
            </w:tcBorders>
            <w:shd w:val="clear" w:color="auto" w:fill="92CDDC"/>
            <w:noWrap/>
            <w:vAlign w:val="center"/>
            <w:hideMark/>
          </w:tcPr>
          <w:p w14:paraId="2B746C63" w14:textId="77777777" w:rsidR="006501A4" w:rsidRPr="009E3AA9" w:rsidRDefault="006501A4" w:rsidP="00546470">
            <w:pPr>
              <w:spacing w:after="120" w:line="259" w:lineRule="auto"/>
              <w:jc w:val="left"/>
              <w:rPr>
                <w:rFonts w:eastAsia="Times New Roman" w:cs="Calibri"/>
                <w:b/>
                <w:color w:val="000000"/>
                <w:sz w:val="20"/>
                <w:lang w:eastAsia="en-AU"/>
              </w:rPr>
            </w:pPr>
            <w:r w:rsidRPr="009E3AA9">
              <w:rPr>
                <w:rFonts w:eastAsia="Times New Roman" w:cs="Calibri"/>
                <w:b/>
                <w:color w:val="000000"/>
                <w:sz w:val="20"/>
                <w:lang w:eastAsia="en-AU"/>
              </w:rPr>
              <w:t>Sequence (5’-3’)</w:t>
            </w:r>
          </w:p>
        </w:tc>
        <w:tc>
          <w:tcPr>
            <w:tcW w:w="1559" w:type="dxa"/>
            <w:tcBorders>
              <w:top w:val="single" w:sz="4" w:space="0" w:color="auto"/>
              <w:left w:val="nil"/>
              <w:bottom w:val="single" w:sz="4" w:space="0" w:color="auto"/>
              <w:right w:val="single" w:sz="4" w:space="0" w:color="auto"/>
            </w:tcBorders>
            <w:shd w:val="clear" w:color="auto" w:fill="92CDDC"/>
            <w:noWrap/>
            <w:vAlign w:val="center"/>
            <w:hideMark/>
          </w:tcPr>
          <w:p w14:paraId="2C6ED780" w14:textId="77777777" w:rsidR="006501A4" w:rsidRPr="009E3AA9" w:rsidRDefault="006501A4" w:rsidP="00546470">
            <w:pPr>
              <w:spacing w:after="120" w:line="259" w:lineRule="auto"/>
              <w:jc w:val="left"/>
              <w:rPr>
                <w:rFonts w:eastAsia="Times New Roman" w:cs="Calibri"/>
                <w:b/>
                <w:color w:val="000000"/>
                <w:sz w:val="20"/>
                <w:lang w:eastAsia="en-AU"/>
              </w:rPr>
            </w:pPr>
            <w:r w:rsidRPr="009E3AA9">
              <w:rPr>
                <w:rFonts w:eastAsia="Times New Roman" w:cs="Calibri"/>
                <w:b/>
                <w:color w:val="000000"/>
                <w:sz w:val="20"/>
                <w:lang w:eastAsia="en-AU"/>
              </w:rPr>
              <w:t>Length (bp)</w:t>
            </w:r>
          </w:p>
        </w:tc>
      </w:tr>
      <w:tr w:rsidR="006501A4" w:rsidRPr="00507FF6" w14:paraId="014E0582" w14:textId="77777777" w:rsidTr="0095397F">
        <w:trPr>
          <w:trHeight w:val="300"/>
        </w:trPr>
        <w:tc>
          <w:tcPr>
            <w:tcW w:w="2278" w:type="dxa"/>
            <w:tcBorders>
              <w:top w:val="single" w:sz="4" w:space="0" w:color="auto"/>
              <w:left w:val="single" w:sz="4" w:space="0" w:color="auto"/>
              <w:bottom w:val="nil"/>
            </w:tcBorders>
          </w:tcPr>
          <w:p w14:paraId="552AAF3F" w14:textId="77777777" w:rsidR="006501A4" w:rsidRPr="009E3AA9" w:rsidRDefault="006501A4" w:rsidP="00546470">
            <w:pPr>
              <w:spacing w:after="120" w:line="240" w:lineRule="auto"/>
              <w:jc w:val="left"/>
              <w:rPr>
                <w:rFonts w:eastAsia="Times New Roman" w:cstheme="minorHAnsi"/>
                <w:color w:val="000000"/>
                <w:sz w:val="20"/>
                <w:lang w:eastAsia="en-AU"/>
              </w:rPr>
            </w:pPr>
            <w:r w:rsidRPr="009E3AA9">
              <w:rPr>
                <w:rFonts w:eastAsia="Times New Roman" w:cstheme="minorHAnsi"/>
                <w:color w:val="000000"/>
                <w:sz w:val="20"/>
                <w:lang w:eastAsia="en-AU"/>
              </w:rPr>
              <w:t>Murray cod</w:t>
            </w:r>
          </w:p>
        </w:tc>
        <w:tc>
          <w:tcPr>
            <w:tcW w:w="2126" w:type="dxa"/>
            <w:tcBorders>
              <w:top w:val="single" w:sz="4" w:space="0" w:color="auto"/>
              <w:bottom w:val="nil"/>
              <w:right w:val="nil"/>
            </w:tcBorders>
            <w:noWrap/>
            <w:vAlign w:val="center"/>
            <w:hideMark/>
          </w:tcPr>
          <w:p w14:paraId="6191DFA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M.pee_12S_F</w:t>
            </w:r>
          </w:p>
        </w:tc>
        <w:tc>
          <w:tcPr>
            <w:tcW w:w="3402" w:type="dxa"/>
            <w:tcBorders>
              <w:top w:val="single" w:sz="4" w:space="0" w:color="auto"/>
              <w:left w:val="nil"/>
              <w:bottom w:val="nil"/>
              <w:right w:val="nil"/>
            </w:tcBorders>
            <w:noWrap/>
            <w:vAlign w:val="center"/>
          </w:tcPr>
          <w:p w14:paraId="343EB6E1" w14:textId="77777777" w:rsidR="006501A4" w:rsidRPr="009E3AA9" w:rsidRDefault="006501A4" w:rsidP="00546470">
            <w:pPr>
              <w:spacing w:after="120" w:line="240" w:lineRule="auto"/>
              <w:jc w:val="left"/>
              <w:rPr>
                <w:rFonts w:eastAsia="Times New Roman" w:cstheme="minorHAnsi"/>
                <w:color w:val="000000"/>
                <w:sz w:val="20"/>
                <w:lang w:eastAsia="en-AU"/>
              </w:rPr>
            </w:pPr>
            <w:r w:rsidRPr="009E3AA9">
              <w:rPr>
                <w:rFonts w:cstheme="minorHAnsi"/>
                <w:sz w:val="20"/>
              </w:rPr>
              <w:t>CCCTTGTTCCACCAGCCTA</w:t>
            </w:r>
          </w:p>
        </w:tc>
        <w:tc>
          <w:tcPr>
            <w:tcW w:w="1559" w:type="dxa"/>
            <w:tcBorders>
              <w:top w:val="single" w:sz="4" w:space="0" w:color="auto"/>
              <w:left w:val="nil"/>
              <w:bottom w:val="nil"/>
              <w:right w:val="single" w:sz="4" w:space="0" w:color="auto"/>
            </w:tcBorders>
            <w:noWrap/>
            <w:vAlign w:val="center"/>
          </w:tcPr>
          <w:p w14:paraId="64FAB711"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85</w:t>
            </w:r>
          </w:p>
        </w:tc>
      </w:tr>
      <w:tr w:rsidR="006501A4" w:rsidRPr="00507FF6" w14:paraId="122DFB5D" w14:textId="77777777" w:rsidTr="0095397F">
        <w:trPr>
          <w:trHeight w:val="300"/>
        </w:trPr>
        <w:tc>
          <w:tcPr>
            <w:tcW w:w="2278" w:type="dxa"/>
            <w:tcBorders>
              <w:top w:val="nil"/>
              <w:left w:val="single" w:sz="4" w:space="0" w:color="auto"/>
              <w:right w:val="nil"/>
            </w:tcBorders>
          </w:tcPr>
          <w:p w14:paraId="29360925"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right w:val="nil"/>
            </w:tcBorders>
            <w:noWrap/>
            <w:vAlign w:val="center"/>
            <w:hideMark/>
          </w:tcPr>
          <w:p w14:paraId="19099DC5"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M.pee_12S_R</w:t>
            </w:r>
          </w:p>
        </w:tc>
        <w:tc>
          <w:tcPr>
            <w:tcW w:w="3402" w:type="dxa"/>
            <w:tcBorders>
              <w:top w:val="nil"/>
              <w:left w:val="nil"/>
              <w:right w:val="nil"/>
            </w:tcBorders>
            <w:noWrap/>
            <w:vAlign w:val="center"/>
          </w:tcPr>
          <w:p w14:paraId="20F65EEE" w14:textId="77777777" w:rsidR="006501A4" w:rsidRPr="009E3AA9" w:rsidRDefault="006501A4" w:rsidP="00546470">
            <w:pPr>
              <w:spacing w:after="120" w:line="240" w:lineRule="auto"/>
              <w:jc w:val="left"/>
              <w:rPr>
                <w:rFonts w:eastAsia="Times New Roman" w:cstheme="minorHAnsi"/>
                <w:color w:val="000000"/>
                <w:sz w:val="20"/>
                <w:lang w:eastAsia="en-AU"/>
              </w:rPr>
            </w:pPr>
            <w:r w:rsidRPr="009E3AA9">
              <w:rPr>
                <w:rFonts w:cstheme="minorHAnsi"/>
                <w:sz w:val="20"/>
              </w:rPr>
              <w:t>GTTCTGGGTTGTACCAATTATGCT</w:t>
            </w:r>
          </w:p>
        </w:tc>
        <w:tc>
          <w:tcPr>
            <w:tcW w:w="1559" w:type="dxa"/>
            <w:tcBorders>
              <w:top w:val="nil"/>
              <w:left w:val="nil"/>
              <w:right w:val="single" w:sz="4" w:space="0" w:color="auto"/>
            </w:tcBorders>
            <w:noWrap/>
            <w:vAlign w:val="center"/>
          </w:tcPr>
          <w:p w14:paraId="26A48FD1"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1D1E7362" w14:textId="77777777" w:rsidTr="0095397F">
        <w:trPr>
          <w:trHeight w:val="300"/>
        </w:trPr>
        <w:tc>
          <w:tcPr>
            <w:tcW w:w="2278" w:type="dxa"/>
            <w:tcBorders>
              <w:top w:val="nil"/>
              <w:left w:val="single" w:sz="4" w:space="0" w:color="auto"/>
              <w:bottom w:val="single" w:sz="4" w:space="0" w:color="auto"/>
              <w:right w:val="nil"/>
            </w:tcBorders>
          </w:tcPr>
          <w:p w14:paraId="0910E3FC"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bottom w:val="single" w:sz="4" w:space="0" w:color="auto"/>
              <w:right w:val="nil"/>
            </w:tcBorders>
            <w:noWrap/>
            <w:vAlign w:val="center"/>
            <w:hideMark/>
          </w:tcPr>
          <w:p w14:paraId="6806F76D"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M.pee_12S_probe</w:t>
            </w:r>
          </w:p>
        </w:tc>
        <w:tc>
          <w:tcPr>
            <w:tcW w:w="3402" w:type="dxa"/>
            <w:tcBorders>
              <w:top w:val="nil"/>
              <w:left w:val="nil"/>
              <w:bottom w:val="single" w:sz="4" w:space="0" w:color="auto"/>
              <w:right w:val="nil"/>
            </w:tcBorders>
            <w:noWrap/>
            <w:vAlign w:val="center"/>
          </w:tcPr>
          <w:p w14:paraId="6E4EED9E" w14:textId="77777777" w:rsidR="006501A4" w:rsidRPr="009E3AA9" w:rsidRDefault="006501A4" w:rsidP="00546470">
            <w:pPr>
              <w:spacing w:after="120" w:line="240" w:lineRule="auto"/>
              <w:jc w:val="left"/>
              <w:rPr>
                <w:rFonts w:eastAsia="Times New Roman" w:cstheme="minorHAnsi"/>
                <w:color w:val="000000"/>
                <w:sz w:val="20"/>
                <w:lang w:eastAsia="en-AU"/>
              </w:rPr>
            </w:pPr>
            <w:r w:rsidRPr="009E3AA9">
              <w:rPr>
                <w:rFonts w:cstheme="minorHAnsi"/>
                <w:sz w:val="20"/>
              </w:rPr>
              <w:t>CCAGCTTACCCTGTGAAGGACCTA</w:t>
            </w:r>
          </w:p>
        </w:tc>
        <w:tc>
          <w:tcPr>
            <w:tcW w:w="1559" w:type="dxa"/>
            <w:tcBorders>
              <w:top w:val="nil"/>
              <w:left w:val="nil"/>
              <w:bottom w:val="single" w:sz="4" w:space="0" w:color="auto"/>
              <w:right w:val="single" w:sz="4" w:space="0" w:color="auto"/>
            </w:tcBorders>
            <w:noWrap/>
            <w:vAlign w:val="center"/>
          </w:tcPr>
          <w:p w14:paraId="64FEC6D3"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721E538F" w14:textId="77777777" w:rsidTr="0095397F">
        <w:trPr>
          <w:trHeight w:val="300"/>
        </w:trPr>
        <w:tc>
          <w:tcPr>
            <w:tcW w:w="2278" w:type="dxa"/>
            <w:tcBorders>
              <w:top w:val="single" w:sz="4" w:space="0" w:color="auto"/>
              <w:left w:val="single" w:sz="4" w:space="0" w:color="auto"/>
              <w:bottom w:val="nil"/>
              <w:right w:val="nil"/>
            </w:tcBorders>
          </w:tcPr>
          <w:p w14:paraId="343D2B34" w14:textId="77777777" w:rsidR="006501A4" w:rsidRPr="009E3AA9" w:rsidRDefault="006501A4" w:rsidP="00546470">
            <w:pPr>
              <w:spacing w:after="120" w:line="240" w:lineRule="auto"/>
              <w:jc w:val="left"/>
              <w:rPr>
                <w:rFonts w:cstheme="minorHAnsi"/>
                <w:sz w:val="20"/>
              </w:rPr>
            </w:pPr>
            <w:r w:rsidRPr="009E3AA9">
              <w:rPr>
                <w:rFonts w:cstheme="minorHAnsi"/>
                <w:sz w:val="20"/>
              </w:rPr>
              <w:t>Trout cod</w:t>
            </w:r>
          </w:p>
        </w:tc>
        <w:tc>
          <w:tcPr>
            <w:tcW w:w="2126" w:type="dxa"/>
            <w:tcBorders>
              <w:top w:val="single" w:sz="4" w:space="0" w:color="auto"/>
              <w:left w:val="nil"/>
              <w:bottom w:val="nil"/>
              <w:right w:val="nil"/>
            </w:tcBorders>
            <w:noWrap/>
            <w:vAlign w:val="center"/>
          </w:tcPr>
          <w:p w14:paraId="29AF3100"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M.mac_12S_F</w:t>
            </w:r>
          </w:p>
        </w:tc>
        <w:tc>
          <w:tcPr>
            <w:tcW w:w="3402" w:type="dxa"/>
            <w:tcBorders>
              <w:top w:val="single" w:sz="4" w:space="0" w:color="auto"/>
              <w:left w:val="nil"/>
              <w:bottom w:val="nil"/>
              <w:right w:val="nil"/>
            </w:tcBorders>
            <w:noWrap/>
            <w:vAlign w:val="center"/>
          </w:tcPr>
          <w:p w14:paraId="40F78EF0"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TCCATGACACACGGAATAC</w:t>
            </w:r>
          </w:p>
        </w:tc>
        <w:tc>
          <w:tcPr>
            <w:tcW w:w="1559" w:type="dxa"/>
            <w:tcBorders>
              <w:top w:val="single" w:sz="4" w:space="0" w:color="auto"/>
              <w:left w:val="nil"/>
              <w:bottom w:val="nil"/>
              <w:right w:val="single" w:sz="4" w:space="0" w:color="auto"/>
            </w:tcBorders>
            <w:noWrap/>
            <w:vAlign w:val="center"/>
          </w:tcPr>
          <w:p w14:paraId="74336108"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94</w:t>
            </w:r>
          </w:p>
        </w:tc>
      </w:tr>
      <w:tr w:rsidR="006501A4" w:rsidRPr="00507FF6" w14:paraId="7D487A40" w14:textId="77777777" w:rsidTr="0095397F">
        <w:trPr>
          <w:trHeight w:val="300"/>
        </w:trPr>
        <w:tc>
          <w:tcPr>
            <w:tcW w:w="2278" w:type="dxa"/>
            <w:tcBorders>
              <w:top w:val="nil"/>
              <w:left w:val="single" w:sz="4" w:space="0" w:color="auto"/>
              <w:right w:val="nil"/>
            </w:tcBorders>
          </w:tcPr>
          <w:p w14:paraId="10788545"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right w:val="nil"/>
            </w:tcBorders>
            <w:noWrap/>
            <w:vAlign w:val="center"/>
          </w:tcPr>
          <w:p w14:paraId="7A9D6654"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M.mac_12S_R</w:t>
            </w:r>
          </w:p>
        </w:tc>
        <w:tc>
          <w:tcPr>
            <w:tcW w:w="3402" w:type="dxa"/>
            <w:tcBorders>
              <w:top w:val="nil"/>
              <w:left w:val="nil"/>
              <w:right w:val="nil"/>
            </w:tcBorders>
            <w:noWrap/>
            <w:vAlign w:val="center"/>
          </w:tcPr>
          <w:p w14:paraId="036BA28D"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CCAGTTTCAGCAGAACTCT</w:t>
            </w:r>
          </w:p>
        </w:tc>
        <w:tc>
          <w:tcPr>
            <w:tcW w:w="1559" w:type="dxa"/>
            <w:tcBorders>
              <w:top w:val="nil"/>
              <w:left w:val="nil"/>
              <w:right w:val="single" w:sz="4" w:space="0" w:color="auto"/>
            </w:tcBorders>
            <w:noWrap/>
            <w:vAlign w:val="center"/>
          </w:tcPr>
          <w:p w14:paraId="53479C6A"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2648B23E" w14:textId="77777777" w:rsidTr="0095397F">
        <w:trPr>
          <w:trHeight w:val="300"/>
        </w:trPr>
        <w:tc>
          <w:tcPr>
            <w:tcW w:w="2278" w:type="dxa"/>
            <w:tcBorders>
              <w:top w:val="nil"/>
              <w:left w:val="single" w:sz="4" w:space="0" w:color="auto"/>
              <w:bottom w:val="single" w:sz="4" w:space="0" w:color="auto"/>
              <w:right w:val="nil"/>
            </w:tcBorders>
          </w:tcPr>
          <w:p w14:paraId="6086F118"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bottom w:val="single" w:sz="4" w:space="0" w:color="auto"/>
              <w:right w:val="nil"/>
            </w:tcBorders>
            <w:noWrap/>
            <w:vAlign w:val="center"/>
          </w:tcPr>
          <w:p w14:paraId="33DC0BB2"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M.mac_12S_probe</w:t>
            </w:r>
          </w:p>
        </w:tc>
        <w:tc>
          <w:tcPr>
            <w:tcW w:w="3402" w:type="dxa"/>
            <w:tcBorders>
              <w:top w:val="nil"/>
              <w:left w:val="nil"/>
              <w:bottom w:val="single" w:sz="4" w:space="0" w:color="auto"/>
              <w:right w:val="nil"/>
            </w:tcBorders>
            <w:noWrap/>
            <w:vAlign w:val="center"/>
          </w:tcPr>
          <w:p w14:paraId="1BB98DA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TGAAACACACATCTGAAGGAGG</w:t>
            </w:r>
          </w:p>
        </w:tc>
        <w:tc>
          <w:tcPr>
            <w:tcW w:w="1559" w:type="dxa"/>
            <w:tcBorders>
              <w:top w:val="nil"/>
              <w:left w:val="nil"/>
              <w:bottom w:val="single" w:sz="4" w:space="0" w:color="auto"/>
              <w:right w:val="single" w:sz="4" w:space="0" w:color="auto"/>
            </w:tcBorders>
            <w:noWrap/>
            <w:vAlign w:val="center"/>
          </w:tcPr>
          <w:p w14:paraId="387CC970"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3F87909B" w14:textId="77777777" w:rsidTr="0095397F">
        <w:trPr>
          <w:trHeight w:val="300"/>
        </w:trPr>
        <w:tc>
          <w:tcPr>
            <w:tcW w:w="2278" w:type="dxa"/>
            <w:tcBorders>
              <w:top w:val="single" w:sz="4" w:space="0" w:color="auto"/>
              <w:left w:val="single" w:sz="4" w:space="0" w:color="auto"/>
              <w:bottom w:val="nil"/>
              <w:right w:val="nil"/>
            </w:tcBorders>
          </w:tcPr>
          <w:p w14:paraId="4DEAC538" w14:textId="77777777" w:rsidR="006501A4" w:rsidRPr="009E3AA9" w:rsidRDefault="006501A4" w:rsidP="00546470">
            <w:pPr>
              <w:spacing w:after="120" w:line="240" w:lineRule="auto"/>
              <w:jc w:val="left"/>
              <w:rPr>
                <w:rFonts w:cstheme="minorHAnsi"/>
                <w:sz w:val="20"/>
              </w:rPr>
            </w:pPr>
            <w:r w:rsidRPr="009E3AA9">
              <w:rPr>
                <w:rFonts w:cstheme="minorHAnsi"/>
                <w:sz w:val="20"/>
              </w:rPr>
              <w:t>Silver perch</w:t>
            </w:r>
          </w:p>
        </w:tc>
        <w:tc>
          <w:tcPr>
            <w:tcW w:w="2126" w:type="dxa"/>
            <w:tcBorders>
              <w:top w:val="single" w:sz="4" w:space="0" w:color="auto"/>
              <w:left w:val="nil"/>
              <w:bottom w:val="nil"/>
              <w:right w:val="nil"/>
            </w:tcBorders>
            <w:noWrap/>
            <w:vAlign w:val="center"/>
          </w:tcPr>
          <w:p w14:paraId="429CE73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B.bid_12S_F</w:t>
            </w:r>
          </w:p>
        </w:tc>
        <w:tc>
          <w:tcPr>
            <w:tcW w:w="3402" w:type="dxa"/>
            <w:tcBorders>
              <w:top w:val="single" w:sz="4" w:space="0" w:color="auto"/>
              <w:left w:val="nil"/>
              <w:bottom w:val="nil"/>
              <w:right w:val="nil"/>
            </w:tcBorders>
            <w:noWrap/>
            <w:vAlign w:val="center"/>
          </w:tcPr>
          <w:p w14:paraId="185FC63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CGCACAGTAAGCAAAATTGG</w:t>
            </w:r>
          </w:p>
        </w:tc>
        <w:tc>
          <w:tcPr>
            <w:tcW w:w="1559" w:type="dxa"/>
            <w:tcBorders>
              <w:top w:val="single" w:sz="4" w:space="0" w:color="auto"/>
              <w:left w:val="nil"/>
              <w:bottom w:val="nil"/>
              <w:right w:val="single" w:sz="4" w:space="0" w:color="auto"/>
            </w:tcBorders>
            <w:noWrap/>
            <w:vAlign w:val="center"/>
          </w:tcPr>
          <w:p w14:paraId="2D44B2AE"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133</w:t>
            </w:r>
          </w:p>
        </w:tc>
      </w:tr>
      <w:tr w:rsidR="006501A4" w:rsidRPr="00507FF6" w14:paraId="664BDE16" w14:textId="77777777" w:rsidTr="0095397F">
        <w:trPr>
          <w:trHeight w:val="300"/>
        </w:trPr>
        <w:tc>
          <w:tcPr>
            <w:tcW w:w="2278" w:type="dxa"/>
            <w:tcBorders>
              <w:top w:val="nil"/>
              <w:left w:val="single" w:sz="4" w:space="0" w:color="auto"/>
              <w:right w:val="nil"/>
            </w:tcBorders>
          </w:tcPr>
          <w:p w14:paraId="4EC36A84"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right w:val="nil"/>
            </w:tcBorders>
            <w:noWrap/>
            <w:vAlign w:val="center"/>
          </w:tcPr>
          <w:p w14:paraId="39DA2C7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B.bid_12S_R</w:t>
            </w:r>
          </w:p>
        </w:tc>
        <w:tc>
          <w:tcPr>
            <w:tcW w:w="3402" w:type="dxa"/>
            <w:tcBorders>
              <w:top w:val="nil"/>
              <w:left w:val="nil"/>
              <w:right w:val="nil"/>
            </w:tcBorders>
            <w:noWrap/>
            <w:vAlign w:val="center"/>
          </w:tcPr>
          <w:p w14:paraId="01E9656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TCCTCCTTCATGTTGCACG</w:t>
            </w:r>
          </w:p>
        </w:tc>
        <w:tc>
          <w:tcPr>
            <w:tcW w:w="1559" w:type="dxa"/>
            <w:tcBorders>
              <w:top w:val="nil"/>
              <w:left w:val="nil"/>
              <w:right w:val="single" w:sz="4" w:space="0" w:color="auto"/>
            </w:tcBorders>
            <w:noWrap/>
            <w:vAlign w:val="center"/>
          </w:tcPr>
          <w:p w14:paraId="71E48193"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689CCD4A" w14:textId="77777777" w:rsidTr="0095397F">
        <w:trPr>
          <w:trHeight w:val="300"/>
        </w:trPr>
        <w:tc>
          <w:tcPr>
            <w:tcW w:w="2278" w:type="dxa"/>
            <w:tcBorders>
              <w:top w:val="nil"/>
              <w:left w:val="single" w:sz="4" w:space="0" w:color="auto"/>
              <w:bottom w:val="single" w:sz="4" w:space="0" w:color="auto"/>
              <w:right w:val="nil"/>
            </w:tcBorders>
          </w:tcPr>
          <w:p w14:paraId="0793E250"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bottom w:val="single" w:sz="4" w:space="0" w:color="auto"/>
              <w:right w:val="nil"/>
            </w:tcBorders>
            <w:noWrap/>
            <w:vAlign w:val="center"/>
          </w:tcPr>
          <w:p w14:paraId="4F5DD541"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B.bid_12S_probe</w:t>
            </w:r>
          </w:p>
        </w:tc>
        <w:tc>
          <w:tcPr>
            <w:tcW w:w="3402" w:type="dxa"/>
            <w:tcBorders>
              <w:top w:val="nil"/>
              <w:left w:val="nil"/>
              <w:bottom w:val="single" w:sz="4" w:space="0" w:color="auto"/>
              <w:right w:val="nil"/>
            </w:tcBorders>
            <w:noWrap/>
            <w:vAlign w:val="center"/>
          </w:tcPr>
          <w:p w14:paraId="5DCAEF4F"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CAGCCCAGAACGTCAGGTC</w:t>
            </w:r>
          </w:p>
        </w:tc>
        <w:tc>
          <w:tcPr>
            <w:tcW w:w="1559" w:type="dxa"/>
            <w:tcBorders>
              <w:top w:val="nil"/>
              <w:left w:val="nil"/>
              <w:bottom w:val="single" w:sz="4" w:space="0" w:color="auto"/>
              <w:right w:val="single" w:sz="4" w:space="0" w:color="auto"/>
            </w:tcBorders>
            <w:noWrap/>
            <w:vAlign w:val="center"/>
          </w:tcPr>
          <w:p w14:paraId="4D4B9B97"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36C9F24E" w14:textId="77777777" w:rsidTr="0095397F">
        <w:trPr>
          <w:trHeight w:val="300"/>
        </w:trPr>
        <w:tc>
          <w:tcPr>
            <w:tcW w:w="2278" w:type="dxa"/>
            <w:tcBorders>
              <w:top w:val="single" w:sz="4" w:space="0" w:color="auto"/>
              <w:left w:val="single" w:sz="4" w:space="0" w:color="auto"/>
              <w:right w:val="nil"/>
            </w:tcBorders>
          </w:tcPr>
          <w:p w14:paraId="627C7D20" w14:textId="77777777" w:rsidR="006501A4" w:rsidRPr="009E3AA9" w:rsidRDefault="006501A4" w:rsidP="00546470">
            <w:pPr>
              <w:spacing w:after="120" w:line="240" w:lineRule="auto"/>
              <w:jc w:val="left"/>
              <w:rPr>
                <w:rFonts w:cstheme="minorHAnsi"/>
                <w:sz w:val="20"/>
              </w:rPr>
            </w:pPr>
            <w:r w:rsidRPr="009E3AA9">
              <w:rPr>
                <w:rFonts w:cstheme="minorHAnsi"/>
                <w:sz w:val="20"/>
              </w:rPr>
              <w:t>Freshwater catfish</w:t>
            </w:r>
          </w:p>
        </w:tc>
        <w:tc>
          <w:tcPr>
            <w:tcW w:w="2126" w:type="dxa"/>
            <w:tcBorders>
              <w:top w:val="single" w:sz="4" w:space="0" w:color="auto"/>
              <w:left w:val="nil"/>
              <w:right w:val="nil"/>
            </w:tcBorders>
            <w:noWrap/>
            <w:vAlign w:val="center"/>
          </w:tcPr>
          <w:p w14:paraId="5CD92E62"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T.tan_12S_F</w:t>
            </w:r>
          </w:p>
        </w:tc>
        <w:tc>
          <w:tcPr>
            <w:tcW w:w="3402" w:type="dxa"/>
            <w:tcBorders>
              <w:top w:val="single" w:sz="4" w:space="0" w:color="auto"/>
              <w:left w:val="nil"/>
              <w:right w:val="nil"/>
            </w:tcBorders>
            <w:noWrap/>
            <w:vAlign w:val="center"/>
          </w:tcPr>
          <w:p w14:paraId="12D545D0"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 xml:space="preserve">TTACCCTGTGAAGGCCCAA      </w:t>
            </w:r>
          </w:p>
        </w:tc>
        <w:tc>
          <w:tcPr>
            <w:tcW w:w="1559" w:type="dxa"/>
            <w:tcBorders>
              <w:top w:val="single" w:sz="4" w:space="0" w:color="auto"/>
              <w:left w:val="nil"/>
              <w:right w:val="single" w:sz="4" w:space="0" w:color="auto"/>
            </w:tcBorders>
            <w:noWrap/>
            <w:vAlign w:val="center"/>
          </w:tcPr>
          <w:p w14:paraId="1AE3F8BC"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133</w:t>
            </w:r>
          </w:p>
        </w:tc>
      </w:tr>
      <w:tr w:rsidR="006501A4" w:rsidRPr="00507FF6" w14:paraId="71B6AB23" w14:textId="77777777" w:rsidTr="0095397F">
        <w:trPr>
          <w:trHeight w:val="300"/>
        </w:trPr>
        <w:tc>
          <w:tcPr>
            <w:tcW w:w="2278" w:type="dxa"/>
            <w:tcBorders>
              <w:top w:val="nil"/>
              <w:left w:val="single" w:sz="4" w:space="0" w:color="auto"/>
              <w:right w:val="nil"/>
            </w:tcBorders>
          </w:tcPr>
          <w:p w14:paraId="7C61620A"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right w:val="nil"/>
            </w:tcBorders>
            <w:noWrap/>
            <w:vAlign w:val="center"/>
          </w:tcPr>
          <w:p w14:paraId="3EFB1351"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T.tan_12S_R</w:t>
            </w:r>
          </w:p>
        </w:tc>
        <w:tc>
          <w:tcPr>
            <w:tcW w:w="3402" w:type="dxa"/>
            <w:tcBorders>
              <w:top w:val="nil"/>
              <w:left w:val="nil"/>
              <w:right w:val="nil"/>
            </w:tcBorders>
            <w:noWrap/>
            <w:vAlign w:val="center"/>
          </w:tcPr>
          <w:p w14:paraId="4120E3AA"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TGTTTCAGCGTGCTATTCGTTATA</w:t>
            </w:r>
          </w:p>
        </w:tc>
        <w:tc>
          <w:tcPr>
            <w:tcW w:w="1559" w:type="dxa"/>
            <w:tcBorders>
              <w:top w:val="nil"/>
              <w:left w:val="nil"/>
              <w:right w:val="single" w:sz="4" w:space="0" w:color="auto"/>
            </w:tcBorders>
            <w:noWrap/>
            <w:vAlign w:val="center"/>
          </w:tcPr>
          <w:p w14:paraId="25CAD769"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05967BAE" w14:textId="77777777" w:rsidTr="0095397F">
        <w:trPr>
          <w:trHeight w:val="300"/>
        </w:trPr>
        <w:tc>
          <w:tcPr>
            <w:tcW w:w="2278" w:type="dxa"/>
            <w:tcBorders>
              <w:top w:val="nil"/>
              <w:left w:val="single" w:sz="4" w:space="0" w:color="auto"/>
              <w:bottom w:val="single" w:sz="4" w:space="0" w:color="auto"/>
              <w:right w:val="nil"/>
            </w:tcBorders>
          </w:tcPr>
          <w:p w14:paraId="07D04F4F"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bottom w:val="single" w:sz="4" w:space="0" w:color="auto"/>
              <w:right w:val="nil"/>
            </w:tcBorders>
            <w:noWrap/>
            <w:vAlign w:val="center"/>
          </w:tcPr>
          <w:p w14:paraId="5D7F4B43"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T.tan_12S_probe</w:t>
            </w:r>
          </w:p>
        </w:tc>
        <w:tc>
          <w:tcPr>
            <w:tcW w:w="3402" w:type="dxa"/>
            <w:tcBorders>
              <w:top w:val="nil"/>
              <w:left w:val="nil"/>
              <w:bottom w:val="single" w:sz="4" w:space="0" w:color="auto"/>
              <w:right w:val="nil"/>
            </w:tcBorders>
            <w:noWrap/>
            <w:vAlign w:val="center"/>
          </w:tcPr>
          <w:p w14:paraId="777720B4"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AGCCCATTTCTTCCCACTTCGTAC</w:t>
            </w:r>
          </w:p>
        </w:tc>
        <w:tc>
          <w:tcPr>
            <w:tcW w:w="1559" w:type="dxa"/>
            <w:tcBorders>
              <w:top w:val="nil"/>
              <w:left w:val="nil"/>
              <w:bottom w:val="single" w:sz="4" w:space="0" w:color="auto"/>
              <w:right w:val="single" w:sz="4" w:space="0" w:color="auto"/>
            </w:tcBorders>
            <w:noWrap/>
            <w:vAlign w:val="center"/>
          </w:tcPr>
          <w:p w14:paraId="302E91A7"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693B8462" w14:textId="77777777" w:rsidTr="0095397F">
        <w:trPr>
          <w:trHeight w:val="300"/>
        </w:trPr>
        <w:tc>
          <w:tcPr>
            <w:tcW w:w="2278" w:type="dxa"/>
            <w:tcBorders>
              <w:top w:val="single" w:sz="4" w:space="0" w:color="auto"/>
              <w:left w:val="single" w:sz="4" w:space="0" w:color="auto"/>
              <w:right w:val="nil"/>
            </w:tcBorders>
          </w:tcPr>
          <w:p w14:paraId="791364AD" w14:textId="77777777" w:rsidR="006501A4" w:rsidRPr="009E3AA9" w:rsidRDefault="006501A4" w:rsidP="00546470">
            <w:pPr>
              <w:spacing w:after="120" w:line="240" w:lineRule="auto"/>
              <w:jc w:val="left"/>
              <w:rPr>
                <w:rFonts w:cstheme="minorHAnsi"/>
                <w:sz w:val="20"/>
              </w:rPr>
            </w:pPr>
            <w:r w:rsidRPr="009E3AA9">
              <w:rPr>
                <w:rFonts w:cstheme="minorHAnsi"/>
                <w:sz w:val="20"/>
              </w:rPr>
              <w:t>Dwarf flathead gudgeon</w:t>
            </w:r>
          </w:p>
        </w:tc>
        <w:tc>
          <w:tcPr>
            <w:tcW w:w="2126" w:type="dxa"/>
            <w:tcBorders>
              <w:top w:val="single" w:sz="4" w:space="0" w:color="auto"/>
              <w:left w:val="nil"/>
              <w:right w:val="nil"/>
            </w:tcBorders>
            <w:noWrap/>
            <w:vAlign w:val="center"/>
          </w:tcPr>
          <w:p w14:paraId="780A2FF7"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P.mac_12S_F</w:t>
            </w:r>
          </w:p>
        </w:tc>
        <w:tc>
          <w:tcPr>
            <w:tcW w:w="3402" w:type="dxa"/>
            <w:tcBorders>
              <w:top w:val="single" w:sz="4" w:space="0" w:color="auto"/>
              <w:left w:val="nil"/>
              <w:right w:val="nil"/>
            </w:tcBorders>
            <w:noWrap/>
            <w:vAlign w:val="center"/>
          </w:tcPr>
          <w:p w14:paraId="39DEFEF5"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CACCCTCTCTTGTTCCACC</w:t>
            </w:r>
          </w:p>
        </w:tc>
        <w:tc>
          <w:tcPr>
            <w:tcW w:w="1559" w:type="dxa"/>
            <w:tcBorders>
              <w:top w:val="single" w:sz="4" w:space="0" w:color="auto"/>
              <w:left w:val="nil"/>
              <w:right w:val="single" w:sz="4" w:space="0" w:color="auto"/>
            </w:tcBorders>
            <w:noWrap/>
            <w:vAlign w:val="center"/>
          </w:tcPr>
          <w:p w14:paraId="3AE7C9F5"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153</w:t>
            </w:r>
          </w:p>
        </w:tc>
      </w:tr>
      <w:tr w:rsidR="006501A4" w:rsidRPr="00507FF6" w14:paraId="574D68C6" w14:textId="77777777" w:rsidTr="0095397F">
        <w:trPr>
          <w:trHeight w:val="300"/>
        </w:trPr>
        <w:tc>
          <w:tcPr>
            <w:tcW w:w="2278" w:type="dxa"/>
            <w:tcBorders>
              <w:top w:val="nil"/>
              <w:left w:val="single" w:sz="4" w:space="0" w:color="auto"/>
              <w:right w:val="nil"/>
            </w:tcBorders>
          </w:tcPr>
          <w:p w14:paraId="2B528F46"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right w:val="nil"/>
            </w:tcBorders>
            <w:noWrap/>
            <w:vAlign w:val="center"/>
          </w:tcPr>
          <w:p w14:paraId="194F4AF2"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P.mac_12S_R</w:t>
            </w:r>
          </w:p>
        </w:tc>
        <w:tc>
          <w:tcPr>
            <w:tcW w:w="3402" w:type="dxa"/>
            <w:tcBorders>
              <w:top w:val="nil"/>
              <w:left w:val="nil"/>
              <w:right w:val="nil"/>
            </w:tcBorders>
            <w:noWrap/>
            <w:vAlign w:val="center"/>
          </w:tcPr>
          <w:p w14:paraId="11FAE994"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ACACTGTGTCAGGGAATGTAG</w:t>
            </w:r>
          </w:p>
        </w:tc>
        <w:tc>
          <w:tcPr>
            <w:tcW w:w="1559" w:type="dxa"/>
            <w:tcBorders>
              <w:top w:val="nil"/>
              <w:left w:val="nil"/>
              <w:right w:val="single" w:sz="4" w:space="0" w:color="auto"/>
            </w:tcBorders>
            <w:noWrap/>
            <w:vAlign w:val="center"/>
          </w:tcPr>
          <w:p w14:paraId="61DF8710"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47D3C613" w14:textId="77777777" w:rsidTr="0095397F">
        <w:trPr>
          <w:trHeight w:val="300"/>
        </w:trPr>
        <w:tc>
          <w:tcPr>
            <w:tcW w:w="2278" w:type="dxa"/>
            <w:tcBorders>
              <w:top w:val="nil"/>
              <w:left w:val="single" w:sz="4" w:space="0" w:color="auto"/>
              <w:bottom w:val="single" w:sz="4" w:space="0" w:color="auto"/>
              <w:right w:val="nil"/>
            </w:tcBorders>
          </w:tcPr>
          <w:p w14:paraId="4FB9465A" w14:textId="77777777" w:rsidR="006501A4" w:rsidRPr="009E3AA9" w:rsidRDefault="006501A4" w:rsidP="00546470">
            <w:pPr>
              <w:spacing w:after="120" w:line="240" w:lineRule="auto"/>
              <w:jc w:val="left"/>
              <w:rPr>
                <w:rFonts w:eastAsia="Times New Roman" w:cstheme="minorHAnsi"/>
                <w:color w:val="000000"/>
                <w:sz w:val="20"/>
                <w:lang w:eastAsia="en-AU"/>
              </w:rPr>
            </w:pPr>
          </w:p>
        </w:tc>
        <w:tc>
          <w:tcPr>
            <w:tcW w:w="2126" w:type="dxa"/>
            <w:tcBorders>
              <w:top w:val="nil"/>
              <w:left w:val="nil"/>
              <w:bottom w:val="single" w:sz="4" w:space="0" w:color="auto"/>
              <w:right w:val="nil"/>
            </w:tcBorders>
            <w:noWrap/>
            <w:vAlign w:val="center"/>
          </w:tcPr>
          <w:p w14:paraId="11CCBD0B"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P.mac_12S_probe</w:t>
            </w:r>
          </w:p>
        </w:tc>
        <w:tc>
          <w:tcPr>
            <w:tcW w:w="3402" w:type="dxa"/>
            <w:tcBorders>
              <w:top w:val="nil"/>
              <w:left w:val="nil"/>
              <w:bottom w:val="single" w:sz="4" w:space="0" w:color="auto"/>
              <w:right w:val="nil"/>
            </w:tcBorders>
            <w:noWrap/>
            <w:vAlign w:val="center"/>
          </w:tcPr>
          <w:p w14:paraId="767D1A5F"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sz w:val="20"/>
              </w:rPr>
              <w:t xml:space="preserve">CCTATATACCGCCGTCGTCAGC                   </w:t>
            </w:r>
          </w:p>
        </w:tc>
        <w:tc>
          <w:tcPr>
            <w:tcW w:w="1559" w:type="dxa"/>
            <w:tcBorders>
              <w:top w:val="nil"/>
              <w:left w:val="nil"/>
              <w:bottom w:val="single" w:sz="4" w:space="0" w:color="auto"/>
              <w:right w:val="single" w:sz="4" w:space="0" w:color="auto"/>
            </w:tcBorders>
            <w:noWrap/>
            <w:vAlign w:val="center"/>
          </w:tcPr>
          <w:p w14:paraId="3869A460"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146375C9" w14:textId="77777777" w:rsidTr="0095397F">
        <w:trPr>
          <w:trHeight w:val="300"/>
        </w:trPr>
        <w:tc>
          <w:tcPr>
            <w:tcW w:w="2278" w:type="dxa"/>
            <w:tcBorders>
              <w:top w:val="single" w:sz="4" w:space="0" w:color="auto"/>
              <w:left w:val="single" w:sz="4" w:space="0" w:color="auto"/>
              <w:right w:val="nil"/>
            </w:tcBorders>
          </w:tcPr>
          <w:p w14:paraId="2262A085" w14:textId="77777777" w:rsidR="006501A4" w:rsidRPr="009E3AA9" w:rsidRDefault="006501A4" w:rsidP="00546470">
            <w:pPr>
              <w:spacing w:after="120" w:line="240" w:lineRule="auto"/>
              <w:jc w:val="left"/>
              <w:rPr>
                <w:rFonts w:cstheme="minorHAnsi"/>
                <w:sz w:val="20"/>
              </w:rPr>
            </w:pPr>
            <w:r w:rsidRPr="009E3AA9">
              <w:rPr>
                <w:rFonts w:cstheme="minorHAnsi"/>
                <w:sz w:val="20"/>
              </w:rPr>
              <w:t>Murray crayfish</w:t>
            </w:r>
          </w:p>
        </w:tc>
        <w:tc>
          <w:tcPr>
            <w:tcW w:w="2126" w:type="dxa"/>
            <w:tcBorders>
              <w:top w:val="single" w:sz="4" w:space="0" w:color="auto"/>
              <w:left w:val="nil"/>
              <w:right w:val="nil"/>
            </w:tcBorders>
            <w:noWrap/>
            <w:vAlign w:val="center"/>
          </w:tcPr>
          <w:p w14:paraId="3CB4CB15"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E.arm_12S_F</w:t>
            </w:r>
          </w:p>
        </w:tc>
        <w:tc>
          <w:tcPr>
            <w:tcW w:w="3402" w:type="dxa"/>
            <w:tcBorders>
              <w:top w:val="single" w:sz="4" w:space="0" w:color="auto"/>
              <w:left w:val="nil"/>
              <w:right w:val="nil"/>
            </w:tcBorders>
            <w:noWrap/>
            <w:vAlign w:val="center"/>
          </w:tcPr>
          <w:p w14:paraId="7EDFCA61" w14:textId="77777777" w:rsidR="006501A4" w:rsidRPr="009E3AA9" w:rsidRDefault="006501A4" w:rsidP="00546470">
            <w:pPr>
              <w:spacing w:after="120" w:line="240" w:lineRule="auto"/>
              <w:jc w:val="left"/>
              <w:rPr>
                <w:sz w:val="20"/>
              </w:rPr>
            </w:pPr>
            <w:r w:rsidRPr="009E3AA9">
              <w:rPr>
                <w:rFonts w:cs="Calibri"/>
                <w:sz w:val="20"/>
              </w:rPr>
              <w:t>GTTGGGGCTTGATAACAGC</w:t>
            </w:r>
          </w:p>
        </w:tc>
        <w:tc>
          <w:tcPr>
            <w:tcW w:w="1559" w:type="dxa"/>
            <w:tcBorders>
              <w:top w:val="single" w:sz="4" w:space="0" w:color="auto"/>
              <w:left w:val="nil"/>
              <w:right w:val="single" w:sz="4" w:space="0" w:color="auto"/>
            </w:tcBorders>
            <w:noWrap/>
            <w:vAlign w:val="center"/>
          </w:tcPr>
          <w:p w14:paraId="6A63DEB3"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themeColor="text1"/>
                <w:sz w:val="20"/>
                <w:lang w:eastAsia="en-AU"/>
              </w:rPr>
              <w:t>158</w:t>
            </w:r>
          </w:p>
        </w:tc>
      </w:tr>
      <w:tr w:rsidR="006501A4" w:rsidRPr="00507FF6" w14:paraId="29347EEE" w14:textId="77777777" w:rsidTr="0095397F">
        <w:trPr>
          <w:trHeight w:val="300"/>
        </w:trPr>
        <w:tc>
          <w:tcPr>
            <w:tcW w:w="2278" w:type="dxa"/>
            <w:tcBorders>
              <w:top w:val="nil"/>
              <w:left w:val="single" w:sz="4" w:space="0" w:color="auto"/>
              <w:right w:val="nil"/>
            </w:tcBorders>
          </w:tcPr>
          <w:p w14:paraId="46AA640E" w14:textId="77777777" w:rsidR="006501A4" w:rsidRPr="009E3AA9" w:rsidRDefault="006501A4" w:rsidP="00546470">
            <w:pPr>
              <w:spacing w:after="120" w:line="240" w:lineRule="auto"/>
              <w:jc w:val="left"/>
              <w:rPr>
                <w:rFonts w:eastAsia="Times New Roman" w:cs="Calibri"/>
                <w:color w:val="000000"/>
                <w:sz w:val="20"/>
                <w:lang w:eastAsia="en-AU"/>
              </w:rPr>
            </w:pPr>
          </w:p>
        </w:tc>
        <w:tc>
          <w:tcPr>
            <w:tcW w:w="2126" w:type="dxa"/>
            <w:tcBorders>
              <w:top w:val="nil"/>
              <w:left w:val="nil"/>
              <w:right w:val="nil"/>
            </w:tcBorders>
            <w:noWrap/>
            <w:vAlign w:val="center"/>
          </w:tcPr>
          <w:p w14:paraId="11CD443B"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E.arm_12S_R</w:t>
            </w:r>
          </w:p>
        </w:tc>
        <w:tc>
          <w:tcPr>
            <w:tcW w:w="3402" w:type="dxa"/>
            <w:tcBorders>
              <w:top w:val="nil"/>
              <w:left w:val="nil"/>
              <w:right w:val="nil"/>
            </w:tcBorders>
            <w:noWrap/>
            <w:vAlign w:val="center"/>
          </w:tcPr>
          <w:p w14:paraId="0ABF486E" w14:textId="77777777" w:rsidR="006501A4" w:rsidRPr="009E3AA9" w:rsidRDefault="006501A4" w:rsidP="00546470">
            <w:pPr>
              <w:spacing w:after="120" w:line="240" w:lineRule="auto"/>
              <w:jc w:val="left"/>
              <w:rPr>
                <w:sz w:val="20"/>
              </w:rPr>
            </w:pPr>
            <w:r w:rsidRPr="009E3AA9">
              <w:rPr>
                <w:rFonts w:cs="Calibri"/>
                <w:sz w:val="20"/>
              </w:rPr>
              <w:t>ACTCAATTTCACCTTTTATCCACC</w:t>
            </w:r>
          </w:p>
        </w:tc>
        <w:tc>
          <w:tcPr>
            <w:tcW w:w="1559" w:type="dxa"/>
            <w:tcBorders>
              <w:top w:val="nil"/>
              <w:left w:val="nil"/>
              <w:right w:val="single" w:sz="4" w:space="0" w:color="auto"/>
            </w:tcBorders>
            <w:noWrap/>
            <w:vAlign w:val="center"/>
          </w:tcPr>
          <w:p w14:paraId="674A51E4" w14:textId="77777777" w:rsidR="006501A4" w:rsidRPr="009E3AA9" w:rsidRDefault="006501A4" w:rsidP="00546470">
            <w:pPr>
              <w:spacing w:after="120" w:line="240" w:lineRule="auto"/>
              <w:jc w:val="left"/>
              <w:rPr>
                <w:rFonts w:eastAsia="Times New Roman" w:cs="Calibri"/>
                <w:color w:val="000000"/>
                <w:sz w:val="20"/>
                <w:lang w:eastAsia="en-AU"/>
              </w:rPr>
            </w:pPr>
          </w:p>
        </w:tc>
      </w:tr>
      <w:tr w:rsidR="006501A4" w:rsidRPr="00507FF6" w14:paraId="425106C1" w14:textId="77777777" w:rsidTr="0095397F">
        <w:trPr>
          <w:trHeight w:val="300"/>
        </w:trPr>
        <w:tc>
          <w:tcPr>
            <w:tcW w:w="2278" w:type="dxa"/>
            <w:tcBorders>
              <w:top w:val="nil"/>
              <w:left w:val="single" w:sz="4" w:space="0" w:color="auto"/>
              <w:bottom w:val="single" w:sz="4" w:space="0" w:color="auto"/>
              <w:right w:val="nil"/>
            </w:tcBorders>
          </w:tcPr>
          <w:p w14:paraId="5DF647E7" w14:textId="77777777" w:rsidR="006501A4" w:rsidRPr="009E3AA9" w:rsidRDefault="006501A4" w:rsidP="00546470">
            <w:pPr>
              <w:spacing w:after="120" w:line="240" w:lineRule="auto"/>
              <w:jc w:val="left"/>
              <w:rPr>
                <w:rFonts w:eastAsia="Times New Roman" w:cs="Calibri"/>
                <w:color w:val="000000"/>
                <w:sz w:val="20"/>
                <w:lang w:eastAsia="en-AU"/>
              </w:rPr>
            </w:pPr>
          </w:p>
        </w:tc>
        <w:tc>
          <w:tcPr>
            <w:tcW w:w="2126" w:type="dxa"/>
            <w:tcBorders>
              <w:top w:val="nil"/>
              <w:left w:val="nil"/>
              <w:bottom w:val="single" w:sz="4" w:space="0" w:color="auto"/>
              <w:right w:val="nil"/>
            </w:tcBorders>
            <w:noWrap/>
            <w:vAlign w:val="center"/>
          </w:tcPr>
          <w:p w14:paraId="4C3141C8" w14:textId="77777777" w:rsidR="006501A4" w:rsidRPr="009E3AA9" w:rsidRDefault="006501A4" w:rsidP="00546470">
            <w:pPr>
              <w:spacing w:after="120" w:line="240" w:lineRule="auto"/>
              <w:jc w:val="left"/>
              <w:rPr>
                <w:rFonts w:eastAsia="Times New Roman" w:cs="Calibri"/>
                <w:color w:val="000000"/>
                <w:sz w:val="20"/>
                <w:lang w:eastAsia="en-AU"/>
              </w:rPr>
            </w:pPr>
            <w:r w:rsidRPr="009E3AA9">
              <w:rPr>
                <w:rFonts w:eastAsia="Times New Roman" w:cs="Calibri"/>
                <w:color w:val="000000"/>
                <w:sz w:val="20"/>
                <w:lang w:eastAsia="en-AU"/>
              </w:rPr>
              <w:t>E.arm_12S_probe</w:t>
            </w:r>
          </w:p>
        </w:tc>
        <w:tc>
          <w:tcPr>
            <w:tcW w:w="3402" w:type="dxa"/>
            <w:tcBorders>
              <w:top w:val="nil"/>
              <w:left w:val="nil"/>
              <w:bottom w:val="single" w:sz="4" w:space="0" w:color="auto"/>
              <w:right w:val="nil"/>
            </w:tcBorders>
            <w:noWrap/>
            <w:vAlign w:val="center"/>
          </w:tcPr>
          <w:p w14:paraId="18B57FD5" w14:textId="77777777" w:rsidR="006501A4" w:rsidRPr="009E3AA9" w:rsidRDefault="006501A4" w:rsidP="00546470">
            <w:pPr>
              <w:spacing w:after="120" w:line="240" w:lineRule="auto"/>
              <w:jc w:val="left"/>
              <w:rPr>
                <w:sz w:val="20"/>
              </w:rPr>
            </w:pPr>
            <w:r w:rsidRPr="009E3AA9">
              <w:rPr>
                <w:rFonts w:cs="Calibri"/>
                <w:sz w:val="20"/>
              </w:rPr>
              <w:t>CGCGGTTAGACTTGGAGGTTAAG</w:t>
            </w:r>
          </w:p>
        </w:tc>
        <w:tc>
          <w:tcPr>
            <w:tcW w:w="1559" w:type="dxa"/>
            <w:tcBorders>
              <w:top w:val="nil"/>
              <w:left w:val="nil"/>
              <w:bottom w:val="single" w:sz="4" w:space="0" w:color="auto"/>
              <w:right w:val="single" w:sz="4" w:space="0" w:color="auto"/>
            </w:tcBorders>
            <w:noWrap/>
            <w:vAlign w:val="center"/>
          </w:tcPr>
          <w:p w14:paraId="05F5D09F" w14:textId="77777777" w:rsidR="006501A4" w:rsidRPr="009E3AA9" w:rsidRDefault="006501A4" w:rsidP="00546470">
            <w:pPr>
              <w:spacing w:after="120" w:line="240" w:lineRule="auto"/>
              <w:jc w:val="left"/>
              <w:rPr>
                <w:rFonts w:eastAsia="Times New Roman" w:cs="Calibri"/>
                <w:color w:val="000000"/>
                <w:sz w:val="20"/>
                <w:lang w:eastAsia="en-AU"/>
              </w:rPr>
            </w:pPr>
          </w:p>
        </w:tc>
      </w:tr>
    </w:tbl>
    <w:p w14:paraId="397CED49" w14:textId="77777777" w:rsidR="006501A4" w:rsidRDefault="006501A4" w:rsidP="00546470">
      <w:pPr>
        <w:spacing w:after="120" w:line="259" w:lineRule="auto"/>
        <w:jc w:val="left"/>
      </w:pPr>
    </w:p>
    <w:p w14:paraId="299C6B2F" w14:textId="77777777" w:rsidR="006501A4" w:rsidRPr="00D86F7C" w:rsidRDefault="006501A4" w:rsidP="00546470">
      <w:pPr>
        <w:spacing w:after="120" w:line="259" w:lineRule="auto"/>
        <w:ind w:right="-188"/>
        <w:jc w:val="left"/>
        <w:rPr>
          <w:sz w:val="20"/>
        </w:rPr>
      </w:pPr>
      <w:r w:rsidRPr="00D86F7C">
        <w:rPr>
          <w:b/>
          <w:sz w:val="20"/>
        </w:rPr>
        <w:t xml:space="preserve">Table </w:t>
      </w:r>
      <w:r w:rsidRPr="00D86F7C">
        <w:rPr>
          <w:b/>
          <w:bCs/>
          <w:sz w:val="20"/>
        </w:rPr>
        <w:t>12.</w:t>
      </w:r>
      <w:r>
        <w:rPr>
          <w:b/>
          <w:bCs/>
          <w:sz w:val="20"/>
        </w:rPr>
        <w:t>2</w:t>
      </w:r>
      <w:r w:rsidRPr="00D86F7C">
        <w:rPr>
          <w:sz w:val="20"/>
        </w:rPr>
        <w:t xml:space="preserve"> Sensitivity test results, limit of detection and optimal annealing temperature for each targeted assay.</w:t>
      </w:r>
    </w:p>
    <w:tbl>
      <w:tblPr>
        <w:tblW w:w="9577" w:type="dxa"/>
        <w:tblLayout w:type="fixed"/>
        <w:tblCellMar>
          <w:top w:w="15" w:type="dxa"/>
          <w:bottom w:w="15" w:type="dxa"/>
        </w:tblCellMar>
        <w:tblLook w:val="04A0" w:firstRow="1" w:lastRow="0" w:firstColumn="1" w:lastColumn="0" w:noHBand="0" w:noVBand="1"/>
      </w:tblPr>
      <w:tblGrid>
        <w:gridCol w:w="2489"/>
        <w:gridCol w:w="1842"/>
        <w:gridCol w:w="1560"/>
        <w:gridCol w:w="1984"/>
        <w:gridCol w:w="1702"/>
      </w:tblGrid>
      <w:tr w:rsidR="006501A4" w:rsidRPr="000A0480" w14:paraId="6D9C8D04" w14:textId="77777777" w:rsidTr="0095397F">
        <w:trPr>
          <w:trHeight w:val="300"/>
        </w:trPr>
        <w:tc>
          <w:tcPr>
            <w:tcW w:w="2489" w:type="dxa"/>
            <w:tcBorders>
              <w:top w:val="single" w:sz="4" w:space="0" w:color="auto"/>
              <w:left w:val="single" w:sz="4" w:space="0" w:color="auto"/>
              <w:bottom w:val="single" w:sz="4" w:space="0" w:color="auto"/>
              <w:right w:val="nil"/>
            </w:tcBorders>
            <w:shd w:val="clear" w:color="auto" w:fill="92CDDC"/>
            <w:noWrap/>
            <w:vAlign w:val="center"/>
            <w:hideMark/>
          </w:tcPr>
          <w:p w14:paraId="70C8BD51" w14:textId="77777777" w:rsidR="006501A4" w:rsidRPr="00507FF6" w:rsidRDefault="006501A4" w:rsidP="00546470">
            <w:pPr>
              <w:spacing w:after="0" w:line="240" w:lineRule="auto"/>
              <w:jc w:val="left"/>
              <w:rPr>
                <w:rFonts w:eastAsia="Times New Roman" w:cstheme="minorHAnsi"/>
                <w:b/>
                <w:bCs/>
                <w:color w:val="000000"/>
                <w:lang w:eastAsia="en-AU"/>
              </w:rPr>
            </w:pPr>
            <w:r w:rsidRPr="000A0480">
              <w:rPr>
                <w:rFonts w:eastAsia="Times New Roman" w:cstheme="minorHAnsi"/>
                <w:b/>
                <w:bCs/>
                <w:color w:val="000000"/>
                <w:lang w:eastAsia="en-AU"/>
              </w:rPr>
              <w:t xml:space="preserve">Target species </w:t>
            </w:r>
            <w:r>
              <w:rPr>
                <w:rFonts w:eastAsia="Times New Roman" w:cstheme="minorHAnsi"/>
                <w:b/>
                <w:bCs/>
                <w:color w:val="000000"/>
                <w:lang w:eastAsia="en-AU"/>
              </w:rPr>
              <w:br/>
            </w:r>
            <w:r w:rsidRPr="000A0480">
              <w:rPr>
                <w:rFonts w:eastAsia="Times New Roman" w:cstheme="minorHAnsi"/>
                <w:b/>
                <w:bCs/>
                <w:color w:val="000000"/>
                <w:lang w:eastAsia="en-AU"/>
              </w:rPr>
              <w:t>and assay</w:t>
            </w:r>
          </w:p>
        </w:tc>
        <w:tc>
          <w:tcPr>
            <w:tcW w:w="1842" w:type="dxa"/>
            <w:tcBorders>
              <w:top w:val="single" w:sz="4" w:space="0" w:color="auto"/>
              <w:left w:val="nil"/>
              <w:bottom w:val="single" w:sz="4" w:space="0" w:color="auto"/>
              <w:right w:val="nil"/>
            </w:tcBorders>
            <w:shd w:val="clear" w:color="auto" w:fill="92CDDC"/>
            <w:noWrap/>
            <w:vAlign w:val="center"/>
            <w:hideMark/>
          </w:tcPr>
          <w:p w14:paraId="6013C50F" w14:textId="77777777" w:rsidR="006501A4" w:rsidRPr="00507FF6" w:rsidRDefault="006501A4" w:rsidP="00546470">
            <w:pPr>
              <w:spacing w:after="0" w:line="240" w:lineRule="auto"/>
              <w:jc w:val="left"/>
              <w:rPr>
                <w:rFonts w:eastAsia="Times New Roman" w:cstheme="minorHAnsi"/>
                <w:b/>
                <w:bCs/>
                <w:color w:val="000000"/>
                <w:lang w:eastAsia="en-AU"/>
              </w:rPr>
            </w:pPr>
            <w:r w:rsidRPr="000A0480">
              <w:rPr>
                <w:rFonts w:eastAsia="Times New Roman" w:cstheme="minorHAnsi"/>
                <w:b/>
                <w:bCs/>
                <w:color w:val="000000"/>
                <w:lang w:eastAsia="en-AU"/>
              </w:rPr>
              <w:t>Sensitivity</w:t>
            </w:r>
          </w:p>
        </w:tc>
        <w:tc>
          <w:tcPr>
            <w:tcW w:w="1560" w:type="dxa"/>
            <w:tcBorders>
              <w:top w:val="single" w:sz="4" w:space="0" w:color="auto"/>
              <w:left w:val="nil"/>
              <w:bottom w:val="single" w:sz="4" w:space="0" w:color="auto"/>
              <w:right w:val="nil"/>
            </w:tcBorders>
            <w:shd w:val="clear" w:color="auto" w:fill="92CDDC"/>
            <w:noWrap/>
            <w:vAlign w:val="center"/>
          </w:tcPr>
          <w:p w14:paraId="717BBB5F" w14:textId="77777777" w:rsidR="006501A4" w:rsidRPr="00507FF6" w:rsidRDefault="006501A4" w:rsidP="00546470">
            <w:pPr>
              <w:spacing w:after="0" w:line="240" w:lineRule="auto"/>
              <w:jc w:val="left"/>
              <w:rPr>
                <w:rFonts w:eastAsia="Times New Roman" w:cstheme="minorHAnsi"/>
                <w:b/>
                <w:bCs/>
                <w:color w:val="000000"/>
                <w:lang w:eastAsia="en-AU"/>
              </w:rPr>
            </w:pPr>
          </w:p>
        </w:tc>
        <w:tc>
          <w:tcPr>
            <w:tcW w:w="1984" w:type="dxa"/>
            <w:tcBorders>
              <w:top w:val="single" w:sz="4" w:space="0" w:color="auto"/>
              <w:left w:val="nil"/>
              <w:bottom w:val="single" w:sz="4" w:space="0" w:color="auto"/>
              <w:right w:val="nil"/>
            </w:tcBorders>
            <w:shd w:val="clear" w:color="auto" w:fill="92CDDC"/>
            <w:vAlign w:val="center"/>
          </w:tcPr>
          <w:p w14:paraId="32D00D12" w14:textId="77777777" w:rsidR="006501A4" w:rsidRPr="000A0480" w:rsidRDefault="006501A4" w:rsidP="00546470">
            <w:pPr>
              <w:spacing w:after="0" w:line="240" w:lineRule="auto"/>
              <w:jc w:val="left"/>
              <w:rPr>
                <w:rFonts w:eastAsia="Times New Roman" w:cstheme="minorHAnsi"/>
                <w:b/>
                <w:bCs/>
                <w:color w:val="000000"/>
                <w:lang w:eastAsia="en-AU"/>
              </w:rPr>
            </w:pPr>
            <w:r w:rsidRPr="000A0480">
              <w:rPr>
                <w:rFonts w:eastAsia="Times New Roman" w:cstheme="minorHAnsi"/>
                <w:b/>
                <w:bCs/>
                <w:color w:val="000000"/>
                <w:lang w:eastAsia="en-AU"/>
              </w:rPr>
              <w:t>Limit of detection</w:t>
            </w:r>
          </w:p>
        </w:tc>
        <w:tc>
          <w:tcPr>
            <w:tcW w:w="1702" w:type="dxa"/>
            <w:tcBorders>
              <w:top w:val="single" w:sz="4" w:space="0" w:color="auto"/>
              <w:left w:val="nil"/>
              <w:bottom w:val="single" w:sz="4" w:space="0" w:color="auto"/>
              <w:right w:val="single" w:sz="4" w:space="0" w:color="auto"/>
            </w:tcBorders>
            <w:shd w:val="clear" w:color="auto" w:fill="92CDDC"/>
            <w:noWrap/>
            <w:vAlign w:val="center"/>
            <w:hideMark/>
          </w:tcPr>
          <w:p w14:paraId="72923232" w14:textId="77777777" w:rsidR="006501A4" w:rsidRPr="00507FF6" w:rsidRDefault="006501A4" w:rsidP="00546470">
            <w:pPr>
              <w:spacing w:after="0" w:line="240" w:lineRule="auto"/>
              <w:jc w:val="left"/>
              <w:rPr>
                <w:rFonts w:eastAsia="Times New Roman" w:cstheme="minorHAnsi"/>
                <w:b/>
                <w:bCs/>
                <w:color w:val="000000"/>
                <w:lang w:eastAsia="en-AU"/>
              </w:rPr>
            </w:pPr>
            <w:r w:rsidRPr="000A0480">
              <w:rPr>
                <w:rFonts w:eastAsia="Times New Roman" w:cstheme="minorHAnsi"/>
                <w:b/>
                <w:bCs/>
                <w:color w:val="000000"/>
                <w:lang w:eastAsia="en-AU"/>
              </w:rPr>
              <w:t>Annealing temp</w:t>
            </w:r>
          </w:p>
        </w:tc>
      </w:tr>
      <w:tr w:rsidR="006501A4" w:rsidRPr="000A0480" w14:paraId="24993E3B" w14:textId="77777777" w:rsidTr="0095397F">
        <w:trPr>
          <w:trHeight w:val="300"/>
        </w:trPr>
        <w:tc>
          <w:tcPr>
            <w:tcW w:w="2489" w:type="dxa"/>
            <w:tcBorders>
              <w:top w:val="single" w:sz="4" w:space="0" w:color="auto"/>
              <w:left w:val="single" w:sz="4" w:space="0" w:color="auto"/>
              <w:bottom w:val="nil"/>
              <w:right w:val="nil"/>
            </w:tcBorders>
            <w:noWrap/>
            <w:vAlign w:val="center"/>
            <w:hideMark/>
          </w:tcPr>
          <w:p w14:paraId="29DABF2D" w14:textId="77777777" w:rsidR="006501A4" w:rsidRPr="002273FC" w:rsidRDefault="006501A4" w:rsidP="00546470">
            <w:pPr>
              <w:spacing w:after="0" w:line="240" w:lineRule="auto"/>
              <w:jc w:val="left"/>
              <w:rPr>
                <w:rFonts w:eastAsia="Times New Roman" w:cstheme="minorHAnsi"/>
                <w:iCs/>
                <w:color w:val="000000"/>
                <w:lang w:eastAsia="en-AU"/>
              </w:rPr>
            </w:pPr>
            <w:r w:rsidRPr="002273FC">
              <w:rPr>
                <w:rFonts w:eastAsia="Times New Roman" w:cstheme="minorHAnsi"/>
                <w:iCs/>
                <w:color w:val="000000"/>
                <w:lang w:eastAsia="en-AU"/>
              </w:rPr>
              <w:t>Murray cod</w:t>
            </w:r>
          </w:p>
        </w:tc>
        <w:tc>
          <w:tcPr>
            <w:tcW w:w="1842" w:type="dxa"/>
            <w:tcBorders>
              <w:top w:val="single" w:sz="4" w:space="0" w:color="auto"/>
              <w:left w:val="nil"/>
              <w:bottom w:val="nil"/>
              <w:right w:val="nil"/>
            </w:tcBorders>
            <w:noWrap/>
            <w:vAlign w:val="center"/>
          </w:tcPr>
          <w:p w14:paraId="47E4EA67"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bottom w:val="nil"/>
              <w:right w:val="nil"/>
            </w:tcBorders>
            <w:noWrap/>
            <w:vAlign w:val="center"/>
          </w:tcPr>
          <w:p w14:paraId="34014F14" w14:textId="77777777" w:rsidR="006501A4" w:rsidRPr="000A0480" w:rsidRDefault="006501A4" w:rsidP="00546470">
            <w:pPr>
              <w:spacing w:after="0" w:line="240" w:lineRule="auto"/>
              <w:jc w:val="left"/>
              <w:rPr>
                <w:rFonts w:cstheme="minorHAnsi"/>
              </w:rPr>
            </w:pPr>
            <w:r w:rsidRPr="000A0480">
              <w:rPr>
                <w:rFonts w:cstheme="minorHAnsi"/>
              </w:rPr>
              <w:t>96.69</w:t>
            </w:r>
          </w:p>
        </w:tc>
        <w:tc>
          <w:tcPr>
            <w:tcW w:w="1984" w:type="dxa"/>
            <w:tcBorders>
              <w:top w:val="single" w:sz="4" w:space="0" w:color="auto"/>
              <w:left w:val="nil"/>
              <w:bottom w:val="nil"/>
              <w:right w:val="nil"/>
            </w:tcBorders>
            <w:vAlign w:val="center"/>
          </w:tcPr>
          <w:p w14:paraId="31438E0E"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2 copies / µL</w:t>
            </w:r>
          </w:p>
        </w:tc>
        <w:tc>
          <w:tcPr>
            <w:tcW w:w="1702" w:type="dxa"/>
            <w:tcBorders>
              <w:top w:val="single" w:sz="4" w:space="0" w:color="auto"/>
              <w:left w:val="nil"/>
              <w:bottom w:val="nil"/>
              <w:right w:val="single" w:sz="4" w:space="0" w:color="auto"/>
            </w:tcBorders>
            <w:noWrap/>
            <w:vAlign w:val="center"/>
          </w:tcPr>
          <w:p w14:paraId="07AD761F" w14:textId="77777777" w:rsidR="006501A4" w:rsidRPr="00507FF6"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59 °C</w:t>
            </w:r>
          </w:p>
        </w:tc>
      </w:tr>
      <w:tr w:rsidR="006501A4" w:rsidRPr="000A0480" w14:paraId="5B8F0026" w14:textId="77777777" w:rsidTr="0095397F">
        <w:trPr>
          <w:trHeight w:val="300"/>
        </w:trPr>
        <w:tc>
          <w:tcPr>
            <w:tcW w:w="2489" w:type="dxa"/>
            <w:tcBorders>
              <w:top w:val="nil"/>
              <w:left w:val="single" w:sz="4" w:space="0" w:color="auto"/>
              <w:right w:val="nil"/>
            </w:tcBorders>
            <w:noWrap/>
            <w:vAlign w:val="center"/>
            <w:hideMark/>
          </w:tcPr>
          <w:p w14:paraId="25F53567" w14:textId="77777777" w:rsidR="006501A4" w:rsidRPr="00507FF6" w:rsidRDefault="006501A4" w:rsidP="00546470">
            <w:pPr>
              <w:spacing w:after="0" w:line="240" w:lineRule="auto"/>
              <w:jc w:val="left"/>
              <w:rPr>
                <w:rFonts w:eastAsia="Times New Roman" w:cstheme="minorHAnsi"/>
                <w:i/>
                <w:color w:val="000000"/>
                <w:lang w:eastAsia="en-AU"/>
              </w:rPr>
            </w:pPr>
            <w:r w:rsidRPr="000A0480">
              <w:rPr>
                <w:rFonts w:eastAsia="Times New Roman" w:cstheme="minorHAnsi"/>
                <w:color w:val="000000"/>
                <w:lang w:eastAsia="en-AU"/>
              </w:rPr>
              <w:t>M.pee_12S</w:t>
            </w:r>
            <w:r>
              <w:rPr>
                <w:rFonts w:eastAsia="Times New Roman" w:cstheme="minorHAnsi"/>
                <w:color w:val="000000"/>
                <w:lang w:eastAsia="en-AU"/>
              </w:rPr>
              <w:t>_assay</w:t>
            </w:r>
          </w:p>
        </w:tc>
        <w:tc>
          <w:tcPr>
            <w:tcW w:w="1842" w:type="dxa"/>
            <w:tcBorders>
              <w:top w:val="nil"/>
              <w:left w:val="nil"/>
              <w:bottom w:val="nil"/>
              <w:right w:val="nil"/>
            </w:tcBorders>
            <w:noWrap/>
            <w:vAlign w:val="center"/>
          </w:tcPr>
          <w:p w14:paraId="4B0E6D56"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bottom w:val="nil"/>
              <w:right w:val="nil"/>
            </w:tcBorders>
            <w:noWrap/>
            <w:vAlign w:val="center"/>
          </w:tcPr>
          <w:p w14:paraId="03854992" w14:textId="77777777" w:rsidR="006501A4" w:rsidRPr="000A0480" w:rsidRDefault="006501A4" w:rsidP="00546470">
            <w:pPr>
              <w:spacing w:after="0" w:line="240" w:lineRule="auto"/>
              <w:jc w:val="left"/>
              <w:rPr>
                <w:rFonts w:cstheme="minorHAnsi"/>
              </w:rPr>
            </w:pPr>
            <w:r w:rsidRPr="000A0480">
              <w:rPr>
                <w:rFonts w:cstheme="minorHAnsi"/>
              </w:rPr>
              <w:t>0.998</w:t>
            </w:r>
          </w:p>
        </w:tc>
        <w:tc>
          <w:tcPr>
            <w:tcW w:w="1984" w:type="dxa"/>
            <w:tcBorders>
              <w:top w:val="nil"/>
              <w:left w:val="nil"/>
              <w:right w:val="nil"/>
            </w:tcBorders>
            <w:vAlign w:val="center"/>
          </w:tcPr>
          <w:p w14:paraId="2B642AE6"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right w:val="single" w:sz="4" w:space="0" w:color="auto"/>
            </w:tcBorders>
            <w:noWrap/>
            <w:vAlign w:val="center"/>
          </w:tcPr>
          <w:p w14:paraId="3CCE909F" w14:textId="77777777" w:rsidR="006501A4" w:rsidRPr="00507FF6" w:rsidRDefault="006501A4" w:rsidP="00546470">
            <w:pPr>
              <w:spacing w:after="0" w:line="240" w:lineRule="auto"/>
              <w:jc w:val="left"/>
              <w:rPr>
                <w:rFonts w:eastAsia="Times New Roman" w:cstheme="minorHAnsi"/>
                <w:color w:val="000000"/>
                <w:lang w:eastAsia="en-AU"/>
              </w:rPr>
            </w:pPr>
          </w:p>
        </w:tc>
      </w:tr>
      <w:tr w:rsidR="006501A4" w:rsidRPr="000A0480" w14:paraId="1C9A718A" w14:textId="77777777" w:rsidTr="0095397F">
        <w:trPr>
          <w:trHeight w:val="300"/>
        </w:trPr>
        <w:tc>
          <w:tcPr>
            <w:tcW w:w="2489" w:type="dxa"/>
            <w:tcBorders>
              <w:top w:val="single" w:sz="4" w:space="0" w:color="auto"/>
              <w:left w:val="single" w:sz="4" w:space="0" w:color="auto"/>
              <w:bottom w:val="nil"/>
              <w:right w:val="nil"/>
            </w:tcBorders>
            <w:noWrap/>
            <w:vAlign w:val="center"/>
            <w:hideMark/>
          </w:tcPr>
          <w:p w14:paraId="18058A39" w14:textId="77777777" w:rsidR="006501A4" w:rsidRPr="002273FC" w:rsidRDefault="006501A4" w:rsidP="00546470">
            <w:pPr>
              <w:spacing w:after="0" w:line="240" w:lineRule="auto"/>
              <w:jc w:val="left"/>
              <w:rPr>
                <w:rFonts w:cstheme="minorHAnsi"/>
                <w:iCs/>
              </w:rPr>
            </w:pPr>
            <w:r w:rsidRPr="002273FC">
              <w:rPr>
                <w:rFonts w:cstheme="minorHAnsi"/>
                <w:iCs/>
              </w:rPr>
              <w:t>Trout cod</w:t>
            </w:r>
          </w:p>
        </w:tc>
        <w:tc>
          <w:tcPr>
            <w:tcW w:w="1842" w:type="dxa"/>
            <w:tcBorders>
              <w:top w:val="single" w:sz="4" w:space="0" w:color="auto"/>
              <w:left w:val="nil"/>
              <w:bottom w:val="nil"/>
              <w:right w:val="nil"/>
            </w:tcBorders>
            <w:noWrap/>
            <w:vAlign w:val="center"/>
          </w:tcPr>
          <w:p w14:paraId="27946D12"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bottom w:val="nil"/>
              <w:right w:val="nil"/>
            </w:tcBorders>
            <w:noWrap/>
            <w:vAlign w:val="center"/>
          </w:tcPr>
          <w:p w14:paraId="04292682" w14:textId="77777777" w:rsidR="006501A4" w:rsidRPr="00507FF6"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96.85</w:t>
            </w:r>
          </w:p>
        </w:tc>
        <w:tc>
          <w:tcPr>
            <w:tcW w:w="1984" w:type="dxa"/>
            <w:tcBorders>
              <w:top w:val="single" w:sz="4" w:space="0" w:color="auto"/>
              <w:left w:val="nil"/>
              <w:bottom w:val="nil"/>
              <w:right w:val="nil"/>
            </w:tcBorders>
            <w:vAlign w:val="center"/>
          </w:tcPr>
          <w:p w14:paraId="39B6E9F9"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10 copies / µL</w:t>
            </w:r>
          </w:p>
        </w:tc>
        <w:tc>
          <w:tcPr>
            <w:tcW w:w="1702" w:type="dxa"/>
            <w:tcBorders>
              <w:top w:val="single" w:sz="4" w:space="0" w:color="auto"/>
              <w:left w:val="nil"/>
              <w:bottom w:val="nil"/>
              <w:right w:val="single" w:sz="4" w:space="0" w:color="auto"/>
            </w:tcBorders>
            <w:noWrap/>
            <w:vAlign w:val="center"/>
          </w:tcPr>
          <w:p w14:paraId="393AB765" w14:textId="77777777" w:rsidR="006501A4" w:rsidRPr="00507FF6"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57 °C</w:t>
            </w:r>
          </w:p>
        </w:tc>
      </w:tr>
      <w:tr w:rsidR="006501A4" w:rsidRPr="000A0480" w14:paraId="7E7F785F" w14:textId="77777777" w:rsidTr="0095397F">
        <w:trPr>
          <w:trHeight w:val="300"/>
        </w:trPr>
        <w:tc>
          <w:tcPr>
            <w:tcW w:w="2489" w:type="dxa"/>
            <w:tcBorders>
              <w:top w:val="nil"/>
              <w:left w:val="single" w:sz="4" w:space="0" w:color="auto"/>
              <w:right w:val="nil"/>
            </w:tcBorders>
            <w:noWrap/>
            <w:vAlign w:val="center"/>
            <w:hideMark/>
          </w:tcPr>
          <w:p w14:paraId="6C02786C" w14:textId="77777777" w:rsidR="006501A4" w:rsidRPr="00507FF6" w:rsidRDefault="006501A4" w:rsidP="00546470">
            <w:pPr>
              <w:spacing w:after="0" w:line="240" w:lineRule="auto"/>
              <w:jc w:val="left"/>
              <w:rPr>
                <w:rFonts w:eastAsia="Times New Roman" w:cstheme="minorHAnsi"/>
                <w:i/>
                <w:color w:val="000000"/>
                <w:lang w:eastAsia="en-AU"/>
              </w:rPr>
            </w:pPr>
            <w:r>
              <w:rPr>
                <w:rFonts w:cstheme="minorHAnsi"/>
              </w:rPr>
              <w:t>M.mac_12S_assay</w:t>
            </w:r>
          </w:p>
        </w:tc>
        <w:tc>
          <w:tcPr>
            <w:tcW w:w="1842" w:type="dxa"/>
            <w:tcBorders>
              <w:top w:val="nil"/>
              <w:left w:val="nil"/>
              <w:bottom w:val="nil"/>
              <w:right w:val="nil"/>
            </w:tcBorders>
            <w:noWrap/>
            <w:vAlign w:val="center"/>
          </w:tcPr>
          <w:p w14:paraId="35D2B767"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right w:val="nil"/>
            </w:tcBorders>
            <w:noWrap/>
            <w:vAlign w:val="center"/>
          </w:tcPr>
          <w:p w14:paraId="6FD2C11B" w14:textId="77777777" w:rsidR="006501A4" w:rsidRPr="00507FF6"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1.000</w:t>
            </w:r>
          </w:p>
        </w:tc>
        <w:tc>
          <w:tcPr>
            <w:tcW w:w="1984" w:type="dxa"/>
            <w:tcBorders>
              <w:top w:val="nil"/>
              <w:left w:val="nil"/>
              <w:right w:val="nil"/>
            </w:tcBorders>
            <w:vAlign w:val="center"/>
          </w:tcPr>
          <w:p w14:paraId="03472F16"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right w:val="single" w:sz="4" w:space="0" w:color="auto"/>
            </w:tcBorders>
            <w:noWrap/>
            <w:vAlign w:val="center"/>
          </w:tcPr>
          <w:p w14:paraId="5CE5FF49" w14:textId="77777777" w:rsidR="006501A4" w:rsidRPr="00507FF6" w:rsidRDefault="006501A4" w:rsidP="00546470">
            <w:pPr>
              <w:spacing w:after="0" w:line="240" w:lineRule="auto"/>
              <w:jc w:val="left"/>
              <w:rPr>
                <w:rFonts w:eastAsia="Times New Roman" w:cstheme="minorHAnsi"/>
                <w:color w:val="000000"/>
                <w:lang w:eastAsia="en-AU"/>
              </w:rPr>
            </w:pPr>
          </w:p>
        </w:tc>
      </w:tr>
      <w:tr w:rsidR="006501A4" w:rsidRPr="000A0480" w14:paraId="210DA32E" w14:textId="77777777" w:rsidTr="0095397F">
        <w:trPr>
          <w:trHeight w:val="300"/>
        </w:trPr>
        <w:tc>
          <w:tcPr>
            <w:tcW w:w="2489" w:type="dxa"/>
            <w:tcBorders>
              <w:top w:val="single" w:sz="4" w:space="0" w:color="auto"/>
              <w:left w:val="single" w:sz="4" w:space="0" w:color="auto"/>
              <w:bottom w:val="nil"/>
              <w:right w:val="nil"/>
            </w:tcBorders>
            <w:noWrap/>
            <w:vAlign w:val="center"/>
            <w:hideMark/>
          </w:tcPr>
          <w:p w14:paraId="7B39D815" w14:textId="77777777" w:rsidR="006501A4" w:rsidRPr="002273FC" w:rsidRDefault="006501A4" w:rsidP="00546470">
            <w:pPr>
              <w:spacing w:after="0" w:line="240" w:lineRule="auto"/>
              <w:jc w:val="left"/>
              <w:rPr>
                <w:rFonts w:cstheme="minorHAnsi"/>
                <w:iCs/>
              </w:rPr>
            </w:pPr>
            <w:r w:rsidRPr="002273FC">
              <w:rPr>
                <w:rFonts w:cstheme="minorHAnsi"/>
                <w:iCs/>
              </w:rPr>
              <w:t>Silver perch</w:t>
            </w:r>
          </w:p>
        </w:tc>
        <w:tc>
          <w:tcPr>
            <w:tcW w:w="1842" w:type="dxa"/>
            <w:tcBorders>
              <w:top w:val="single" w:sz="4" w:space="0" w:color="auto"/>
              <w:left w:val="nil"/>
              <w:bottom w:val="nil"/>
              <w:right w:val="nil"/>
            </w:tcBorders>
            <w:noWrap/>
            <w:vAlign w:val="center"/>
          </w:tcPr>
          <w:p w14:paraId="75239C54"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bottom w:val="nil"/>
              <w:right w:val="nil"/>
            </w:tcBorders>
            <w:noWrap/>
            <w:vAlign w:val="center"/>
          </w:tcPr>
          <w:p w14:paraId="723148B6" w14:textId="77777777" w:rsidR="006501A4" w:rsidRPr="000A0480" w:rsidRDefault="006501A4" w:rsidP="00546470">
            <w:pPr>
              <w:spacing w:after="0" w:line="240" w:lineRule="auto"/>
              <w:jc w:val="left"/>
              <w:rPr>
                <w:rFonts w:cstheme="minorHAnsi"/>
              </w:rPr>
            </w:pPr>
            <w:r w:rsidRPr="000A0480">
              <w:rPr>
                <w:rFonts w:cstheme="minorHAnsi"/>
              </w:rPr>
              <w:t>97.22</w:t>
            </w:r>
          </w:p>
        </w:tc>
        <w:tc>
          <w:tcPr>
            <w:tcW w:w="1984" w:type="dxa"/>
            <w:tcBorders>
              <w:top w:val="single" w:sz="4" w:space="0" w:color="auto"/>
              <w:left w:val="nil"/>
              <w:bottom w:val="nil"/>
              <w:right w:val="nil"/>
            </w:tcBorders>
            <w:vAlign w:val="center"/>
          </w:tcPr>
          <w:p w14:paraId="67BF543E"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10 copies / µL</w:t>
            </w:r>
          </w:p>
        </w:tc>
        <w:tc>
          <w:tcPr>
            <w:tcW w:w="1702" w:type="dxa"/>
            <w:tcBorders>
              <w:top w:val="single" w:sz="4" w:space="0" w:color="auto"/>
              <w:left w:val="nil"/>
              <w:bottom w:val="nil"/>
              <w:right w:val="single" w:sz="4" w:space="0" w:color="auto"/>
            </w:tcBorders>
            <w:noWrap/>
            <w:vAlign w:val="center"/>
          </w:tcPr>
          <w:p w14:paraId="320FBE8B" w14:textId="77777777" w:rsidR="006501A4" w:rsidRPr="00507FF6"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57 °C</w:t>
            </w:r>
          </w:p>
        </w:tc>
      </w:tr>
      <w:tr w:rsidR="006501A4" w:rsidRPr="000A0480" w14:paraId="16140B51" w14:textId="77777777" w:rsidTr="0095397F">
        <w:trPr>
          <w:trHeight w:val="300"/>
        </w:trPr>
        <w:tc>
          <w:tcPr>
            <w:tcW w:w="2489" w:type="dxa"/>
            <w:tcBorders>
              <w:top w:val="nil"/>
              <w:left w:val="single" w:sz="4" w:space="0" w:color="auto"/>
              <w:right w:val="nil"/>
            </w:tcBorders>
            <w:noWrap/>
            <w:vAlign w:val="center"/>
            <w:hideMark/>
          </w:tcPr>
          <w:p w14:paraId="2339D688" w14:textId="77777777" w:rsidR="006501A4" w:rsidRPr="00507FF6" w:rsidRDefault="006501A4" w:rsidP="00546470">
            <w:pPr>
              <w:spacing w:after="0" w:line="240" w:lineRule="auto"/>
              <w:jc w:val="left"/>
              <w:rPr>
                <w:rFonts w:eastAsia="Times New Roman" w:cstheme="minorHAnsi"/>
                <w:i/>
                <w:color w:val="000000"/>
                <w:lang w:eastAsia="en-AU"/>
              </w:rPr>
            </w:pPr>
            <w:r>
              <w:rPr>
                <w:rFonts w:cstheme="minorHAnsi"/>
              </w:rPr>
              <w:t>B.bid_12S_assay</w:t>
            </w:r>
          </w:p>
        </w:tc>
        <w:tc>
          <w:tcPr>
            <w:tcW w:w="1842" w:type="dxa"/>
            <w:tcBorders>
              <w:top w:val="nil"/>
              <w:left w:val="nil"/>
              <w:bottom w:val="nil"/>
              <w:right w:val="nil"/>
            </w:tcBorders>
            <w:noWrap/>
            <w:vAlign w:val="center"/>
          </w:tcPr>
          <w:p w14:paraId="7CE7E96F"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bottom w:val="nil"/>
              <w:right w:val="nil"/>
            </w:tcBorders>
            <w:noWrap/>
            <w:vAlign w:val="center"/>
          </w:tcPr>
          <w:p w14:paraId="67F332D8" w14:textId="77777777" w:rsidR="006501A4" w:rsidRPr="000A0480" w:rsidRDefault="006501A4" w:rsidP="00546470">
            <w:pPr>
              <w:spacing w:after="0" w:line="240" w:lineRule="auto"/>
              <w:jc w:val="left"/>
              <w:rPr>
                <w:rFonts w:cstheme="minorHAnsi"/>
              </w:rPr>
            </w:pPr>
            <w:r w:rsidRPr="000A0480">
              <w:rPr>
                <w:rFonts w:cstheme="minorHAnsi"/>
              </w:rPr>
              <w:t>1.000</w:t>
            </w:r>
          </w:p>
        </w:tc>
        <w:tc>
          <w:tcPr>
            <w:tcW w:w="1984" w:type="dxa"/>
            <w:tcBorders>
              <w:top w:val="nil"/>
              <w:left w:val="nil"/>
              <w:right w:val="nil"/>
            </w:tcBorders>
            <w:vAlign w:val="center"/>
          </w:tcPr>
          <w:p w14:paraId="77F27B7B"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right w:val="single" w:sz="4" w:space="0" w:color="auto"/>
            </w:tcBorders>
            <w:noWrap/>
            <w:vAlign w:val="center"/>
          </w:tcPr>
          <w:p w14:paraId="2C7816EB" w14:textId="77777777" w:rsidR="006501A4" w:rsidRPr="00507FF6" w:rsidRDefault="006501A4" w:rsidP="00546470">
            <w:pPr>
              <w:spacing w:after="0" w:line="240" w:lineRule="auto"/>
              <w:jc w:val="left"/>
              <w:rPr>
                <w:rFonts w:eastAsia="Times New Roman" w:cstheme="minorHAnsi"/>
                <w:color w:val="000000"/>
                <w:lang w:eastAsia="en-AU"/>
              </w:rPr>
            </w:pPr>
          </w:p>
        </w:tc>
      </w:tr>
      <w:tr w:rsidR="006501A4" w:rsidRPr="000A0480" w14:paraId="0EFB5CA4" w14:textId="77777777" w:rsidTr="0095397F">
        <w:trPr>
          <w:trHeight w:val="300"/>
        </w:trPr>
        <w:tc>
          <w:tcPr>
            <w:tcW w:w="2489" w:type="dxa"/>
            <w:tcBorders>
              <w:top w:val="single" w:sz="4" w:space="0" w:color="auto"/>
              <w:left w:val="single" w:sz="4" w:space="0" w:color="auto"/>
              <w:right w:val="nil"/>
            </w:tcBorders>
            <w:noWrap/>
            <w:vAlign w:val="center"/>
          </w:tcPr>
          <w:p w14:paraId="1A02E304" w14:textId="77777777" w:rsidR="006501A4" w:rsidRPr="002273FC" w:rsidRDefault="006501A4" w:rsidP="00546470">
            <w:pPr>
              <w:spacing w:after="0" w:line="240" w:lineRule="auto"/>
              <w:jc w:val="left"/>
              <w:rPr>
                <w:rFonts w:cstheme="minorHAnsi"/>
                <w:iCs/>
              </w:rPr>
            </w:pPr>
            <w:r w:rsidRPr="002273FC">
              <w:rPr>
                <w:rFonts w:cstheme="minorHAnsi"/>
                <w:iCs/>
              </w:rPr>
              <w:t>Freshwater catfish</w:t>
            </w:r>
          </w:p>
        </w:tc>
        <w:tc>
          <w:tcPr>
            <w:tcW w:w="1842" w:type="dxa"/>
            <w:tcBorders>
              <w:top w:val="single" w:sz="4" w:space="0" w:color="auto"/>
              <w:left w:val="nil"/>
              <w:bottom w:val="nil"/>
              <w:right w:val="nil"/>
            </w:tcBorders>
            <w:noWrap/>
            <w:vAlign w:val="center"/>
          </w:tcPr>
          <w:p w14:paraId="7BCBD9F4"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bottom w:val="nil"/>
              <w:right w:val="nil"/>
            </w:tcBorders>
            <w:noWrap/>
            <w:vAlign w:val="center"/>
          </w:tcPr>
          <w:p w14:paraId="56756D1C" w14:textId="77777777" w:rsidR="006501A4" w:rsidRPr="000A0480" w:rsidRDefault="006501A4" w:rsidP="00546470">
            <w:pPr>
              <w:spacing w:after="0" w:line="240" w:lineRule="auto"/>
              <w:jc w:val="left"/>
              <w:rPr>
                <w:rFonts w:cstheme="minorHAnsi"/>
              </w:rPr>
            </w:pPr>
            <w:r w:rsidRPr="000A0480">
              <w:rPr>
                <w:rFonts w:cstheme="minorHAnsi"/>
              </w:rPr>
              <w:t>94.43</w:t>
            </w:r>
          </w:p>
        </w:tc>
        <w:tc>
          <w:tcPr>
            <w:tcW w:w="1984" w:type="dxa"/>
            <w:tcBorders>
              <w:top w:val="single" w:sz="4" w:space="0" w:color="auto"/>
              <w:left w:val="nil"/>
              <w:right w:val="nil"/>
            </w:tcBorders>
            <w:vAlign w:val="center"/>
          </w:tcPr>
          <w:p w14:paraId="71E7B498"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10 copies / µL</w:t>
            </w:r>
          </w:p>
        </w:tc>
        <w:tc>
          <w:tcPr>
            <w:tcW w:w="1702" w:type="dxa"/>
            <w:tcBorders>
              <w:top w:val="single" w:sz="4" w:space="0" w:color="auto"/>
              <w:left w:val="nil"/>
              <w:right w:val="single" w:sz="4" w:space="0" w:color="auto"/>
            </w:tcBorders>
            <w:noWrap/>
            <w:vAlign w:val="center"/>
          </w:tcPr>
          <w:p w14:paraId="61081ADC"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60 °C</w:t>
            </w:r>
          </w:p>
        </w:tc>
      </w:tr>
      <w:tr w:rsidR="006501A4" w:rsidRPr="000A0480" w14:paraId="00A34993" w14:textId="77777777" w:rsidTr="0095397F">
        <w:trPr>
          <w:trHeight w:val="300"/>
        </w:trPr>
        <w:tc>
          <w:tcPr>
            <w:tcW w:w="2489" w:type="dxa"/>
            <w:tcBorders>
              <w:top w:val="nil"/>
              <w:left w:val="single" w:sz="4" w:space="0" w:color="auto"/>
              <w:right w:val="nil"/>
            </w:tcBorders>
            <w:noWrap/>
            <w:vAlign w:val="center"/>
          </w:tcPr>
          <w:p w14:paraId="5C1DB693" w14:textId="77777777" w:rsidR="006501A4" w:rsidRPr="000A0480" w:rsidRDefault="006501A4" w:rsidP="00546470">
            <w:pPr>
              <w:spacing w:after="0" w:line="240" w:lineRule="auto"/>
              <w:jc w:val="left"/>
              <w:rPr>
                <w:rFonts w:eastAsia="Times New Roman" w:cstheme="minorHAnsi"/>
                <w:i/>
                <w:color w:val="000000"/>
                <w:lang w:eastAsia="en-AU"/>
              </w:rPr>
            </w:pPr>
            <w:r>
              <w:rPr>
                <w:rFonts w:cstheme="minorHAnsi"/>
              </w:rPr>
              <w:t>T.tan_12S_assay</w:t>
            </w:r>
          </w:p>
        </w:tc>
        <w:tc>
          <w:tcPr>
            <w:tcW w:w="1842" w:type="dxa"/>
            <w:tcBorders>
              <w:top w:val="nil"/>
              <w:left w:val="nil"/>
              <w:bottom w:val="nil"/>
              <w:right w:val="nil"/>
            </w:tcBorders>
            <w:noWrap/>
            <w:vAlign w:val="center"/>
          </w:tcPr>
          <w:p w14:paraId="7AF20BAD"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bottom w:val="nil"/>
              <w:right w:val="nil"/>
            </w:tcBorders>
            <w:noWrap/>
            <w:vAlign w:val="center"/>
          </w:tcPr>
          <w:p w14:paraId="32B6E9BA" w14:textId="77777777" w:rsidR="006501A4" w:rsidRPr="000A0480" w:rsidRDefault="006501A4" w:rsidP="00546470">
            <w:pPr>
              <w:spacing w:after="0" w:line="240" w:lineRule="auto"/>
              <w:jc w:val="left"/>
              <w:rPr>
                <w:rFonts w:cstheme="minorHAnsi"/>
              </w:rPr>
            </w:pPr>
            <w:r w:rsidRPr="000A0480">
              <w:rPr>
                <w:rFonts w:cstheme="minorHAnsi"/>
              </w:rPr>
              <w:t>1.000</w:t>
            </w:r>
          </w:p>
        </w:tc>
        <w:tc>
          <w:tcPr>
            <w:tcW w:w="1984" w:type="dxa"/>
            <w:tcBorders>
              <w:top w:val="nil"/>
              <w:left w:val="nil"/>
              <w:right w:val="nil"/>
            </w:tcBorders>
            <w:vAlign w:val="center"/>
          </w:tcPr>
          <w:p w14:paraId="2E316468"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right w:val="single" w:sz="4" w:space="0" w:color="auto"/>
            </w:tcBorders>
            <w:noWrap/>
            <w:vAlign w:val="center"/>
          </w:tcPr>
          <w:p w14:paraId="37E5A979" w14:textId="77777777" w:rsidR="006501A4" w:rsidRPr="000A0480" w:rsidRDefault="006501A4" w:rsidP="00546470">
            <w:pPr>
              <w:spacing w:after="0" w:line="240" w:lineRule="auto"/>
              <w:jc w:val="left"/>
              <w:rPr>
                <w:rFonts w:eastAsia="Times New Roman" w:cstheme="minorHAnsi"/>
                <w:color w:val="000000"/>
                <w:lang w:eastAsia="en-AU"/>
              </w:rPr>
            </w:pPr>
          </w:p>
        </w:tc>
      </w:tr>
      <w:tr w:rsidR="006501A4" w:rsidRPr="000A0480" w14:paraId="038C1380" w14:textId="77777777" w:rsidTr="0095397F">
        <w:trPr>
          <w:trHeight w:val="300"/>
        </w:trPr>
        <w:tc>
          <w:tcPr>
            <w:tcW w:w="2489" w:type="dxa"/>
            <w:tcBorders>
              <w:top w:val="single" w:sz="4" w:space="0" w:color="auto"/>
              <w:left w:val="single" w:sz="4" w:space="0" w:color="auto"/>
              <w:right w:val="nil"/>
            </w:tcBorders>
            <w:noWrap/>
            <w:vAlign w:val="center"/>
          </w:tcPr>
          <w:p w14:paraId="134A2BE0" w14:textId="77777777" w:rsidR="006501A4" w:rsidRPr="002273FC" w:rsidRDefault="006501A4" w:rsidP="00546470">
            <w:pPr>
              <w:spacing w:after="0" w:line="240" w:lineRule="auto"/>
              <w:jc w:val="left"/>
              <w:rPr>
                <w:rFonts w:cstheme="minorHAnsi"/>
                <w:iCs/>
              </w:rPr>
            </w:pPr>
            <w:r w:rsidRPr="002273FC">
              <w:rPr>
                <w:rFonts w:cstheme="minorHAnsi"/>
                <w:iCs/>
              </w:rPr>
              <w:t>Dwarf flathead gudgeon</w:t>
            </w:r>
          </w:p>
        </w:tc>
        <w:tc>
          <w:tcPr>
            <w:tcW w:w="1842" w:type="dxa"/>
            <w:tcBorders>
              <w:top w:val="single" w:sz="4" w:space="0" w:color="auto"/>
              <w:left w:val="nil"/>
              <w:bottom w:val="nil"/>
              <w:right w:val="nil"/>
            </w:tcBorders>
            <w:noWrap/>
            <w:vAlign w:val="center"/>
          </w:tcPr>
          <w:p w14:paraId="1F81EEF2"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bottom w:val="nil"/>
              <w:right w:val="nil"/>
            </w:tcBorders>
            <w:noWrap/>
            <w:vAlign w:val="center"/>
          </w:tcPr>
          <w:p w14:paraId="56B86C3A" w14:textId="77777777" w:rsidR="006501A4" w:rsidRPr="000A0480" w:rsidRDefault="006501A4" w:rsidP="00546470">
            <w:pPr>
              <w:spacing w:after="0" w:line="240" w:lineRule="auto"/>
              <w:jc w:val="left"/>
              <w:rPr>
                <w:rFonts w:cstheme="minorHAnsi"/>
              </w:rPr>
            </w:pPr>
            <w:r w:rsidRPr="000A0480">
              <w:rPr>
                <w:rFonts w:cstheme="minorHAnsi"/>
              </w:rPr>
              <w:t>96.69</w:t>
            </w:r>
          </w:p>
        </w:tc>
        <w:tc>
          <w:tcPr>
            <w:tcW w:w="1984" w:type="dxa"/>
            <w:tcBorders>
              <w:top w:val="single" w:sz="4" w:space="0" w:color="auto"/>
              <w:left w:val="nil"/>
              <w:right w:val="nil"/>
            </w:tcBorders>
            <w:vAlign w:val="center"/>
          </w:tcPr>
          <w:p w14:paraId="7C1CD900"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10 copies / µL</w:t>
            </w:r>
          </w:p>
        </w:tc>
        <w:tc>
          <w:tcPr>
            <w:tcW w:w="1702" w:type="dxa"/>
            <w:tcBorders>
              <w:top w:val="single" w:sz="4" w:space="0" w:color="auto"/>
              <w:left w:val="nil"/>
              <w:right w:val="single" w:sz="4" w:space="0" w:color="auto"/>
            </w:tcBorders>
            <w:noWrap/>
            <w:vAlign w:val="center"/>
          </w:tcPr>
          <w:p w14:paraId="79BDDB1E" w14:textId="77777777" w:rsidR="006501A4" w:rsidRPr="000A0480" w:rsidRDefault="006501A4" w:rsidP="00546470">
            <w:pPr>
              <w:spacing w:after="0" w:line="240" w:lineRule="auto"/>
              <w:jc w:val="left"/>
              <w:rPr>
                <w:rFonts w:eastAsia="Times New Roman" w:cstheme="minorHAnsi"/>
                <w:color w:val="000000"/>
                <w:lang w:eastAsia="en-AU"/>
              </w:rPr>
            </w:pPr>
            <w:r>
              <w:rPr>
                <w:rFonts w:eastAsia="Times New Roman" w:cstheme="minorHAnsi"/>
                <w:color w:val="000000"/>
                <w:lang w:eastAsia="en-AU"/>
              </w:rPr>
              <w:t>57 °C</w:t>
            </w:r>
          </w:p>
        </w:tc>
      </w:tr>
      <w:tr w:rsidR="006501A4" w:rsidRPr="000A0480" w14:paraId="41B3D6D0" w14:textId="77777777" w:rsidTr="0095397F">
        <w:trPr>
          <w:trHeight w:val="300"/>
        </w:trPr>
        <w:tc>
          <w:tcPr>
            <w:tcW w:w="2489" w:type="dxa"/>
            <w:tcBorders>
              <w:top w:val="nil"/>
              <w:left w:val="single" w:sz="4" w:space="0" w:color="auto"/>
              <w:right w:val="nil"/>
            </w:tcBorders>
            <w:noWrap/>
            <w:vAlign w:val="center"/>
          </w:tcPr>
          <w:p w14:paraId="2FD4C3E2" w14:textId="77777777" w:rsidR="006501A4" w:rsidRPr="000A0480" w:rsidRDefault="006501A4" w:rsidP="00546470">
            <w:pPr>
              <w:spacing w:after="0" w:line="240" w:lineRule="auto"/>
              <w:jc w:val="left"/>
              <w:rPr>
                <w:rFonts w:eastAsia="Times New Roman" w:cstheme="minorHAnsi"/>
                <w:i/>
                <w:color w:val="000000"/>
                <w:lang w:eastAsia="en-AU"/>
              </w:rPr>
            </w:pPr>
            <w:r>
              <w:rPr>
                <w:rFonts w:cstheme="minorHAnsi"/>
              </w:rPr>
              <w:t>P.mac_12S_assay</w:t>
            </w:r>
          </w:p>
        </w:tc>
        <w:tc>
          <w:tcPr>
            <w:tcW w:w="1842" w:type="dxa"/>
            <w:tcBorders>
              <w:top w:val="nil"/>
              <w:left w:val="nil"/>
              <w:bottom w:val="nil"/>
              <w:right w:val="nil"/>
            </w:tcBorders>
            <w:noWrap/>
            <w:vAlign w:val="center"/>
          </w:tcPr>
          <w:p w14:paraId="106B794A"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right w:val="nil"/>
            </w:tcBorders>
            <w:noWrap/>
            <w:vAlign w:val="center"/>
          </w:tcPr>
          <w:p w14:paraId="0618CA9A" w14:textId="77777777" w:rsidR="006501A4" w:rsidRPr="000A0480" w:rsidRDefault="006501A4" w:rsidP="00546470">
            <w:pPr>
              <w:spacing w:after="0" w:line="240" w:lineRule="auto"/>
              <w:jc w:val="left"/>
              <w:rPr>
                <w:rFonts w:eastAsia="Times New Roman" w:cstheme="minorHAnsi"/>
                <w:color w:val="000000"/>
                <w:lang w:eastAsia="en-AU"/>
              </w:rPr>
            </w:pPr>
            <w:r w:rsidRPr="000A0480">
              <w:rPr>
                <w:rFonts w:eastAsia="Times New Roman" w:cstheme="minorHAnsi"/>
                <w:color w:val="000000"/>
                <w:lang w:eastAsia="en-AU"/>
              </w:rPr>
              <w:t>0.999</w:t>
            </w:r>
          </w:p>
        </w:tc>
        <w:tc>
          <w:tcPr>
            <w:tcW w:w="1984" w:type="dxa"/>
            <w:tcBorders>
              <w:top w:val="nil"/>
              <w:left w:val="nil"/>
              <w:right w:val="nil"/>
            </w:tcBorders>
            <w:vAlign w:val="center"/>
          </w:tcPr>
          <w:p w14:paraId="00212AB3"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right w:val="single" w:sz="4" w:space="0" w:color="auto"/>
            </w:tcBorders>
            <w:noWrap/>
            <w:vAlign w:val="center"/>
          </w:tcPr>
          <w:p w14:paraId="136FC3B6" w14:textId="77777777" w:rsidR="006501A4" w:rsidRPr="000A0480" w:rsidRDefault="006501A4" w:rsidP="00546470">
            <w:pPr>
              <w:spacing w:after="0" w:line="240" w:lineRule="auto"/>
              <w:jc w:val="left"/>
              <w:rPr>
                <w:rFonts w:eastAsia="Times New Roman" w:cstheme="minorHAnsi"/>
                <w:color w:val="000000"/>
                <w:lang w:eastAsia="en-AU"/>
              </w:rPr>
            </w:pPr>
          </w:p>
        </w:tc>
      </w:tr>
      <w:tr w:rsidR="006501A4" w:rsidRPr="000A0480" w14:paraId="52D10710" w14:textId="77777777" w:rsidTr="0095397F">
        <w:trPr>
          <w:trHeight w:val="300"/>
        </w:trPr>
        <w:tc>
          <w:tcPr>
            <w:tcW w:w="2489" w:type="dxa"/>
            <w:tcBorders>
              <w:top w:val="single" w:sz="4" w:space="0" w:color="auto"/>
              <w:left w:val="single" w:sz="4" w:space="0" w:color="auto"/>
              <w:right w:val="nil"/>
            </w:tcBorders>
            <w:noWrap/>
            <w:vAlign w:val="center"/>
          </w:tcPr>
          <w:p w14:paraId="2B44CC87" w14:textId="77777777" w:rsidR="006501A4" w:rsidRPr="002273FC" w:rsidRDefault="006501A4" w:rsidP="00546470">
            <w:pPr>
              <w:spacing w:after="0" w:line="240" w:lineRule="auto"/>
              <w:jc w:val="left"/>
              <w:rPr>
                <w:rFonts w:cstheme="minorHAnsi"/>
                <w:iCs/>
              </w:rPr>
            </w:pPr>
            <w:r w:rsidRPr="002273FC">
              <w:rPr>
                <w:rFonts w:cstheme="minorHAnsi"/>
                <w:iCs/>
              </w:rPr>
              <w:t>Murray crayfish</w:t>
            </w:r>
          </w:p>
        </w:tc>
        <w:tc>
          <w:tcPr>
            <w:tcW w:w="1842" w:type="dxa"/>
            <w:tcBorders>
              <w:top w:val="single" w:sz="4" w:space="0" w:color="auto"/>
              <w:left w:val="nil"/>
              <w:right w:val="nil"/>
            </w:tcBorders>
            <w:noWrap/>
            <w:vAlign w:val="center"/>
          </w:tcPr>
          <w:p w14:paraId="0967105E" w14:textId="77777777" w:rsidR="006501A4" w:rsidRPr="000A0480" w:rsidRDefault="006501A4" w:rsidP="00546470">
            <w:pPr>
              <w:spacing w:after="0" w:line="240" w:lineRule="auto"/>
              <w:jc w:val="left"/>
              <w:rPr>
                <w:rFonts w:cstheme="minorHAnsi"/>
              </w:rPr>
            </w:pPr>
            <w:r w:rsidRPr="000A0480">
              <w:rPr>
                <w:rFonts w:cstheme="minorHAnsi"/>
              </w:rPr>
              <w:t>Efficiency (%)</w:t>
            </w:r>
          </w:p>
        </w:tc>
        <w:tc>
          <w:tcPr>
            <w:tcW w:w="1560" w:type="dxa"/>
            <w:tcBorders>
              <w:top w:val="single" w:sz="4" w:space="0" w:color="auto"/>
              <w:left w:val="nil"/>
              <w:right w:val="nil"/>
            </w:tcBorders>
            <w:noWrap/>
            <w:vAlign w:val="center"/>
          </w:tcPr>
          <w:p w14:paraId="51EB97E6" w14:textId="77777777" w:rsidR="006501A4" w:rsidRPr="000A0480" w:rsidRDefault="006501A4" w:rsidP="00546470">
            <w:pPr>
              <w:spacing w:after="0" w:line="240" w:lineRule="auto"/>
              <w:jc w:val="left"/>
              <w:rPr>
                <w:rFonts w:eastAsia="Times New Roman"/>
                <w:color w:val="000000"/>
                <w:lang w:eastAsia="en-AU"/>
              </w:rPr>
            </w:pPr>
            <w:r w:rsidRPr="07F48A3B">
              <w:rPr>
                <w:rFonts w:eastAsia="Times New Roman"/>
                <w:color w:val="000000" w:themeColor="text1"/>
                <w:lang w:eastAsia="en-AU"/>
              </w:rPr>
              <w:t>94.07</w:t>
            </w:r>
          </w:p>
        </w:tc>
        <w:tc>
          <w:tcPr>
            <w:tcW w:w="1984" w:type="dxa"/>
            <w:tcBorders>
              <w:top w:val="single" w:sz="4" w:space="0" w:color="auto"/>
              <w:left w:val="nil"/>
              <w:right w:val="nil"/>
            </w:tcBorders>
            <w:vAlign w:val="center"/>
          </w:tcPr>
          <w:p w14:paraId="562F43C5" w14:textId="77777777" w:rsidR="006501A4" w:rsidRPr="000A0480" w:rsidRDefault="006501A4" w:rsidP="00546470">
            <w:pPr>
              <w:spacing w:after="0" w:line="240" w:lineRule="auto"/>
              <w:jc w:val="left"/>
              <w:rPr>
                <w:rFonts w:eastAsia="Times New Roman"/>
                <w:color w:val="000000"/>
                <w:lang w:eastAsia="en-AU"/>
              </w:rPr>
            </w:pPr>
            <w:r w:rsidRPr="07F48A3B">
              <w:rPr>
                <w:rFonts w:eastAsia="Times New Roman"/>
                <w:color w:val="000000" w:themeColor="text1"/>
                <w:lang w:eastAsia="en-AU"/>
              </w:rPr>
              <w:t>10 copies / µL</w:t>
            </w:r>
          </w:p>
        </w:tc>
        <w:tc>
          <w:tcPr>
            <w:tcW w:w="1702" w:type="dxa"/>
            <w:tcBorders>
              <w:top w:val="single" w:sz="4" w:space="0" w:color="auto"/>
              <w:left w:val="nil"/>
              <w:right w:val="single" w:sz="4" w:space="0" w:color="auto"/>
            </w:tcBorders>
            <w:noWrap/>
            <w:vAlign w:val="center"/>
          </w:tcPr>
          <w:p w14:paraId="6E47C803" w14:textId="77777777" w:rsidR="006501A4" w:rsidRPr="000A0480" w:rsidRDefault="006501A4" w:rsidP="00546470">
            <w:pPr>
              <w:spacing w:after="0" w:line="240" w:lineRule="auto"/>
              <w:jc w:val="left"/>
              <w:rPr>
                <w:rFonts w:eastAsia="Times New Roman"/>
                <w:color w:val="000000"/>
                <w:lang w:eastAsia="en-AU"/>
              </w:rPr>
            </w:pPr>
            <w:r w:rsidRPr="07F48A3B">
              <w:rPr>
                <w:rFonts w:eastAsia="Times New Roman"/>
                <w:color w:val="000000" w:themeColor="text1"/>
                <w:lang w:eastAsia="en-AU"/>
              </w:rPr>
              <w:t>57 °C</w:t>
            </w:r>
          </w:p>
        </w:tc>
      </w:tr>
      <w:tr w:rsidR="006501A4" w:rsidRPr="000A0480" w14:paraId="12E63BDA" w14:textId="77777777" w:rsidTr="0095397F">
        <w:trPr>
          <w:trHeight w:val="300"/>
        </w:trPr>
        <w:tc>
          <w:tcPr>
            <w:tcW w:w="2489" w:type="dxa"/>
            <w:tcBorders>
              <w:top w:val="nil"/>
              <w:left w:val="single" w:sz="4" w:space="0" w:color="auto"/>
              <w:bottom w:val="single" w:sz="4" w:space="0" w:color="auto"/>
              <w:right w:val="nil"/>
            </w:tcBorders>
            <w:noWrap/>
            <w:vAlign w:val="center"/>
          </w:tcPr>
          <w:p w14:paraId="3808C0E9" w14:textId="77777777" w:rsidR="006501A4" w:rsidRPr="000A0480" w:rsidRDefault="006501A4" w:rsidP="00546470">
            <w:pPr>
              <w:spacing w:after="0" w:line="240" w:lineRule="auto"/>
              <w:jc w:val="left"/>
              <w:rPr>
                <w:rFonts w:eastAsia="Times New Roman" w:cstheme="minorHAnsi"/>
                <w:color w:val="000000"/>
                <w:lang w:eastAsia="en-AU"/>
              </w:rPr>
            </w:pPr>
            <w:r>
              <w:rPr>
                <w:rFonts w:cstheme="minorHAnsi"/>
              </w:rPr>
              <w:t>E.arm_12S_assay</w:t>
            </w:r>
          </w:p>
        </w:tc>
        <w:tc>
          <w:tcPr>
            <w:tcW w:w="1842" w:type="dxa"/>
            <w:tcBorders>
              <w:top w:val="nil"/>
              <w:left w:val="nil"/>
              <w:bottom w:val="single" w:sz="4" w:space="0" w:color="auto"/>
              <w:right w:val="nil"/>
            </w:tcBorders>
            <w:noWrap/>
            <w:vAlign w:val="center"/>
          </w:tcPr>
          <w:p w14:paraId="42DD8B27" w14:textId="77777777" w:rsidR="006501A4" w:rsidRPr="000A0480" w:rsidRDefault="006501A4" w:rsidP="00546470">
            <w:pPr>
              <w:spacing w:after="0" w:line="240" w:lineRule="auto"/>
              <w:jc w:val="left"/>
              <w:rPr>
                <w:rFonts w:cstheme="minorHAnsi"/>
                <w:vertAlign w:val="superscript"/>
              </w:rPr>
            </w:pPr>
            <w:r w:rsidRPr="000A0480">
              <w:rPr>
                <w:rFonts w:cstheme="minorHAnsi"/>
              </w:rPr>
              <w:t>R</w:t>
            </w:r>
            <w:r w:rsidRPr="000A0480">
              <w:rPr>
                <w:rFonts w:cstheme="minorHAnsi"/>
                <w:vertAlign w:val="superscript"/>
              </w:rPr>
              <w:t>2</w:t>
            </w:r>
          </w:p>
        </w:tc>
        <w:tc>
          <w:tcPr>
            <w:tcW w:w="1560" w:type="dxa"/>
            <w:tcBorders>
              <w:top w:val="nil"/>
              <w:left w:val="nil"/>
              <w:bottom w:val="single" w:sz="4" w:space="0" w:color="auto"/>
              <w:right w:val="nil"/>
            </w:tcBorders>
            <w:noWrap/>
            <w:vAlign w:val="center"/>
          </w:tcPr>
          <w:p w14:paraId="48302F35" w14:textId="77777777" w:rsidR="006501A4" w:rsidRPr="000A0480" w:rsidRDefault="006501A4" w:rsidP="00546470">
            <w:pPr>
              <w:spacing w:after="0" w:line="240" w:lineRule="auto"/>
              <w:jc w:val="left"/>
              <w:rPr>
                <w:rFonts w:eastAsia="Times New Roman"/>
                <w:color w:val="000000"/>
                <w:lang w:eastAsia="en-AU"/>
              </w:rPr>
            </w:pPr>
            <w:r w:rsidRPr="07F48A3B">
              <w:rPr>
                <w:rFonts w:eastAsia="Times New Roman"/>
                <w:color w:val="000000" w:themeColor="text1"/>
                <w:lang w:eastAsia="en-AU"/>
              </w:rPr>
              <w:t>0.998</w:t>
            </w:r>
          </w:p>
        </w:tc>
        <w:tc>
          <w:tcPr>
            <w:tcW w:w="1984" w:type="dxa"/>
            <w:tcBorders>
              <w:top w:val="nil"/>
              <w:left w:val="nil"/>
              <w:bottom w:val="single" w:sz="4" w:space="0" w:color="auto"/>
              <w:right w:val="nil"/>
            </w:tcBorders>
            <w:vAlign w:val="center"/>
          </w:tcPr>
          <w:p w14:paraId="7B8FEE80" w14:textId="77777777" w:rsidR="006501A4" w:rsidRPr="000A0480" w:rsidRDefault="006501A4" w:rsidP="00546470">
            <w:pPr>
              <w:spacing w:after="0" w:line="240" w:lineRule="auto"/>
              <w:jc w:val="left"/>
              <w:rPr>
                <w:rFonts w:eastAsia="Times New Roman" w:cstheme="minorHAnsi"/>
                <w:color w:val="000000"/>
                <w:lang w:eastAsia="en-AU"/>
              </w:rPr>
            </w:pPr>
          </w:p>
        </w:tc>
        <w:tc>
          <w:tcPr>
            <w:tcW w:w="1702" w:type="dxa"/>
            <w:tcBorders>
              <w:top w:val="nil"/>
              <w:left w:val="nil"/>
              <w:bottom w:val="single" w:sz="4" w:space="0" w:color="auto"/>
              <w:right w:val="single" w:sz="4" w:space="0" w:color="auto"/>
            </w:tcBorders>
            <w:noWrap/>
            <w:vAlign w:val="center"/>
          </w:tcPr>
          <w:p w14:paraId="5BBD9411" w14:textId="77777777" w:rsidR="006501A4" w:rsidRPr="000A0480" w:rsidRDefault="006501A4" w:rsidP="00546470">
            <w:pPr>
              <w:spacing w:after="0" w:line="240" w:lineRule="auto"/>
              <w:jc w:val="left"/>
              <w:rPr>
                <w:rFonts w:eastAsia="Times New Roman" w:cstheme="minorHAnsi"/>
                <w:color w:val="000000"/>
                <w:lang w:eastAsia="en-AU"/>
              </w:rPr>
            </w:pPr>
          </w:p>
        </w:tc>
      </w:tr>
    </w:tbl>
    <w:p w14:paraId="2592CE59" w14:textId="77777777" w:rsidR="006501A4" w:rsidRDefault="006501A4" w:rsidP="00546470">
      <w:pPr>
        <w:spacing w:after="120" w:line="259" w:lineRule="auto"/>
        <w:jc w:val="left"/>
        <w:rPr>
          <w:b/>
          <w:bCs/>
          <w:sz w:val="20"/>
        </w:rPr>
      </w:pPr>
    </w:p>
    <w:p w14:paraId="0C02EFFF" w14:textId="77777777" w:rsidR="006501A4" w:rsidRDefault="006501A4" w:rsidP="00546470">
      <w:pPr>
        <w:spacing w:after="120" w:line="259" w:lineRule="auto"/>
        <w:jc w:val="left"/>
        <w:rPr>
          <w:b/>
          <w:bCs/>
          <w:sz w:val="20"/>
        </w:rPr>
        <w:sectPr w:rsidR="006501A4" w:rsidSect="0046477B">
          <w:pgSz w:w="11906" w:h="16838"/>
          <w:pgMar w:top="1440" w:right="1418" w:bottom="1440" w:left="1418" w:header="709" w:footer="709" w:gutter="0"/>
          <w:cols w:space="708"/>
          <w:docGrid w:linePitch="360"/>
        </w:sectPr>
      </w:pPr>
    </w:p>
    <w:p w14:paraId="67BDBDEF" w14:textId="77777777" w:rsidR="006501A4" w:rsidRPr="00D86F7C" w:rsidRDefault="006501A4" w:rsidP="00546470">
      <w:pPr>
        <w:spacing w:after="120" w:line="259" w:lineRule="auto"/>
        <w:jc w:val="left"/>
        <w:rPr>
          <w:sz w:val="20"/>
        </w:rPr>
      </w:pPr>
      <w:r w:rsidRPr="00D86F7C">
        <w:rPr>
          <w:b/>
          <w:sz w:val="20"/>
        </w:rPr>
        <w:t xml:space="preserve">Table </w:t>
      </w:r>
      <w:r w:rsidRPr="00D86F7C">
        <w:rPr>
          <w:b/>
          <w:bCs/>
          <w:sz w:val="20"/>
        </w:rPr>
        <w:t>12.</w:t>
      </w:r>
      <w:r>
        <w:rPr>
          <w:b/>
          <w:bCs/>
          <w:sz w:val="20"/>
        </w:rPr>
        <w:t>3</w:t>
      </w:r>
      <w:r w:rsidRPr="00D86F7C">
        <w:rPr>
          <w:sz w:val="20"/>
        </w:rPr>
        <w:t xml:space="preserve"> Detection results from the field test of each targeted assay. Shown is the number of positive detections at each site from eight </w:t>
      </w:r>
      <w:r>
        <w:rPr>
          <w:sz w:val="20"/>
        </w:rPr>
        <w:t xml:space="preserve">water </w:t>
      </w:r>
      <w:r w:rsidRPr="00D86F7C">
        <w:rPr>
          <w:sz w:val="20"/>
        </w:rPr>
        <w:t xml:space="preserve">samples, each with six PCR </w:t>
      </w:r>
      <w:r>
        <w:rPr>
          <w:sz w:val="20"/>
        </w:rPr>
        <w:t>technical replicates</w:t>
      </w:r>
      <w:r w:rsidRPr="00D86F7C">
        <w:rPr>
          <w:sz w:val="20"/>
        </w:rPr>
        <w:t>.</w:t>
      </w:r>
    </w:p>
    <w:tbl>
      <w:tblPr>
        <w:tblW w:w="13770" w:type="dxa"/>
        <w:tblLayout w:type="fixed"/>
        <w:tblCellMar>
          <w:top w:w="15" w:type="dxa"/>
          <w:bottom w:w="15" w:type="dxa"/>
        </w:tblCellMar>
        <w:tblLook w:val="04A0" w:firstRow="1" w:lastRow="0" w:firstColumn="1" w:lastColumn="0" w:noHBand="0" w:noVBand="1"/>
      </w:tblPr>
      <w:tblGrid>
        <w:gridCol w:w="2489"/>
        <w:gridCol w:w="2694"/>
        <w:gridCol w:w="1412"/>
        <w:gridCol w:w="1559"/>
        <w:gridCol w:w="1560"/>
        <w:gridCol w:w="4056"/>
      </w:tblGrid>
      <w:tr w:rsidR="006501A4" w:rsidRPr="000A0480" w14:paraId="3395E5B9" w14:textId="77777777" w:rsidTr="0095397F">
        <w:trPr>
          <w:trHeight w:val="300"/>
        </w:trPr>
        <w:tc>
          <w:tcPr>
            <w:tcW w:w="2489" w:type="dxa"/>
            <w:tcBorders>
              <w:top w:val="single" w:sz="4" w:space="0" w:color="auto"/>
              <w:left w:val="single" w:sz="4" w:space="0" w:color="auto"/>
              <w:bottom w:val="single" w:sz="4" w:space="0" w:color="auto"/>
              <w:right w:val="nil"/>
            </w:tcBorders>
            <w:shd w:val="clear" w:color="auto" w:fill="92CDDC"/>
            <w:noWrap/>
            <w:hideMark/>
          </w:tcPr>
          <w:p w14:paraId="752C71C8" w14:textId="77777777" w:rsidR="006501A4" w:rsidRPr="00507FF6" w:rsidRDefault="006501A4" w:rsidP="00546470">
            <w:pPr>
              <w:spacing w:after="120" w:line="259" w:lineRule="auto"/>
              <w:jc w:val="left"/>
              <w:rPr>
                <w:rFonts w:eastAsia="Times New Roman" w:cstheme="minorHAnsi"/>
                <w:b/>
                <w:bCs/>
                <w:color w:val="000000"/>
                <w:lang w:eastAsia="en-AU"/>
              </w:rPr>
            </w:pPr>
            <w:r w:rsidRPr="000A0480">
              <w:rPr>
                <w:rFonts w:eastAsia="Times New Roman" w:cstheme="minorHAnsi"/>
                <w:b/>
                <w:bCs/>
                <w:color w:val="000000"/>
                <w:lang w:eastAsia="en-AU"/>
              </w:rPr>
              <w:t xml:space="preserve">Target species </w:t>
            </w:r>
            <w:r>
              <w:rPr>
                <w:rFonts w:eastAsia="Times New Roman" w:cstheme="minorHAnsi"/>
                <w:b/>
                <w:bCs/>
                <w:color w:val="000000"/>
                <w:lang w:eastAsia="en-AU"/>
              </w:rPr>
              <w:br/>
            </w:r>
            <w:r w:rsidRPr="000A0480">
              <w:rPr>
                <w:rFonts w:eastAsia="Times New Roman" w:cstheme="minorHAnsi"/>
                <w:b/>
                <w:bCs/>
                <w:color w:val="000000"/>
                <w:lang w:eastAsia="en-AU"/>
              </w:rPr>
              <w:t>and assay</w:t>
            </w:r>
          </w:p>
        </w:tc>
        <w:tc>
          <w:tcPr>
            <w:tcW w:w="2694" w:type="dxa"/>
            <w:tcBorders>
              <w:top w:val="single" w:sz="4" w:space="0" w:color="auto"/>
              <w:left w:val="nil"/>
              <w:bottom w:val="single" w:sz="4" w:space="0" w:color="auto"/>
              <w:right w:val="nil"/>
            </w:tcBorders>
            <w:shd w:val="clear" w:color="auto" w:fill="92CDDC"/>
            <w:noWrap/>
            <w:vAlign w:val="center"/>
            <w:hideMark/>
          </w:tcPr>
          <w:p w14:paraId="4515FE71" w14:textId="77777777" w:rsidR="006501A4" w:rsidRPr="00507FF6" w:rsidRDefault="006501A4" w:rsidP="00546470">
            <w:pPr>
              <w:spacing w:after="120" w:line="259" w:lineRule="auto"/>
              <w:jc w:val="left"/>
              <w:rPr>
                <w:rFonts w:eastAsia="Times New Roman" w:cstheme="minorHAnsi"/>
                <w:b/>
                <w:bCs/>
                <w:color w:val="000000"/>
                <w:lang w:eastAsia="en-AU"/>
              </w:rPr>
            </w:pPr>
            <w:r>
              <w:rPr>
                <w:rFonts w:eastAsia="Times New Roman" w:cstheme="minorHAnsi"/>
                <w:b/>
                <w:bCs/>
                <w:color w:val="000000"/>
                <w:lang w:eastAsia="en-AU"/>
              </w:rPr>
              <w:t>Field test sites</w:t>
            </w:r>
          </w:p>
        </w:tc>
        <w:tc>
          <w:tcPr>
            <w:tcW w:w="1412" w:type="dxa"/>
            <w:tcBorders>
              <w:top w:val="single" w:sz="4" w:space="0" w:color="auto"/>
              <w:left w:val="nil"/>
              <w:bottom w:val="single" w:sz="4" w:space="0" w:color="auto"/>
              <w:right w:val="nil"/>
            </w:tcBorders>
            <w:shd w:val="clear" w:color="auto" w:fill="92CDDC"/>
          </w:tcPr>
          <w:p w14:paraId="77CF0765" w14:textId="77777777" w:rsidR="006501A4" w:rsidRDefault="006501A4" w:rsidP="00546470">
            <w:pPr>
              <w:spacing w:after="120" w:line="259" w:lineRule="auto"/>
              <w:jc w:val="left"/>
              <w:rPr>
                <w:rFonts w:eastAsia="Times New Roman" w:cstheme="minorHAnsi"/>
                <w:b/>
                <w:bCs/>
                <w:color w:val="000000"/>
                <w:lang w:eastAsia="en-AU"/>
              </w:rPr>
            </w:pPr>
            <w:r>
              <w:rPr>
                <w:rFonts w:eastAsia="Times New Roman" w:cstheme="minorHAnsi"/>
                <w:b/>
                <w:bCs/>
                <w:color w:val="000000"/>
                <w:lang w:eastAsia="en-AU"/>
              </w:rPr>
              <w:t>Latitude</w:t>
            </w:r>
          </w:p>
        </w:tc>
        <w:tc>
          <w:tcPr>
            <w:tcW w:w="1559" w:type="dxa"/>
            <w:tcBorders>
              <w:top w:val="single" w:sz="4" w:space="0" w:color="auto"/>
              <w:left w:val="nil"/>
              <w:bottom w:val="single" w:sz="4" w:space="0" w:color="auto"/>
              <w:right w:val="nil"/>
            </w:tcBorders>
            <w:shd w:val="clear" w:color="auto" w:fill="92CDDC"/>
          </w:tcPr>
          <w:p w14:paraId="5C5B9F6E" w14:textId="77777777" w:rsidR="006501A4" w:rsidRDefault="006501A4" w:rsidP="00546470">
            <w:pPr>
              <w:spacing w:after="120" w:line="259" w:lineRule="auto"/>
              <w:jc w:val="left"/>
              <w:rPr>
                <w:rFonts w:eastAsia="Times New Roman" w:cstheme="minorHAnsi"/>
                <w:b/>
                <w:bCs/>
                <w:color w:val="000000"/>
                <w:lang w:eastAsia="en-AU"/>
              </w:rPr>
            </w:pPr>
            <w:r>
              <w:rPr>
                <w:rFonts w:eastAsia="Times New Roman" w:cstheme="minorHAnsi"/>
                <w:b/>
                <w:bCs/>
                <w:color w:val="000000"/>
                <w:lang w:eastAsia="en-AU"/>
              </w:rPr>
              <w:t>Longitude</w:t>
            </w:r>
          </w:p>
        </w:tc>
        <w:tc>
          <w:tcPr>
            <w:tcW w:w="1560" w:type="dxa"/>
            <w:tcBorders>
              <w:top w:val="single" w:sz="4" w:space="0" w:color="auto"/>
              <w:left w:val="nil"/>
              <w:bottom w:val="single" w:sz="4" w:space="0" w:color="auto"/>
              <w:right w:val="nil"/>
            </w:tcBorders>
            <w:shd w:val="clear" w:color="auto" w:fill="92CDDC"/>
          </w:tcPr>
          <w:p w14:paraId="420034F9" w14:textId="77777777" w:rsidR="006501A4" w:rsidRPr="000A0480" w:rsidRDefault="006501A4" w:rsidP="00546470">
            <w:pPr>
              <w:spacing w:after="120" w:line="259" w:lineRule="auto"/>
              <w:jc w:val="left"/>
              <w:rPr>
                <w:rFonts w:eastAsia="Times New Roman" w:cstheme="minorHAnsi"/>
                <w:b/>
                <w:bCs/>
                <w:color w:val="000000"/>
                <w:lang w:eastAsia="en-AU"/>
              </w:rPr>
            </w:pPr>
            <w:r>
              <w:rPr>
                <w:rFonts w:eastAsia="Times New Roman" w:cstheme="minorHAnsi"/>
                <w:b/>
                <w:bCs/>
                <w:color w:val="000000"/>
                <w:lang w:eastAsia="en-AU"/>
              </w:rPr>
              <w:t>No. positive samples</w:t>
            </w:r>
          </w:p>
        </w:tc>
        <w:tc>
          <w:tcPr>
            <w:tcW w:w="4056" w:type="dxa"/>
            <w:tcBorders>
              <w:top w:val="single" w:sz="4" w:space="0" w:color="auto"/>
              <w:left w:val="nil"/>
              <w:bottom w:val="single" w:sz="4" w:space="0" w:color="auto"/>
              <w:right w:val="single" w:sz="4" w:space="0" w:color="auto"/>
            </w:tcBorders>
            <w:shd w:val="clear" w:color="auto" w:fill="92CDDC"/>
            <w:noWrap/>
            <w:hideMark/>
          </w:tcPr>
          <w:p w14:paraId="1CFD1185" w14:textId="77777777" w:rsidR="006501A4" w:rsidRPr="00507FF6" w:rsidRDefault="006501A4" w:rsidP="00546470">
            <w:pPr>
              <w:spacing w:after="120" w:line="259" w:lineRule="auto"/>
              <w:jc w:val="left"/>
              <w:rPr>
                <w:rFonts w:eastAsia="Times New Roman" w:cstheme="minorHAnsi"/>
                <w:b/>
                <w:bCs/>
                <w:color w:val="000000"/>
                <w:lang w:eastAsia="en-AU"/>
              </w:rPr>
            </w:pPr>
            <w:r>
              <w:rPr>
                <w:rFonts w:eastAsia="Times New Roman" w:cstheme="minorHAnsi"/>
                <w:b/>
                <w:bCs/>
                <w:color w:val="000000"/>
                <w:lang w:eastAsia="en-AU"/>
              </w:rPr>
              <w:t>Mean no. positive PCR replicate/sample</w:t>
            </w:r>
            <w:r>
              <w:rPr>
                <w:rFonts w:eastAsia="Times New Roman" w:cstheme="minorHAnsi"/>
                <w:b/>
                <w:bCs/>
                <w:color w:val="000000"/>
                <w:vertAlign w:val="superscript"/>
                <w:lang w:eastAsia="en-AU"/>
              </w:rPr>
              <w:t>†</w:t>
            </w:r>
          </w:p>
        </w:tc>
      </w:tr>
      <w:tr w:rsidR="006501A4" w:rsidRPr="000A0480" w14:paraId="595CC4CC" w14:textId="77777777" w:rsidTr="0095397F">
        <w:trPr>
          <w:trHeight w:val="300"/>
        </w:trPr>
        <w:tc>
          <w:tcPr>
            <w:tcW w:w="2489" w:type="dxa"/>
            <w:tcBorders>
              <w:top w:val="single" w:sz="4" w:space="0" w:color="auto"/>
              <w:left w:val="single" w:sz="4" w:space="0" w:color="auto"/>
              <w:bottom w:val="nil"/>
              <w:right w:val="nil"/>
            </w:tcBorders>
            <w:noWrap/>
            <w:vAlign w:val="bottom"/>
            <w:hideMark/>
          </w:tcPr>
          <w:p w14:paraId="189AABD9" w14:textId="77777777" w:rsidR="006501A4" w:rsidRPr="002273FC" w:rsidRDefault="006501A4" w:rsidP="00546470">
            <w:pPr>
              <w:spacing w:after="120" w:line="259" w:lineRule="auto"/>
              <w:jc w:val="left"/>
              <w:rPr>
                <w:rFonts w:eastAsia="Times New Roman" w:cstheme="minorHAnsi"/>
                <w:iCs/>
                <w:color w:val="000000"/>
                <w:lang w:eastAsia="en-AU"/>
              </w:rPr>
            </w:pPr>
            <w:r>
              <w:rPr>
                <w:rFonts w:eastAsia="Times New Roman" w:cstheme="minorHAnsi"/>
                <w:iCs/>
                <w:color w:val="000000"/>
                <w:lang w:eastAsia="en-AU"/>
              </w:rPr>
              <w:t>Murray cod</w:t>
            </w:r>
          </w:p>
        </w:tc>
        <w:tc>
          <w:tcPr>
            <w:tcW w:w="2694" w:type="dxa"/>
            <w:tcBorders>
              <w:top w:val="single" w:sz="4" w:space="0" w:color="auto"/>
              <w:left w:val="nil"/>
              <w:bottom w:val="nil"/>
              <w:right w:val="nil"/>
            </w:tcBorders>
            <w:noWrap/>
            <w:vAlign w:val="bottom"/>
          </w:tcPr>
          <w:p w14:paraId="00BF5BCF" w14:textId="77777777" w:rsidR="006501A4" w:rsidRPr="00241606" w:rsidRDefault="006501A4" w:rsidP="00546470">
            <w:pPr>
              <w:spacing w:after="120" w:line="259" w:lineRule="auto"/>
              <w:jc w:val="left"/>
              <w:rPr>
                <w:rFonts w:cstheme="minorHAnsi"/>
                <w:vertAlign w:val="superscript"/>
              </w:rPr>
            </w:pPr>
            <w:r>
              <w:rPr>
                <w:rFonts w:cstheme="minorHAnsi"/>
              </w:rPr>
              <w:t>Buckingbong Boat ramp</w:t>
            </w:r>
            <w:r>
              <w:rPr>
                <w:rFonts w:cstheme="minorHAnsi"/>
                <w:vertAlign w:val="superscript"/>
              </w:rPr>
              <w:t>A</w:t>
            </w:r>
          </w:p>
        </w:tc>
        <w:tc>
          <w:tcPr>
            <w:tcW w:w="1412" w:type="dxa"/>
            <w:tcBorders>
              <w:top w:val="single" w:sz="4" w:space="0" w:color="auto"/>
              <w:left w:val="nil"/>
              <w:bottom w:val="nil"/>
              <w:right w:val="nil"/>
            </w:tcBorders>
          </w:tcPr>
          <w:p w14:paraId="4831BB9D" w14:textId="77777777" w:rsidR="006501A4" w:rsidRPr="411EFB22" w:rsidRDefault="006501A4" w:rsidP="00546470">
            <w:pPr>
              <w:spacing w:after="120" w:line="259" w:lineRule="auto"/>
              <w:jc w:val="left"/>
              <w:rPr>
                <w:rFonts w:eastAsia="Times New Roman"/>
                <w:color w:val="000000" w:themeColor="text1"/>
                <w:lang w:eastAsia="en-AU"/>
              </w:rPr>
            </w:pPr>
            <w:r w:rsidRPr="411EFB22">
              <w:rPr>
                <w:rFonts w:eastAsia="Times New Roman"/>
                <w:color w:val="000000" w:themeColor="text1"/>
                <w:lang w:eastAsia="en-AU"/>
              </w:rPr>
              <w:t>-34.80233</w:t>
            </w:r>
          </w:p>
        </w:tc>
        <w:tc>
          <w:tcPr>
            <w:tcW w:w="1559" w:type="dxa"/>
            <w:tcBorders>
              <w:top w:val="single" w:sz="4" w:space="0" w:color="auto"/>
              <w:left w:val="nil"/>
              <w:bottom w:val="nil"/>
              <w:right w:val="nil"/>
            </w:tcBorders>
          </w:tcPr>
          <w:p w14:paraId="36F73E58" w14:textId="77777777" w:rsidR="006501A4" w:rsidRPr="00364C60" w:rsidRDefault="006501A4" w:rsidP="00546470">
            <w:pPr>
              <w:spacing w:after="120" w:line="259" w:lineRule="auto"/>
              <w:jc w:val="left"/>
              <w:rPr>
                <w:rFonts w:eastAsia="Times New Roman" w:cstheme="minorHAnsi"/>
                <w:color w:val="000000"/>
                <w:lang w:eastAsia="en-AU"/>
              </w:rPr>
            </w:pPr>
            <w:r w:rsidRPr="00F24C09">
              <w:rPr>
                <w:rFonts w:eastAsia="Times New Roman" w:cstheme="minorHAnsi"/>
                <w:color w:val="000000"/>
                <w:lang w:eastAsia="en-AU"/>
              </w:rPr>
              <w:t>146.61735</w:t>
            </w:r>
          </w:p>
        </w:tc>
        <w:tc>
          <w:tcPr>
            <w:tcW w:w="1560" w:type="dxa"/>
            <w:tcBorders>
              <w:top w:val="single" w:sz="4" w:space="0" w:color="auto"/>
              <w:left w:val="nil"/>
              <w:bottom w:val="nil"/>
              <w:right w:val="nil"/>
            </w:tcBorders>
            <w:vAlign w:val="bottom"/>
          </w:tcPr>
          <w:p w14:paraId="461F7FC6"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single" w:sz="4" w:space="0" w:color="auto"/>
              <w:left w:val="nil"/>
              <w:bottom w:val="nil"/>
              <w:right w:val="single" w:sz="4" w:space="0" w:color="auto"/>
            </w:tcBorders>
            <w:noWrap/>
            <w:vAlign w:val="bottom"/>
          </w:tcPr>
          <w:p w14:paraId="4175A58C"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6/6</w:t>
            </w:r>
          </w:p>
        </w:tc>
      </w:tr>
      <w:tr w:rsidR="006501A4" w:rsidRPr="000A0480" w14:paraId="4F5846C1" w14:textId="77777777" w:rsidTr="0095397F">
        <w:trPr>
          <w:trHeight w:val="300"/>
        </w:trPr>
        <w:tc>
          <w:tcPr>
            <w:tcW w:w="2489" w:type="dxa"/>
            <w:tcBorders>
              <w:top w:val="nil"/>
              <w:left w:val="single" w:sz="4" w:space="0" w:color="auto"/>
              <w:right w:val="nil"/>
            </w:tcBorders>
            <w:noWrap/>
            <w:vAlign w:val="bottom"/>
            <w:hideMark/>
          </w:tcPr>
          <w:p w14:paraId="56F6B740" w14:textId="77777777" w:rsidR="006501A4" w:rsidRPr="00507FF6" w:rsidRDefault="006501A4" w:rsidP="00546470">
            <w:pPr>
              <w:spacing w:after="120" w:line="259" w:lineRule="auto"/>
              <w:jc w:val="left"/>
              <w:rPr>
                <w:rFonts w:eastAsia="Times New Roman" w:cstheme="minorHAnsi"/>
                <w:i/>
                <w:color w:val="000000"/>
                <w:lang w:eastAsia="en-AU"/>
              </w:rPr>
            </w:pPr>
            <w:r w:rsidRPr="000A0480">
              <w:rPr>
                <w:rFonts w:eastAsia="Times New Roman" w:cstheme="minorHAnsi"/>
                <w:color w:val="000000"/>
                <w:lang w:eastAsia="en-AU"/>
              </w:rPr>
              <w:t>M.pee_12S</w:t>
            </w:r>
            <w:r>
              <w:rPr>
                <w:rFonts w:eastAsia="Times New Roman" w:cstheme="minorHAnsi"/>
                <w:color w:val="000000"/>
                <w:lang w:eastAsia="en-AU"/>
              </w:rPr>
              <w:t>_assay</w:t>
            </w:r>
          </w:p>
        </w:tc>
        <w:tc>
          <w:tcPr>
            <w:tcW w:w="2694" w:type="dxa"/>
            <w:tcBorders>
              <w:top w:val="nil"/>
              <w:left w:val="nil"/>
              <w:bottom w:val="nil"/>
              <w:right w:val="nil"/>
            </w:tcBorders>
            <w:noWrap/>
            <w:vAlign w:val="bottom"/>
          </w:tcPr>
          <w:p w14:paraId="51E0F6BA" w14:textId="77777777" w:rsidR="006501A4" w:rsidRPr="000A0480" w:rsidRDefault="006501A4" w:rsidP="00546470">
            <w:pPr>
              <w:spacing w:after="120" w:line="259" w:lineRule="auto"/>
              <w:jc w:val="left"/>
              <w:rPr>
                <w:rFonts w:cstheme="minorHAnsi"/>
                <w:vertAlign w:val="superscript"/>
              </w:rPr>
            </w:pPr>
            <w:r>
              <w:rPr>
                <w:rFonts w:cstheme="minorHAnsi"/>
              </w:rPr>
              <w:t>Narrandera Boat ramp</w:t>
            </w:r>
            <w:r>
              <w:rPr>
                <w:rFonts w:cstheme="minorHAnsi"/>
                <w:vertAlign w:val="superscript"/>
              </w:rPr>
              <w:t>A</w:t>
            </w:r>
            <w:r>
              <w:rPr>
                <w:rFonts w:cstheme="minorHAnsi"/>
              </w:rPr>
              <w:t xml:space="preserve"> </w:t>
            </w:r>
          </w:p>
        </w:tc>
        <w:tc>
          <w:tcPr>
            <w:tcW w:w="1412" w:type="dxa"/>
            <w:tcBorders>
              <w:top w:val="nil"/>
              <w:left w:val="nil"/>
              <w:right w:val="nil"/>
            </w:tcBorders>
          </w:tcPr>
          <w:p w14:paraId="3E662DAA" w14:textId="77777777" w:rsidR="006501A4" w:rsidRPr="00364C60" w:rsidRDefault="006501A4" w:rsidP="00546470">
            <w:pPr>
              <w:spacing w:after="120" w:line="259" w:lineRule="auto"/>
              <w:jc w:val="left"/>
              <w:rPr>
                <w:rFonts w:eastAsia="Times New Roman" w:cstheme="minorHAnsi"/>
                <w:color w:val="000000"/>
                <w:lang w:eastAsia="en-AU"/>
              </w:rPr>
            </w:pPr>
            <w:r w:rsidRPr="00E64D13">
              <w:rPr>
                <w:rFonts w:eastAsia="Times New Roman" w:cstheme="minorHAnsi"/>
                <w:color w:val="000000"/>
                <w:lang w:eastAsia="en-AU"/>
              </w:rPr>
              <w:t>-34.75456</w:t>
            </w:r>
          </w:p>
        </w:tc>
        <w:tc>
          <w:tcPr>
            <w:tcW w:w="1559" w:type="dxa"/>
            <w:tcBorders>
              <w:top w:val="nil"/>
              <w:left w:val="nil"/>
              <w:right w:val="nil"/>
            </w:tcBorders>
          </w:tcPr>
          <w:p w14:paraId="70F2A267" w14:textId="77777777" w:rsidR="006501A4" w:rsidRPr="00364C60" w:rsidRDefault="006501A4" w:rsidP="00546470">
            <w:pPr>
              <w:spacing w:after="120" w:line="259" w:lineRule="auto"/>
              <w:jc w:val="left"/>
              <w:rPr>
                <w:rFonts w:eastAsia="Times New Roman" w:cstheme="minorHAnsi"/>
                <w:color w:val="000000"/>
                <w:lang w:eastAsia="en-AU"/>
              </w:rPr>
            </w:pPr>
            <w:r w:rsidRPr="00C03948">
              <w:rPr>
                <w:rFonts w:eastAsia="Times New Roman" w:cstheme="minorHAnsi"/>
                <w:color w:val="000000"/>
                <w:lang w:eastAsia="en-AU"/>
              </w:rPr>
              <w:t>146.55255</w:t>
            </w:r>
          </w:p>
        </w:tc>
        <w:tc>
          <w:tcPr>
            <w:tcW w:w="1560" w:type="dxa"/>
            <w:tcBorders>
              <w:top w:val="nil"/>
              <w:left w:val="nil"/>
              <w:right w:val="nil"/>
            </w:tcBorders>
            <w:vAlign w:val="bottom"/>
          </w:tcPr>
          <w:p w14:paraId="274D4CD8"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nil"/>
              <w:left w:val="nil"/>
              <w:right w:val="single" w:sz="4" w:space="0" w:color="auto"/>
            </w:tcBorders>
            <w:noWrap/>
            <w:vAlign w:val="bottom"/>
          </w:tcPr>
          <w:p w14:paraId="5B89C505"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6/6</w:t>
            </w:r>
          </w:p>
        </w:tc>
      </w:tr>
      <w:tr w:rsidR="006501A4" w:rsidRPr="000A0480" w14:paraId="414EB339" w14:textId="77777777" w:rsidTr="0095397F">
        <w:trPr>
          <w:trHeight w:val="300"/>
        </w:trPr>
        <w:tc>
          <w:tcPr>
            <w:tcW w:w="2489" w:type="dxa"/>
            <w:tcBorders>
              <w:top w:val="single" w:sz="4" w:space="0" w:color="auto"/>
              <w:left w:val="single" w:sz="4" w:space="0" w:color="auto"/>
              <w:bottom w:val="nil"/>
              <w:right w:val="nil"/>
            </w:tcBorders>
            <w:noWrap/>
            <w:vAlign w:val="bottom"/>
            <w:hideMark/>
          </w:tcPr>
          <w:p w14:paraId="089F3036" w14:textId="77777777" w:rsidR="006501A4" w:rsidRPr="002273FC" w:rsidRDefault="006501A4" w:rsidP="00546470">
            <w:pPr>
              <w:spacing w:after="120" w:line="259" w:lineRule="auto"/>
              <w:jc w:val="left"/>
              <w:rPr>
                <w:rFonts w:cstheme="minorHAnsi"/>
                <w:iCs/>
              </w:rPr>
            </w:pPr>
            <w:r>
              <w:rPr>
                <w:rFonts w:cstheme="minorHAnsi"/>
                <w:iCs/>
              </w:rPr>
              <w:t>Trout cod</w:t>
            </w:r>
          </w:p>
        </w:tc>
        <w:tc>
          <w:tcPr>
            <w:tcW w:w="2694" w:type="dxa"/>
            <w:tcBorders>
              <w:top w:val="single" w:sz="4" w:space="0" w:color="auto"/>
              <w:left w:val="nil"/>
              <w:bottom w:val="nil"/>
              <w:right w:val="nil"/>
            </w:tcBorders>
            <w:noWrap/>
            <w:vAlign w:val="bottom"/>
          </w:tcPr>
          <w:p w14:paraId="5E092FC7" w14:textId="77777777" w:rsidR="006501A4" w:rsidRPr="000A0480" w:rsidRDefault="006501A4" w:rsidP="00546470">
            <w:pPr>
              <w:spacing w:after="120" w:line="259" w:lineRule="auto"/>
              <w:jc w:val="left"/>
              <w:rPr>
                <w:rFonts w:cstheme="minorHAnsi"/>
              </w:rPr>
            </w:pPr>
            <w:r>
              <w:rPr>
                <w:rFonts w:cstheme="minorHAnsi"/>
              </w:rPr>
              <w:t>Buckingbong Boat ramp</w:t>
            </w:r>
            <w:r>
              <w:rPr>
                <w:rFonts w:cstheme="minorHAnsi"/>
                <w:vertAlign w:val="superscript"/>
              </w:rPr>
              <w:t>A</w:t>
            </w:r>
          </w:p>
        </w:tc>
        <w:tc>
          <w:tcPr>
            <w:tcW w:w="1412" w:type="dxa"/>
            <w:tcBorders>
              <w:top w:val="single" w:sz="4" w:space="0" w:color="auto"/>
              <w:left w:val="nil"/>
              <w:bottom w:val="nil"/>
              <w:right w:val="nil"/>
            </w:tcBorders>
          </w:tcPr>
          <w:p w14:paraId="217ACCEC" w14:textId="77777777" w:rsidR="006501A4" w:rsidRPr="00364C60" w:rsidRDefault="006501A4" w:rsidP="00546470">
            <w:pPr>
              <w:spacing w:after="120" w:line="259" w:lineRule="auto"/>
              <w:jc w:val="left"/>
              <w:rPr>
                <w:rFonts w:eastAsia="Times New Roman" w:cstheme="minorHAnsi"/>
                <w:color w:val="000000"/>
                <w:lang w:eastAsia="en-AU"/>
              </w:rPr>
            </w:pPr>
            <w:r w:rsidRPr="00F24C09">
              <w:rPr>
                <w:rFonts w:eastAsia="Times New Roman" w:cstheme="minorHAnsi"/>
                <w:color w:val="000000"/>
                <w:lang w:eastAsia="en-AU"/>
              </w:rPr>
              <w:t>-34.80233</w:t>
            </w:r>
          </w:p>
        </w:tc>
        <w:tc>
          <w:tcPr>
            <w:tcW w:w="1559" w:type="dxa"/>
            <w:tcBorders>
              <w:top w:val="single" w:sz="4" w:space="0" w:color="auto"/>
              <w:left w:val="nil"/>
              <w:bottom w:val="nil"/>
              <w:right w:val="nil"/>
            </w:tcBorders>
          </w:tcPr>
          <w:p w14:paraId="7F143539" w14:textId="77777777" w:rsidR="006501A4" w:rsidRPr="00364C60" w:rsidRDefault="006501A4" w:rsidP="00546470">
            <w:pPr>
              <w:spacing w:after="120" w:line="259" w:lineRule="auto"/>
              <w:jc w:val="left"/>
              <w:rPr>
                <w:rFonts w:eastAsia="Times New Roman" w:cstheme="minorHAnsi"/>
                <w:color w:val="000000"/>
                <w:lang w:eastAsia="en-AU"/>
              </w:rPr>
            </w:pPr>
            <w:r w:rsidRPr="00F24C09">
              <w:rPr>
                <w:rFonts w:eastAsia="Times New Roman" w:cstheme="minorHAnsi"/>
                <w:color w:val="000000"/>
                <w:lang w:eastAsia="en-AU"/>
              </w:rPr>
              <w:t>146.61735</w:t>
            </w:r>
          </w:p>
        </w:tc>
        <w:tc>
          <w:tcPr>
            <w:tcW w:w="1560" w:type="dxa"/>
            <w:tcBorders>
              <w:top w:val="single" w:sz="4" w:space="0" w:color="auto"/>
              <w:left w:val="nil"/>
              <w:bottom w:val="nil"/>
              <w:right w:val="nil"/>
            </w:tcBorders>
            <w:vAlign w:val="bottom"/>
          </w:tcPr>
          <w:p w14:paraId="454AD473"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single" w:sz="4" w:space="0" w:color="auto"/>
              <w:left w:val="nil"/>
              <w:bottom w:val="nil"/>
              <w:right w:val="single" w:sz="4" w:space="0" w:color="auto"/>
            </w:tcBorders>
            <w:noWrap/>
            <w:vAlign w:val="bottom"/>
          </w:tcPr>
          <w:p w14:paraId="62C52CA5"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5.87/6</w:t>
            </w:r>
          </w:p>
        </w:tc>
      </w:tr>
      <w:tr w:rsidR="006501A4" w:rsidRPr="000A0480" w14:paraId="78BDD7D8" w14:textId="77777777" w:rsidTr="0095397F">
        <w:trPr>
          <w:trHeight w:val="300"/>
        </w:trPr>
        <w:tc>
          <w:tcPr>
            <w:tcW w:w="2489" w:type="dxa"/>
            <w:tcBorders>
              <w:top w:val="nil"/>
              <w:left w:val="single" w:sz="4" w:space="0" w:color="auto"/>
              <w:right w:val="nil"/>
            </w:tcBorders>
            <w:noWrap/>
            <w:vAlign w:val="bottom"/>
            <w:hideMark/>
          </w:tcPr>
          <w:p w14:paraId="033E6029" w14:textId="77777777" w:rsidR="006501A4" w:rsidRPr="00507FF6" w:rsidRDefault="006501A4" w:rsidP="00546470">
            <w:pPr>
              <w:spacing w:after="120" w:line="259" w:lineRule="auto"/>
              <w:jc w:val="left"/>
              <w:rPr>
                <w:rFonts w:eastAsia="Times New Roman" w:cstheme="minorHAnsi"/>
                <w:i/>
                <w:color w:val="000000"/>
                <w:lang w:eastAsia="en-AU"/>
              </w:rPr>
            </w:pPr>
            <w:r>
              <w:rPr>
                <w:rFonts w:cstheme="minorHAnsi"/>
              </w:rPr>
              <w:t>M.mac_12S_assay</w:t>
            </w:r>
          </w:p>
        </w:tc>
        <w:tc>
          <w:tcPr>
            <w:tcW w:w="2694" w:type="dxa"/>
            <w:tcBorders>
              <w:top w:val="nil"/>
              <w:left w:val="nil"/>
              <w:bottom w:val="nil"/>
              <w:right w:val="nil"/>
            </w:tcBorders>
            <w:noWrap/>
            <w:vAlign w:val="bottom"/>
          </w:tcPr>
          <w:p w14:paraId="0AFBBF31" w14:textId="77777777" w:rsidR="006501A4" w:rsidRPr="000A0480" w:rsidRDefault="006501A4" w:rsidP="00546470">
            <w:pPr>
              <w:spacing w:after="120" w:line="259" w:lineRule="auto"/>
              <w:jc w:val="left"/>
              <w:rPr>
                <w:rFonts w:cstheme="minorHAnsi"/>
                <w:vertAlign w:val="superscript"/>
              </w:rPr>
            </w:pPr>
            <w:r>
              <w:rPr>
                <w:rFonts w:cstheme="minorHAnsi"/>
              </w:rPr>
              <w:t>Narrandera Boat ramp</w:t>
            </w:r>
            <w:r>
              <w:rPr>
                <w:rFonts w:cstheme="minorHAnsi"/>
                <w:vertAlign w:val="superscript"/>
              </w:rPr>
              <w:t>A</w:t>
            </w:r>
            <w:r>
              <w:rPr>
                <w:rFonts w:cstheme="minorHAnsi"/>
              </w:rPr>
              <w:t xml:space="preserve"> </w:t>
            </w:r>
          </w:p>
        </w:tc>
        <w:tc>
          <w:tcPr>
            <w:tcW w:w="1412" w:type="dxa"/>
            <w:tcBorders>
              <w:top w:val="nil"/>
              <w:left w:val="nil"/>
              <w:right w:val="nil"/>
            </w:tcBorders>
          </w:tcPr>
          <w:p w14:paraId="76E27A6A" w14:textId="77777777" w:rsidR="006501A4" w:rsidRPr="00364C60" w:rsidRDefault="006501A4" w:rsidP="00546470">
            <w:pPr>
              <w:spacing w:after="120" w:line="259" w:lineRule="auto"/>
              <w:jc w:val="left"/>
              <w:rPr>
                <w:rFonts w:eastAsia="Times New Roman" w:cstheme="minorHAnsi"/>
                <w:color w:val="000000"/>
                <w:lang w:eastAsia="en-AU"/>
              </w:rPr>
            </w:pPr>
            <w:r w:rsidRPr="00E64D13">
              <w:rPr>
                <w:rFonts w:eastAsia="Times New Roman" w:cstheme="minorHAnsi"/>
                <w:color w:val="000000"/>
                <w:lang w:eastAsia="en-AU"/>
              </w:rPr>
              <w:t>-34.75456</w:t>
            </w:r>
          </w:p>
        </w:tc>
        <w:tc>
          <w:tcPr>
            <w:tcW w:w="1559" w:type="dxa"/>
            <w:tcBorders>
              <w:top w:val="nil"/>
              <w:left w:val="nil"/>
              <w:right w:val="nil"/>
            </w:tcBorders>
          </w:tcPr>
          <w:p w14:paraId="697F2D81" w14:textId="77777777" w:rsidR="006501A4" w:rsidRPr="00364C60" w:rsidRDefault="006501A4" w:rsidP="00546470">
            <w:pPr>
              <w:spacing w:after="120" w:line="259" w:lineRule="auto"/>
              <w:jc w:val="left"/>
              <w:rPr>
                <w:rFonts w:eastAsia="Times New Roman" w:cstheme="minorHAnsi"/>
                <w:color w:val="000000"/>
                <w:lang w:eastAsia="en-AU"/>
              </w:rPr>
            </w:pPr>
            <w:r w:rsidRPr="00C03948">
              <w:rPr>
                <w:rFonts w:eastAsia="Times New Roman" w:cstheme="minorHAnsi"/>
                <w:color w:val="000000"/>
                <w:lang w:eastAsia="en-AU"/>
              </w:rPr>
              <w:t>146.55255</w:t>
            </w:r>
          </w:p>
        </w:tc>
        <w:tc>
          <w:tcPr>
            <w:tcW w:w="1560" w:type="dxa"/>
            <w:tcBorders>
              <w:top w:val="nil"/>
              <w:left w:val="nil"/>
              <w:right w:val="nil"/>
            </w:tcBorders>
            <w:vAlign w:val="bottom"/>
          </w:tcPr>
          <w:p w14:paraId="4F01AC44"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nil"/>
              <w:left w:val="nil"/>
              <w:right w:val="single" w:sz="4" w:space="0" w:color="auto"/>
            </w:tcBorders>
            <w:noWrap/>
            <w:vAlign w:val="bottom"/>
          </w:tcPr>
          <w:p w14:paraId="0E3A96F4"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6/6</w:t>
            </w:r>
          </w:p>
        </w:tc>
      </w:tr>
      <w:tr w:rsidR="006501A4" w:rsidRPr="000A0480" w14:paraId="352A3F91" w14:textId="77777777" w:rsidTr="0095397F">
        <w:trPr>
          <w:trHeight w:val="300"/>
        </w:trPr>
        <w:tc>
          <w:tcPr>
            <w:tcW w:w="2489" w:type="dxa"/>
            <w:tcBorders>
              <w:top w:val="single" w:sz="4" w:space="0" w:color="auto"/>
              <w:left w:val="single" w:sz="4" w:space="0" w:color="auto"/>
              <w:bottom w:val="nil"/>
              <w:right w:val="nil"/>
            </w:tcBorders>
            <w:noWrap/>
            <w:vAlign w:val="bottom"/>
            <w:hideMark/>
          </w:tcPr>
          <w:p w14:paraId="260E6511" w14:textId="77777777" w:rsidR="006501A4" w:rsidRPr="002273FC" w:rsidRDefault="006501A4" w:rsidP="00546470">
            <w:pPr>
              <w:spacing w:after="120" w:line="259" w:lineRule="auto"/>
              <w:jc w:val="left"/>
              <w:rPr>
                <w:rFonts w:cstheme="minorHAnsi"/>
                <w:iCs/>
              </w:rPr>
            </w:pPr>
            <w:r>
              <w:rPr>
                <w:rFonts w:cstheme="minorHAnsi"/>
                <w:iCs/>
              </w:rPr>
              <w:t>Silver perch</w:t>
            </w:r>
          </w:p>
        </w:tc>
        <w:tc>
          <w:tcPr>
            <w:tcW w:w="2694" w:type="dxa"/>
            <w:tcBorders>
              <w:top w:val="single" w:sz="4" w:space="0" w:color="auto"/>
              <w:left w:val="nil"/>
              <w:bottom w:val="nil"/>
              <w:right w:val="nil"/>
            </w:tcBorders>
            <w:noWrap/>
            <w:vAlign w:val="bottom"/>
          </w:tcPr>
          <w:p w14:paraId="114810B9" w14:textId="77777777" w:rsidR="006501A4" w:rsidRPr="000A0480" w:rsidRDefault="006501A4" w:rsidP="00546470">
            <w:pPr>
              <w:spacing w:after="120" w:line="259" w:lineRule="auto"/>
              <w:jc w:val="left"/>
              <w:rPr>
                <w:rFonts w:cstheme="minorHAnsi"/>
              </w:rPr>
            </w:pPr>
            <w:r>
              <w:rPr>
                <w:rFonts w:cstheme="minorHAnsi"/>
              </w:rPr>
              <w:t>Buckingbong Boat ramp</w:t>
            </w:r>
            <w:r>
              <w:rPr>
                <w:rFonts w:cstheme="minorHAnsi"/>
                <w:vertAlign w:val="superscript"/>
              </w:rPr>
              <w:t>A</w:t>
            </w:r>
          </w:p>
        </w:tc>
        <w:tc>
          <w:tcPr>
            <w:tcW w:w="1412" w:type="dxa"/>
            <w:tcBorders>
              <w:top w:val="single" w:sz="4" w:space="0" w:color="auto"/>
              <w:left w:val="nil"/>
              <w:bottom w:val="nil"/>
              <w:right w:val="nil"/>
            </w:tcBorders>
          </w:tcPr>
          <w:p w14:paraId="14B650FE" w14:textId="77777777" w:rsidR="006501A4" w:rsidRPr="00364C60" w:rsidRDefault="006501A4" w:rsidP="00546470">
            <w:pPr>
              <w:spacing w:after="120" w:line="259" w:lineRule="auto"/>
              <w:jc w:val="left"/>
              <w:rPr>
                <w:rFonts w:eastAsia="Times New Roman" w:cstheme="minorHAnsi"/>
                <w:color w:val="000000"/>
                <w:lang w:eastAsia="en-AU"/>
              </w:rPr>
            </w:pPr>
            <w:r w:rsidRPr="00F24C09">
              <w:rPr>
                <w:rFonts w:eastAsia="Times New Roman" w:cstheme="minorHAnsi"/>
                <w:color w:val="000000"/>
                <w:lang w:eastAsia="en-AU"/>
              </w:rPr>
              <w:t>-34.80233</w:t>
            </w:r>
          </w:p>
        </w:tc>
        <w:tc>
          <w:tcPr>
            <w:tcW w:w="1559" w:type="dxa"/>
            <w:tcBorders>
              <w:top w:val="single" w:sz="4" w:space="0" w:color="auto"/>
              <w:left w:val="nil"/>
              <w:bottom w:val="nil"/>
              <w:right w:val="nil"/>
            </w:tcBorders>
          </w:tcPr>
          <w:p w14:paraId="314DD433" w14:textId="77777777" w:rsidR="006501A4" w:rsidRPr="00364C60" w:rsidRDefault="006501A4" w:rsidP="00546470">
            <w:pPr>
              <w:spacing w:after="120" w:line="259" w:lineRule="auto"/>
              <w:jc w:val="left"/>
              <w:rPr>
                <w:rFonts w:eastAsia="Times New Roman" w:cstheme="minorHAnsi"/>
                <w:color w:val="000000"/>
                <w:lang w:eastAsia="en-AU"/>
              </w:rPr>
            </w:pPr>
            <w:r w:rsidRPr="00F24C09">
              <w:rPr>
                <w:rFonts w:eastAsia="Times New Roman" w:cstheme="minorHAnsi"/>
                <w:color w:val="000000"/>
                <w:lang w:eastAsia="en-AU"/>
              </w:rPr>
              <w:t>146.61735</w:t>
            </w:r>
            <w:r>
              <w:rPr>
                <w:rFonts w:eastAsia="Times New Roman" w:cstheme="minorHAnsi"/>
                <w:color w:val="000000"/>
                <w:lang w:eastAsia="en-AU"/>
              </w:rPr>
              <w:t xml:space="preserve">  </w:t>
            </w:r>
          </w:p>
        </w:tc>
        <w:tc>
          <w:tcPr>
            <w:tcW w:w="1560" w:type="dxa"/>
            <w:tcBorders>
              <w:top w:val="single" w:sz="4" w:space="0" w:color="auto"/>
              <w:left w:val="nil"/>
              <w:bottom w:val="nil"/>
              <w:right w:val="nil"/>
            </w:tcBorders>
            <w:vAlign w:val="bottom"/>
          </w:tcPr>
          <w:p w14:paraId="11D27DA6"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single" w:sz="4" w:space="0" w:color="auto"/>
              <w:left w:val="nil"/>
              <w:bottom w:val="nil"/>
              <w:right w:val="single" w:sz="4" w:space="0" w:color="auto"/>
            </w:tcBorders>
            <w:noWrap/>
            <w:vAlign w:val="bottom"/>
          </w:tcPr>
          <w:p w14:paraId="532B09F8"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3.25/6</w:t>
            </w:r>
          </w:p>
        </w:tc>
      </w:tr>
      <w:tr w:rsidR="006501A4" w:rsidRPr="000A0480" w14:paraId="5AC27A9F" w14:textId="77777777" w:rsidTr="0095397F">
        <w:trPr>
          <w:trHeight w:val="300"/>
        </w:trPr>
        <w:tc>
          <w:tcPr>
            <w:tcW w:w="2489" w:type="dxa"/>
            <w:tcBorders>
              <w:top w:val="nil"/>
              <w:left w:val="single" w:sz="4" w:space="0" w:color="auto"/>
              <w:right w:val="nil"/>
            </w:tcBorders>
            <w:noWrap/>
            <w:vAlign w:val="bottom"/>
            <w:hideMark/>
          </w:tcPr>
          <w:p w14:paraId="30D57AAA" w14:textId="77777777" w:rsidR="006501A4" w:rsidRPr="00507FF6" w:rsidRDefault="006501A4" w:rsidP="00546470">
            <w:pPr>
              <w:spacing w:after="120" w:line="259" w:lineRule="auto"/>
              <w:jc w:val="left"/>
              <w:rPr>
                <w:rFonts w:eastAsia="Times New Roman" w:cstheme="minorHAnsi"/>
                <w:i/>
                <w:color w:val="000000"/>
                <w:lang w:eastAsia="en-AU"/>
              </w:rPr>
            </w:pPr>
            <w:r>
              <w:rPr>
                <w:rFonts w:cstheme="minorHAnsi"/>
              </w:rPr>
              <w:t>B.bid_12S_assay</w:t>
            </w:r>
          </w:p>
        </w:tc>
        <w:tc>
          <w:tcPr>
            <w:tcW w:w="2694" w:type="dxa"/>
            <w:tcBorders>
              <w:top w:val="nil"/>
              <w:left w:val="nil"/>
              <w:bottom w:val="nil"/>
              <w:right w:val="nil"/>
            </w:tcBorders>
            <w:noWrap/>
            <w:vAlign w:val="bottom"/>
          </w:tcPr>
          <w:p w14:paraId="08CF8F32" w14:textId="77777777" w:rsidR="006501A4" w:rsidRPr="000A0480" w:rsidRDefault="006501A4" w:rsidP="00546470">
            <w:pPr>
              <w:spacing w:after="120" w:line="259" w:lineRule="auto"/>
              <w:jc w:val="left"/>
              <w:rPr>
                <w:rFonts w:cstheme="minorHAnsi"/>
                <w:vertAlign w:val="superscript"/>
              </w:rPr>
            </w:pPr>
            <w:r>
              <w:rPr>
                <w:rFonts w:cstheme="minorHAnsi"/>
              </w:rPr>
              <w:t>Narrandera Boat ramp</w:t>
            </w:r>
            <w:r>
              <w:rPr>
                <w:rFonts w:cstheme="minorHAnsi"/>
                <w:vertAlign w:val="superscript"/>
              </w:rPr>
              <w:t>A</w:t>
            </w:r>
            <w:r>
              <w:rPr>
                <w:rFonts w:cstheme="minorHAnsi"/>
              </w:rPr>
              <w:t xml:space="preserve"> </w:t>
            </w:r>
          </w:p>
        </w:tc>
        <w:tc>
          <w:tcPr>
            <w:tcW w:w="1412" w:type="dxa"/>
            <w:tcBorders>
              <w:top w:val="nil"/>
              <w:left w:val="nil"/>
              <w:right w:val="nil"/>
            </w:tcBorders>
          </w:tcPr>
          <w:p w14:paraId="1DB536ED" w14:textId="77777777" w:rsidR="006501A4" w:rsidRPr="00364C60" w:rsidRDefault="006501A4" w:rsidP="00546470">
            <w:pPr>
              <w:spacing w:after="120" w:line="259" w:lineRule="auto"/>
              <w:jc w:val="left"/>
              <w:rPr>
                <w:rFonts w:eastAsia="Times New Roman" w:cstheme="minorHAnsi"/>
                <w:color w:val="000000"/>
                <w:lang w:eastAsia="en-AU"/>
              </w:rPr>
            </w:pPr>
            <w:r w:rsidRPr="00E64D13">
              <w:rPr>
                <w:rFonts w:eastAsia="Times New Roman" w:cstheme="minorHAnsi"/>
                <w:color w:val="000000"/>
                <w:lang w:eastAsia="en-AU"/>
              </w:rPr>
              <w:t>-34.75456</w:t>
            </w:r>
          </w:p>
        </w:tc>
        <w:tc>
          <w:tcPr>
            <w:tcW w:w="1559" w:type="dxa"/>
            <w:tcBorders>
              <w:top w:val="nil"/>
              <w:left w:val="nil"/>
              <w:right w:val="nil"/>
            </w:tcBorders>
          </w:tcPr>
          <w:p w14:paraId="4C08D9B2" w14:textId="77777777" w:rsidR="006501A4" w:rsidRPr="00364C60" w:rsidRDefault="006501A4" w:rsidP="00546470">
            <w:pPr>
              <w:spacing w:after="120" w:line="259" w:lineRule="auto"/>
              <w:jc w:val="left"/>
              <w:rPr>
                <w:rFonts w:eastAsia="Times New Roman" w:cstheme="minorHAnsi"/>
                <w:color w:val="000000"/>
                <w:lang w:eastAsia="en-AU"/>
              </w:rPr>
            </w:pPr>
            <w:r w:rsidRPr="00C03948">
              <w:rPr>
                <w:rFonts w:eastAsia="Times New Roman" w:cstheme="minorHAnsi"/>
                <w:color w:val="000000"/>
                <w:lang w:eastAsia="en-AU"/>
              </w:rPr>
              <w:t>146.55255</w:t>
            </w:r>
          </w:p>
        </w:tc>
        <w:tc>
          <w:tcPr>
            <w:tcW w:w="1560" w:type="dxa"/>
            <w:tcBorders>
              <w:top w:val="nil"/>
              <w:left w:val="nil"/>
              <w:right w:val="nil"/>
            </w:tcBorders>
            <w:vAlign w:val="bottom"/>
          </w:tcPr>
          <w:p w14:paraId="0A9452F7"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5/8</w:t>
            </w:r>
          </w:p>
        </w:tc>
        <w:tc>
          <w:tcPr>
            <w:tcW w:w="4056" w:type="dxa"/>
            <w:tcBorders>
              <w:top w:val="nil"/>
              <w:left w:val="nil"/>
              <w:right w:val="single" w:sz="4" w:space="0" w:color="auto"/>
            </w:tcBorders>
            <w:noWrap/>
            <w:vAlign w:val="bottom"/>
          </w:tcPr>
          <w:p w14:paraId="773F8446" w14:textId="77777777" w:rsidR="006501A4" w:rsidRPr="00507FF6"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1/6</w:t>
            </w:r>
          </w:p>
        </w:tc>
      </w:tr>
      <w:tr w:rsidR="006501A4" w:rsidRPr="000A0480" w14:paraId="47A3FB5C" w14:textId="77777777" w:rsidTr="0095397F">
        <w:trPr>
          <w:trHeight w:val="300"/>
        </w:trPr>
        <w:tc>
          <w:tcPr>
            <w:tcW w:w="2489" w:type="dxa"/>
            <w:tcBorders>
              <w:top w:val="single" w:sz="4" w:space="0" w:color="auto"/>
              <w:left w:val="single" w:sz="4" w:space="0" w:color="auto"/>
              <w:right w:val="nil"/>
            </w:tcBorders>
            <w:noWrap/>
            <w:vAlign w:val="bottom"/>
          </w:tcPr>
          <w:p w14:paraId="71E71614" w14:textId="77777777" w:rsidR="006501A4" w:rsidRPr="002273FC" w:rsidRDefault="006501A4" w:rsidP="00546470">
            <w:pPr>
              <w:spacing w:after="120" w:line="259" w:lineRule="auto"/>
              <w:jc w:val="left"/>
              <w:rPr>
                <w:rFonts w:cstheme="minorHAnsi"/>
                <w:iCs/>
              </w:rPr>
            </w:pPr>
            <w:r>
              <w:rPr>
                <w:rFonts w:cstheme="minorHAnsi"/>
                <w:iCs/>
              </w:rPr>
              <w:t>Freshwater catfish</w:t>
            </w:r>
          </w:p>
        </w:tc>
        <w:tc>
          <w:tcPr>
            <w:tcW w:w="2694" w:type="dxa"/>
            <w:tcBorders>
              <w:top w:val="single" w:sz="4" w:space="0" w:color="auto"/>
              <w:left w:val="nil"/>
              <w:bottom w:val="nil"/>
              <w:right w:val="nil"/>
            </w:tcBorders>
            <w:noWrap/>
            <w:vAlign w:val="bottom"/>
          </w:tcPr>
          <w:p w14:paraId="4946E1D2" w14:textId="77777777" w:rsidR="006501A4" w:rsidRPr="000A0480" w:rsidRDefault="006501A4" w:rsidP="00546470">
            <w:pPr>
              <w:spacing w:after="120" w:line="259" w:lineRule="auto"/>
              <w:jc w:val="left"/>
              <w:rPr>
                <w:rFonts w:cstheme="minorHAnsi"/>
              </w:rPr>
            </w:pPr>
            <w:r>
              <w:rPr>
                <w:rFonts w:cstheme="minorHAnsi"/>
              </w:rPr>
              <w:t>Bindawalla</w:t>
            </w:r>
            <w:r>
              <w:rPr>
                <w:rFonts w:cstheme="minorHAnsi"/>
                <w:vertAlign w:val="superscript"/>
              </w:rPr>
              <w:t>B</w:t>
            </w:r>
          </w:p>
        </w:tc>
        <w:tc>
          <w:tcPr>
            <w:tcW w:w="1412" w:type="dxa"/>
            <w:tcBorders>
              <w:top w:val="single" w:sz="4" w:space="0" w:color="auto"/>
              <w:left w:val="nil"/>
              <w:right w:val="nil"/>
            </w:tcBorders>
          </w:tcPr>
          <w:p w14:paraId="3F520623" w14:textId="77777777" w:rsidR="006501A4" w:rsidRPr="00364C60" w:rsidRDefault="006501A4" w:rsidP="00546470">
            <w:pPr>
              <w:spacing w:after="120" w:line="259" w:lineRule="auto"/>
              <w:jc w:val="left"/>
              <w:rPr>
                <w:rFonts w:eastAsia="Times New Roman" w:cstheme="minorHAnsi"/>
                <w:color w:val="000000"/>
                <w:lang w:eastAsia="en-AU"/>
              </w:rPr>
            </w:pPr>
            <w:r w:rsidRPr="008615FA">
              <w:rPr>
                <w:rFonts w:eastAsia="Times New Roman" w:cstheme="minorHAnsi"/>
                <w:color w:val="000000"/>
                <w:lang w:eastAsia="en-AU"/>
              </w:rPr>
              <w:t>-35.24995</w:t>
            </w:r>
          </w:p>
        </w:tc>
        <w:tc>
          <w:tcPr>
            <w:tcW w:w="1559" w:type="dxa"/>
            <w:tcBorders>
              <w:top w:val="single" w:sz="4" w:space="0" w:color="auto"/>
              <w:left w:val="nil"/>
              <w:right w:val="nil"/>
            </w:tcBorders>
          </w:tcPr>
          <w:p w14:paraId="48C2462E" w14:textId="77777777" w:rsidR="006501A4" w:rsidRPr="00364C60" w:rsidRDefault="006501A4" w:rsidP="00546470">
            <w:pPr>
              <w:spacing w:after="120" w:line="259" w:lineRule="auto"/>
              <w:jc w:val="left"/>
              <w:rPr>
                <w:rFonts w:eastAsia="Times New Roman" w:cstheme="minorHAnsi"/>
                <w:color w:val="000000"/>
                <w:lang w:eastAsia="en-AU"/>
              </w:rPr>
            </w:pPr>
            <w:r w:rsidRPr="008615FA">
              <w:rPr>
                <w:rFonts w:eastAsia="Times New Roman" w:cstheme="minorHAnsi"/>
                <w:color w:val="000000"/>
                <w:lang w:eastAsia="en-AU"/>
              </w:rPr>
              <w:t>145.97474</w:t>
            </w:r>
          </w:p>
        </w:tc>
        <w:tc>
          <w:tcPr>
            <w:tcW w:w="1560" w:type="dxa"/>
            <w:tcBorders>
              <w:top w:val="single" w:sz="4" w:space="0" w:color="auto"/>
              <w:left w:val="nil"/>
              <w:right w:val="nil"/>
            </w:tcBorders>
            <w:vAlign w:val="bottom"/>
          </w:tcPr>
          <w:p w14:paraId="600B27E7"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single" w:sz="4" w:space="0" w:color="auto"/>
              <w:left w:val="nil"/>
              <w:right w:val="single" w:sz="4" w:space="0" w:color="auto"/>
            </w:tcBorders>
            <w:noWrap/>
            <w:vAlign w:val="bottom"/>
          </w:tcPr>
          <w:p w14:paraId="2706B6EA"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3.87/6</w:t>
            </w:r>
          </w:p>
        </w:tc>
      </w:tr>
      <w:tr w:rsidR="006501A4" w:rsidRPr="000A0480" w14:paraId="49876F9F" w14:textId="77777777" w:rsidTr="0095397F">
        <w:trPr>
          <w:trHeight w:val="300"/>
        </w:trPr>
        <w:tc>
          <w:tcPr>
            <w:tcW w:w="2489" w:type="dxa"/>
            <w:tcBorders>
              <w:top w:val="nil"/>
              <w:left w:val="single" w:sz="4" w:space="0" w:color="auto"/>
              <w:right w:val="nil"/>
            </w:tcBorders>
            <w:noWrap/>
            <w:vAlign w:val="bottom"/>
          </w:tcPr>
          <w:p w14:paraId="78EED5C8" w14:textId="77777777" w:rsidR="006501A4" w:rsidRPr="000A0480" w:rsidRDefault="006501A4" w:rsidP="00546470">
            <w:pPr>
              <w:spacing w:after="120" w:line="259" w:lineRule="auto"/>
              <w:jc w:val="left"/>
              <w:rPr>
                <w:rFonts w:eastAsia="Times New Roman" w:cstheme="minorHAnsi"/>
                <w:i/>
                <w:color w:val="000000"/>
                <w:lang w:eastAsia="en-AU"/>
              </w:rPr>
            </w:pPr>
            <w:r>
              <w:rPr>
                <w:rFonts w:cstheme="minorHAnsi"/>
              </w:rPr>
              <w:t>T.tan_12S_assay</w:t>
            </w:r>
          </w:p>
        </w:tc>
        <w:tc>
          <w:tcPr>
            <w:tcW w:w="2694" w:type="dxa"/>
            <w:tcBorders>
              <w:top w:val="nil"/>
              <w:left w:val="nil"/>
              <w:bottom w:val="nil"/>
              <w:right w:val="nil"/>
            </w:tcBorders>
            <w:noWrap/>
            <w:vAlign w:val="bottom"/>
          </w:tcPr>
          <w:p w14:paraId="7D8C3FEE" w14:textId="77777777" w:rsidR="006501A4" w:rsidRPr="00364C60" w:rsidRDefault="006501A4" w:rsidP="00546470">
            <w:pPr>
              <w:spacing w:after="120" w:line="259" w:lineRule="auto"/>
              <w:jc w:val="left"/>
              <w:rPr>
                <w:vertAlign w:val="superscript"/>
              </w:rPr>
            </w:pPr>
            <w:r>
              <w:t>Widgiewa</w:t>
            </w:r>
            <w:r w:rsidRPr="411EFB22">
              <w:rPr>
                <w:vertAlign w:val="superscript"/>
              </w:rPr>
              <w:t>B</w:t>
            </w:r>
          </w:p>
        </w:tc>
        <w:tc>
          <w:tcPr>
            <w:tcW w:w="1412" w:type="dxa"/>
            <w:tcBorders>
              <w:top w:val="nil"/>
              <w:left w:val="nil"/>
              <w:right w:val="nil"/>
            </w:tcBorders>
          </w:tcPr>
          <w:p w14:paraId="087D8B6B" w14:textId="77777777" w:rsidR="006501A4" w:rsidRPr="00364C60" w:rsidRDefault="006501A4" w:rsidP="00546470">
            <w:pPr>
              <w:spacing w:after="120" w:line="259" w:lineRule="auto"/>
              <w:jc w:val="left"/>
              <w:rPr>
                <w:rFonts w:eastAsia="Times New Roman"/>
                <w:color w:val="000000" w:themeColor="text1"/>
                <w:lang w:eastAsia="en-AU"/>
              </w:rPr>
            </w:pPr>
            <w:r w:rsidRPr="001149C1">
              <w:rPr>
                <w:rFonts w:eastAsia="Times New Roman"/>
                <w:color w:val="000000" w:themeColor="text1"/>
                <w:lang w:eastAsia="en-AU"/>
              </w:rPr>
              <w:t>-35.06766</w:t>
            </w:r>
          </w:p>
        </w:tc>
        <w:tc>
          <w:tcPr>
            <w:tcW w:w="1559" w:type="dxa"/>
            <w:tcBorders>
              <w:top w:val="nil"/>
              <w:left w:val="nil"/>
              <w:right w:val="nil"/>
            </w:tcBorders>
          </w:tcPr>
          <w:p w14:paraId="535A4862" w14:textId="77777777" w:rsidR="006501A4" w:rsidRPr="00364C60" w:rsidRDefault="006501A4" w:rsidP="00546470">
            <w:pPr>
              <w:spacing w:after="120" w:line="259" w:lineRule="auto"/>
              <w:jc w:val="left"/>
              <w:rPr>
                <w:rFonts w:eastAsia="Times New Roman"/>
                <w:color w:val="000000" w:themeColor="text1"/>
                <w:lang w:eastAsia="en-AU"/>
              </w:rPr>
            </w:pPr>
            <w:r w:rsidRPr="001149C1">
              <w:rPr>
                <w:rFonts w:eastAsia="Times New Roman"/>
                <w:color w:val="000000" w:themeColor="text1"/>
                <w:lang w:eastAsia="en-AU"/>
              </w:rPr>
              <w:t>146.27391</w:t>
            </w:r>
          </w:p>
        </w:tc>
        <w:tc>
          <w:tcPr>
            <w:tcW w:w="1560" w:type="dxa"/>
            <w:tcBorders>
              <w:top w:val="nil"/>
              <w:left w:val="nil"/>
              <w:right w:val="nil"/>
            </w:tcBorders>
            <w:vAlign w:val="bottom"/>
          </w:tcPr>
          <w:p w14:paraId="4997C080" w14:textId="77777777" w:rsidR="006501A4" w:rsidRPr="000A0480" w:rsidRDefault="006501A4" w:rsidP="00546470">
            <w:pPr>
              <w:spacing w:after="120" w:line="259" w:lineRule="auto"/>
              <w:jc w:val="left"/>
              <w:rPr>
                <w:rFonts w:eastAsia="Times New Roman"/>
                <w:color w:val="000000"/>
                <w:lang w:eastAsia="en-AU"/>
              </w:rPr>
            </w:pPr>
            <w:r w:rsidRPr="07F48A3B">
              <w:rPr>
                <w:rFonts w:eastAsia="Times New Roman"/>
                <w:color w:val="000000" w:themeColor="text1"/>
                <w:lang w:eastAsia="en-AU"/>
              </w:rPr>
              <w:t>8/8</w:t>
            </w:r>
          </w:p>
        </w:tc>
        <w:tc>
          <w:tcPr>
            <w:tcW w:w="4056" w:type="dxa"/>
            <w:tcBorders>
              <w:top w:val="nil"/>
              <w:left w:val="nil"/>
              <w:right w:val="single" w:sz="4" w:space="0" w:color="auto"/>
            </w:tcBorders>
            <w:noWrap/>
            <w:vAlign w:val="bottom"/>
          </w:tcPr>
          <w:p w14:paraId="5DC0D3BA" w14:textId="77777777" w:rsidR="006501A4" w:rsidRPr="000A0480" w:rsidRDefault="006501A4" w:rsidP="00546470">
            <w:pPr>
              <w:spacing w:after="120" w:line="259" w:lineRule="auto"/>
              <w:jc w:val="left"/>
              <w:rPr>
                <w:rFonts w:eastAsia="Times New Roman"/>
                <w:color w:val="000000"/>
                <w:lang w:eastAsia="en-AU"/>
              </w:rPr>
            </w:pPr>
            <w:r w:rsidRPr="41C6324C">
              <w:rPr>
                <w:rFonts w:eastAsia="Times New Roman"/>
                <w:color w:val="000000" w:themeColor="text1"/>
                <w:lang w:eastAsia="en-AU"/>
              </w:rPr>
              <w:t>4.75/6</w:t>
            </w:r>
          </w:p>
        </w:tc>
      </w:tr>
      <w:tr w:rsidR="006501A4" w:rsidRPr="000A0480" w14:paraId="370BAC6E" w14:textId="77777777" w:rsidTr="0095397F">
        <w:trPr>
          <w:trHeight w:val="300"/>
        </w:trPr>
        <w:tc>
          <w:tcPr>
            <w:tcW w:w="2489" w:type="dxa"/>
            <w:tcBorders>
              <w:top w:val="single" w:sz="4" w:space="0" w:color="auto"/>
              <w:left w:val="single" w:sz="4" w:space="0" w:color="auto"/>
              <w:right w:val="nil"/>
            </w:tcBorders>
            <w:noWrap/>
            <w:vAlign w:val="bottom"/>
          </w:tcPr>
          <w:p w14:paraId="6BD1F390" w14:textId="77777777" w:rsidR="006501A4" w:rsidRPr="002273FC" w:rsidRDefault="006501A4" w:rsidP="00546470">
            <w:pPr>
              <w:spacing w:after="120" w:line="259" w:lineRule="auto"/>
              <w:jc w:val="left"/>
              <w:rPr>
                <w:rFonts w:cstheme="minorHAnsi"/>
                <w:iCs/>
              </w:rPr>
            </w:pPr>
            <w:r>
              <w:rPr>
                <w:rFonts w:cstheme="minorHAnsi"/>
                <w:iCs/>
              </w:rPr>
              <w:t>Dwarf flathead gudgeon</w:t>
            </w:r>
          </w:p>
        </w:tc>
        <w:tc>
          <w:tcPr>
            <w:tcW w:w="2694" w:type="dxa"/>
            <w:tcBorders>
              <w:top w:val="single" w:sz="4" w:space="0" w:color="auto"/>
              <w:left w:val="nil"/>
              <w:bottom w:val="nil"/>
              <w:right w:val="nil"/>
            </w:tcBorders>
            <w:noWrap/>
            <w:vAlign w:val="bottom"/>
          </w:tcPr>
          <w:p w14:paraId="7079BC1E" w14:textId="77777777" w:rsidR="006501A4" w:rsidRPr="000A0480" w:rsidRDefault="006501A4" w:rsidP="00546470">
            <w:pPr>
              <w:spacing w:after="120" w:line="259" w:lineRule="auto"/>
              <w:jc w:val="left"/>
            </w:pPr>
            <w:r w:rsidRPr="07F48A3B">
              <w:t>Aratula</w:t>
            </w:r>
            <w:r>
              <w:rPr>
                <w:rFonts w:cstheme="minorHAnsi"/>
                <w:vertAlign w:val="superscript"/>
              </w:rPr>
              <w:t>C</w:t>
            </w:r>
            <w:r w:rsidRPr="07F48A3B">
              <w:t xml:space="preserve"> </w:t>
            </w:r>
          </w:p>
        </w:tc>
        <w:tc>
          <w:tcPr>
            <w:tcW w:w="1412" w:type="dxa"/>
            <w:tcBorders>
              <w:top w:val="single" w:sz="4" w:space="0" w:color="auto"/>
              <w:left w:val="nil"/>
              <w:right w:val="nil"/>
            </w:tcBorders>
          </w:tcPr>
          <w:p w14:paraId="0932BED1" w14:textId="77777777" w:rsidR="006501A4" w:rsidRPr="00364C60" w:rsidRDefault="006501A4" w:rsidP="00546470">
            <w:pPr>
              <w:spacing w:after="120" w:line="259" w:lineRule="auto"/>
              <w:jc w:val="left"/>
              <w:rPr>
                <w:rFonts w:eastAsia="Times New Roman" w:cstheme="minorHAnsi"/>
                <w:color w:val="000000"/>
                <w:lang w:eastAsia="en-AU"/>
              </w:rPr>
            </w:pPr>
            <w:r w:rsidRPr="00184986">
              <w:rPr>
                <w:rFonts w:eastAsia="Times New Roman" w:cstheme="minorHAnsi"/>
                <w:color w:val="000000"/>
                <w:lang w:eastAsia="en-AU"/>
              </w:rPr>
              <w:t>-35.81155</w:t>
            </w:r>
          </w:p>
        </w:tc>
        <w:tc>
          <w:tcPr>
            <w:tcW w:w="1559" w:type="dxa"/>
            <w:tcBorders>
              <w:top w:val="single" w:sz="4" w:space="0" w:color="auto"/>
              <w:left w:val="nil"/>
              <w:right w:val="nil"/>
            </w:tcBorders>
          </w:tcPr>
          <w:p w14:paraId="7ACF0B66" w14:textId="77777777" w:rsidR="006501A4" w:rsidRPr="00364C60" w:rsidRDefault="006501A4" w:rsidP="00546470">
            <w:pPr>
              <w:spacing w:after="120" w:line="259" w:lineRule="auto"/>
              <w:jc w:val="left"/>
              <w:rPr>
                <w:rFonts w:eastAsia="Times New Roman" w:cstheme="minorHAnsi"/>
                <w:color w:val="000000"/>
                <w:lang w:eastAsia="en-AU"/>
              </w:rPr>
            </w:pPr>
            <w:r w:rsidRPr="00184986">
              <w:rPr>
                <w:rFonts w:eastAsia="Times New Roman" w:cstheme="minorHAnsi"/>
                <w:color w:val="000000"/>
                <w:lang w:eastAsia="en-AU"/>
              </w:rPr>
              <w:t>145.2227</w:t>
            </w:r>
          </w:p>
        </w:tc>
        <w:tc>
          <w:tcPr>
            <w:tcW w:w="1560" w:type="dxa"/>
            <w:tcBorders>
              <w:top w:val="single" w:sz="4" w:space="0" w:color="auto"/>
              <w:left w:val="nil"/>
              <w:right w:val="nil"/>
            </w:tcBorders>
            <w:vAlign w:val="bottom"/>
          </w:tcPr>
          <w:p w14:paraId="73F54016"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8/8</w:t>
            </w:r>
          </w:p>
        </w:tc>
        <w:tc>
          <w:tcPr>
            <w:tcW w:w="4056" w:type="dxa"/>
            <w:tcBorders>
              <w:top w:val="single" w:sz="4" w:space="0" w:color="auto"/>
              <w:left w:val="nil"/>
              <w:right w:val="single" w:sz="4" w:space="0" w:color="auto"/>
            </w:tcBorders>
            <w:noWrap/>
            <w:vAlign w:val="bottom"/>
          </w:tcPr>
          <w:p w14:paraId="22A88BE6"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6/6</w:t>
            </w:r>
          </w:p>
        </w:tc>
      </w:tr>
      <w:tr w:rsidR="006501A4" w:rsidRPr="000A0480" w14:paraId="13999F7F" w14:textId="77777777" w:rsidTr="0095397F">
        <w:trPr>
          <w:trHeight w:val="300"/>
        </w:trPr>
        <w:tc>
          <w:tcPr>
            <w:tcW w:w="2489" w:type="dxa"/>
            <w:tcBorders>
              <w:top w:val="nil"/>
              <w:left w:val="single" w:sz="4" w:space="0" w:color="auto"/>
              <w:right w:val="nil"/>
            </w:tcBorders>
            <w:noWrap/>
            <w:vAlign w:val="bottom"/>
          </w:tcPr>
          <w:p w14:paraId="55E2C270" w14:textId="77777777" w:rsidR="006501A4" w:rsidRPr="000A0480" w:rsidRDefault="006501A4" w:rsidP="00546470">
            <w:pPr>
              <w:spacing w:after="120" w:line="259" w:lineRule="auto"/>
              <w:jc w:val="left"/>
              <w:rPr>
                <w:rFonts w:eastAsia="Times New Roman" w:cstheme="minorHAnsi"/>
                <w:i/>
                <w:color w:val="000000"/>
                <w:lang w:eastAsia="en-AU"/>
              </w:rPr>
            </w:pPr>
            <w:r>
              <w:rPr>
                <w:rFonts w:cstheme="minorHAnsi"/>
              </w:rPr>
              <w:t>P.mac_12S_assay</w:t>
            </w:r>
          </w:p>
        </w:tc>
        <w:tc>
          <w:tcPr>
            <w:tcW w:w="2694" w:type="dxa"/>
            <w:tcBorders>
              <w:top w:val="nil"/>
              <w:left w:val="nil"/>
              <w:bottom w:val="nil"/>
              <w:right w:val="nil"/>
            </w:tcBorders>
            <w:noWrap/>
            <w:vAlign w:val="bottom"/>
          </w:tcPr>
          <w:p w14:paraId="774A31A7" w14:textId="77777777" w:rsidR="006501A4" w:rsidRPr="000A0480" w:rsidRDefault="006501A4" w:rsidP="00546470">
            <w:pPr>
              <w:spacing w:after="120" w:line="259" w:lineRule="auto"/>
              <w:jc w:val="left"/>
              <w:rPr>
                <w:rFonts w:cstheme="minorHAnsi"/>
                <w:vertAlign w:val="superscript"/>
              </w:rPr>
            </w:pPr>
            <w:r>
              <w:rPr>
                <w:rFonts w:cstheme="minorHAnsi"/>
              </w:rPr>
              <w:t>Broken River Lagoon</w:t>
            </w:r>
            <w:r>
              <w:rPr>
                <w:rFonts w:cstheme="minorHAnsi"/>
                <w:vertAlign w:val="superscript"/>
              </w:rPr>
              <w:t>D</w:t>
            </w:r>
          </w:p>
        </w:tc>
        <w:tc>
          <w:tcPr>
            <w:tcW w:w="1412" w:type="dxa"/>
            <w:tcBorders>
              <w:top w:val="nil"/>
              <w:left w:val="nil"/>
              <w:right w:val="nil"/>
            </w:tcBorders>
          </w:tcPr>
          <w:p w14:paraId="745FD43E" w14:textId="77777777" w:rsidR="006501A4" w:rsidRPr="00364C60" w:rsidRDefault="006501A4" w:rsidP="00546470">
            <w:pPr>
              <w:spacing w:after="120" w:line="259" w:lineRule="auto"/>
              <w:jc w:val="left"/>
              <w:rPr>
                <w:rFonts w:eastAsia="Times New Roman" w:cstheme="minorHAnsi"/>
                <w:color w:val="000000"/>
                <w:lang w:eastAsia="en-AU"/>
              </w:rPr>
            </w:pPr>
            <w:r w:rsidRPr="00D2708B">
              <w:rPr>
                <w:rFonts w:eastAsia="Times New Roman" w:cstheme="minorHAnsi"/>
                <w:color w:val="000000"/>
                <w:lang w:eastAsia="en-AU"/>
              </w:rPr>
              <w:t>-35.92899</w:t>
            </w:r>
          </w:p>
        </w:tc>
        <w:tc>
          <w:tcPr>
            <w:tcW w:w="1559" w:type="dxa"/>
            <w:tcBorders>
              <w:top w:val="nil"/>
              <w:left w:val="nil"/>
              <w:right w:val="nil"/>
            </w:tcBorders>
          </w:tcPr>
          <w:p w14:paraId="1B5E430A" w14:textId="77777777" w:rsidR="006501A4" w:rsidRPr="00364C60" w:rsidRDefault="006501A4" w:rsidP="00546470">
            <w:pPr>
              <w:spacing w:after="120" w:line="259" w:lineRule="auto"/>
              <w:jc w:val="left"/>
              <w:rPr>
                <w:rFonts w:eastAsia="Times New Roman" w:cstheme="minorHAnsi"/>
                <w:color w:val="000000"/>
                <w:lang w:eastAsia="en-AU"/>
              </w:rPr>
            </w:pPr>
            <w:r w:rsidRPr="004148B3">
              <w:rPr>
                <w:rFonts w:eastAsia="Times New Roman" w:cstheme="minorHAnsi"/>
                <w:color w:val="000000"/>
                <w:lang w:eastAsia="en-AU"/>
              </w:rPr>
              <w:t>144.45065</w:t>
            </w:r>
          </w:p>
        </w:tc>
        <w:tc>
          <w:tcPr>
            <w:tcW w:w="1560" w:type="dxa"/>
            <w:tcBorders>
              <w:top w:val="nil"/>
              <w:left w:val="nil"/>
              <w:right w:val="nil"/>
            </w:tcBorders>
            <w:vAlign w:val="bottom"/>
          </w:tcPr>
          <w:p w14:paraId="0A3E9B7F"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7/8</w:t>
            </w:r>
          </w:p>
        </w:tc>
        <w:tc>
          <w:tcPr>
            <w:tcW w:w="4056" w:type="dxa"/>
            <w:tcBorders>
              <w:top w:val="nil"/>
              <w:left w:val="nil"/>
              <w:right w:val="single" w:sz="4" w:space="0" w:color="auto"/>
            </w:tcBorders>
            <w:noWrap/>
            <w:vAlign w:val="bottom"/>
          </w:tcPr>
          <w:p w14:paraId="1EE007D8" w14:textId="77777777" w:rsidR="006501A4" w:rsidRPr="000A0480" w:rsidRDefault="006501A4" w:rsidP="00546470">
            <w:pPr>
              <w:spacing w:after="120" w:line="259" w:lineRule="auto"/>
              <w:jc w:val="left"/>
              <w:rPr>
                <w:rFonts w:eastAsia="Times New Roman" w:cstheme="minorHAnsi"/>
                <w:color w:val="000000"/>
                <w:lang w:eastAsia="en-AU"/>
              </w:rPr>
            </w:pPr>
            <w:r>
              <w:rPr>
                <w:rFonts w:eastAsia="Times New Roman" w:cstheme="minorHAnsi"/>
                <w:color w:val="000000"/>
                <w:lang w:eastAsia="en-AU"/>
              </w:rPr>
              <w:t>3.62/6</w:t>
            </w:r>
          </w:p>
        </w:tc>
      </w:tr>
      <w:tr w:rsidR="006501A4" w:rsidRPr="000A0480" w14:paraId="100DB2A5" w14:textId="77777777" w:rsidTr="0095397F">
        <w:trPr>
          <w:trHeight w:val="300"/>
        </w:trPr>
        <w:tc>
          <w:tcPr>
            <w:tcW w:w="2489" w:type="dxa"/>
            <w:tcBorders>
              <w:top w:val="single" w:sz="4" w:space="0" w:color="auto"/>
              <w:left w:val="single" w:sz="4" w:space="0" w:color="auto"/>
              <w:right w:val="nil"/>
            </w:tcBorders>
            <w:noWrap/>
            <w:vAlign w:val="bottom"/>
          </w:tcPr>
          <w:p w14:paraId="07887D31" w14:textId="77777777" w:rsidR="006501A4" w:rsidRPr="002273FC" w:rsidRDefault="006501A4" w:rsidP="00546470">
            <w:pPr>
              <w:spacing w:after="120" w:line="259" w:lineRule="auto"/>
              <w:jc w:val="left"/>
              <w:rPr>
                <w:rFonts w:cstheme="minorHAnsi"/>
                <w:iCs/>
              </w:rPr>
            </w:pPr>
            <w:r w:rsidRPr="002273FC">
              <w:rPr>
                <w:rFonts w:cstheme="minorHAnsi"/>
                <w:iCs/>
              </w:rPr>
              <w:t>Murray crayfish</w:t>
            </w:r>
          </w:p>
        </w:tc>
        <w:tc>
          <w:tcPr>
            <w:tcW w:w="2694" w:type="dxa"/>
            <w:tcBorders>
              <w:top w:val="single" w:sz="4" w:space="0" w:color="auto"/>
              <w:left w:val="nil"/>
              <w:right w:val="nil"/>
            </w:tcBorders>
            <w:noWrap/>
            <w:vAlign w:val="bottom"/>
          </w:tcPr>
          <w:p w14:paraId="1A37812B" w14:textId="77777777" w:rsidR="006501A4" w:rsidRPr="000A0480" w:rsidRDefault="006501A4" w:rsidP="00546470">
            <w:pPr>
              <w:spacing w:after="120" w:line="259" w:lineRule="auto"/>
              <w:jc w:val="left"/>
              <w:rPr>
                <w:rFonts w:cstheme="minorHAnsi"/>
              </w:rPr>
            </w:pPr>
            <w:r>
              <w:rPr>
                <w:rFonts w:cstheme="minorHAnsi"/>
              </w:rPr>
              <w:t>Buckingbong Boat ramp</w:t>
            </w:r>
            <w:r>
              <w:rPr>
                <w:rFonts w:cstheme="minorHAnsi"/>
                <w:vertAlign w:val="superscript"/>
              </w:rPr>
              <w:t>A</w:t>
            </w:r>
          </w:p>
        </w:tc>
        <w:tc>
          <w:tcPr>
            <w:tcW w:w="1412" w:type="dxa"/>
            <w:tcBorders>
              <w:top w:val="single" w:sz="4" w:space="0" w:color="auto"/>
              <w:left w:val="nil"/>
              <w:right w:val="nil"/>
            </w:tcBorders>
          </w:tcPr>
          <w:p w14:paraId="5E630338" w14:textId="77777777" w:rsidR="006501A4" w:rsidRPr="00364C60" w:rsidRDefault="006501A4" w:rsidP="00546470">
            <w:pPr>
              <w:spacing w:after="120" w:line="259" w:lineRule="auto"/>
              <w:jc w:val="left"/>
              <w:rPr>
                <w:rFonts w:eastAsia="Times New Roman"/>
                <w:color w:val="000000" w:themeColor="text1"/>
                <w:lang w:eastAsia="en-AU"/>
              </w:rPr>
            </w:pPr>
            <w:r w:rsidRPr="00F24C09">
              <w:rPr>
                <w:rFonts w:eastAsia="Times New Roman"/>
                <w:color w:val="000000" w:themeColor="text1"/>
                <w:lang w:eastAsia="en-AU"/>
              </w:rPr>
              <w:t>-34.80233</w:t>
            </w:r>
          </w:p>
        </w:tc>
        <w:tc>
          <w:tcPr>
            <w:tcW w:w="1559" w:type="dxa"/>
            <w:tcBorders>
              <w:top w:val="single" w:sz="4" w:space="0" w:color="auto"/>
              <w:left w:val="nil"/>
              <w:right w:val="nil"/>
            </w:tcBorders>
          </w:tcPr>
          <w:p w14:paraId="177F68D1" w14:textId="77777777" w:rsidR="006501A4" w:rsidRPr="00364C60" w:rsidRDefault="006501A4" w:rsidP="00546470">
            <w:pPr>
              <w:spacing w:after="120" w:line="259" w:lineRule="auto"/>
              <w:jc w:val="left"/>
              <w:rPr>
                <w:rFonts w:eastAsia="Times New Roman"/>
                <w:color w:val="000000" w:themeColor="text1"/>
                <w:lang w:eastAsia="en-AU"/>
              </w:rPr>
            </w:pPr>
            <w:r w:rsidRPr="00E64D13">
              <w:rPr>
                <w:rFonts w:eastAsia="Times New Roman"/>
                <w:color w:val="000000" w:themeColor="text1"/>
                <w:lang w:eastAsia="en-AU"/>
              </w:rPr>
              <w:t>146.61735</w:t>
            </w:r>
          </w:p>
        </w:tc>
        <w:tc>
          <w:tcPr>
            <w:tcW w:w="1560" w:type="dxa"/>
            <w:tcBorders>
              <w:top w:val="single" w:sz="4" w:space="0" w:color="auto"/>
              <w:left w:val="nil"/>
              <w:right w:val="nil"/>
            </w:tcBorders>
            <w:vAlign w:val="bottom"/>
          </w:tcPr>
          <w:p w14:paraId="0DE4DBDE" w14:textId="77777777" w:rsidR="006501A4" w:rsidRPr="000A0480" w:rsidRDefault="006501A4" w:rsidP="00546470">
            <w:pPr>
              <w:spacing w:after="120" w:line="259" w:lineRule="auto"/>
              <w:jc w:val="left"/>
              <w:rPr>
                <w:rFonts w:eastAsia="Times New Roman"/>
                <w:color w:val="000000"/>
                <w:lang w:eastAsia="en-AU"/>
              </w:rPr>
            </w:pPr>
            <w:r w:rsidRPr="07F48A3B">
              <w:rPr>
                <w:rFonts w:eastAsia="Times New Roman"/>
                <w:color w:val="000000" w:themeColor="text1"/>
                <w:lang w:eastAsia="en-AU"/>
              </w:rPr>
              <w:t>8/8</w:t>
            </w:r>
          </w:p>
        </w:tc>
        <w:tc>
          <w:tcPr>
            <w:tcW w:w="4056" w:type="dxa"/>
            <w:tcBorders>
              <w:top w:val="single" w:sz="4" w:space="0" w:color="auto"/>
              <w:left w:val="nil"/>
              <w:right w:val="single" w:sz="4" w:space="0" w:color="auto"/>
            </w:tcBorders>
            <w:noWrap/>
            <w:vAlign w:val="bottom"/>
          </w:tcPr>
          <w:p w14:paraId="1FD38122" w14:textId="77777777" w:rsidR="006501A4" w:rsidRPr="000A0480" w:rsidRDefault="006501A4" w:rsidP="00546470">
            <w:pPr>
              <w:spacing w:after="120" w:line="259" w:lineRule="auto"/>
              <w:jc w:val="left"/>
              <w:rPr>
                <w:rFonts w:eastAsia="Times New Roman"/>
                <w:color w:val="000000"/>
                <w:lang w:eastAsia="en-AU"/>
              </w:rPr>
            </w:pPr>
            <w:r w:rsidRPr="07F48A3B">
              <w:rPr>
                <w:rFonts w:eastAsia="Times New Roman"/>
                <w:color w:val="000000" w:themeColor="text1"/>
                <w:lang w:eastAsia="en-AU"/>
              </w:rPr>
              <w:t>1.25/6</w:t>
            </w:r>
          </w:p>
        </w:tc>
      </w:tr>
      <w:tr w:rsidR="006501A4" w:rsidRPr="000A0480" w14:paraId="292E06BA" w14:textId="77777777" w:rsidTr="0095397F">
        <w:trPr>
          <w:trHeight w:val="300"/>
        </w:trPr>
        <w:tc>
          <w:tcPr>
            <w:tcW w:w="2489" w:type="dxa"/>
            <w:tcBorders>
              <w:top w:val="nil"/>
              <w:left w:val="single" w:sz="4" w:space="0" w:color="auto"/>
              <w:bottom w:val="single" w:sz="4" w:space="0" w:color="auto"/>
              <w:right w:val="nil"/>
            </w:tcBorders>
            <w:noWrap/>
            <w:vAlign w:val="bottom"/>
          </w:tcPr>
          <w:p w14:paraId="788B2DBE" w14:textId="77777777" w:rsidR="006501A4" w:rsidRPr="000A0480" w:rsidRDefault="006501A4" w:rsidP="00546470">
            <w:pPr>
              <w:spacing w:after="120" w:line="259" w:lineRule="auto"/>
              <w:jc w:val="left"/>
              <w:rPr>
                <w:rFonts w:eastAsia="Times New Roman" w:cstheme="minorHAnsi"/>
                <w:color w:val="000000"/>
                <w:lang w:eastAsia="en-AU"/>
              </w:rPr>
            </w:pPr>
            <w:r>
              <w:rPr>
                <w:rFonts w:cstheme="minorHAnsi"/>
              </w:rPr>
              <w:t>E.arm_12S_assay</w:t>
            </w:r>
          </w:p>
        </w:tc>
        <w:tc>
          <w:tcPr>
            <w:tcW w:w="2694" w:type="dxa"/>
            <w:tcBorders>
              <w:top w:val="nil"/>
              <w:left w:val="nil"/>
              <w:bottom w:val="single" w:sz="4" w:space="0" w:color="auto"/>
              <w:right w:val="nil"/>
            </w:tcBorders>
            <w:noWrap/>
            <w:vAlign w:val="bottom"/>
          </w:tcPr>
          <w:p w14:paraId="0E66CF02" w14:textId="77777777" w:rsidR="006501A4" w:rsidRPr="000A0480" w:rsidRDefault="006501A4" w:rsidP="00546470">
            <w:pPr>
              <w:spacing w:after="120" w:line="259" w:lineRule="auto"/>
              <w:jc w:val="left"/>
              <w:rPr>
                <w:rFonts w:cstheme="minorHAnsi"/>
                <w:vertAlign w:val="superscript"/>
              </w:rPr>
            </w:pPr>
            <w:r>
              <w:rPr>
                <w:rFonts w:cstheme="minorHAnsi"/>
              </w:rPr>
              <w:t>Narrandera Boat ramp</w:t>
            </w:r>
            <w:r>
              <w:rPr>
                <w:rFonts w:cstheme="minorHAnsi"/>
                <w:vertAlign w:val="superscript"/>
              </w:rPr>
              <w:t>A</w:t>
            </w:r>
            <w:r>
              <w:rPr>
                <w:rFonts w:cstheme="minorHAnsi"/>
              </w:rPr>
              <w:t xml:space="preserve"> </w:t>
            </w:r>
          </w:p>
        </w:tc>
        <w:tc>
          <w:tcPr>
            <w:tcW w:w="1412" w:type="dxa"/>
            <w:tcBorders>
              <w:top w:val="nil"/>
              <w:left w:val="nil"/>
              <w:bottom w:val="single" w:sz="4" w:space="0" w:color="auto"/>
              <w:right w:val="nil"/>
            </w:tcBorders>
          </w:tcPr>
          <w:p w14:paraId="1920324E" w14:textId="77777777" w:rsidR="006501A4" w:rsidRPr="00364C60" w:rsidRDefault="006501A4" w:rsidP="00546470">
            <w:pPr>
              <w:spacing w:after="120" w:line="259" w:lineRule="auto"/>
              <w:jc w:val="left"/>
              <w:rPr>
                <w:rFonts w:eastAsia="Times New Roman"/>
                <w:color w:val="000000" w:themeColor="text1"/>
                <w:lang w:eastAsia="en-AU"/>
              </w:rPr>
            </w:pPr>
            <w:r w:rsidRPr="00E64D13">
              <w:rPr>
                <w:rFonts w:eastAsia="Times New Roman"/>
                <w:color w:val="000000" w:themeColor="text1"/>
                <w:lang w:eastAsia="en-AU"/>
              </w:rPr>
              <w:t>-34.75456</w:t>
            </w:r>
          </w:p>
        </w:tc>
        <w:tc>
          <w:tcPr>
            <w:tcW w:w="1559" w:type="dxa"/>
            <w:tcBorders>
              <w:top w:val="nil"/>
              <w:left w:val="nil"/>
              <w:bottom w:val="single" w:sz="4" w:space="0" w:color="auto"/>
              <w:right w:val="nil"/>
            </w:tcBorders>
          </w:tcPr>
          <w:p w14:paraId="0336A51E" w14:textId="77777777" w:rsidR="006501A4" w:rsidRPr="00364C60" w:rsidRDefault="006501A4" w:rsidP="00546470">
            <w:pPr>
              <w:spacing w:after="120" w:line="259" w:lineRule="auto"/>
              <w:jc w:val="left"/>
              <w:rPr>
                <w:rFonts w:eastAsia="Times New Roman"/>
                <w:color w:val="000000" w:themeColor="text1"/>
                <w:lang w:eastAsia="en-AU"/>
              </w:rPr>
            </w:pPr>
            <w:r w:rsidRPr="00C03948">
              <w:rPr>
                <w:rFonts w:eastAsia="Times New Roman"/>
                <w:color w:val="000000" w:themeColor="text1"/>
                <w:lang w:eastAsia="en-AU"/>
              </w:rPr>
              <w:t>146.55255</w:t>
            </w:r>
          </w:p>
        </w:tc>
        <w:tc>
          <w:tcPr>
            <w:tcW w:w="1560" w:type="dxa"/>
            <w:tcBorders>
              <w:top w:val="nil"/>
              <w:left w:val="nil"/>
              <w:bottom w:val="single" w:sz="4" w:space="0" w:color="auto"/>
              <w:right w:val="nil"/>
            </w:tcBorders>
            <w:vAlign w:val="bottom"/>
          </w:tcPr>
          <w:p w14:paraId="62692E03" w14:textId="77777777" w:rsidR="006501A4" w:rsidRPr="000A0480" w:rsidRDefault="006501A4" w:rsidP="00546470">
            <w:pPr>
              <w:spacing w:after="120" w:line="259" w:lineRule="auto"/>
              <w:jc w:val="left"/>
              <w:rPr>
                <w:rFonts w:eastAsia="Times New Roman"/>
                <w:color w:val="000000"/>
                <w:lang w:eastAsia="en-AU"/>
              </w:rPr>
            </w:pPr>
            <w:r w:rsidRPr="07F48A3B">
              <w:rPr>
                <w:rFonts w:eastAsia="Times New Roman"/>
                <w:color w:val="000000" w:themeColor="text1"/>
                <w:lang w:eastAsia="en-AU"/>
              </w:rPr>
              <w:t>6/8</w:t>
            </w:r>
          </w:p>
        </w:tc>
        <w:tc>
          <w:tcPr>
            <w:tcW w:w="4056" w:type="dxa"/>
            <w:tcBorders>
              <w:top w:val="nil"/>
              <w:left w:val="nil"/>
              <w:bottom w:val="single" w:sz="4" w:space="0" w:color="auto"/>
              <w:right w:val="single" w:sz="4" w:space="0" w:color="auto"/>
            </w:tcBorders>
            <w:noWrap/>
            <w:vAlign w:val="bottom"/>
          </w:tcPr>
          <w:p w14:paraId="7817192F" w14:textId="77777777" w:rsidR="006501A4" w:rsidRPr="000A0480" w:rsidRDefault="006501A4" w:rsidP="00546470">
            <w:pPr>
              <w:spacing w:after="120" w:line="259" w:lineRule="auto"/>
              <w:jc w:val="left"/>
              <w:rPr>
                <w:rFonts w:eastAsia="Times New Roman"/>
                <w:color w:val="000000"/>
                <w:lang w:eastAsia="en-AU"/>
              </w:rPr>
            </w:pPr>
            <w:r w:rsidRPr="07F48A3B">
              <w:rPr>
                <w:rFonts w:eastAsia="Times New Roman"/>
                <w:color w:val="000000" w:themeColor="text1"/>
                <w:lang w:eastAsia="en-AU"/>
              </w:rPr>
              <w:t>1.75/6</w:t>
            </w:r>
          </w:p>
        </w:tc>
      </w:tr>
    </w:tbl>
    <w:p w14:paraId="65C4E1B6" w14:textId="77777777" w:rsidR="006501A4" w:rsidRPr="00D86F7C" w:rsidRDefault="006501A4" w:rsidP="00546470">
      <w:pPr>
        <w:spacing w:after="120" w:line="259" w:lineRule="auto"/>
        <w:jc w:val="left"/>
        <w:rPr>
          <w:sz w:val="20"/>
        </w:rPr>
      </w:pPr>
      <w:r w:rsidRPr="00D86F7C">
        <w:rPr>
          <w:sz w:val="20"/>
          <w:vertAlign w:val="superscript"/>
        </w:rPr>
        <w:t>†</w:t>
      </w:r>
      <w:r w:rsidRPr="00D86F7C">
        <w:rPr>
          <w:sz w:val="20"/>
        </w:rPr>
        <w:t>Confirmed through sequencing a single replicate from 50% of positive samples.</w:t>
      </w:r>
    </w:p>
    <w:p w14:paraId="4D1402A5" w14:textId="77777777" w:rsidR="006501A4" w:rsidRPr="00D86F7C" w:rsidRDefault="006501A4" w:rsidP="00546470">
      <w:pPr>
        <w:spacing w:after="120" w:line="259" w:lineRule="auto"/>
        <w:jc w:val="left"/>
        <w:rPr>
          <w:sz w:val="20"/>
        </w:rPr>
      </w:pPr>
      <w:r w:rsidRPr="00D86F7C">
        <w:rPr>
          <w:sz w:val="20"/>
          <w:vertAlign w:val="superscript"/>
        </w:rPr>
        <w:t>A</w:t>
      </w:r>
      <w:r w:rsidRPr="00D86F7C">
        <w:rPr>
          <w:sz w:val="20"/>
        </w:rPr>
        <w:t xml:space="preserve">Murrumbidgee River, </w:t>
      </w:r>
      <w:r w:rsidRPr="00D86F7C">
        <w:rPr>
          <w:sz w:val="20"/>
          <w:vertAlign w:val="superscript"/>
        </w:rPr>
        <w:t>B</w:t>
      </w:r>
      <w:r w:rsidRPr="00D86F7C">
        <w:rPr>
          <w:sz w:val="20"/>
        </w:rPr>
        <w:t xml:space="preserve">Colombo Creek, </w:t>
      </w:r>
      <w:r w:rsidRPr="00D86F7C">
        <w:rPr>
          <w:sz w:val="20"/>
          <w:vertAlign w:val="superscript"/>
        </w:rPr>
        <w:t>C</w:t>
      </w:r>
      <w:r w:rsidRPr="00D86F7C">
        <w:rPr>
          <w:sz w:val="20"/>
        </w:rPr>
        <w:t xml:space="preserve">Aratula Creek, </w:t>
      </w:r>
      <w:r w:rsidRPr="00D86F7C">
        <w:rPr>
          <w:sz w:val="20"/>
          <w:vertAlign w:val="superscript"/>
        </w:rPr>
        <w:t>D</w:t>
      </w:r>
      <w:r w:rsidRPr="00D86F7C">
        <w:rPr>
          <w:sz w:val="20"/>
        </w:rPr>
        <w:t>Murray River</w:t>
      </w:r>
    </w:p>
    <w:p w14:paraId="13B653A1" w14:textId="77777777" w:rsidR="006501A4" w:rsidRDefault="006501A4" w:rsidP="00546470">
      <w:pPr>
        <w:spacing w:after="120" w:line="259" w:lineRule="auto"/>
        <w:jc w:val="left"/>
        <w:rPr>
          <w:rFonts w:cstheme="minorHAnsi"/>
          <w:b/>
          <w:i/>
          <w:color w:val="31849B"/>
          <w:sz w:val="28"/>
          <w:szCs w:val="28"/>
        </w:rPr>
        <w:sectPr w:rsidR="006501A4" w:rsidSect="0095397F">
          <w:pgSz w:w="16838" w:h="11906" w:orient="landscape"/>
          <w:pgMar w:top="1440" w:right="1440" w:bottom="1440" w:left="1440" w:header="708" w:footer="708" w:gutter="0"/>
          <w:cols w:space="708"/>
          <w:docGrid w:linePitch="360"/>
        </w:sectPr>
      </w:pPr>
    </w:p>
    <w:p w14:paraId="54B2F93D" w14:textId="77777777" w:rsidR="006501A4" w:rsidRPr="00B0188B" w:rsidRDefault="006501A4" w:rsidP="00546470">
      <w:pPr>
        <w:spacing w:after="120" w:line="259" w:lineRule="auto"/>
        <w:jc w:val="left"/>
        <w:rPr>
          <w:rFonts w:cstheme="minorHAnsi"/>
          <w:b/>
          <w:i/>
          <w:color w:val="31849B"/>
          <w:sz w:val="28"/>
          <w:szCs w:val="28"/>
        </w:rPr>
      </w:pPr>
      <w:r w:rsidRPr="00B0188B">
        <w:rPr>
          <w:rFonts w:cstheme="minorHAnsi"/>
          <w:b/>
          <w:i/>
          <w:color w:val="31849B"/>
          <w:sz w:val="28"/>
          <w:szCs w:val="28"/>
        </w:rPr>
        <w:t xml:space="preserve">Environmental DNA monitoring survey </w:t>
      </w:r>
    </w:p>
    <w:p w14:paraId="71108A60" w14:textId="77777777" w:rsidR="006501A4" w:rsidRPr="00680C4D" w:rsidRDefault="006501A4" w:rsidP="00546470">
      <w:pPr>
        <w:spacing w:after="120" w:line="259" w:lineRule="auto"/>
        <w:jc w:val="left"/>
      </w:pPr>
      <w:r w:rsidRPr="00680C4D">
        <w:t>Water turbidity was between 1.4 and 102 NTU and this affected the volume of water that could be passed through the filter before it became clogged with debris. The total volume of water filtered from each site ranged from 7.26 to 11.83 L (</w:t>
      </w:r>
      <w:r>
        <w:t>Appendix 12.2</w:t>
      </w:r>
      <w:r w:rsidRPr="00364C60">
        <w:t>).</w:t>
      </w:r>
      <w:r w:rsidRPr="00680C4D">
        <w:t xml:space="preserve"> All qPCR equipment controls, negative extraction controls and negative PCR controls did not amplify eDNA for the target species, indicating there was no contamination of the samples. The PCR positive control and internal positive control (Exo-IPC) amplified as expected and thus confirmed that the qPCR reaction was successful and that samples were not affected by inhibition.</w:t>
      </w:r>
    </w:p>
    <w:p w14:paraId="22997053" w14:textId="2708AA4F" w:rsidR="006501A4" w:rsidRDefault="006501A4" w:rsidP="00546470">
      <w:pPr>
        <w:spacing w:after="120" w:line="259" w:lineRule="auto"/>
        <w:jc w:val="left"/>
      </w:pPr>
      <w:r w:rsidRPr="00364C60">
        <w:t xml:space="preserve">Murray cod were detected at 8 of 10 sites (Figure 12.2, 12.3a, Appendix </w:t>
      </w:r>
      <w:r>
        <w:t>12.4</w:t>
      </w:r>
      <w:r w:rsidRPr="00364C60">
        <w:t xml:space="preserve">). At the remaining two sites Stoney Crossing and Gee Gee Bridge there were detections in a single </w:t>
      </w:r>
      <w:r>
        <w:t>q</w:t>
      </w:r>
      <w:r w:rsidRPr="00364C60">
        <w:t xml:space="preserve">PCR replicate for two water samples and one water sample respectively. </w:t>
      </w:r>
      <w:r>
        <w:t xml:space="preserve">A further 12 qPCRs were carried out and these detections could not be replicated, suggesting </w:t>
      </w:r>
      <w:r w:rsidRPr="00364C60">
        <w:t xml:space="preserve">these </w:t>
      </w:r>
      <w:r>
        <w:t xml:space="preserve">were </w:t>
      </w:r>
      <w:r w:rsidRPr="00364C60">
        <w:t>false positives. Trout cod were detected at 4 of 10 sites (Figure 12.2, 12.3b, Appendix</w:t>
      </w:r>
      <w:r>
        <w:t xml:space="preserve"> 12.5</w:t>
      </w:r>
      <w:r w:rsidRPr="00364C60">
        <w:t>), with Four Posts standing out as having the highest proportion of positive detections of all the sites sampled. Silver perch were detected in 7 of 10 sites (Figure 12.2, 12.3</w:t>
      </w:r>
      <w:r>
        <w:t>c</w:t>
      </w:r>
      <w:r w:rsidRPr="00364C60">
        <w:t xml:space="preserve">, Appendix </w:t>
      </w:r>
      <w:r>
        <w:t>12.6</w:t>
      </w:r>
      <w:r w:rsidRPr="00364C60">
        <w:t xml:space="preserve">). However, </w:t>
      </w:r>
      <w:r>
        <w:t>there was a lo</w:t>
      </w:r>
      <w:r w:rsidRPr="00364C60">
        <w:t xml:space="preserve">wer </w:t>
      </w:r>
      <w:r>
        <w:t>proportion of</w:t>
      </w:r>
      <w:r w:rsidRPr="00364C60">
        <w:t xml:space="preserve"> positive qPCR </w:t>
      </w:r>
      <w:r>
        <w:t>technical replicates</w:t>
      </w:r>
      <w:r w:rsidRPr="00364C60">
        <w:t xml:space="preserve"> per sample per site</w:t>
      </w:r>
      <w:r>
        <w:t xml:space="preserve"> than Murray cod</w:t>
      </w:r>
      <w:r w:rsidRPr="00364C60">
        <w:t xml:space="preserve">. Redfin perch were detected at </w:t>
      </w:r>
      <w:r>
        <w:t>a single</w:t>
      </w:r>
      <w:r w:rsidRPr="00364C60">
        <w:t xml:space="preserve"> site</w:t>
      </w:r>
      <w:r>
        <w:t xml:space="preserve">, </w:t>
      </w:r>
      <w:r w:rsidRPr="00364C60">
        <w:t>S</w:t>
      </w:r>
      <w:r>
        <w:t>toney Creek Crossing (Figure 12.2, 12.3b, Appendix 12.7)</w:t>
      </w:r>
      <w:r w:rsidRPr="00364C60">
        <w:t xml:space="preserve">. Platypus were not detected at any of the 10 sites (Appendix </w:t>
      </w:r>
      <w:r>
        <w:t>12.8</w:t>
      </w:r>
      <w:r w:rsidRPr="00364C60">
        <w:t>). At two sites Four Posts and Widgee</w:t>
      </w:r>
      <w:r>
        <w:t>1</w:t>
      </w:r>
      <w:r w:rsidRPr="00364C60">
        <w:t xml:space="preserve">, there was a single positive platypus PCR replicate for one water sample however further </w:t>
      </w:r>
      <w:r>
        <w:t>q</w:t>
      </w:r>
      <w:r w:rsidRPr="00364C60">
        <w:t xml:space="preserve">PCR analysis carried out for these two water samples determined them to be false positives. The two positive samples will be sequenced to determine if the </w:t>
      </w:r>
      <w:r>
        <w:t>q</w:t>
      </w:r>
      <w:r w:rsidRPr="00364C60">
        <w:t>PCR product is platypus sequence. Dwarf flathead gudgeon</w:t>
      </w:r>
      <w:r>
        <w:t xml:space="preserve">, freshwater </w:t>
      </w:r>
      <w:r w:rsidRPr="00364C60">
        <w:t>catfish</w:t>
      </w:r>
      <w:r>
        <w:t xml:space="preserve"> and Murray crayfish</w:t>
      </w:r>
      <w:r w:rsidRPr="00364C60">
        <w:t xml:space="preserve"> were also not detected at any of the 10 sites (Appendix </w:t>
      </w:r>
      <w:r>
        <w:t>12.9, 12.10 and 12.11, respectively</w:t>
      </w:r>
      <w:r w:rsidRPr="00364C60">
        <w:t>)</w:t>
      </w:r>
      <w:r>
        <w:t>. B</w:t>
      </w:r>
      <w:r w:rsidRPr="00364C60">
        <w:t xml:space="preserve">oth species had at least one single positive replicate, but further </w:t>
      </w:r>
      <w:r>
        <w:t>q</w:t>
      </w:r>
      <w:r w:rsidRPr="00364C60">
        <w:t>PCRs showed these to be false positives.</w:t>
      </w:r>
      <w:r w:rsidR="00546470">
        <w:t xml:space="preserve"> </w:t>
      </w:r>
    </w:p>
    <w:p w14:paraId="7376E5E8" w14:textId="3560F980" w:rsidR="006501A4" w:rsidRPr="00364C60" w:rsidRDefault="00546470" w:rsidP="00546470">
      <w:pPr>
        <w:spacing w:after="0" w:line="240" w:lineRule="auto"/>
        <w:jc w:val="left"/>
      </w:pPr>
      <w:r>
        <w:rPr>
          <w:noProof/>
          <w:lang w:eastAsia="en-AU"/>
        </w:rPr>
        <w:drawing>
          <wp:inline distT="0" distB="0" distL="0" distR="0" wp14:anchorId="3D4F20F8" wp14:editId="08C1E38A">
            <wp:extent cx="5569696" cy="367200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569696" cy="3672000"/>
                    </a:xfrm>
                    <a:prstGeom prst="rect">
                      <a:avLst/>
                    </a:prstGeom>
                    <a:noFill/>
                  </pic:spPr>
                </pic:pic>
              </a:graphicData>
            </a:graphic>
          </wp:inline>
        </w:drawing>
      </w:r>
    </w:p>
    <w:p w14:paraId="335EF99B" w14:textId="77777777" w:rsidR="006501A4" w:rsidRPr="00B37863" w:rsidRDefault="006501A4" w:rsidP="00546470">
      <w:pPr>
        <w:spacing w:after="120" w:line="259" w:lineRule="auto"/>
        <w:jc w:val="left"/>
      </w:pPr>
      <w:r w:rsidRPr="018055DF">
        <w:rPr>
          <w:b/>
          <w:bCs/>
          <w:sz w:val="20"/>
        </w:rPr>
        <w:t>Figure 12.2</w:t>
      </w:r>
      <w:r w:rsidRPr="018055DF">
        <w:rPr>
          <w:sz w:val="20"/>
        </w:rPr>
        <w:t xml:space="preserve"> An overview of species detections represented as the proportion of positive samples for each of the target species detected across all study sites.</w:t>
      </w:r>
    </w:p>
    <w:p w14:paraId="5D9A80C1" w14:textId="77777777" w:rsidR="006501A4" w:rsidRPr="00D86F7C" w:rsidRDefault="006501A4" w:rsidP="00546470">
      <w:pPr>
        <w:spacing w:after="120" w:line="259" w:lineRule="auto"/>
        <w:jc w:val="left"/>
        <w:rPr>
          <w:sz w:val="20"/>
        </w:rPr>
      </w:pPr>
      <w:r w:rsidRPr="00867141">
        <w:rPr>
          <w:noProof/>
          <w:sz w:val="20"/>
          <w:lang w:eastAsia="en-AU"/>
        </w:rPr>
        <w:drawing>
          <wp:inline distT="0" distB="0" distL="0" distR="0" wp14:anchorId="13714BD1" wp14:editId="4E02FEC5">
            <wp:extent cx="5969042" cy="3708000"/>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969042" cy="3708000"/>
                    </a:xfrm>
                    <a:prstGeom prst="rect">
                      <a:avLst/>
                    </a:prstGeom>
                    <a:noFill/>
                    <a:ln>
                      <a:noFill/>
                    </a:ln>
                  </pic:spPr>
                </pic:pic>
              </a:graphicData>
            </a:graphic>
          </wp:inline>
        </w:drawing>
      </w:r>
    </w:p>
    <w:p w14:paraId="0B4A56F7" w14:textId="35EA584B" w:rsidR="006501A4" w:rsidRDefault="006501A4" w:rsidP="00546470">
      <w:pPr>
        <w:spacing w:after="120" w:line="259" w:lineRule="auto"/>
        <w:jc w:val="left"/>
        <w:rPr>
          <w:sz w:val="20"/>
        </w:rPr>
      </w:pPr>
      <w:r w:rsidRPr="00D86F7C">
        <w:rPr>
          <w:b/>
          <w:bCs/>
          <w:sz w:val="20"/>
        </w:rPr>
        <w:t>Figure 12.3</w:t>
      </w:r>
      <w:r w:rsidRPr="00D86F7C">
        <w:rPr>
          <w:sz w:val="20"/>
        </w:rPr>
        <w:t xml:space="preserve"> The</w:t>
      </w:r>
      <w:r>
        <w:rPr>
          <w:sz w:val="20"/>
        </w:rPr>
        <w:t xml:space="preserve"> proportion of positive samples (blue) and mean proportion of positive qPCR technical replicates per sample (orange) for</w:t>
      </w:r>
      <w:r w:rsidRPr="00D86F7C">
        <w:rPr>
          <w:sz w:val="20"/>
        </w:rPr>
        <w:t xml:space="preserve"> </w:t>
      </w:r>
      <w:r w:rsidR="00785AF1">
        <w:rPr>
          <w:sz w:val="20"/>
        </w:rPr>
        <w:t>a) Murray cod, b)</w:t>
      </w:r>
      <w:r w:rsidRPr="00D86F7C">
        <w:rPr>
          <w:sz w:val="20"/>
        </w:rPr>
        <w:t xml:space="preserve"> silver perch</w:t>
      </w:r>
      <w:r w:rsidR="00785AF1">
        <w:rPr>
          <w:sz w:val="20"/>
        </w:rPr>
        <w:t xml:space="preserve">, </w:t>
      </w:r>
      <w:r w:rsidRPr="00D86F7C">
        <w:rPr>
          <w:sz w:val="20"/>
        </w:rPr>
        <w:t>c)</w:t>
      </w:r>
      <w:r>
        <w:rPr>
          <w:sz w:val="20"/>
        </w:rPr>
        <w:t xml:space="preserve"> </w:t>
      </w:r>
      <w:r w:rsidR="00785AF1" w:rsidRPr="00D86F7C">
        <w:rPr>
          <w:sz w:val="20"/>
        </w:rPr>
        <w:t>trout cod</w:t>
      </w:r>
      <w:r w:rsidR="00785AF1">
        <w:rPr>
          <w:sz w:val="20"/>
        </w:rPr>
        <w:t>, and d)</w:t>
      </w:r>
      <w:r w:rsidR="00785AF1" w:rsidRPr="00D86F7C">
        <w:rPr>
          <w:sz w:val="20"/>
        </w:rPr>
        <w:t xml:space="preserve"> </w:t>
      </w:r>
      <w:r>
        <w:rPr>
          <w:sz w:val="20"/>
        </w:rPr>
        <w:t xml:space="preserve">and </w:t>
      </w:r>
      <w:r w:rsidR="00785AF1">
        <w:rPr>
          <w:sz w:val="20"/>
        </w:rPr>
        <w:t>redfin perch</w:t>
      </w:r>
      <w:r>
        <w:rPr>
          <w:sz w:val="20"/>
        </w:rPr>
        <w:t xml:space="preserve"> </w:t>
      </w:r>
      <w:r w:rsidRPr="00D86F7C">
        <w:rPr>
          <w:sz w:val="20"/>
        </w:rPr>
        <w:t xml:space="preserve">across all study sites. </w:t>
      </w:r>
    </w:p>
    <w:p w14:paraId="63F49C0A" w14:textId="77777777" w:rsidR="00546470" w:rsidRPr="00D86F7C" w:rsidRDefault="00546470" w:rsidP="00546470">
      <w:pPr>
        <w:spacing w:after="120" w:line="259" w:lineRule="auto"/>
        <w:jc w:val="left"/>
        <w:rPr>
          <w:sz w:val="20"/>
        </w:rPr>
      </w:pPr>
    </w:p>
    <w:p w14:paraId="3DF6F5F5" w14:textId="77777777" w:rsidR="006501A4" w:rsidRPr="002A0CF6" w:rsidRDefault="006501A4" w:rsidP="00CB2565">
      <w:pPr>
        <w:spacing w:after="120" w:line="259" w:lineRule="auto"/>
        <w:jc w:val="left"/>
        <w:rPr>
          <w:rFonts w:cstheme="minorHAnsi"/>
          <w:b/>
          <w:color w:val="31849B"/>
          <w:sz w:val="28"/>
          <w:szCs w:val="28"/>
        </w:rPr>
      </w:pPr>
      <w:r>
        <w:rPr>
          <w:rFonts w:cstheme="minorHAnsi"/>
          <w:b/>
          <w:color w:val="31849B"/>
          <w:sz w:val="28"/>
          <w:szCs w:val="28"/>
        </w:rPr>
        <w:t>12.4 Discussion</w:t>
      </w:r>
    </w:p>
    <w:p w14:paraId="464682A2" w14:textId="1A8CB8C3" w:rsidR="006501A4" w:rsidRPr="0095397F" w:rsidRDefault="006501A4" w:rsidP="00CB2565">
      <w:pPr>
        <w:spacing w:after="120" w:line="259" w:lineRule="auto"/>
        <w:jc w:val="left"/>
        <w:rPr>
          <w:rFonts w:cstheme="minorHAnsi"/>
          <w:b/>
          <w:i/>
          <w:color w:val="31849B"/>
          <w:sz w:val="24"/>
          <w:szCs w:val="24"/>
        </w:rPr>
      </w:pPr>
      <w:r w:rsidRPr="0095397F">
        <w:rPr>
          <w:rFonts w:cstheme="minorHAnsi"/>
          <w:b/>
          <w:i/>
          <w:color w:val="31849B"/>
          <w:sz w:val="24"/>
          <w:szCs w:val="24"/>
        </w:rPr>
        <w:t>Suitability of assays for species monitoring</w:t>
      </w:r>
      <w:r w:rsidR="0095397F">
        <w:rPr>
          <w:rFonts w:cstheme="minorHAnsi"/>
          <w:b/>
          <w:i/>
          <w:color w:val="31849B"/>
          <w:sz w:val="24"/>
          <w:szCs w:val="24"/>
        </w:rPr>
        <w:t xml:space="preserve"> in the Edward/</w:t>
      </w:r>
      <w:r w:rsidRPr="0095397F">
        <w:rPr>
          <w:rFonts w:cstheme="minorHAnsi"/>
          <w:b/>
          <w:i/>
          <w:color w:val="31849B"/>
          <w:sz w:val="24"/>
          <w:szCs w:val="24"/>
        </w:rPr>
        <w:t>Kolety-Wakool system</w:t>
      </w:r>
    </w:p>
    <w:p w14:paraId="1A0E5765" w14:textId="046FA695" w:rsidR="006501A4" w:rsidRDefault="006501A4" w:rsidP="00CB2565">
      <w:pPr>
        <w:spacing w:after="120" w:line="259" w:lineRule="auto"/>
        <w:jc w:val="left"/>
      </w:pPr>
      <w:r w:rsidRPr="00364C60">
        <w:t xml:space="preserve">This study has successfully developed six highly sensitive and specific assays for the detection of rare and cryptic aquatic species in the </w:t>
      </w:r>
      <w:r>
        <w:t>Edward/</w:t>
      </w:r>
      <w:r w:rsidRPr="00364C60">
        <w:t xml:space="preserve">Kolety-Wakool system. To our knowledge, this is the first study of its kind in </w:t>
      </w:r>
      <w:r>
        <w:t>Australia</w:t>
      </w:r>
      <w:r w:rsidRPr="00364C60">
        <w:t xml:space="preserve"> to develop and apply more than two targeted assays for aquatic species to a single project. The results showed that eDNA detected the recent presence of Murray cod, trout cod, silver perch and the invasive redfin perch at one or more of the ten study sites. </w:t>
      </w:r>
      <w:r>
        <w:t xml:space="preserve">False positives (a positive qPCR result despite the species not being present at the sampling site) can be an issue with eDNA methods. False positives can occur if samples are contaminated either in the field or laboratory, from transfer of eDNA from one location to another by other animals (such as birds) or transport from an upstream location </w:t>
      </w:r>
      <w:r>
        <w:fldChar w:fldCharType="begin"/>
      </w:r>
      <w:r>
        <w:instrText xml:space="preserve"> ADDIN EN.CITE &lt;EndNote&gt;&lt;Cite&gt;&lt;Author&gt;McColl-Gausden&lt;/Author&gt;&lt;Year&gt;2019&lt;/Year&gt;&lt;RecNum&gt;1669&lt;/RecNum&gt;&lt;DisplayText&gt;(McColl-Gausden&lt;style face="italic"&gt; et al.&lt;/style&gt;, 2019)&lt;/DisplayText&gt;&lt;record&gt;&lt;rec-number&gt;1669&lt;/rec-number&gt;&lt;foreign-keys&gt;&lt;key app="EN" db-id="e0dt5ads0f5edteap9hv95toswsre9f2wed5" timestamp="1571781716"&gt;1669&lt;/key&gt;&lt;/foreign-keys&gt;&lt;ref-type name="Journal Article"&gt;17&lt;/ref-type&gt;&lt;contributors&gt;&lt;authors&gt;&lt;author&gt;Emily F. McColl-Gausden&lt;/author&gt;&lt;author&gt;Andrew R. Weeks&lt;/author&gt;&lt;author&gt;Reid Tingley&lt;/author&gt;&lt;/authors&gt;&lt;/contributors&gt;&lt;titles&gt;&lt;title&gt;A field ecologist&amp;apos;s guide to environmental DNA sampling in freshwater environments&lt;/title&gt;&lt;secondary-title&gt;Australian Zoologist&lt;/secondary-title&gt;&lt;/titles&gt;&lt;pages&gt;null&lt;/pages&gt;&lt;volume&gt;0&lt;/volume&gt;&lt;number&gt;0&lt;/number&gt;&lt;dates&gt;&lt;year&gt;2019&lt;/year&gt;&lt;/dates&gt;&lt;urls&gt;&lt;related-urls&gt;&lt;url&gt;&lt;style face="underline" font="default" size="100%"&gt;https://publications.rzsnsw.org.au/doi/abs/10.7882/AZ.2019.025&lt;/style&gt;&lt;/url&gt;&lt;/related-urls&gt;&lt;/urls&gt;&lt;electronic-resource-num&gt;10.7882/az.2019.025&lt;/electronic-resource-num&gt;&lt;/record&gt;&lt;/Cite&gt;&lt;/EndNote&gt;</w:instrText>
      </w:r>
      <w:r>
        <w:fldChar w:fldCharType="separate"/>
      </w:r>
      <w:r>
        <w:rPr>
          <w:noProof/>
        </w:rPr>
        <w:t>(McColl-Gausden</w:t>
      </w:r>
      <w:r w:rsidRPr="00561B55">
        <w:rPr>
          <w:i/>
          <w:noProof/>
        </w:rPr>
        <w:t xml:space="preserve"> et al.</w:t>
      </w:r>
      <w:r>
        <w:rPr>
          <w:noProof/>
        </w:rPr>
        <w:t>, 2019)</w:t>
      </w:r>
      <w:r>
        <w:fldChar w:fldCharType="end"/>
      </w:r>
      <w:r>
        <w:t xml:space="preserve">. Transport of DNA from an upstream location is a possible source of false positives in the Edward/Kolety-Wakool system. Environmental DNA can persist in the water </w:t>
      </w:r>
      <w:r w:rsidRPr="008F7C98">
        <w:t xml:space="preserve">for at least 60 days </w:t>
      </w:r>
      <w:r w:rsidRPr="008F7C98">
        <w:fldChar w:fldCharType="begin"/>
      </w:r>
      <w:r>
        <w:instrText xml:space="preserve"> ADDIN EN.CITE &lt;EndNote&gt;&lt;Cite&gt;&lt;Author&gt;Strickler&lt;/Author&gt;&lt;Year&gt;2015&lt;/Year&gt;&lt;RecNum&gt;1679&lt;/RecNum&gt;&lt;DisplayText&gt;(Strickler&lt;style face="italic"&gt; et al.&lt;/style&gt;, 2015)&lt;/DisplayText&gt;&lt;record&gt;&lt;rec-number&gt;1679&lt;/rec-number&gt;&lt;foreign-keys&gt;&lt;key app="EN" db-id="e0dt5ads0f5edteap9hv95toswsre9f2wed5" timestamp="1572480374"&gt;1679&lt;/key&gt;&lt;/foreign-keys&gt;&lt;ref-type name="Journal Article"&gt;17&lt;/ref-type&gt;&lt;contributors&gt;&lt;authors&gt;&lt;author&gt;Strickler, Katherine M.&lt;/author&gt;&lt;author&gt;Fremier, Alexander K.&lt;/author&gt;&lt;author&gt;Goldberg, Caren S.&lt;/author&gt;&lt;/authors&gt;&lt;/contributors&gt;&lt;titles&gt;&lt;title&gt;Quantifying effects of UV-B, temperature, and pH on eDNA degradation in aquatic microcosms&lt;/title&gt;&lt;secondary-title&gt;Biological Conservation&lt;/secondary-title&gt;&lt;/titles&gt;&lt;pages&gt;85-92&lt;/pages&gt;&lt;volume&gt;183&lt;/volume&gt;&lt;dates&gt;&lt;year&gt;2015&lt;/year&gt;&lt;pub-dates&gt;&lt;date&gt;2015/03/01/&lt;/date&gt;&lt;/pub-dates&gt;&lt;/dates&gt;&lt;isbn&gt;0006-3207&lt;/isbn&gt;&lt;urls&gt;&lt;related-urls&gt;&lt;url&gt;http://www.sciencedirect.com/science/article/pii/S0006320714004637&lt;/url&gt;&lt;/related-urls&gt;&lt;/urls&gt;&lt;electronic-resource-num&gt;https://doi.org/10.1016/j.biocon.2014.11.038&lt;/electronic-resource-num&gt;&lt;/record&gt;&lt;/Cite&gt;&lt;/EndNote&gt;</w:instrText>
      </w:r>
      <w:r w:rsidRPr="008F7C98">
        <w:fldChar w:fldCharType="separate"/>
      </w:r>
      <w:r>
        <w:rPr>
          <w:noProof/>
        </w:rPr>
        <w:t>(Strickler</w:t>
      </w:r>
      <w:r w:rsidRPr="00D22CDC">
        <w:rPr>
          <w:i/>
          <w:noProof/>
        </w:rPr>
        <w:t xml:space="preserve"> et al.</w:t>
      </w:r>
      <w:r>
        <w:rPr>
          <w:noProof/>
        </w:rPr>
        <w:t>, 2015)</w:t>
      </w:r>
      <w:r w:rsidRPr="008F7C98">
        <w:fldChar w:fldCharType="end"/>
      </w:r>
      <w:r w:rsidRPr="008F7C98">
        <w:t xml:space="preserve">. Thus, downstream transport could potentially result in positive detections even if the species is not present at the study location. However, in lotic systems, studies have found that eDNA is not detectable </w:t>
      </w:r>
      <w:r>
        <w:t>more than approximately</w:t>
      </w:r>
      <w:r w:rsidRPr="008F7C98">
        <w:t xml:space="preserve"> 5km</w:t>
      </w:r>
      <w:r>
        <w:t xml:space="preserve"> or less</w:t>
      </w:r>
      <w:r w:rsidRPr="008F7C98">
        <w:t xml:space="preserve"> from its source </w:t>
      </w:r>
      <w:r w:rsidRPr="008F7C98">
        <w:fldChar w:fldCharType="begin">
          <w:fldData xml:space="preserve">PEVuZE5vdGU+PENpdGU+PEF1dGhvcj5EZXV0c2NobWFubjwvQXV0aG9yPjxZZWFyPjIwMTk8L1ll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=
</w:fldData>
        </w:fldChar>
      </w:r>
      <w:r>
        <w:instrText xml:space="preserve"> ADDIN EN.CITE </w:instrText>
      </w:r>
      <w:r>
        <w:fldChar w:fldCharType="begin">
          <w:fldData xml:space="preserve">PEVuZE5vdGU+PENpdGU+PEF1dGhvcj5EZXV0c2NobWFubjwvQXV0aG9yPjxZZWFyPjIwMTk8L1ll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=
</w:fldData>
        </w:fldChar>
      </w:r>
      <w:r>
        <w:instrText xml:space="preserve"> ADDIN EN.CITE.DATA </w:instrText>
      </w:r>
      <w:r>
        <w:fldChar w:fldCharType="end"/>
      </w:r>
      <w:r w:rsidRPr="008F7C98">
        <w:fldChar w:fldCharType="separate"/>
      </w:r>
      <w:r>
        <w:rPr>
          <w:noProof/>
        </w:rPr>
        <w:t>(Deutschmann</w:t>
      </w:r>
      <w:r w:rsidRPr="00D22CDC">
        <w:rPr>
          <w:i/>
          <w:noProof/>
        </w:rPr>
        <w:t xml:space="preserve"> et al.</w:t>
      </w:r>
      <w:r>
        <w:rPr>
          <w:noProof/>
        </w:rPr>
        <w:t>, 2019; Shogren</w:t>
      </w:r>
      <w:r w:rsidRPr="00D22CDC">
        <w:rPr>
          <w:i/>
          <w:noProof/>
        </w:rPr>
        <w:t xml:space="preserve"> et al.</w:t>
      </w:r>
      <w:r>
        <w:rPr>
          <w:noProof/>
        </w:rPr>
        <w:t>, 2017; Wood</w:t>
      </w:r>
      <w:r w:rsidRPr="00D22CDC">
        <w:rPr>
          <w:i/>
          <w:noProof/>
        </w:rPr>
        <w:t xml:space="preserve"> et al.</w:t>
      </w:r>
      <w:r>
        <w:rPr>
          <w:noProof/>
        </w:rPr>
        <w:t>, 2020)</w:t>
      </w:r>
      <w:r w:rsidRPr="008F7C98">
        <w:fldChar w:fldCharType="end"/>
      </w:r>
      <w:r w:rsidRPr="008F7C98">
        <w:t>. This is due to the eDNA constantly being degraded, diluted</w:t>
      </w:r>
      <w:r>
        <w:t xml:space="preserve">, </w:t>
      </w:r>
      <w:r w:rsidRPr="008F7C98">
        <w:t>or settling into the substrate. The transport distance of eDNA in the Edward</w:t>
      </w:r>
      <w:r w:rsidR="005D191E">
        <w:t>/Kolety</w:t>
      </w:r>
      <w:r w:rsidRPr="008F7C98">
        <w:t xml:space="preserve">-Wakool system is not known as the distance will vary depending on multiple factors including stream width, stream slope, turbulence and habitat heterogeneity </w:t>
      </w:r>
      <w:r w:rsidRPr="008F7C98">
        <w:fldChar w:fldCharType="begin"/>
      </w:r>
      <w:r w:rsidRPr="008F7C98">
        <w:instrText xml:space="preserve"> ADDIN EN.CITE &lt;EndNote&gt;&lt;Cite&gt;&lt;Author&gt;Shogren&lt;/Author&gt;&lt;Year&gt;2017&lt;/Year&gt;&lt;RecNum&gt;1661&lt;/RecNum&gt;&lt;DisplayText&gt;(Shogren&lt;style face="italic"&gt; et al.&lt;/style&gt;, 2017)&lt;/DisplayText&gt;&lt;record&gt;&lt;rec-number&gt;1661&lt;/rec-number&gt;&lt;foreign-keys&gt;&lt;key app="EN" db-id="e0dt5ads0f5edteap9hv95toswsre9f2wed5" timestamp="1565147563"&gt;1661&lt;/key&gt;&lt;/foreign-keys&gt;&lt;ref-type name="Journal Article"&gt;17&lt;/ref-type&gt;&lt;contributors&gt;&lt;authors&gt;&lt;author&gt;Shogren, Arial J.&lt;/author&gt;&lt;author&gt;Tank, Jennifer L.&lt;/author&gt;&lt;author&gt;Andruszkiewicz, Elizabeth&lt;/author&gt;&lt;author&gt;Olds, Brett&lt;/author&gt;&lt;author&gt;Mahon, Andrew R.&lt;/author&gt;&lt;author&gt;Jerde, Christopher L.&lt;/author&gt;&lt;author&gt;Bolster, Diogo&lt;/author&gt;&lt;/authors&gt;&lt;/contributors&gt;&lt;titles&gt;&lt;title&gt;Controls on eDNA movement in streams: Transport, Retention, and Resuspension&lt;/title&gt;&lt;secondary-title&gt;Scientific Reports&lt;/secondary-title&gt;&lt;/titles&gt;&lt;pages&gt;5065&lt;/pages&gt;&lt;volume&gt;7&lt;/volume&gt;&lt;number&gt;1&lt;/number&gt;&lt;dates&gt;&lt;year&gt;2017&lt;/year&gt;&lt;pub-dates&gt;&lt;date&gt;2017/07/11&lt;/date&gt;&lt;/pub-dates&gt;&lt;/dates&gt;&lt;isbn&gt;2045-2322&lt;/isbn&gt;&lt;urls&gt;&lt;related-urls&gt;&lt;url&gt;https://doi.org/10.1038/s41598-017-05223-1&lt;/url&gt;&lt;/related-urls&gt;&lt;/urls&gt;&lt;electronic-resource-num&gt;10.1038/s41598-017-05223-1&lt;/electronic-resource-num&gt;&lt;/record&gt;&lt;/Cite&gt;&lt;/EndNote&gt;</w:instrText>
      </w:r>
      <w:r w:rsidRPr="008F7C98">
        <w:fldChar w:fldCharType="separate"/>
      </w:r>
      <w:r w:rsidRPr="008F7C98">
        <w:t>(Shogren et al., 2017)</w:t>
      </w:r>
      <w:r w:rsidRPr="008F7C98">
        <w:fldChar w:fldCharType="end"/>
      </w:r>
      <w:r w:rsidRPr="008F7C98">
        <w:t xml:space="preserve">. Nevertheless, </w:t>
      </w:r>
      <w:r>
        <w:t>the precise location of the positive detection is unlikely to influence the management of a species at such a fine spatial scale in the Edward/Kolety-Wakool system given water is delivered at the scale of the river or catchment.</w:t>
      </w:r>
    </w:p>
    <w:p w14:paraId="333B8FAA" w14:textId="77777777" w:rsidR="006501A4" w:rsidRDefault="006501A4" w:rsidP="00CB2565">
      <w:pPr>
        <w:spacing w:after="120" w:line="259" w:lineRule="auto"/>
        <w:jc w:val="left"/>
      </w:pPr>
      <w:r>
        <w:t>False positives due to sample contamination is highly unlikely in the current study given</w:t>
      </w:r>
      <w:r w:rsidRPr="00364C60">
        <w:t xml:space="preserve"> that the minimum requirements to confirm a species is detected were met; 1) no amplification in the </w:t>
      </w:r>
      <w:r>
        <w:t>equipment controls</w:t>
      </w:r>
      <w:r w:rsidRPr="00364C60">
        <w:t>, negative extraction controls and negative PCR controls, 2) an eDNA appropriate laboratory</w:t>
      </w:r>
      <w:r>
        <w:t xml:space="preserve"> was used</w:t>
      </w:r>
      <w:r w:rsidRPr="00364C60">
        <w:t xml:space="preserve"> and 3) </w:t>
      </w:r>
      <w:r>
        <w:t>positive detections were sequenced to confirm the species identification</w:t>
      </w:r>
      <w:r w:rsidRPr="00364C60">
        <w:t xml:space="preserve"> </w:t>
      </w:r>
      <w:r w:rsidRPr="00364C60">
        <w:fldChar w:fldCharType="begin"/>
      </w:r>
      <w:r>
        <w:instrText xml:space="preserve"> ADDIN EN.CITE &lt;EndNote&gt;&lt;Cite&gt;&lt;Author&gt;Thalinger&lt;/Author&gt;&lt;Year&gt;2020 in review&lt;/Year&gt;&lt;RecNum&gt;2460&lt;/RecNum&gt;&lt;DisplayText&gt;(Thalinger&lt;style face="italic"&gt; et al.&lt;/style&gt;, 2020 in review)&lt;/DisplayText&gt;&lt;record&gt;&lt;rec-number&gt;2460&lt;/rec-number&gt;&lt;foreign-keys&gt;&lt;key app="EN" db-id="e0dt5ads0f5edteap9hv95toswsre9f2wed5" timestamp="1600835244"&gt;2460&lt;/key&gt;&lt;/foreign-keys&gt;&lt;ref-type name="Journal Article"&gt;17&lt;/ref-type&gt;&lt;contributors&gt;&lt;authors&gt;&lt;author&gt;Thalinger, Bettina&lt;/author&gt;&lt;author&gt;Deiner, Kristy&lt;/author&gt;&lt;author&gt;Harper, Lynsey R.&lt;/author&gt;&lt;author&gt;Rees, Helen C.&lt;/author&gt;&lt;author&gt;Blackman, Rosetta C.&lt;/author&gt;&lt;author&gt;Sint, Daniela&lt;/author&gt;&lt;author&gt;Traugott, Michael&lt;/author&gt;&lt;author&gt;Goldberg, Caren S.&lt;/author&gt;&lt;author&gt;Bruce, Kat&lt;/author&gt;&lt;/authors&gt;&lt;/contributors&gt;&lt;titles&gt;&lt;title&gt;A validation scale to determine the readiness of environmental DNA assays for routine species monitoring&lt;/title&gt;&lt;secondary-title&gt;bioRxiv&lt;/secondary-title&gt;&lt;/titles&gt;&lt;pages&gt;2020.04.27.063990&lt;/pages&gt;&lt;dates&gt;&lt;year&gt;2020 in review&lt;/year&gt;&lt;/dates&gt;&lt;urls&gt;&lt;related-urls&gt;&lt;url&gt;http://biorxiv.org/content/early/2020/04/29/2020.04.27.063990.abstract&lt;/url&gt;&lt;/related-urls&gt;&lt;/urls&gt;&lt;electronic-resource-num&gt;10.1101/2020.04.27.063990&lt;/electronic-resource-num&gt;&lt;/record&gt;&lt;/Cite&gt;&lt;/EndNote&gt;</w:instrText>
      </w:r>
      <w:r w:rsidRPr="00364C60">
        <w:fldChar w:fldCharType="separate"/>
      </w:r>
      <w:r>
        <w:rPr>
          <w:noProof/>
        </w:rPr>
        <w:t>(Thalinger</w:t>
      </w:r>
      <w:r w:rsidRPr="00BD336F">
        <w:rPr>
          <w:i/>
          <w:noProof/>
        </w:rPr>
        <w:t xml:space="preserve"> et al.</w:t>
      </w:r>
      <w:r>
        <w:rPr>
          <w:noProof/>
        </w:rPr>
        <w:t>, 2020 in review)</w:t>
      </w:r>
      <w:r w:rsidRPr="00364C60">
        <w:fldChar w:fldCharType="end"/>
      </w:r>
      <w:r w:rsidRPr="00364C60">
        <w:t xml:space="preserve">. A recent validation scale has been proposed to assess the applicability of targeted eDNA assays to be applied for species monitoring (presence/absence) that is based on 122 variables </w:t>
      </w:r>
      <w:r w:rsidRPr="00364C60">
        <w:fldChar w:fldCharType="begin"/>
      </w:r>
      <w:r>
        <w:instrText xml:space="preserve"> ADDIN EN.CITE &lt;EndNote&gt;&lt;Cite&gt;&lt;Author&gt;Thalinger&lt;/Author&gt;&lt;Year&gt;2020 in review&lt;/Year&gt;&lt;RecNum&gt;2460&lt;/RecNum&gt;&lt;DisplayText&gt;(Thalinger&lt;style face="italic"&gt; et al.&lt;/style&gt;, 2020 in review)&lt;/DisplayText&gt;&lt;record&gt;&lt;rec-number&gt;2460&lt;/rec-number&gt;&lt;foreign-keys&gt;&lt;key app="EN" db-id="e0dt5ads0f5edteap9hv95toswsre9f2wed5" timestamp="1600835244"&gt;2460&lt;/key&gt;&lt;/foreign-keys&gt;&lt;ref-type name="Journal Article"&gt;17&lt;/ref-type&gt;&lt;contributors&gt;&lt;authors&gt;&lt;author&gt;Thalinger, Bettina&lt;/author&gt;&lt;author&gt;Deiner, Kristy&lt;/author&gt;&lt;author&gt;Harper, Lynsey R.&lt;/author&gt;&lt;author&gt;Rees, Helen C.&lt;/author&gt;&lt;author&gt;Blackman, Rosetta C.&lt;/author&gt;&lt;author&gt;Sint, Daniela&lt;/author&gt;&lt;author&gt;Traugott, Michael&lt;/author&gt;&lt;author&gt;Goldberg, Caren S.&lt;/author&gt;&lt;author&gt;Bruce, Kat&lt;/author&gt;&lt;/authors&gt;&lt;/contributors&gt;&lt;titles&gt;&lt;title&gt;A validation scale to determine the readiness of environmental DNA assays for routine species monitoring&lt;/title&gt;&lt;secondary-title&gt;bioRxiv&lt;/secondary-title&gt;&lt;/titles&gt;&lt;pages&gt;2020.04.27.063990&lt;/pages&gt;&lt;dates&gt;&lt;year&gt;2020 in review&lt;/year&gt;&lt;/dates&gt;&lt;urls&gt;&lt;related-urls&gt;&lt;url&gt;http://biorxiv.org/content/early/2020/04/29/2020.04.27.063990.abstract&lt;/url&gt;&lt;/related-urls&gt;&lt;/urls&gt;&lt;electronic-resource-num&gt;10.1101/2020.04.27.063990&lt;/electronic-resource-num&gt;&lt;/record&gt;&lt;/Cite&gt;&lt;/EndNote&gt;</w:instrText>
      </w:r>
      <w:r w:rsidRPr="00364C60">
        <w:fldChar w:fldCharType="separate"/>
      </w:r>
      <w:r>
        <w:rPr>
          <w:noProof/>
        </w:rPr>
        <w:t>(Thalinger</w:t>
      </w:r>
      <w:r w:rsidRPr="00BD336F">
        <w:rPr>
          <w:i/>
          <w:noProof/>
        </w:rPr>
        <w:t xml:space="preserve"> et al.</w:t>
      </w:r>
      <w:r>
        <w:rPr>
          <w:noProof/>
        </w:rPr>
        <w:t>, 2020 in review)</w:t>
      </w:r>
      <w:r w:rsidRPr="00364C60">
        <w:fldChar w:fldCharType="end"/>
      </w:r>
      <w:r w:rsidRPr="00364C60">
        <w:t xml:space="preserve">. Based on this scale, the assays presented here meet most of the criteria for level 4, indicating a ‘substantial’ level of development (out of a possible 5 levels). Of 546 assays that were reviewed to develop this scale, none reached level 5 and only around 10% reached level 4. Thus, the assays developed here are </w:t>
      </w:r>
      <w:r>
        <w:t>suitable</w:t>
      </w:r>
      <w:r w:rsidRPr="00364C60">
        <w:t xml:space="preserve"> for monitoring the distribution of aquatic species in the </w:t>
      </w:r>
      <w:r>
        <w:t>Edward/</w:t>
      </w:r>
      <w:r w:rsidRPr="00364C60">
        <w:t xml:space="preserve">Kolety-Wakool system. These assays could be further developed by statistical modelling to enable detection probabilities to be estimated. This would allow the probability of a species being present to be calculated if it is not detected with the assay (i.e. a false negative) </w:t>
      </w:r>
      <w:r w:rsidRPr="00364C60">
        <w:fldChar w:fldCharType="begin">
          <w:fldData xml:space="preserve">PEVuZE5vdGU+PENpdGU+PEF1dGhvcj5UaGFsaW5nZXI8L0F1dGhvcj48WWVhcj4yMDIwIGluIHJl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</w:fldData>
        </w:fldChar>
      </w:r>
      <w:r>
        <w:instrText xml:space="preserve"> ADDIN EN.CITE </w:instrText>
      </w:r>
      <w:r>
        <w:fldChar w:fldCharType="begin">
          <w:fldData xml:space="preserve">PEVuZE5vdGU+PENpdGU+PEF1dGhvcj5UaGFsaW5nZXI8L0F1dGhvcj48WWVhcj4yMDIwIGluIHJl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</w:fldData>
        </w:fldChar>
      </w:r>
      <w:r>
        <w:instrText xml:space="preserve"> ADDIN EN.CITE.DATA </w:instrText>
      </w:r>
      <w:r>
        <w:fldChar w:fldCharType="end"/>
      </w:r>
      <w:r w:rsidRPr="00364C60">
        <w:fldChar w:fldCharType="separate"/>
      </w:r>
      <w:r>
        <w:rPr>
          <w:noProof/>
        </w:rPr>
        <w:t>(Strickland</w:t>
      </w:r>
      <w:r w:rsidRPr="00BD336F">
        <w:rPr>
          <w:i/>
          <w:noProof/>
        </w:rPr>
        <w:t xml:space="preserve"> et al.</w:t>
      </w:r>
      <w:r>
        <w:rPr>
          <w:noProof/>
        </w:rPr>
        <w:t>, 2019; Thalinger</w:t>
      </w:r>
      <w:r w:rsidRPr="00BD336F">
        <w:rPr>
          <w:i/>
          <w:noProof/>
        </w:rPr>
        <w:t xml:space="preserve"> et al.</w:t>
      </w:r>
      <w:r>
        <w:rPr>
          <w:noProof/>
        </w:rPr>
        <w:t>, 2020 in review)</w:t>
      </w:r>
      <w:r w:rsidRPr="00364C60">
        <w:fldChar w:fldCharType="end"/>
      </w:r>
      <w:r w:rsidRPr="00364C60">
        <w:t>.</w:t>
      </w:r>
    </w:p>
    <w:p w14:paraId="0F033BA9" w14:textId="77777777" w:rsidR="006501A4" w:rsidRPr="00680C4D" w:rsidRDefault="006501A4" w:rsidP="00CB2565">
      <w:pPr>
        <w:spacing w:after="120" w:line="259" w:lineRule="auto"/>
        <w:jc w:val="left"/>
      </w:pPr>
      <w:r>
        <w:t xml:space="preserve">Failure to detect a species when it is present (false negatives) can occur when using </w:t>
      </w:r>
      <w:r w:rsidRPr="00680C4D">
        <w:t>eDNA</w:t>
      </w:r>
      <w:r>
        <w:t xml:space="preserve"> (which is </w:t>
      </w:r>
      <w:r>
        <w:br/>
        <w:t>true for most other monitoring methods)</w:t>
      </w:r>
      <w:r w:rsidRPr="00364C60">
        <w:t>.</w:t>
      </w:r>
      <w:r>
        <w:t xml:space="preserve"> For example,</w:t>
      </w:r>
      <w:r w:rsidRPr="00680C4D">
        <w:t xml:space="preserve"> false negatives can occur if there are inhibitors</w:t>
      </w:r>
      <w:r>
        <w:t xml:space="preserve"> in</w:t>
      </w:r>
      <w:r w:rsidRPr="00680C4D">
        <w:t xml:space="preserve"> the water </w:t>
      </w:r>
      <w:r>
        <w:t xml:space="preserve">(tannins, humic acid, bacterial debris etc) </w:t>
      </w:r>
      <w:r w:rsidRPr="00680C4D">
        <w:t xml:space="preserve">that can disrupt the extraction </w:t>
      </w:r>
      <w:r>
        <w:t xml:space="preserve">or amplification </w:t>
      </w:r>
      <w:r w:rsidRPr="00680C4D">
        <w:t xml:space="preserve">of </w:t>
      </w:r>
      <w:r>
        <w:t xml:space="preserve">the </w:t>
      </w:r>
      <w:r w:rsidRPr="00680C4D">
        <w:t xml:space="preserve">eDNA, resulting in a </w:t>
      </w:r>
      <w:r>
        <w:t>negative result</w:t>
      </w:r>
      <w:r w:rsidRPr="00680C4D">
        <w:t xml:space="preserve"> even if </w:t>
      </w:r>
      <w:r>
        <w:t xml:space="preserve">the target eDNA </w:t>
      </w:r>
      <w:r w:rsidRPr="00680C4D">
        <w:t xml:space="preserve">is present in a sufficient quantity </w:t>
      </w:r>
      <w:r>
        <w:t>to detect</w:t>
      </w:r>
      <w:r w:rsidRPr="00680C4D">
        <w:t xml:space="preserve"> </w:t>
      </w:r>
      <w:r w:rsidRPr="00364C60">
        <w:fldChar w:fldCharType="begin">
          <w:fldData xml:space="preserve">PEVuZE5vdGU+PENpdGU+PEF1dGhvcj5KYW5lPC9BdXRob3I+PFllYXI+MjAxNTwvWWVhcj48UmVj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</w:fldData>
        </w:fldChar>
      </w:r>
      <w:r>
        <w:instrText xml:space="preserve"> ADDIN EN.CITE </w:instrText>
      </w:r>
      <w:r>
        <w:fldChar w:fldCharType="begin">
          <w:fldData xml:space="preserve">PEVuZE5vdGU+PENpdGU+PEF1dGhvcj5KYW5lPC9BdXRob3I+PFllYXI+MjAxNTwvWWVhcj48UmVj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</w:fldData>
        </w:fldChar>
      </w:r>
      <w:r>
        <w:instrText xml:space="preserve"> ADDIN EN.CITE.DATA </w:instrText>
      </w:r>
      <w:r>
        <w:fldChar w:fldCharType="end"/>
      </w:r>
      <w:r w:rsidRPr="00364C60">
        <w:fldChar w:fldCharType="separate"/>
      </w:r>
      <w:r>
        <w:rPr>
          <w:noProof/>
        </w:rPr>
        <w:t>(Gibson</w:t>
      </w:r>
      <w:r w:rsidRPr="00D22CDC">
        <w:rPr>
          <w:i/>
          <w:noProof/>
        </w:rPr>
        <w:t xml:space="preserve"> et al.</w:t>
      </w:r>
      <w:r>
        <w:rPr>
          <w:noProof/>
        </w:rPr>
        <w:t>, 2012; Jane</w:t>
      </w:r>
      <w:r w:rsidRPr="00D22CDC">
        <w:rPr>
          <w:i/>
          <w:noProof/>
        </w:rPr>
        <w:t xml:space="preserve"> et al.</w:t>
      </w:r>
      <w:r>
        <w:rPr>
          <w:noProof/>
        </w:rPr>
        <w:t>, 2015)</w:t>
      </w:r>
      <w:r w:rsidRPr="00364C60">
        <w:fldChar w:fldCharType="end"/>
      </w:r>
      <w:r w:rsidRPr="00680C4D">
        <w:t xml:space="preserve">. This is unlikely to be an issue for the current study </w:t>
      </w:r>
      <w:r>
        <w:t>given</w:t>
      </w:r>
      <w:r w:rsidRPr="00680C4D">
        <w:t xml:space="preserve"> all samples were </w:t>
      </w:r>
      <w:r>
        <w:t xml:space="preserve">screened for inhibitors prior to being screened across the assays. </w:t>
      </w:r>
      <w:r w:rsidRPr="00680C4D">
        <w:t xml:space="preserve">False negatives could also occur if the concentration of eDNA in the water is extremely low. </w:t>
      </w:r>
      <w:r>
        <w:t>For example, t</w:t>
      </w:r>
      <w:r w:rsidRPr="00680C4D">
        <w:t xml:space="preserve">he limit of detection (LOD) </w:t>
      </w:r>
      <w:r>
        <w:t>for</w:t>
      </w:r>
      <w:r w:rsidRPr="00680C4D">
        <w:t xml:space="preserve"> the </w:t>
      </w:r>
      <w:r>
        <w:t>Trout</w:t>
      </w:r>
      <w:r w:rsidRPr="00680C4D">
        <w:t xml:space="preserve"> cod assay is </w:t>
      </w:r>
      <w:r>
        <w:t>10</w:t>
      </w:r>
      <w:r w:rsidRPr="00680C4D">
        <w:t xml:space="preserve"> copies per µL. If </w:t>
      </w:r>
      <w:r>
        <w:t>Trout</w:t>
      </w:r>
      <w:r w:rsidRPr="00680C4D">
        <w:t xml:space="preserve"> cod </w:t>
      </w:r>
      <w:r>
        <w:t>are in low abundance</w:t>
      </w:r>
      <w:r w:rsidRPr="00680C4D">
        <w:t xml:space="preserve">, the amount of eDNA </w:t>
      </w:r>
      <w:r>
        <w:t>in the water</w:t>
      </w:r>
      <w:r w:rsidRPr="00680C4D">
        <w:t xml:space="preserve"> is expected to be very low and possibly heterogeneously distributed. Consequently, water sampling may not capture the eDNA, or the number of copies may be too low to detect </w:t>
      </w:r>
      <w:r w:rsidRPr="00364C60">
        <w:fldChar w:fldCharType="begin">
          <w:fldData xml:space="preserve">PEVuZE5vdGU+PENpdGU+PEF1dGhvcj5GdXJsYW48L0F1dGhvcj48WWVhcj4yMDE2PC9ZZWFyPjxS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</w:fldData>
        </w:fldChar>
      </w:r>
      <w:r>
        <w:instrText xml:space="preserve"> ADDIN EN.CITE </w:instrText>
      </w:r>
      <w:r>
        <w:fldChar w:fldCharType="begin">
          <w:fldData xml:space="preserve">PEVuZE5vdGU+PENpdGU+PEF1dGhvcj5GdXJsYW48L0F1dGhvcj48WWVhcj4yMDE2PC9ZZWFyPjxS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</w:fldData>
        </w:fldChar>
      </w:r>
      <w:r>
        <w:instrText xml:space="preserve"> ADDIN EN.CITE.DATA </w:instrText>
      </w:r>
      <w:r>
        <w:fldChar w:fldCharType="end"/>
      </w:r>
      <w:r w:rsidRPr="00364C60">
        <w:fldChar w:fldCharType="separate"/>
      </w:r>
      <w:r>
        <w:rPr>
          <w:noProof/>
        </w:rPr>
        <w:t>(Furlan</w:t>
      </w:r>
      <w:r w:rsidRPr="00D22CDC">
        <w:rPr>
          <w:i/>
          <w:noProof/>
        </w:rPr>
        <w:t xml:space="preserve"> et al.</w:t>
      </w:r>
      <w:r>
        <w:rPr>
          <w:noProof/>
        </w:rPr>
        <w:t>, 2016b; Klymus</w:t>
      </w:r>
      <w:r w:rsidRPr="00D22CDC">
        <w:rPr>
          <w:i/>
          <w:noProof/>
        </w:rPr>
        <w:t xml:space="preserve"> et al.</w:t>
      </w:r>
      <w:r>
        <w:rPr>
          <w:noProof/>
        </w:rPr>
        <w:t>, 2020)</w:t>
      </w:r>
      <w:r w:rsidRPr="00364C60">
        <w:fldChar w:fldCharType="end"/>
      </w:r>
      <w:r w:rsidRPr="00364C60">
        <w:t>. To confidently rule out the presence of a species using eDNA</w:t>
      </w:r>
      <w:r>
        <w:t>,</w:t>
      </w:r>
      <w:r w:rsidRPr="00364C60">
        <w:t xml:space="preserve"> occupancy modelling is required</w:t>
      </w:r>
      <w:r>
        <w:t xml:space="preserve"> </w:t>
      </w:r>
      <w:r>
        <w:fldChar w:fldCharType="begin"/>
      </w:r>
      <w:r>
        <w:instrText xml:space="preserve"> ADDIN EN.CITE &lt;EndNote&gt;&lt;Cite&gt;&lt;Author&gt;Strickland&lt;/Author&gt;&lt;Year&gt;2019&lt;/Year&gt;&lt;RecNum&gt;2461&lt;/RecNum&gt;&lt;DisplayText&gt;(Strickland&lt;style face="italic"&gt; et al.&lt;/style&gt;, 2019)&lt;/DisplayText&gt;&lt;record&gt;&lt;rec-number&gt;2461&lt;/rec-number&gt;&lt;foreign-keys&gt;&lt;key app="EN" db-id="e0dt5ads0f5edteap9hv95toswsre9f2wed5" timestamp="1600839170"&gt;2461&lt;/key&gt;&lt;/foreign-keys&gt;&lt;ref-type name="Journal Article"&gt;17&lt;/ref-type&gt;&lt;contributors&gt;&lt;authors&gt;&lt;author&gt;Strickland, Garret J.&lt;/author&gt;&lt;author&gt;Roberts, James H.&lt;/author&gt;&lt;/authors&gt;&lt;/contributors&gt;&lt;titles&gt;&lt;title&gt;Utility of eDNA and occupancy models for monitoring an endangered fish across diverse riverine habitats&lt;/title&gt;&lt;secondary-title&gt;Hydrobiologia&lt;/secondary-title&gt;&lt;/titles&gt;&lt;pages&gt;129-144&lt;/pages&gt;&lt;volume&gt;826&lt;/volume&gt;&lt;number&gt;1&lt;/number&gt;&lt;dates&gt;&lt;year&gt;2019&lt;/year&gt;&lt;pub-dates&gt;&lt;date&gt;2019/01/01&lt;/date&gt;&lt;/pub-dates&gt;&lt;/dates&gt;&lt;isbn&gt;1573-5117&lt;/isbn&gt;&lt;urls&gt;&lt;related-urls&gt;&lt;url&gt;https://doi.org/10.1007/s10750-018-3723-8&lt;/url&gt;&lt;/related-urls&gt;&lt;/urls&gt;&lt;electronic-resource-num&gt;10.1007/s10750-018-3723-8&lt;/electronic-resource-num&gt;&lt;/record&gt;&lt;/Cite&gt;&lt;/EndNote&gt;</w:instrText>
      </w:r>
      <w:r>
        <w:fldChar w:fldCharType="separate"/>
      </w:r>
      <w:r>
        <w:rPr>
          <w:noProof/>
        </w:rPr>
        <w:t>(Strickland</w:t>
      </w:r>
      <w:r w:rsidRPr="00D22CDC">
        <w:rPr>
          <w:i/>
          <w:noProof/>
        </w:rPr>
        <w:t xml:space="preserve"> et al.</w:t>
      </w:r>
      <w:r>
        <w:rPr>
          <w:noProof/>
        </w:rPr>
        <w:t>, 2019)</w:t>
      </w:r>
      <w:r>
        <w:fldChar w:fldCharType="end"/>
      </w:r>
      <w:r w:rsidRPr="00364C60">
        <w:t>, but this is beyond the scope of the current project.</w:t>
      </w:r>
    </w:p>
    <w:p w14:paraId="0A148024" w14:textId="77777777" w:rsidR="006501A4" w:rsidRPr="0095397F" w:rsidRDefault="006501A4" w:rsidP="00CB2565">
      <w:pPr>
        <w:spacing w:after="120" w:line="259" w:lineRule="auto"/>
        <w:jc w:val="left"/>
        <w:rPr>
          <w:rFonts w:cstheme="minorHAnsi"/>
          <w:b/>
          <w:i/>
          <w:color w:val="31849B"/>
          <w:sz w:val="24"/>
          <w:szCs w:val="24"/>
        </w:rPr>
      </w:pPr>
      <w:r w:rsidRPr="0095397F">
        <w:rPr>
          <w:rFonts w:cstheme="minorHAnsi"/>
          <w:b/>
          <w:i/>
          <w:color w:val="31849B"/>
          <w:sz w:val="24"/>
          <w:szCs w:val="24"/>
        </w:rPr>
        <w:t>Species detected</w:t>
      </w:r>
    </w:p>
    <w:p w14:paraId="4F848BF7" w14:textId="77777777" w:rsidR="006501A4" w:rsidRPr="00364C60" w:rsidRDefault="006501A4" w:rsidP="00CB2565">
      <w:pPr>
        <w:spacing w:after="120" w:line="259" w:lineRule="auto"/>
        <w:jc w:val="left"/>
      </w:pPr>
      <w:r>
        <w:t>This project was not designed to directly compare the distribution of species based on eDNA or traditional methods. Thus</w:t>
      </w:r>
      <w:r w:rsidRPr="00364C60">
        <w:t>, eDNA sampling was not carried out simultaneously with fish river sampling (</w:t>
      </w:r>
      <w:r>
        <w:t>Section</w:t>
      </w:r>
      <w:r w:rsidRPr="00364C60">
        <w:t xml:space="preserve"> 8). However, </w:t>
      </w:r>
      <w:r>
        <w:t xml:space="preserve">three </w:t>
      </w:r>
      <w:r w:rsidRPr="00364C60">
        <w:t>fish larval sampling</w:t>
      </w:r>
      <w:r>
        <w:t xml:space="preserve"> sites Windra Vale2, Widgee1 and Eastman Bridge and six fish river sampling sites (Fish River Cat 3; Gee Gee, Calimo, Balpool, Kyalite State Forest and Four Posts) in 2019/20 corresponded to eDNA sampling sites. Thus, we can cautiously speculate on the likelihood that a species is present or absent at a site based on eDNA results by taking into account their presence or absence based on other methods in 2019/20 and on historical data from the last ten years, as well as the species’ ecology (e.g. migratory potential).</w:t>
      </w:r>
    </w:p>
    <w:p w14:paraId="2AFA66FC" w14:textId="77777777" w:rsidR="006501A4" w:rsidRPr="00680C4D" w:rsidRDefault="006501A4" w:rsidP="00CB2565">
      <w:pPr>
        <w:spacing w:after="120" w:line="259" w:lineRule="auto"/>
        <w:jc w:val="left"/>
      </w:pPr>
      <w:r w:rsidRPr="00364C60">
        <w:t xml:space="preserve">Murray cod typically do not undertake large-scale </w:t>
      </w:r>
      <w:r>
        <w:t>movements</w:t>
      </w:r>
      <w:r w:rsidRPr="00364C60">
        <w:t xml:space="preserve"> and </w:t>
      </w:r>
      <w:r>
        <w:t xml:space="preserve">has high site fidelity </w:t>
      </w:r>
      <w:r>
        <w:fldChar w:fldCharType="begin">
          <w:fldData xml:space="preserve">PEVuZE5vdGU+PENpdGU+PEF1dGhvcj5Lb2VobjwvQXV0aG9yPjxZZWFyPjIwMDk8L1llYXI+PFJl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</w:fldData>
        </w:fldChar>
      </w:r>
      <w:r>
        <w:instrText xml:space="preserve"> ADDIN EN.CITE </w:instrText>
      </w:r>
      <w:r>
        <w:fldChar w:fldCharType="begin">
          <w:fldData xml:space="preserve">PEVuZE5vdGU+PENpdGU+PEF1dGhvcj5Lb2VobjwvQXV0aG9yPjxZZWFyPjIwMDk8L1llYXI+PFJl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</w:fldData>
        </w:fldChar>
      </w:r>
      <w:r>
        <w:instrText xml:space="preserve"> ADDIN EN.CITE.DATA </w:instrText>
      </w:r>
      <w:r>
        <w:fldChar w:fldCharType="end"/>
      </w:r>
      <w:r>
        <w:fldChar w:fldCharType="separate"/>
      </w:r>
      <w:r>
        <w:rPr>
          <w:noProof/>
        </w:rPr>
        <w:t>(Chapter 8, Jones</w:t>
      </w:r>
      <w:r w:rsidRPr="00A7531F">
        <w:rPr>
          <w:i/>
          <w:noProof/>
        </w:rPr>
        <w:t xml:space="preserve"> et al.</w:t>
      </w:r>
      <w:r>
        <w:rPr>
          <w:noProof/>
        </w:rPr>
        <w:t>, 2007; Koehn</w:t>
      </w:r>
      <w:r w:rsidRPr="00A7531F">
        <w:rPr>
          <w:i/>
          <w:noProof/>
        </w:rPr>
        <w:t xml:space="preserve"> et al.</w:t>
      </w:r>
      <w:r>
        <w:rPr>
          <w:noProof/>
        </w:rPr>
        <w:t>, 2009)</w:t>
      </w:r>
      <w:r>
        <w:fldChar w:fldCharType="end"/>
      </w:r>
      <w:r w:rsidRPr="00364C60">
        <w:t xml:space="preserve">. Thus, it is reasonable to make a comparison between sites where Murray cod were detected using traditional methods and targeted eDNA methods over recent years. Environmental DNA failed to detect Murray cod at </w:t>
      </w:r>
      <w:r>
        <w:t xml:space="preserve">Gee Gee (zone 5, mid-Wakool River downstream of Barbers Creek) and </w:t>
      </w:r>
      <w:r w:rsidRPr="00364C60">
        <w:t>S</w:t>
      </w:r>
      <w:r>
        <w:t>toney Creek Crossing (zone 6, lower Wakool River)</w:t>
      </w:r>
      <w:r w:rsidRPr="00364C60">
        <w:t>.</w:t>
      </w:r>
      <w:r>
        <w:t xml:space="preserve"> Murray cod at these two locations were severely affected by fish kills in 2016-2017. </w:t>
      </w:r>
      <w:r w:rsidRPr="00364C60">
        <w:t xml:space="preserve">Traditional monitoring data from the </w:t>
      </w:r>
      <w:r>
        <w:t>Edward/</w:t>
      </w:r>
      <w:r w:rsidRPr="00364C60">
        <w:t xml:space="preserve">Kolety-Wakool LTIM and MER projects detected two Murray cod at each site </w:t>
      </w:r>
      <w:r>
        <w:t xml:space="preserve">prior to fish kills </w:t>
      </w:r>
      <w:r w:rsidRPr="00364C60">
        <w:t xml:space="preserve">in 2015, but none </w:t>
      </w:r>
      <w:r>
        <w:t xml:space="preserve">following the fish kills </w:t>
      </w:r>
      <w:r w:rsidRPr="00364C60">
        <w:t>in 2019</w:t>
      </w:r>
      <w:r>
        <w:t xml:space="preserve">. </w:t>
      </w:r>
      <w:r w:rsidRPr="00364C60">
        <w:t xml:space="preserve">Historical </w:t>
      </w:r>
      <w:r>
        <w:t>records</w:t>
      </w:r>
      <w:r w:rsidRPr="00364C60">
        <w:t xml:space="preserve"> from the NSW DPI database shows tha</w:t>
      </w:r>
      <w:r>
        <w:t xml:space="preserve">t </w:t>
      </w:r>
      <w:r w:rsidRPr="00364C60">
        <w:t>Murray cod were detected at S</w:t>
      </w:r>
      <w:r>
        <w:t>toney Creek Crossing</w:t>
      </w:r>
      <w:r w:rsidRPr="00364C60">
        <w:t xml:space="preserve"> between 2010 and 2014. </w:t>
      </w:r>
      <w:r>
        <w:t xml:space="preserve">Taken together, </w:t>
      </w:r>
      <w:r w:rsidRPr="00364C60">
        <w:t>the</w:t>
      </w:r>
      <w:r>
        <w:t>se</w:t>
      </w:r>
      <w:r w:rsidRPr="00364C60">
        <w:t xml:space="preserve"> data sugges</w:t>
      </w:r>
      <w:r>
        <w:t>t</w:t>
      </w:r>
      <w:r w:rsidRPr="00364C60">
        <w:t xml:space="preserve"> </w:t>
      </w:r>
      <w:r>
        <w:t xml:space="preserve">Murray cod were likely to </w:t>
      </w:r>
      <w:r w:rsidRPr="00364C60">
        <w:t xml:space="preserve">consistently </w:t>
      </w:r>
      <w:r>
        <w:t>occupy</w:t>
      </w:r>
      <w:r w:rsidRPr="00364C60">
        <w:t xml:space="preserve"> </w:t>
      </w:r>
      <w:r>
        <w:t>Stoney Creek Crossing and Gee Gee</w:t>
      </w:r>
      <w:r w:rsidRPr="00364C60">
        <w:t xml:space="preserve"> prior to 2015</w:t>
      </w:r>
      <w:r>
        <w:t>. The eDNA results are consistent with other sampling methods and suggest that Murray cod have been slow to recover following the fish kills in these locations.</w:t>
      </w:r>
    </w:p>
    <w:p w14:paraId="634DACBC" w14:textId="77777777" w:rsidR="006501A4" w:rsidRPr="00680C4D" w:rsidRDefault="006501A4" w:rsidP="00CB2565">
      <w:pPr>
        <w:spacing w:after="120" w:line="259" w:lineRule="auto"/>
        <w:jc w:val="left"/>
      </w:pPr>
      <w:r w:rsidRPr="00680C4D">
        <w:t xml:space="preserve">Environmental DNA analysis </w:t>
      </w:r>
      <w:r>
        <w:t>unequivocally</w:t>
      </w:r>
      <w:r w:rsidRPr="00680C4D">
        <w:t xml:space="preserve"> confirmed the presence of Murray cod at the remaining eight sites</w:t>
      </w:r>
      <w:r>
        <w:t>.</w:t>
      </w:r>
      <w:r w:rsidRPr="00680C4D">
        <w:t xml:space="preserve"> Some sites had many more positive qPCR </w:t>
      </w:r>
      <w:r>
        <w:t>technical replicates</w:t>
      </w:r>
      <w:r w:rsidRPr="00680C4D">
        <w:t xml:space="preserve"> than other sites</w:t>
      </w:r>
      <w:r>
        <w:t xml:space="preserve"> (Appendix 12.4)</w:t>
      </w:r>
      <w:r w:rsidRPr="00364C60">
        <w:t>,</w:t>
      </w:r>
      <w:r w:rsidRPr="00680C4D">
        <w:t xml:space="preserve"> which could be indicative of population size. There is mounting evidence showing that eDNA concentration </w:t>
      </w:r>
      <w:r>
        <w:t xml:space="preserve">in lotic environments can be correlated with </w:t>
      </w:r>
      <w:r w:rsidRPr="00680C4D">
        <w:t xml:space="preserve">abundance or biomass </w:t>
      </w:r>
      <w:r w:rsidRPr="00364C60">
        <w:fldChar w:fldCharType="begin">
          <w:fldData xml:space="preserve">PEVuZE5vdGU+PENpdGU+PEF1dGhvcj5KYW5lPC9BdXRob3I+PFllYXI+MjAxNTwvWWVhcj48UmVj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=
</w:fldData>
        </w:fldChar>
      </w:r>
      <w:r>
        <w:instrText xml:space="preserve"> ADDIN EN.CITE </w:instrText>
      </w:r>
      <w:r>
        <w:fldChar w:fldCharType="begin">
          <w:fldData xml:space="preserve">PEVuZE5vdGU+PENpdGU+PEF1dGhvcj5KYW5lPC9BdXRob3I+PFllYXI+MjAxNTwvWWVhcj48UmVj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=
</w:fldData>
        </w:fldChar>
      </w:r>
      <w:r>
        <w:instrText xml:space="preserve"> ADDIN EN.CITE.DATA </w:instrText>
      </w:r>
      <w:r>
        <w:fldChar w:fldCharType="end"/>
      </w:r>
      <w:r w:rsidRPr="00364C60">
        <w:fldChar w:fldCharType="separate"/>
      </w:r>
      <w:r>
        <w:rPr>
          <w:noProof/>
        </w:rPr>
        <w:t>(Coulter</w:t>
      </w:r>
      <w:r w:rsidRPr="00D22CDC">
        <w:rPr>
          <w:i/>
          <w:noProof/>
        </w:rPr>
        <w:t xml:space="preserve"> et al.</w:t>
      </w:r>
      <w:r>
        <w:rPr>
          <w:noProof/>
        </w:rPr>
        <w:t>, 2019; Doi</w:t>
      </w:r>
      <w:r w:rsidRPr="00D22CDC">
        <w:rPr>
          <w:i/>
          <w:noProof/>
        </w:rPr>
        <w:t xml:space="preserve"> et al.</w:t>
      </w:r>
      <w:r>
        <w:rPr>
          <w:noProof/>
        </w:rPr>
        <w:t>, 2017; Jane</w:t>
      </w:r>
      <w:r w:rsidRPr="00D22CDC">
        <w:rPr>
          <w:i/>
          <w:noProof/>
        </w:rPr>
        <w:t xml:space="preserve"> et al.</w:t>
      </w:r>
      <w:r>
        <w:rPr>
          <w:noProof/>
        </w:rPr>
        <w:t>, 2015)</w:t>
      </w:r>
      <w:r w:rsidRPr="00364C60">
        <w:fldChar w:fldCharType="end"/>
      </w:r>
      <w:r w:rsidRPr="00364C60">
        <w:t>.</w:t>
      </w:r>
      <w:r w:rsidRPr="00680C4D">
        <w:t xml:space="preserve"> Consequently, the assays developed for the current study could</w:t>
      </w:r>
      <w:r>
        <w:t xml:space="preserve"> </w:t>
      </w:r>
      <w:r w:rsidRPr="00680C4D">
        <w:t>be assessed for their ability to estimate population size and/or biomass through a comparison with traditional methods.</w:t>
      </w:r>
    </w:p>
    <w:p w14:paraId="35E8844F" w14:textId="138A5EA8" w:rsidR="006501A4" w:rsidRPr="00680C4D" w:rsidRDefault="006501A4" w:rsidP="00CB2565">
      <w:pPr>
        <w:spacing w:after="120" w:line="259" w:lineRule="auto"/>
        <w:jc w:val="left"/>
      </w:pPr>
      <w:r w:rsidRPr="00680C4D">
        <w:t xml:space="preserve">One of the most important findings of the current project was the presence of trout cod eDNA at four of the ten sampling locations; </w:t>
      </w:r>
      <w:r>
        <w:t>Stoney Creek Crossing</w:t>
      </w:r>
      <w:r w:rsidRPr="00680C4D">
        <w:t xml:space="preserve"> (</w:t>
      </w:r>
      <w:r>
        <w:t xml:space="preserve">lower </w:t>
      </w:r>
      <w:r w:rsidRPr="00680C4D">
        <w:t xml:space="preserve">Wakool River), </w:t>
      </w:r>
      <w:r>
        <w:t xml:space="preserve">Windra Vale2 </w:t>
      </w:r>
      <w:r w:rsidRPr="00680C4D">
        <w:t xml:space="preserve">(Yallakool </w:t>
      </w:r>
      <w:r>
        <w:t>Creek</w:t>
      </w:r>
      <w:r w:rsidRPr="00364C60">
        <w:t xml:space="preserve">), </w:t>
      </w:r>
      <w:r>
        <w:t xml:space="preserve">Eastman Bridge and Four Posts </w:t>
      </w:r>
      <w:r w:rsidRPr="00364C60">
        <w:t>(</w:t>
      </w:r>
      <w:r>
        <w:t xml:space="preserve">both on the </w:t>
      </w:r>
      <w:r w:rsidRPr="00680C4D">
        <w:t>Edward</w:t>
      </w:r>
      <w:r w:rsidR="005D191E">
        <w:t>/Kolety</w:t>
      </w:r>
      <w:r w:rsidRPr="00680C4D">
        <w:t xml:space="preserve"> River</w:t>
      </w:r>
      <w:r w:rsidRPr="00364C60">
        <w:t>).</w:t>
      </w:r>
      <w:r w:rsidRPr="00680C4D">
        <w:t xml:space="preserve"> Across the ten sampling locations, only three trout cod have been caught using traditional methods (across all projects in the NSW DPI Fisheries database). One trout cod was captured at </w:t>
      </w:r>
      <w:r>
        <w:t>Calimo (Colligen-Neimur River)</w:t>
      </w:r>
      <w:r w:rsidRPr="00680C4D">
        <w:t xml:space="preserve"> in 2014 and </w:t>
      </w:r>
      <w:r>
        <w:t xml:space="preserve">two at Four Posts (one in </w:t>
      </w:r>
      <w:r w:rsidRPr="00364C60">
        <w:t xml:space="preserve">2014 and </w:t>
      </w:r>
      <w:r>
        <w:t xml:space="preserve">one </w:t>
      </w:r>
      <w:r w:rsidRPr="00680C4D">
        <w:t>in 2015</w:t>
      </w:r>
      <w:r>
        <w:t>)</w:t>
      </w:r>
      <w:r w:rsidRPr="00364C60">
        <w:t xml:space="preserve">. </w:t>
      </w:r>
      <w:r>
        <w:t>Trout cod have been detected at one other LTIM sampling site; Yallakool/Back Creek Junction (a single fish in 2019) and they have also been detected at another DPI Fisheries site on the Edward</w:t>
      </w:r>
      <w:r w:rsidR="005D191E">
        <w:t>/Kolety</w:t>
      </w:r>
      <w:r>
        <w:t xml:space="preserve"> River upstream of Four Posts. Larval</w:t>
      </w:r>
      <w:r w:rsidRPr="00680C4D">
        <w:t xml:space="preserve"> drift sampling in four sampling zones (Table 8.4) failed to detect trout cod in </w:t>
      </w:r>
      <w:r>
        <w:t>the</w:t>
      </w:r>
      <w:r w:rsidRPr="00364C60">
        <w:t xml:space="preserve"> </w:t>
      </w:r>
      <w:r w:rsidRPr="00680C4D">
        <w:t>four study zones. Thus, the confirmed eDNA detections of trout cod at four locations (S</w:t>
      </w:r>
      <w:r>
        <w:t>toney Creek Crossing,</w:t>
      </w:r>
      <w:r w:rsidRPr="00680C4D">
        <w:t xml:space="preserve"> </w:t>
      </w:r>
      <w:r w:rsidRPr="00364C60">
        <w:t>W</w:t>
      </w:r>
      <w:r>
        <w:t xml:space="preserve">indra </w:t>
      </w:r>
      <w:r w:rsidRPr="00364C60">
        <w:t>V</w:t>
      </w:r>
      <w:r>
        <w:t>ale2</w:t>
      </w:r>
      <w:r w:rsidRPr="00364C60">
        <w:t xml:space="preserve">, </w:t>
      </w:r>
      <w:r>
        <w:t xml:space="preserve">Eastman Bridge </w:t>
      </w:r>
      <w:r w:rsidRPr="00364C60">
        <w:t>and F</w:t>
      </w:r>
      <w:r>
        <w:t>our Posts</w:t>
      </w:r>
      <w:r w:rsidRPr="00364C60">
        <w:t xml:space="preserve">) </w:t>
      </w:r>
      <w:r>
        <w:t>has not only confirmed the species is currently present i</w:t>
      </w:r>
      <w:r w:rsidR="005D191E">
        <w:t>n the upper parts of the Edward/</w:t>
      </w:r>
      <w:r>
        <w:t xml:space="preserve">Kolety-Wakool system, but has extended its known distribution to the lower Wakool River. These populations are likely to have been gradually recovering since the hypoxic blackwater events of 2016/17 following large-scale flooding in the system that killed large numbers of fish. Recovery is expected to be slow as trout cod display similar site fidelity and habitat overlap to Murray cod </w:t>
      </w:r>
      <w:r>
        <w:fldChar w:fldCharType="begin">
          <w:fldData xml:space="preserve">PEVuZE5vdGU+PENpdGU+PEF1dGhvcj5FYm5lcjwvQXV0aG9yPjxZZWFyPjIwMDk8L1llYXI+PFJl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=
</w:fldData>
        </w:fldChar>
      </w:r>
      <w:r>
        <w:instrText xml:space="preserve"> ADDIN EN.CITE </w:instrText>
      </w:r>
      <w:r>
        <w:fldChar w:fldCharType="begin">
          <w:fldData xml:space="preserve">PEVuZE5vdGU+PENpdGU+PEF1dGhvcj5FYm5lcjwvQXV0aG9yPjxZZWFyPjIwMDk8L1llYXI+PFJl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=
</w:fldData>
        </w:fldChar>
      </w:r>
      <w:r>
        <w:instrText xml:space="preserve"> ADDIN EN.CITE.DATA </w:instrText>
      </w:r>
      <w:r>
        <w:fldChar w:fldCharType="end"/>
      </w:r>
      <w:r>
        <w:fldChar w:fldCharType="separate"/>
      </w:r>
      <w:r>
        <w:rPr>
          <w:noProof/>
        </w:rPr>
        <w:t>(Ebner</w:t>
      </w:r>
      <w:r w:rsidRPr="00BD336F">
        <w:rPr>
          <w:i/>
          <w:noProof/>
        </w:rPr>
        <w:t xml:space="preserve"> et al.</w:t>
      </w:r>
      <w:r>
        <w:rPr>
          <w:noProof/>
        </w:rPr>
        <w:t>, 2009; Koehn</w:t>
      </w:r>
      <w:r w:rsidRPr="00BD336F">
        <w:rPr>
          <w:i/>
          <w:noProof/>
        </w:rPr>
        <w:t xml:space="preserve"> et al.</w:t>
      </w:r>
      <w:r>
        <w:rPr>
          <w:noProof/>
        </w:rPr>
        <w:t>, 2014; Koehn</w:t>
      </w:r>
      <w:r w:rsidRPr="00BD336F">
        <w:rPr>
          <w:i/>
          <w:noProof/>
        </w:rPr>
        <w:t xml:space="preserve"> et al.</w:t>
      </w:r>
      <w:r>
        <w:rPr>
          <w:noProof/>
        </w:rPr>
        <w:t>, 2008)</w:t>
      </w:r>
      <w:r>
        <w:fldChar w:fldCharType="end"/>
      </w:r>
      <w:r>
        <w:t>. The presence of trout cod across m</w:t>
      </w:r>
      <w:r w:rsidR="005D191E">
        <w:t>ultiple locations in the Edward/</w:t>
      </w:r>
      <w:r>
        <w:t>Kolety-Wakool system is an important finding highlights the importance of protecting these and other high priority species from adverse effects of   future hypoxic blackwater events.</w:t>
      </w:r>
    </w:p>
    <w:p w14:paraId="3428A6A3" w14:textId="487BA828" w:rsidR="006501A4" w:rsidRDefault="006501A4" w:rsidP="00CB2565">
      <w:pPr>
        <w:spacing w:after="120" w:line="259" w:lineRule="auto"/>
        <w:jc w:val="left"/>
      </w:pPr>
      <w:r>
        <w:t>Silver perch were successfully detected at seven of the ten sites using eDNA; Four Posts, Eastman Bridge, Kyalite State Forest, Widgee1, Gee Gee, Stoney Creek Crossing and Windra Vale2. Traditional sampling in 2019/20 also recorded silver perch throughout these locations (and nearby locations) but required boat electrofishing, backpack electrofishing, larval sampling, angling and baited set-lines to do so. Consequently, eDNA is appears to be as effective at documenting the distributio</w:t>
      </w:r>
      <w:r w:rsidR="005D191E">
        <w:t>n of silver perch in the Edward/</w:t>
      </w:r>
      <w:r>
        <w:t>Kolety-Wakool system as multiple fish sampling methods combined. It is important to emphasise that eDNA sampling was not concurrent with the traditional sampling, thus the data aren’t directly comparable. However, historic NSW DPI Fisheries’ electrofishing data from 2007 to 2014 recorded low numbers of silver perch (typically two to five fish per year across one to three sites) at six of the eDNA sites that correspond to Fish River sites (across all Fisheries’ projects). In addition, silver perch recruits were recor</w:t>
      </w:r>
      <w:r w:rsidR="005D191E">
        <w:t>ded in every Zone of the Edward/</w:t>
      </w:r>
      <w:r>
        <w:t xml:space="preserve">Kolety-Wakool system from 2014-2020. </w:t>
      </w:r>
      <w:r>
        <w:fldChar w:fldCharType="begin"/>
      </w:r>
      <w:r>
        <w:instrText xml:space="preserve"> ADDIN EN.CITE &lt;EndNote&gt;&lt;Cite&gt;&lt;Author&gt;Watts&lt;/Author&gt;&lt;Year&gt;2019&lt;/Year&gt;&lt;RecNum&gt;2462&lt;/RecNum&gt;&lt;DisplayText&gt;(Watts&lt;style face="italic"&gt; et al.&lt;/style&gt;, 2019)&lt;/DisplayText&gt;&lt;record&gt;&lt;rec-number&gt;2462&lt;/rec-number&gt;&lt;foreign-keys&gt;&lt;key app="EN" db-id="e0dt5ads0f5edteap9hv95toswsre9f2wed5" timestamp="1601013467"&gt;2462&lt;/key&gt;&lt;/foreign-keys&gt;&lt;ref-type name="Report"&gt;27&lt;/ref-type&gt;&lt;contributors&gt;&lt;authors&gt;&lt;author&gt;Watts, R.J&lt;/author&gt;&lt;author&gt;Bond, N.R&lt;/author&gt;&lt;author&gt;Grace, M.R&lt;/author&gt;&lt;author&gt;Healy, S&lt;/author&gt;&lt;author&gt;Howitt, J.A&lt;/author&gt;&lt;author&gt;Liu, X&lt;/author&gt;&lt;author&gt;McCasker, N.G&lt;/author&gt;&lt;author&gt;Thiem, J.D&lt;/author&gt;&lt;author&gt;Trethewie, J.A&lt;/author&gt;&lt;author&gt;Wright, D.W&lt;/author&gt;&lt;/authors&gt;&lt;/contributors&gt;&lt;titles&gt;&lt;title&gt;&amp;apos;Commonwealth Environmental Water Office Long Term Intervention Monitoring Project: Edward/Kolety-Wakool River System Selected Area Technical Report, 2018-19&amp;apos;. Report prepared for Commonwealth Environmental Water Office. Commonwealth of Australia.&lt;/title&gt;&lt;/titles&gt;&lt;dates&gt;&lt;year&gt;2019&lt;/year&gt;&lt;/dates&gt;&lt;urls&gt;&lt;/urls&gt;&lt;/record&gt;&lt;/Cite&gt;&lt;/EndNote&gt;</w:instrText>
      </w:r>
      <w:r>
        <w:fldChar w:fldCharType="separate"/>
      </w:r>
      <w:r>
        <w:rPr>
          <w:noProof/>
        </w:rPr>
        <w:t>(Watts</w:t>
      </w:r>
      <w:r w:rsidRPr="00D22CDC">
        <w:rPr>
          <w:i/>
          <w:noProof/>
        </w:rPr>
        <w:t xml:space="preserve"> et al.</w:t>
      </w:r>
      <w:r>
        <w:rPr>
          <w:noProof/>
        </w:rPr>
        <w:t>, 2019)</w:t>
      </w:r>
      <w:r>
        <w:fldChar w:fldCharType="end"/>
      </w:r>
      <w:r>
        <w:t>. Thus, the combined evidence suggests silver perch are likely to be present throughout the Edward/Kolety-Wakool system in most years. Therefore, targeted eDNA methods are clearly an effective method for quickly detecting this species and is likely to be useful in areas where they are in low abundance.</w:t>
      </w:r>
    </w:p>
    <w:p w14:paraId="168D9030" w14:textId="77777777" w:rsidR="006501A4" w:rsidRDefault="006501A4" w:rsidP="00CB2565">
      <w:pPr>
        <w:spacing w:after="120" w:line="259" w:lineRule="auto"/>
        <w:jc w:val="left"/>
      </w:pPr>
      <w:r>
        <w:t xml:space="preserve">The invasive Redfin perch were not one of the original target species for this project. However, given a redfin perch eDNA assay is available, we considered that we could potentially provide further information on its distribution in the Edward/Kolety-Wakool system. The results showed that redfin perch are present at the Stoney Creek Crossing (lower Wakool River) site. Eggs/larval redfin were recorded during the last LTIM project in the system </w:t>
      </w:r>
      <w:r>
        <w:fldChar w:fldCharType="begin"/>
      </w:r>
      <w:r>
        <w:instrText xml:space="preserve"> ADDIN EN.CITE &lt;EndNote&gt;&lt;Cite&gt;&lt;Author&gt;Watts&lt;/Author&gt;&lt;Year&gt;2019&lt;/Year&gt;&lt;RecNum&gt;2462&lt;/RecNum&gt;&lt;DisplayText&gt;(Watts&lt;style face="italic"&gt; et al.&lt;/style&gt;, 2019)&lt;/DisplayText&gt;&lt;record&gt;&lt;rec-number&gt;2462&lt;/rec-number&gt;&lt;foreign-keys&gt;&lt;key app="EN" db-id="e0dt5ads0f5edteap9hv95toswsre9f2wed5" timestamp="1601013467"&gt;2462&lt;/key&gt;&lt;/foreign-keys&gt;&lt;ref-type name="Report"&gt;27&lt;/ref-type&gt;&lt;contributors&gt;&lt;authors&gt;&lt;author&gt;Watts, R.J&lt;/author&gt;&lt;author&gt;Bond, N.R&lt;/author&gt;&lt;author&gt;Grace, M.R&lt;/author&gt;&lt;author&gt;Healy, S&lt;/author&gt;&lt;author&gt;Howitt, J.A&lt;/author&gt;&lt;author&gt;Liu, X&lt;/author&gt;&lt;author&gt;McCasker, N.G&lt;/author&gt;&lt;author&gt;Thiem, J.D&lt;/author&gt;&lt;author&gt;Trethewie, J.A&lt;/author&gt;&lt;author&gt;Wright, D.W&lt;/author&gt;&lt;/authors&gt;&lt;/contributors&gt;&lt;titles&gt;&lt;title&gt;&amp;apos;Commonwealth Environmental Water Office Long Term Intervention Monitoring Project: Edward/Kolety-Wakool River System Selected Area Technical Report, 2018-19&amp;apos;. Report prepared for Commonwealth Environmental Water Office. Commonwealth of Australia.&lt;/title&gt;&lt;/titles&gt;&lt;dates&gt;&lt;year&gt;2019&lt;/year&gt;&lt;/dates&gt;&lt;urls&gt;&lt;/urls&gt;&lt;/record&gt;&lt;/Cite&gt;&lt;/EndNote&gt;</w:instrText>
      </w:r>
      <w:r>
        <w:fldChar w:fldCharType="separate"/>
      </w:r>
      <w:r>
        <w:rPr>
          <w:noProof/>
        </w:rPr>
        <w:t>(Watts</w:t>
      </w:r>
      <w:r w:rsidRPr="000D6139">
        <w:rPr>
          <w:i/>
          <w:noProof/>
        </w:rPr>
        <w:t xml:space="preserve"> et al.</w:t>
      </w:r>
      <w:r>
        <w:rPr>
          <w:noProof/>
        </w:rPr>
        <w:t>, 2019)</w:t>
      </w:r>
      <w:r>
        <w:fldChar w:fldCharType="end"/>
      </w:r>
      <w:r>
        <w:t>, but were not recorded in the recent 2019/20 sampling (Table 8.4). The NSW DPI Fisheries database has sporadic records of this species at several sites in the Edward/Kolety-Wakool system between 1994 and 2013, including records from one eDNA sampling site (FP in 2010 and 2011). Thus, the presence of larval eggs/fish in the previous LTIM project combined with the positive eDNA results from Stoney Creek Crossing suggests that redfin perch are currently in very low numbers in the system. This is an encouraging result and indicates that the environment in the Edward/Kolety-Wakool is currently unfavourable for this species.</w:t>
      </w:r>
    </w:p>
    <w:p w14:paraId="4FE1342A" w14:textId="77777777" w:rsidR="006501A4" w:rsidRPr="0095397F" w:rsidRDefault="006501A4" w:rsidP="00CB2565">
      <w:pPr>
        <w:spacing w:after="120" w:line="259" w:lineRule="auto"/>
        <w:jc w:val="left"/>
        <w:rPr>
          <w:rFonts w:cstheme="minorHAnsi"/>
          <w:b/>
          <w:i/>
          <w:color w:val="31849B"/>
          <w:sz w:val="24"/>
          <w:szCs w:val="24"/>
        </w:rPr>
      </w:pPr>
      <w:r w:rsidRPr="0095397F">
        <w:rPr>
          <w:rFonts w:cstheme="minorHAnsi"/>
          <w:b/>
          <w:i/>
          <w:color w:val="31849B"/>
          <w:sz w:val="24"/>
          <w:szCs w:val="24"/>
        </w:rPr>
        <w:t>Species not detected</w:t>
      </w:r>
    </w:p>
    <w:p w14:paraId="0D9B07FA" w14:textId="4BC8CFAA" w:rsidR="006501A4" w:rsidRDefault="006501A4" w:rsidP="00CB2565">
      <w:pPr>
        <w:spacing w:after="120" w:line="259" w:lineRule="auto"/>
        <w:jc w:val="left"/>
      </w:pPr>
      <w:r w:rsidRPr="00364C60">
        <w:t xml:space="preserve">Environmental DNA did not detect dwarf flathead gudgeon, freshwater catfish and Murray crayfish. While we cannot rule out false negatives for the reasons described above, there are no records of </w:t>
      </w:r>
      <w:r>
        <w:t xml:space="preserve">dwarf flathead gudgeon and freshwater catfish </w:t>
      </w:r>
      <w:r w:rsidRPr="00364C60">
        <w:t xml:space="preserve"> in the NSW DPI Fisheries database at any of the ten eDNA sampling sites, </w:t>
      </w:r>
      <w:r>
        <w:t>n</w:t>
      </w:r>
      <w:r w:rsidRPr="00364C60">
        <w:t>or at any</w:t>
      </w:r>
      <w:r w:rsidR="005D191E">
        <w:t xml:space="preserve"> surrounding site in the Edward/</w:t>
      </w:r>
      <w:r w:rsidRPr="00364C60">
        <w:t xml:space="preserve">Kolety-Wakool </w:t>
      </w:r>
      <w:r>
        <w:t>system</w:t>
      </w:r>
      <w:r w:rsidRPr="00364C60">
        <w:t xml:space="preserve">. </w:t>
      </w:r>
      <w:r>
        <w:t xml:space="preserve">Freshwater catfish were recorded as larvae in 2017/18 </w:t>
      </w:r>
      <w:r>
        <w:fldChar w:fldCharType="begin"/>
      </w:r>
      <w:r>
        <w:instrText xml:space="preserve"> ADDIN EN.CITE &lt;EndNote&gt;&lt;Cite&gt;&lt;Author&gt;Watts&lt;/Author&gt;&lt;Year&gt;2019&lt;/Year&gt;&lt;RecNum&gt;2462&lt;/RecNum&gt;&lt;DisplayText&gt;(Watts&lt;style face="italic"&gt; et al.&lt;/style&gt;, 2019)&lt;/DisplayText&gt;&lt;record&gt;&lt;rec-number&gt;2462&lt;/rec-number&gt;&lt;foreign-keys&gt;&lt;key app="EN" db-id="e0dt5ads0f5edteap9hv95toswsre9f2wed5" timestamp="1601013467"&gt;2462&lt;/key&gt;&lt;/foreign-keys&gt;&lt;ref-type name="Report"&gt;27&lt;/ref-type&gt;&lt;contributors&gt;&lt;authors&gt;&lt;author&gt;Watts, R.J&lt;/author&gt;&lt;author&gt;Bond, N.R&lt;/author&gt;&lt;author&gt;Grace, M.R&lt;/author&gt;&lt;author&gt;Healy, S&lt;/author&gt;&lt;author&gt;Howitt, J.A&lt;/author&gt;&lt;author&gt;Liu, X&lt;/author&gt;&lt;author&gt;McCasker, N.G&lt;/author&gt;&lt;author&gt;Thiem, J.D&lt;/author&gt;&lt;author&gt;Trethewie, J.A&lt;/author&gt;&lt;author&gt;Wright, D.W&lt;/author&gt;&lt;/authors&gt;&lt;/contributors&gt;&lt;titles&gt;&lt;title&gt;&amp;apos;Commonwealth Environmental Water Office Long Term Intervention Monitoring Project: Edward/Kolety-Wakool River System Selected Area Technical Report, 2018-19&amp;apos;. Report prepared for Commonwealth Environmental Water Office. Commonwealth of Australia.&lt;/title&gt;&lt;/titles&gt;&lt;dates&gt;&lt;year&gt;2019&lt;/year&gt;&lt;/dates&gt;&lt;urls&gt;&lt;/urls&gt;&lt;/record&gt;&lt;/Cite&gt;&lt;/EndNote&gt;</w:instrText>
      </w:r>
      <w:r>
        <w:fldChar w:fldCharType="separate"/>
      </w:r>
      <w:r>
        <w:rPr>
          <w:noProof/>
        </w:rPr>
        <w:t>(Watts</w:t>
      </w:r>
      <w:r w:rsidRPr="00F734B8">
        <w:rPr>
          <w:i/>
          <w:noProof/>
        </w:rPr>
        <w:t xml:space="preserve"> et al.</w:t>
      </w:r>
      <w:r>
        <w:rPr>
          <w:noProof/>
        </w:rPr>
        <w:t>, 2019)</w:t>
      </w:r>
      <w:r>
        <w:fldChar w:fldCharType="end"/>
      </w:r>
      <w:r>
        <w:t xml:space="preserve">, but none of the other fish species were recorded as </w:t>
      </w:r>
      <w:r w:rsidRPr="00364C60">
        <w:t>eggs or larvae at any of the sampling sites in 2019/20</w:t>
      </w:r>
      <w:r>
        <w:t xml:space="preserve"> or in the previous LTIM project</w:t>
      </w:r>
      <w:r w:rsidRPr="00364C60">
        <w:t xml:space="preserve"> </w:t>
      </w:r>
      <w:r>
        <w:fldChar w:fldCharType="begin"/>
      </w:r>
      <w:r>
        <w:instrText xml:space="preserve"> ADDIN EN.CITE &lt;EndNote&gt;&lt;Cite&gt;&lt;Author&gt;Watts&lt;/Author&gt;&lt;Year&gt;2019&lt;/Year&gt;&lt;RecNum&gt;2462&lt;/RecNum&gt;&lt;Prefix&gt;Section 8`, &lt;/Prefix&gt;&lt;DisplayText&gt;(Section 8, Watts&lt;style face="italic"&gt; et al.&lt;/style&gt;, 2019)&lt;/DisplayText&gt;&lt;record&gt;&lt;rec-number&gt;2462&lt;/rec-number&gt;&lt;foreign-keys&gt;&lt;key app="EN" db-id="e0dt5ads0f5edteap9hv95toswsre9f2wed5" timestamp="1601013467"&gt;2462&lt;/key&gt;&lt;/foreign-keys&gt;&lt;ref-type name="Report"&gt;27&lt;/ref-type&gt;&lt;contributors&gt;&lt;authors&gt;&lt;author&gt;Watts, R.J&lt;/author&gt;&lt;author&gt;Bond, N.R&lt;/author&gt;&lt;author&gt;Grace, M.R&lt;/author&gt;&lt;author&gt;Healy, S&lt;/author&gt;&lt;author&gt;Howitt, J.A&lt;/author&gt;&lt;author&gt;Liu, X&lt;/author&gt;&lt;author&gt;McCasker, N.G&lt;/author&gt;&lt;author&gt;Thiem, J.D&lt;/author&gt;&lt;author&gt;Trethewie, J.A&lt;/author&gt;&lt;author&gt;Wright, D.W&lt;/author&gt;&lt;/authors&gt;&lt;/contributors&gt;&lt;titles&gt;&lt;title&gt;&amp;apos;Commonwealth Environmental Water Office Long Term Intervention Monitoring Project: Edward/Kolety-Wakool River System Selected Area Technical Report, 2018-19&amp;apos;. Report prepared for Commonwealth Environmental Water Office. Commonwealth of Australia.&lt;/title&gt;&lt;/titles&gt;&lt;dates&gt;&lt;year&gt;2019&lt;/year&gt;&lt;/dates&gt;&lt;urls&gt;&lt;/urls&gt;&lt;/record&gt;&lt;/Cite&gt;&lt;/EndNote&gt;</w:instrText>
      </w:r>
      <w:r>
        <w:fldChar w:fldCharType="separate"/>
      </w:r>
      <w:r>
        <w:rPr>
          <w:noProof/>
        </w:rPr>
        <w:t>(Section 8, Watts</w:t>
      </w:r>
      <w:r w:rsidRPr="00A7531F">
        <w:rPr>
          <w:i/>
          <w:noProof/>
        </w:rPr>
        <w:t xml:space="preserve"> et al.</w:t>
      </w:r>
      <w:r>
        <w:rPr>
          <w:noProof/>
        </w:rPr>
        <w:t>, 2019)</w:t>
      </w:r>
      <w:r>
        <w:fldChar w:fldCharType="end"/>
      </w:r>
      <w:r w:rsidRPr="00364C60">
        <w:t>.</w:t>
      </w:r>
      <w:r>
        <w:t xml:space="preserve"> Consequently</w:t>
      </w:r>
      <w:r w:rsidRPr="00364C60">
        <w:t>, it is likely that these species are absent in the Selected Area</w:t>
      </w:r>
      <w:r>
        <w:t>,</w:t>
      </w:r>
      <w:r w:rsidRPr="00364C60">
        <w:t xml:space="preserve"> or</w:t>
      </w:r>
      <w:r>
        <w:t xml:space="preserve"> if they are present, the population size is likely to be very small.</w:t>
      </w:r>
    </w:p>
    <w:p w14:paraId="0F8DB7B2" w14:textId="2DB264A1" w:rsidR="006501A4" w:rsidRDefault="006501A4" w:rsidP="00CB2565">
      <w:pPr>
        <w:spacing w:after="120" w:line="259" w:lineRule="auto"/>
        <w:jc w:val="left"/>
      </w:pPr>
      <w:r>
        <w:t xml:space="preserve">Six Murray crayfish were detected at Four Posts in August 2020; thus it was surprising that the species was not detected by the eDNA sampling given they are unlikely to have left the location prior to eDNA sampling in November 2020. NSW DPI data shows that Murray crayfish have been detected in the Edward Kolety-Wakool during annual sampling from 2012 to 2017, though the populations declined substantially after the blackwater event in 2016/17. But they were typically in low abundance below Deniliquin and most abundant around Twin Rivers Boat Ramp in town. Thus, the failure to detect Murray crayfish could be due to their absence or low abundance below Deniliquin, where all but one of our sites was located. It is possible that increasing the number of water samples collected at each site, potentially sampling lower in the water column as two of the three species are benthic) and increasing the number of qPCR technical replicates per sample could improve the chance of detecting rare species </w:t>
      </w:r>
      <w:r>
        <w:fldChar w:fldCharType="begin"/>
      </w:r>
      <w:r>
        <w:instrText xml:space="preserve"> ADDIN EN.CITE &lt;EndNote&gt;&lt;Cite&gt;&lt;Author&gt;Furlan&lt;/Author&gt;&lt;Year&gt;2016&lt;/Year&gt;&lt;RecNum&gt;1515&lt;/RecNum&gt;&lt;DisplayText&gt;(Furlan&lt;style face="italic"&gt; et al.&lt;/style&gt;, 2016b)&lt;/DisplayText&gt;&lt;record&gt;&lt;rec-number&gt;1515&lt;/rec-number&gt;&lt;foreign-keys&gt;&lt;key app="EN" db-id="e0dt5ads0f5edteap9hv95toswsre9f2wed5" timestamp="1521588981"&gt;1515&lt;/key&gt;&lt;/foreign-keys&gt;&lt;ref-type name="Journal Article"&gt;17&lt;/ref-type&gt;&lt;contributors&gt;&lt;authors&gt;&lt;author&gt;Furlan, Elise M.&lt;/author&gt;&lt;author&gt;Gleeson, Dianne&lt;/author&gt;&lt;author&gt;Hardy, Christopher M.&lt;/author&gt;&lt;author&gt;Duncan, Richard P.&lt;/author&gt;&lt;/authors&gt;&lt;/contributors&gt;&lt;titles&gt;&lt;title&gt;A framework for estimating the sensitivity of eDNA surveys&lt;/title&gt;&lt;secondary-title&gt;Molecular Ecology Resources&lt;/secondary-title&gt;&lt;/titles&gt;&lt;pages&gt;641-654&lt;/pages&gt;&lt;volume&gt;16&lt;/volume&gt;&lt;number&gt;3&lt;/number&gt;&lt;dates&gt;&lt;year&gt;2016&lt;/year&gt;&lt;pub-dates&gt;&lt;date&gt;//&lt;/date&gt;&lt;/pub-dates&gt;&lt;/dates&gt;&lt;urls&gt;&lt;related-urls&gt;&lt;url&gt;https://www.ingentaconnect.com/content/bpl/molecor/2016/00000016/00000003/art00005&lt;/url&gt;&lt;url&gt;https://doi.org/10.1111/1755-0998.12483&lt;/url&gt;&lt;/related-urls&gt;&lt;/urls&gt;&lt;electronic-resource-num&gt;10.1111/1755-0998.12483&lt;/electronic-resource-num&gt;&lt;/record&gt;&lt;/Cite&gt;&lt;/EndNote&gt;</w:instrText>
      </w:r>
      <w:r>
        <w:fldChar w:fldCharType="separate"/>
      </w:r>
      <w:r>
        <w:rPr>
          <w:noProof/>
        </w:rPr>
        <w:t>(Furlan</w:t>
      </w:r>
      <w:r w:rsidRPr="006F664C">
        <w:rPr>
          <w:i/>
          <w:noProof/>
        </w:rPr>
        <w:t xml:space="preserve"> et al.</w:t>
      </w:r>
      <w:r>
        <w:rPr>
          <w:noProof/>
        </w:rPr>
        <w:t>, 2016b)</w:t>
      </w:r>
      <w:r>
        <w:fldChar w:fldCharType="end"/>
      </w:r>
      <w:r>
        <w:t xml:space="preserve">. Modelling could be applied to determine the probability of detecting target DNA based on the concentration of eDNA in the water, the dispersion of eDNA in the water, DNA extraction and amplification efficiency and assay sensitivity </w:t>
      </w:r>
      <w:r>
        <w:fldChar w:fldCharType="begin">
          <w:fldData xml:space="preserve">PEVuZE5vdGU+PENpdGU+PEF1dGhvcj5GdXJsYW48L0F1dGhvcj48WWVhcj4yMDE2PC9ZZWFyPjxS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</w:fldData>
        </w:fldChar>
      </w:r>
      <w:r>
        <w:instrText xml:space="preserve"> ADDIN EN.CITE </w:instrText>
      </w:r>
      <w:r>
        <w:fldChar w:fldCharType="begin">
          <w:fldData xml:space="preserve">PEVuZE5vdGU+PENpdGU+PEF1dGhvcj5GdXJsYW48L0F1dGhvcj48WWVhcj4yMDE2PC9ZZWFyPjxS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</w:fldData>
        </w:fldChar>
      </w:r>
      <w:r>
        <w:instrText xml:space="preserve"> ADDIN EN.CITE.DATA </w:instrText>
      </w:r>
      <w:r>
        <w:fldChar w:fldCharType="end"/>
      </w:r>
      <w:r>
        <w:fldChar w:fldCharType="separate"/>
      </w:r>
      <w:r>
        <w:rPr>
          <w:noProof/>
        </w:rPr>
        <w:t>(Furlan</w:t>
      </w:r>
      <w:r w:rsidRPr="006F664C">
        <w:rPr>
          <w:i/>
          <w:noProof/>
        </w:rPr>
        <w:t xml:space="preserve"> et al.</w:t>
      </w:r>
      <w:r>
        <w:rPr>
          <w:noProof/>
        </w:rPr>
        <w:t>, 2016b; Song</w:t>
      </w:r>
      <w:r w:rsidRPr="006F664C">
        <w:rPr>
          <w:i/>
          <w:noProof/>
        </w:rPr>
        <w:t xml:space="preserve"> et al.</w:t>
      </w:r>
      <w:r>
        <w:rPr>
          <w:noProof/>
        </w:rPr>
        <w:t>, 2020)</w:t>
      </w:r>
      <w:r>
        <w:fldChar w:fldCharType="end"/>
      </w:r>
      <w:r>
        <w:t>.</w:t>
      </w:r>
    </w:p>
    <w:p w14:paraId="4ACCF224" w14:textId="77777777" w:rsidR="006501A4" w:rsidRDefault="006501A4" w:rsidP="00CB2565">
      <w:pPr>
        <w:spacing w:after="120" w:line="259" w:lineRule="auto"/>
        <w:jc w:val="left"/>
      </w:pPr>
      <w:r>
        <w:t xml:space="preserve">The failure to detect rare species at some sites (e.g. Calimo, Mallan School, Balpool and Kyalite State Forest) using eDNA collected during a single sampling event does not necessarily indicate that these sites are in poor health. This study was designed to be a proof of concept to determine if the technique was able to detect rare species that may potentially be missed by other methods. And it has succeeded in that aim by showing that rare species can indeed be detected. Nevertheless, the sampling design needs to be refined given the failure to detect crayfish at Four Posts when it was almost certainly present. </w:t>
      </w:r>
    </w:p>
    <w:p w14:paraId="33723E0C" w14:textId="77777777" w:rsidR="006501A4" w:rsidRDefault="006501A4" w:rsidP="00CB2565">
      <w:pPr>
        <w:spacing w:after="120" w:line="259" w:lineRule="auto"/>
        <w:jc w:val="left"/>
      </w:pPr>
    </w:p>
    <w:p w14:paraId="6F27BFDC" w14:textId="77777777" w:rsidR="0095397F" w:rsidRDefault="0095397F">
      <w:pPr>
        <w:spacing w:after="0" w:line="240" w:lineRule="auto"/>
        <w:jc w:val="left"/>
        <w:rPr>
          <w:rFonts w:cstheme="minorHAnsi"/>
          <w:b/>
          <w:i/>
          <w:color w:val="31849B"/>
          <w:sz w:val="24"/>
          <w:szCs w:val="24"/>
        </w:rPr>
      </w:pPr>
      <w:r>
        <w:rPr>
          <w:rFonts w:cstheme="minorHAnsi"/>
          <w:b/>
          <w:i/>
          <w:color w:val="31849B"/>
          <w:sz w:val="24"/>
          <w:szCs w:val="24"/>
        </w:rPr>
        <w:br w:type="page"/>
      </w:r>
    </w:p>
    <w:p w14:paraId="40C32C93" w14:textId="45948E66" w:rsidR="006501A4" w:rsidRPr="0095397F" w:rsidRDefault="006501A4" w:rsidP="00CB2565">
      <w:pPr>
        <w:spacing w:after="120" w:line="259" w:lineRule="auto"/>
        <w:jc w:val="left"/>
        <w:rPr>
          <w:rFonts w:cstheme="minorHAnsi"/>
          <w:b/>
          <w:i/>
          <w:color w:val="31849B"/>
          <w:sz w:val="24"/>
          <w:szCs w:val="24"/>
        </w:rPr>
      </w:pPr>
      <w:r w:rsidRPr="0095397F">
        <w:rPr>
          <w:rFonts w:cstheme="minorHAnsi"/>
          <w:b/>
          <w:i/>
          <w:color w:val="31849B"/>
          <w:sz w:val="24"/>
          <w:szCs w:val="24"/>
        </w:rPr>
        <w:t>Unsuccessful eDNA assays</w:t>
      </w:r>
    </w:p>
    <w:p w14:paraId="1A91D18E" w14:textId="77777777" w:rsidR="006501A4" w:rsidRDefault="006501A4" w:rsidP="00CB2565">
      <w:pPr>
        <w:spacing w:after="120" w:line="259" w:lineRule="auto"/>
        <w:jc w:val="left"/>
      </w:pPr>
      <w:r>
        <w:t xml:space="preserve">We abandoned development </w:t>
      </w:r>
      <w:r w:rsidRPr="00680C4D">
        <w:t xml:space="preserve">of targeted assays for six of the species of interest. In most cases, we are confident that targeted assays could be </w:t>
      </w:r>
      <w:r>
        <w:t xml:space="preserve">successfully </w:t>
      </w:r>
      <w:r w:rsidRPr="00680C4D">
        <w:t xml:space="preserve">developed with further laboratory work. For example, targeting a different gene for river blackfish, unspecked hardyhead and obscure galaxias </w:t>
      </w:r>
      <w:r>
        <w:t>is likely to</w:t>
      </w:r>
      <w:r w:rsidRPr="00680C4D">
        <w:t xml:space="preserve"> result in a functional assay. </w:t>
      </w:r>
      <w:r>
        <w:t xml:space="preserve">Similarly, it is also likely assays could be successfully developed for eastern long-necked turtles and short-necked turtles could also be developed by targeting a nuclear gene. Other species such as the river mussel will require more work to develop functional assays. </w:t>
      </w:r>
      <w:r w:rsidRPr="00680C4D">
        <w:t xml:space="preserve">The river mussel has </w:t>
      </w:r>
      <w:r>
        <w:t xml:space="preserve">very </w:t>
      </w:r>
      <w:r w:rsidRPr="00680C4D">
        <w:t xml:space="preserve">similar morphology to the freshwater mussel. </w:t>
      </w:r>
      <w:r>
        <w:t>We found it impossible to differentiate between</w:t>
      </w:r>
      <w:r w:rsidRPr="00680C4D">
        <w:t xml:space="preserve"> the </w:t>
      </w:r>
      <w:r>
        <w:t xml:space="preserve">two species based on morphology or sequence analysis, suggesting that the samples we collected only represented one of these species. </w:t>
      </w:r>
      <w:r w:rsidRPr="00680C4D">
        <w:t>Further morphological assessment of</w:t>
      </w:r>
      <w:r>
        <w:t xml:space="preserve"> the </w:t>
      </w:r>
      <w:r w:rsidRPr="0095048A">
        <w:rPr>
          <w:i/>
        </w:rPr>
        <w:t>Alathyria</w:t>
      </w:r>
      <w:r>
        <w:rPr>
          <w:i/>
        </w:rPr>
        <w:t xml:space="preserve"> </w:t>
      </w:r>
      <w:r>
        <w:rPr>
          <w:iCs/>
        </w:rPr>
        <w:t xml:space="preserve">genus is </w:t>
      </w:r>
      <w:r>
        <w:t>required</w:t>
      </w:r>
      <w:r w:rsidRPr="00680C4D">
        <w:t xml:space="preserve"> before progressing eDNA assay development for river mussels.</w:t>
      </w:r>
    </w:p>
    <w:p w14:paraId="6720F95E" w14:textId="62F84ED6" w:rsidR="006501A4" w:rsidRPr="0095397F" w:rsidRDefault="006501A4" w:rsidP="00CB2565">
      <w:pPr>
        <w:spacing w:after="120" w:line="259" w:lineRule="auto"/>
        <w:jc w:val="left"/>
        <w:rPr>
          <w:rFonts w:cstheme="minorHAnsi"/>
          <w:b/>
          <w:i/>
          <w:color w:val="31849B"/>
          <w:sz w:val="24"/>
          <w:szCs w:val="24"/>
        </w:rPr>
      </w:pPr>
      <w:r w:rsidRPr="0095397F">
        <w:rPr>
          <w:rFonts w:cstheme="minorHAnsi"/>
          <w:b/>
          <w:i/>
          <w:color w:val="31849B"/>
          <w:sz w:val="24"/>
          <w:szCs w:val="24"/>
        </w:rPr>
        <w:t>Conclusions</w:t>
      </w:r>
    </w:p>
    <w:p w14:paraId="770B819B" w14:textId="77777777" w:rsidR="006501A4" w:rsidRDefault="006501A4" w:rsidP="00CB2565">
      <w:pPr>
        <w:spacing w:after="120" w:line="259" w:lineRule="auto"/>
        <w:jc w:val="left"/>
      </w:pPr>
      <w:r>
        <w:t xml:space="preserve">Through undertaking this project, we have learned that developing </w:t>
      </w:r>
      <w:r w:rsidRPr="00680C4D">
        <w:t>targeted assays is time consuming and expensive</w:t>
      </w:r>
      <w:r>
        <w:t>, particularly</w:t>
      </w:r>
      <w:r w:rsidRPr="00680C4D">
        <w:t xml:space="preserve"> if there are any </w:t>
      </w:r>
      <w:r>
        <w:t>complications</w:t>
      </w:r>
      <w:r w:rsidRPr="00680C4D">
        <w:t xml:space="preserve"> encountered during primer development such as a lack of variability in the target gene between closely related species.</w:t>
      </w:r>
      <w:r>
        <w:t xml:space="preserve"> This is the reason that researchers typically focus on one or two species at a time. Consequently, the successful development of six assays is a great achievement and will allow for rapid and accurate detection of the presence of these species in the Edward/Kolety-Wakool system as well as other river systems in the Murray-Darling Basin. Furthermore, the cost of developing the assays far outweighed the cost of collecting the samples and running the assays. Therefore, if these assays are applied in the future the costs will be lower as there is only a need to collect water samples and then run the new assays against each water sample. The number of false negative detections could be reduced by taking additional water samples and running more qPCR technical replicates. </w:t>
      </w:r>
    </w:p>
    <w:p w14:paraId="0F781E2F" w14:textId="77777777" w:rsidR="006501A4" w:rsidRDefault="006501A4" w:rsidP="00CB2565">
      <w:pPr>
        <w:spacing w:after="120" w:line="259" w:lineRule="auto"/>
        <w:jc w:val="left"/>
      </w:pPr>
      <w:r>
        <w:t>An important consideration of eDNA work is whether it is cost effective in comparison to other methods. In the case of fish, the overall cost of targeted eDNA analysis (once assays are developed) is currently similar to electrofishing the equivalent number of sites. However, the cost of eDNA analysis is likely to fall as advances are made in the technology and that reduce the total cost per sample. But it is important to note that the two methods are not directly comparable. For example, when we conduct electrofishing, we use community assessment settings to enable a broad range of species to be captured. Consequently, species such as silver perch that are more ‘pelagic’ in their behaviour may be more difficult to capture. In contrast, targeted eDNA sampling is less likely to be affected by the behaviour of the fish given it can return a positive result even if a species has recently left the immediate sampling location. Therefore, targeted eDNA methods are most suitable when the objective is to document the distribution of species inefficiently sampled by other methods. In summary, eDNA is an effective method to detect the presence of rare and threatened species in the Edward/Kolety-Wakool system. We recommend future work explores occupancy modelling to enable detection probabilities to be estimated.</w:t>
      </w:r>
    </w:p>
    <w:p w14:paraId="0E2AA2C1" w14:textId="77777777" w:rsidR="006501A4" w:rsidRDefault="006501A4" w:rsidP="00CB2565">
      <w:pPr>
        <w:spacing w:after="120" w:line="259" w:lineRule="auto"/>
        <w:jc w:val="left"/>
      </w:pPr>
    </w:p>
    <w:p w14:paraId="498F5222" w14:textId="3B16B2FF" w:rsidR="006501A4" w:rsidRPr="00364C60" w:rsidRDefault="006501A4" w:rsidP="00E71C01">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pPr>
    </w:p>
    <w:p w14:paraId="1A4EAFE8" w14:textId="77777777" w:rsidR="006501A4" w:rsidRPr="00364C60" w:rsidRDefault="006501A4" w:rsidP="006501A4">
      <w:pPr>
        <w:spacing w:after="120"/>
        <w:rPr>
          <w:rFonts w:eastAsia="Times New Roman" w:cs="Calibri"/>
          <w:color w:val="201F1E"/>
          <w:bdr w:val="none" w:sz="0" w:space="0" w:color="auto" w:frame="1"/>
          <w:lang w:eastAsia="en-AU"/>
        </w:rPr>
      </w:pPr>
      <w:r w:rsidRPr="00364C60">
        <w:rPr>
          <w:rFonts w:cs="Calibri"/>
          <w:color w:val="201F1E"/>
          <w:bdr w:val="none" w:sz="0" w:space="0" w:color="auto" w:frame="1"/>
        </w:rPr>
        <w:br w:type="page"/>
      </w:r>
    </w:p>
    <w:p w14:paraId="57BF0AAE" w14:textId="0392BFA7" w:rsidR="006501A4" w:rsidRPr="004572B2" w:rsidRDefault="006501A4" w:rsidP="006501A4">
      <w:pPr>
        <w:rPr>
          <w:rFonts w:cstheme="minorHAnsi"/>
          <w:color w:val="31849B"/>
          <w:sz w:val="28"/>
          <w:szCs w:val="28"/>
        </w:rPr>
      </w:pPr>
      <w:r>
        <w:rPr>
          <w:rFonts w:cstheme="minorHAnsi"/>
          <w:b/>
          <w:color w:val="31849B"/>
          <w:sz w:val="28"/>
          <w:szCs w:val="28"/>
        </w:rPr>
        <w:t>12.</w:t>
      </w:r>
      <w:r w:rsidR="00F3588E">
        <w:rPr>
          <w:rFonts w:cstheme="minorHAnsi"/>
          <w:b/>
          <w:color w:val="31849B"/>
          <w:sz w:val="28"/>
          <w:szCs w:val="28"/>
        </w:rPr>
        <w:t>5</w:t>
      </w:r>
      <w:r>
        <w:rPr>
          <w:rFonts w:cstheme="minorHAnsi"/>
          <w:b/>
          <w:color w:val="31849B"/>
          <w:sz w:val="28"/>
          <w:szCs w:val="28"/>
        </w:rPr>
        <w:t xml:space="preserve"> Appendices</w:t>
      </w:r>
    </w:p>
    <w:p w14:paraId="5709A647" w14:textId="77777777" w:rsidR="006501A4" w:rsidRPr="0095397F"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theme="minorHAnsi"/>
          <w:sz w:val="20"/>
          <w:szCs w:val="20"/>
        </w:rPr>
      </w:pPr>
      <w:r w:rsidRPr="0095397F">
        <w:rPr>
          <w:rFonts w:asciiTheme="minorHAnsi" w:hAnsiTheme="minorHAnsi" w:cstheme="minorHAnsi"/>
          <w:b/>
          <w:bCs/>
          <w:color w:val="201F1E"/>
          <w:sz w:val="20"/>
          <w:szCs w:val="20"/>
          <w:bdr w:val="none" w:sz="0" w:space="0" w:color="auto" w:frame="1"/>
        </w:rPr>
        <w:t>Appendix 12.1</w:t>
      </w:r>
      <w:r w:rsidRPr="0095397F">
        <w:rPr>
          <w:rFonts w:asciiTheme="minorHAnsi" w:hAnsiTheme="minorHAnsi" w:cstheme="minorHAnsi"/>
          <w:color w:val="201F1E"/>
          <w:sz w:val="20"/>
          <w:szCs w:val="20"/>
          <w:bdr w:val="none" w:sz="0" w:space="0" w:color="auto" w:frame="1"/>
        </w:rPr>
        <w:t xml:space="preserve"> </w:t>
      </w:r>
      <w:r w:rsidRPr="0095397F">
        <w:rPr>
          <w:rFonts w:asciiTheme="minorHAnsi" w:hAnsiTheme="minorHAnsi" w:cstheme="minorHAnsi"/>
          <w:sz w:val="20"/>
          <w:szCs w:val="20"/>
        </w:rPr>
        <w:t>Species and their GenBank sequence accession numbers that were included in the alignment (in Geneious 2020.0.5) for the assay development of each target species.</w:t>
      </w:r>
    </w:p>
    <w:tbl>
      <w:tblPr>
        <w:tblW w:w="8931" w:type="dxa"/>
        <w:tblInd w:w="-5" w:type="dxa"/>
        <w:tblLook w:val="04A0" w:firstRow="1" w:lastRow="0" w:firstColumn="1" w:lastColumn="0" w:noHBand="0" w:noVBand="1"/>
      </w:tblPr>
      <w:tblGrid>
        <w:gridCol w:w="2127"/>
        <w:gridCol w:w="2759"/>
        <w:gridCol w:w="4045"/>
      </w:tblGrid>
      <w:tr w:rsidR="006501A4" w:rsidRPr="008678EE" w14:paraId="2E951FB3" w14:textId="77777777" w:rsidTr="0095397F">
        <w:trPr>
          <w:trHeight w:val="397"/>
        </w:trPr>
        <w:tc>
          <w:tcPr>
            <w:tcW w:w="2127" w:type="dxa"/>
            <w:tcBorders>
              <w:top w:val="single" w:sz="4" w:space="0" w:color="auto"/>
              <w:left w:val="single" w:sz="4" w:space="0" w:color="auto"/>
              <w:bottom w:val="single" w:sz="4" w:space="0" w:color="auto"/>
              <w:right w:val="nil"/>
            </w:tcBorders>
            <w:shd w:val="clear" w:color="auto" w:fill="92CDDC"/>
            <w:vAlign w:val="center"/>
          </w:tcPr>
          <w:p w14:paraId="283CCF4E" w14:textId="77777777" w:rsidR="006501A4" w:rsidRPr="00562DA4" w:rsidRDefault="006501A4" w:rsidP="00D877B9">
            <w:pPr>
              <w:spacing w:after="120" w:line="280" w:lineRule="exact"/>
              <w:rPr>
                <w:b/>
                <w:sz w:val="20"/>
              </w:rPr>
            </w:pPr>
            <w:r w:rsidRPr="00562DA4">
              <w:rPr>
                <w:b/>
                <w:sz w:val="20"/>
              </w:rPr>
              <w:t>Target species</w:t>
            </w:r>
          </w:p>
        </w:tc>
        <w:tc>
          <w:tcPr>
            <w:tcW w:w="2759" w:type="dxa"/>
            <w:tcBorders>
              <w:top w:val="single" w:sz="4" w:space="0" w:color="auto"/>
              <w:left w:val="nil"/>
              <w:bottom w:val="single" w:sz="4" w:space="0" w:color="auto"/>
              <w:right w:val="nil"/>
            </w:tcBorders>
            <w:shd w:val="clear" w:color="auto" w:fill="92CDDC"/>
            <w:vAlign w:val="center"/>
          </w:tcPr>
          <w:p w14:paraId="3FE9B130" w14:textId="77777777" w:rsidR="006501A4" w:rsidRPr="00562DA4" w:rsidRDefault="006501A4" w:rsidP="00D877B9">
            <w:pPr>
              <w:spacing w:after="120" w:line="280" w:lineRule="exact"/>
              <w:rPr>
                <w:b/>
                <w:sz w:val="20"/>
              </w:rPr>
            </w:pPr>
            <w:r w:rsidRPr="00562DA4">
              <w:rPr>
                <w:b/>
                <w:sz w:val="20"/>
              </w:rPr>
              <w:t xml:space="preserve">Species </w:t>
            </w:r>
            <w:r>
              <w:rPr>
                <w:b/>
                <w:sz w:val="20"/>
              </w:rPr>
              <w:t>included in alignment</w:t>
            </w:r>
          </w:p>
        </w:tc>
        <w:tc>
          <w:tcPr>
            <w:tcW w:w="4045" w:type="dxa"/>
            <w:tcBorders>
              <w:top w:val="single" w:sz="4" w:space="0" w:color="auto"/>
              <w:left w:val="nil"/>
              <w:bottom w:val="single" w:sz="4" w:space="0" w:color="auto"/>
              <w:right w:val="single" w:sz="4" w:space="0" w:color="auto"/>
            </w:tcBorders>
            <w:shd w:val="clear" w:color="auto" w:fill="92CDDC"/>
            <w:vAlign w:val="center"/>
          </w:tcPr>
          <w:p w14:paraId="033F4DB7" w14:textId="77777777" w:rsidR="006501A4" w:rsidRPr="00562DA4" w:rsidRDefault="006501A4" w:rsidP="00D877B9">
            <w:pPr>
              <w:spacing w:after="120" w:line="280" w:lineRule="exact"/>
              <w:rPr>
                <w:b/>
                <w:sz w:val="20"/>
              </w:rPr>
            </w:pPr>
            <w:r>
              <w:rPr>
                <w:b/>
                <w:sz w:val="20"/>
              </w:rPr>
              <w:t>Accession no. (GenBank)</w:t>
            </w:r>
          </w:p>
        </w:tc>
      </w:tr>
      <w:tr w:rsidR="006501A4" w:rsidRPr="008678EE" w14:paraId="4934F55C" w14:textId="77777777" w:rsidTr="0095397F">
        <w:trPr>
          <w:trHeight w:val="283"/>
        </w:trPr>
        <w:tc>
          <w:tcPr>
            <w:tcW w:w="2127" w:type="dxa"/>
            <w:tcBorders>
              <w:top w:val="single" w:sz="4" w:space="0" w:color="auto"/>
              <w:left w:val="single" w:sz="4" w:space="0" w:color="auto"/>
              <w:bottom w:val="nil"/>
              <w:right w:val="nil"/>
            </w:tcBorders>
            <w:vAlign w:val="center"/>
          </w:tcPr>
          <w:p w14:paraId="29EDF50A" w14:textId="77777777" w:rsidR="006501A4" w:rsidRPr="00562DA4" w:rsidRDefault="006501A4" w:rsidP="00D877B9">
            <w:pPr>
              <w:spacing w:after="120" w:line="280" w:lineRule="exact"/>
              <w:jc w:val="left"/>
              <w:rPr>
                <w:rFonts w:cstheme="minorHAnsi"/>
                <w:sz w:val="20"/>
              </w:rPr>
            </w:pPr>
            <w:r w:rsidRPr="00562DA4">
              <w:rPr>
                <w:rFonts w:cstheme="minorHAnsi"/>
                <w:sz w:val="20"/>
              </w:rPr>
              <w:t>Murray cod</w:t>
            </w:r>
            <w:r>
              <w:rPr>
                <w:rFonts w:cstheme="minorHAnsi"/>
                <w:sz w:val="20"/>
              </w:rPr>
              <w:t xml:space="preserve"> (</w:t>
            </w:r>
            <w:r w:rsidRPr="00C51065">
              <w:rPr>
                <w:rFonts w:cstheme="minorHAnsi"/>
                <w:i/>
                <w:iCs/>
                <w:sz w:val="20"/>
              </w:rPr>
              <w:t>Maccullochella peelii</w:t>
            </w:r>
            <w:r>
              <w:rPr>
                <w:rFonts w:cstheme="minorHAnsi"/>
                <w:sz w:val="20"/>
              </w:rPr>
              <w:t>)</w:t>
            </w:r>
          </w:p>
        </w:tc>
        <w:tc>
          <w:tcPr>
            <w:tcW w:w="2759" w:type="dxa"/>
            <w:tcBorders>
              <w:top w:val="single" w:sz="4" w:space="0" w:color="auto"/>
              <w:left w:val="nil"/>
              <w:bottom w:val="nil"/>
              <w:right w:val="nil"/>
            </w:tcBorders>
            <w:vAlign w:val="center"/>
          </w:tcPr>
          <w:p w14:paraId="28DE5767" w14:textId="77777777" w:rsidR="006501A4" w:rsidRPr="00562DA4" w:rsidRDefault="006501A4" w:rsidP="00D877B9">
            <w:pPr>
              <w:spacing w:after="120" w:line="280" w:lineRule="exact"/>
              <w:rPr>
                <w:rFonts w:cstheme="minorHAnsi"/>
                <w:i/>
                <w:sz w:val="20"/>
              </w:rPr>
            </w:pPr>
            <w:r w:rsidRPr="00C51065">
              <w:rPr>
                <w:rFonts w:cstheme="minorHAnsi"/>
                <w:i/>
                <w:iCs/>
                <w:sz w:val="20"/>
              </w:rPr>
              <w:t>Maccullochella peelii</w:t>
            </w:r>
            <w:r w:rsidRPr="00562DA4">
              <w:rPr>
                <w:rFonts w:cstheme="minorHAnsi"/>
                <w:i/>
                <w:sz w:val="20"/>
              </w:rPr>
              <w:t xml:space="preserve"> </w:t>
            </w:r>
          </w:p>
        </w:tc>
        <w:tc>
          <w:tcPr>
            <w:tcW w:w="4045" w:type="dxa"/>
            <w:tcBorders>
              <w:top w:val="single" w:sz="4" w:space="0" w:color="auto"/>
              <w:left w:val="nil"/>
              <w:bottom w:val="nil"/>
              <w:right w:val="single" w:sz="4" w:space="0" w:color="auto"/>
            </w:tcBorders>
            <w:vAlign w:val="center"/>
          </w:tcPr>
          <w:p w14:paraId="74CBCAEE" w14:textId="77777777" w:rsidR="006501A4" w:rsidRPr="00562DA4" w:rsidRDefault="006501A4" w:rsidP="00D877B9">
            <w:pPr>
              <w:spacing w:after="120" w:line="280" w:lineRule="exact"/>
              <w:rPr>
                <w:rFonts w:cstheme="minorHAnsi"/>
                <w:b/>
                <w:sz w:val="20"/>
              </w:rPr>
            </w:pPr>
            <w:r>
              <w:rPr>
                <w:rFonts w:cstheme="minorHAnsi"/>
                <w:b/>
                <w:sz w:val="20"/>
              </w:rPr>
              <w:t xml:space="preserve">FJ710953.1, KY798452.1, APO14532.1, KT337330.1, KT337331.1, KT337332.1, KT337334.1, NC_023807.1, generated sequences M.PEE_12S_QS1-5 (provided below) </w:t>
            </w:r>
          </w:p>
        </w:tc>
      </w:tr>
      <w:tr w:rsidR="006501A4" w:rsidRPr="008678EE" w14:paraId="099667BC" w14:textId="77777777" w:rsidTr="0095397F">
        <w:trPr>
          <w:trHeight w:val="283"/>
        </w:trPr>
        <w:tc>
          <w:tcPr>
            <w:tcW w:w="2127" w:type="dxa"/>
            <w:tcBorders>
              <w:top w:val="nil"/>
              <w:left w:val="single" w:sz="4" w:space="0" w:color="auto"/>
              <w:bottom w:val="nil"/>
              <w:right w:val="nil"/>
            </w:tcBorders>
            <w:vAlign w:val="center"/>
          </w:tcPr>
          <w:p w14:paraId="0FB5AFA7"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8205C5B" w14:textId="77777777" w:rsidR="006501A4" w:rsidRPr="00562DA4" w:rsidRDefault="006501A4" w:rsidP="00D877B9">
            <w:pPr>
              <w:spacing w:after="120" w:line="280" w:lineRule="exact"/>
              <w:rPr>
                <w:rFonts w:cstheme="minorHAnsi"/>
                <w:i/>
                <w:sz w:val="20"/>
              </w:rPr>
            </w:pPr>
            <w:r w:rsidRPr="00562DA4">
              <w:rPr>
                <w:rFonts w:cstheme="minorHAnsi"/>
                <w:i/>
                <w:sz w:val="20"/>
              </w:rPr>
              <w:t>Maccullochella macquariensis</w:t>
            </w:r>
          </w:p>
        </w:tc>
        <w:tc>
          <w:tcPr>
            <w:tcW w:w="4045" w:type="dxa"/>
            <w:tcBorders>
              <w:top w:val="nil"/>
              <w:left w:val="nil"/>
              <w:bottom w:val="nil"/>
              <w:right w:val="single" w:sz="4" w:space="0" w:color="auto"/>
            </w:tcBorders>
            <w:vAlign w:val="center"/>
          </w:tcPr>
          <w:p w14:paraId="1C83DBDD" w14:textId="77777777" w:rsidR="006501A4" w:rsidRPr="00562DA4" w:rsidRDefault="006501A4" w:rsidP="00D877B9">
            <w:pPr>
              <w:spacing w:after="120" w:line="280" w:lineRule="exact"/>
              <w:rPr>
                <w:rFonts w:cstheme="minorHAnsi"/>
                <w:b/>
                <w:sz w:val="20"/>
              </w:rPr>
            </w:pPr>
            <w:r>
              <w:rPr>
                <w:rFonts w:cstheme="minorHAnsi"/>
                <w:b/>
                <w:sz w:val="20"/>
              </w:rPr>
              <w:t xml:space="preserve">FJ710952.1, </w:t>
            </w:r>
            <w:r w:rsidRPr="00C838F6">
              <w:rPr>
                <w:rFonts w:cstheme="minorHAnsi"/>
                <w:b/>
                <w:sz w:val="20"/>
              </w:rPr>
              <w:t>KY798453.1</w:t>
            </w:r>
          </w:p>
        </w:tc>
      </w:tr>
      <w:tr w:rsidR="006501A4" w:rsidRPr="008678EE" w14:paraId="1F56004A" w14:textId="77777777" w:rsidTr="0095397F">
        <w:trPr>
          <w:trHeight w:val="283"/>
        </w:trPr>
        <w:tc>
          <w:tcPr>
            <w:tcW w:w="2127" w:type="dxa"/>
            <w:tcBorders>
              <w:top w:val="nil"/>
              <w:left w:val="single" w:sz="4" w:space="0" w:color="auto"/>
              <w:bottom w:val="nil"/>
              <w:right w:val="nil"/>
            </w:tcBorders>
            <w:vAlign w:val="center"/>
          </w:tcPr>
          <w:p w14:paraId="6A163E7B"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7267F4CF" w14:textId="77777777" w:rsidR="006501A4" w:rsidRPr="00562DA4" w:rsidRDefault="006501A4" w:rsidP="00D877B9">
            <w:pPr>
              <w:spacing w:after="120" w:line="280" w:lineRule="exact"/>
              <w:rPr>
                <w:rFonts w:cstheme="minorHAnsi"/>
                <w:i/>
                <w:sz w:val="20"/>
              </w:rPr>
            </w:pPr>
            <w:r w:rsidRPr="00562DA4">
              <w:rPr>
                <w:rFonts w:cstheme="minorHAnsi"/>
                <w:i/>
                <w:sz w:val="20"/>
              </w:rPr>
              <w:t>Maccullochella ikei</w:t>
            </w:r>
            <w:r>
              <w:rPr>
                <w:rFonts w:cstheme="minorHAnsi"/>
                <w:i/>
                <w:sz w:val="20"/>
              </w:rPr>
              <w:t>*</w:t>
            </w:r>
          </w:p>
        </w:tc>
        <w:tc>
          <w:tcPr>
            <w:tcW w:w="4045" w:type="dxa"/>
            <w:tcBorders>
              <w:top w:val="nil"/>
              <w:left w:val="nil"/>
              <w:bottom w:val="nil"/>
              <w:right w:val="single" w:sz="4" w:space="0" w:color="auto"/>
            </w:tcBorders>
            <w:vAlign w:val="center"/>
          </w:tcPr>
          <w:p w14:paraId="19279A45" w14:textId="77777777" w:rsidR="006501A4" w:rsidRDefault="006501A4" w:rsidP="00D877B9">
            <w:pPr>
              <w:spacing w:after="120" w:line="280" w:lineRule="exact"/>
              <w:rPr>
                <w:rFonts w:cstheme="minorHAnsi"/>
                <w:b/>
                <w:sz w:val="20"/>
              </w:rPr>
            </w:pPr>
            <w:r>
              <w:rPr>
                <w:rFonts w:cstheme="minorHAnsi"/>
                <w:b/>
                <w:sz w:val="20"/>
              </w:rPr>
              <w:t>HQ615495.1</w:t>
            </w:r>
          </w:p>
        </w:tc>
      </w:tr>
      <w:tr w:rsidR="006501A4" w:rsidRPr="008678EE" w14:paraId="786D79A0" w14:textId="77777777" w:rsidTr="0095397F">
        <w:trPr>
          <w:trHeight w:val="283"/>
        </w:trPr>
        <w:tc>
          <w:tcPr>
            <w:tcW w:w="2127" w:type="dxa"/>
            <w:tcBorders>
              <w:top w:val="nil"/>
              <w:left w:val="single" w:sz="4" w:space="0" w:color="auto"/>
              <w:bottom w:val="nil"/>
              <w:right w:val="nil"/>
            </w:tcBorders>
            <w:vAlign w:val="center"/>
          </w:tcPr>
          <w:p w14:paraId="4155EBB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840238C" w14:textId="77777777" w:rsidR="006501A4" w:rsidRPr="00562DA4" w:rsidRDefault="006501A4" w:rsidP="00D877B9">
            <w:pPr>
              <w:spacing w:after="120" w:line="280" w:lineRule="exact"/>
              <w:rPr>
                <w:rFonts w:cstheme="minorHAnsi"/>
                <w:i/>
                <w:sz w:val="20"/>
              </w:rPr>
            </w:pPr>
            <w:r w:rsidRPr="00562DA4">
              <w:rPr>
                <w:rFonts w:cstheme="minorHAnsi"/>
                <w:i/>
                <w:sz w:val="20"/>
              </w:rPr>
              <w:t>Maccullochella mariensis</w:t>
            </w:r>
            <w:r>
              <w:rPr>
                <w:rFonts w:cstheme="minorHAnsi"/>
                <w:i/>
                <w:sz w:val="20"/>
              </w:rPr>
              <w:t>*</w:t>
            </w:r>
          </w:p>
        </w:tc>
        <w:tc>
          <w:tcPr>
            <w:tcW w:w="4045" w:type="dxa"/>
            <w:tcBorders>
              <w:top w:val="nil"/>
              <w:left w:val="nil"/>
              <w:bottom w:val="nil"/>
              <w:right w:val="single" w:sz="4" w:space="0" w:color="auto"/>
            </w:tcBorders>
            <w:vAlign w:val="center"/>
          </w:tcPr>
          <w:p w14:paraId="6FA06C73" w14:textId="77777777" w:rsidR="006501A4" w:rsidRDefault="006501A4" w:rsidP="00D877B9">
            <w:pPr>
              <w:spacing w:after="120" w:line="280" w:lineRule="exact"/>
              <w:rPr>
                <w:rFonts w:cstheme="minorHAnsi"/>
                <w:b/>
                <w:sz w:val="20"/>
              </w:rPr>
            </w:pPr>
            <w:r>
              <w:rPr>
                <w:rFonts w:cstheme="minorHAnsi"/>
                <w:b/>
                <w:sz w:val="20"/>
              </w:rPr>
              <w:t>HQ615496.1</w:t>
            </w:r>
          </w:p>
        </w:tc>
      </w:tr>
      <w:tr w:rsidR="006501A4" w:rsidRPr="008678EE" w14:paraId="053E7BD5" w14:textId="77777777" w:rsidTr="0095397F">
        <w:trPr>
          <w:trHeight w:val="283"/>
        </w:trPr>
        <w:tc>
          <w:tcPr>
            <w:tcW w:w="2127" w:type="dxa"/>
            <w:tcBorders>
              <w:top w:val="nil"/>
              <w:left w:val="single" w:sz="4" w:space="0" w:color="auto"/>
              <w:bottom w:val="nil"/>
              <w:right w:val="nil"/>
            </w:tcBorders>
            <w:vAlign w:val="center"/>
          </w:tcPr>
          <w:p w14:paraId="1ADFE716"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AB1097E" w14:textId="77777777" w:rsidR="006501A4" w:rsidRPr="00562DA4" w:rsidRDefault="006501A4" w:rsidP="00D877B9">
            <w:pPr>
              <w:spacing w:after="120" w:line="280" w:lineRule="exact"/>
              <w:rPr>
                <w:rFonts w:cstheme="minorHAnsi"/>
                <w:i/>
                <w:sz w:val="20"/>
              </w:rPr>
            </w:pPr>
            <w:r w:rsidRPr="00562DA4">
              <w:rPr>
                <w:rFonts w:cstheme="minorHAnsi"/>
                <w:i/>
                <w:sz w:val="20"/>
              </w:rPr>
              <w:t>Macquaria ambigua</w:t>
            </w:r>
          </w:p>
        </w:tc>
        <w:tc>
          <w:tcPr>
            <w:tcW w:w="4045" w:type="dxa"/>
            <w:tcBorders>
              <w:top w:val="nil"/>
              <w:left w:val="nil"/>
              <w:bottom w:val="nil"/>
              <w:right w:val="single" w:sz="4" w:space="0" w:color="auto"/>
            </w:tcBorders>
            <w:vAlign w:val="center"/>
          </w:tcPr>
          <w:p w14:paraId="14C5D9BA" w14:textId="77777777" w:rsidR="006501A4" w:rsidRPr="00562DA4" w:rsidRDefault="006501A4" w:rsidP="00D877B9">
            <w:pPr>
              <w:spacing w:after="120" w:line="280" w:lineRule="exact"/>
              <w:rPr>
                <w:rFonts w:cstheme="minorHAnsi"/>
                <w:b/>
                <w:bCs/>
                <w:sz w:val="20"/>
              </w:rPr>
            </w:pPr>
            <w:r>
              <w:rPr>
                <w:rFonts w:cstheme="minorHAnsi"/>
                <w:b/>
                <w:bCs/>
                <w:sz w:val="20"/>
              </w:rPr>
              <w:t>FJ710954.1, FJ710955.1, HQ615497.1, HQ615498.1</w:t>
            </w:r>
          </w:p>
        </w:tc>
      </w:tr>
      <w:tr w:rsidR="006501A4" w:rsidRPr="008678EE" w14:paraId="01822DEA" w14:textId="77777777" w:rsidTr="0095397F">
        <w:trPr>
          <w:trHeight w:val="283"/>
        </w:trPr>
        <w:tc>
          <w:tcPr>
            <w:tcW w:w="2127" w:type="dxa"/>
            <w:tcBorders>
              <w:top w:val="nil"/>
              <w:left w:val="single" w:sz="4" w:space="0" w:color="auto"/>
              <w:bottom w:val="nil"/>
              <w:right w:val="nil"/>
            </w:tcBorders>
            <w:vAlign w:val="center"/>
          </w:tcPr>
          <w:p w14:paraId="492143E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C364D6F" w14:textId="77777777" w:rsidR="006501A4" w:rsidRPr="00562DA4" w:rsidRDefault="006501A4" w:rsidP="00D877B9">
            <w:pPr>
              <w:spacing w:after="120" w:line="280" w:lineRule="exact"/>
              <w:rPr>
                <w:rFonts w:cstheme="minorHAnsi"/>
                <w:i/>
                <w:sz w:val="20"/>
              </w:rPr>
            </w:pPr>
            <w:r w:rsidRPr="00562DA4">
              <w:rPr>
                <w:rFonts w:cstheme="minorHAnsi"/>
                <w:i/>
                <w:sz w:val="20"/>
              </w:rPr>
              <w:t>Macquaria australasica</w:t>
            </w:r>
          </w:p>
        </w:tc>
        <w:tc>
          <w:tcPr>
            <w:tcW w:w="4045" w:type="dxa"/>
            <w:tcBorders>
              <w:top w:val="nil"/>
              <w:left w:val="nil"/>
              <w:bottom w:val="nil"/>
              <w:right w:val="single" w:sz="4" w:space="0" w:color="auto"/>
            </w:tcBorders>
            <w:vAlign w:val="center"/>
          </w:tcPr>
          <w:p w14:paraId="6A45595D" w14:textId="77777777" w:rsidR="006501A4" w:rsidRPr="00562DA4" w:rsidRDefault="006501A4" w:rsidP="00D877B9">
            <w:pPr>
              <w:spacing w:after="120" w:line="280" w:lineRule="exact"/>
              <w:rPr>
                <w:rFonts w:cstheme="minorHAnsi"/>
                <w:b/>
                <w:sz w:val="20"/>
              </w:rPr>
            </w:pPr>
            <w:r>
              <w:rPr>
                <w:rFonts w:cstheme="minorHAnsi"/>
                <w:b/>
                <w:bCs/>
                <w:sz w:val="20"/>
              </w:rPr>
              <w:t>FJ710956.1, HQ615499.1, HQ615500.1, HQ615501.1, HQ615502.1</w:t>
            </w:r>
          </w:p>
        </w:tc>
      </w:tr>
      <w:tr w:rsidR="006501A4" w:rsidRPr="008678EE" w14:paraId="23CADAA1" w14:textId="77777777" w:rsidTr="0095397F">
        <w:trPr>
          <w:trHeight w:val="283"/>
        </w:trPr>
        <w:tc>
          <w:tcPr>
            <w:tcW w:w="2127" w:type="dxa"/>
            <w:tcBorders>
              <w:top w:val="nil"/>
              <w:left w:val="single" w:sz="4" w:space="0" w:color="auto"/>
              <w:bottom w:val="nil"/>
              <w:right w:val="nil"/>
            </w:tcBorders>
            <w:vAlign w:val="center"/>
          </w:tcPr>
          <w:p w14:paraId="7A281769"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6F171A31" w14:textId="77777777" w:rsidR="006501A4" w:rsidRPr="00562DA4" w:rsidRDefault="006501A4" w:rsidP="00D877B9">
            <w:pPr>
              <w:spacing w:after="120" w:line="280" w:lineRule="exact"/>
              <w:rPr>
                <w:rFonts w:cstheme="minorHAnsi"/>
                <w:i/>
                <w:sz w:val="20"/>
              </w:rPr>
            </w:pPr>
            <w:r w:rsidRPr="00562DA4">
              <w:rPr>
                <w:rFonts w:cstheme="minorHAnsi"/>
                <w:i/>
                <w:sz w:val="20"/>
              </w:rPr>
              <w:t>Gadopsis marmoratus</w:t>
            </w:r>
          </w:p>
        </w:tc>
        <w:tc>
          <w:tcPr>
            <w:tcW w:w="4045" w:type="dxa"/>
            <w:tcBorders>
              <w:top w:val="nil"/>
              <w:left w:val="nil"/>
              <w:bottom w:val="nil"/>
              <w:right w:val="single" w:sz="4" w:space="0" w:color="auto"/>
            </w:tcBorders>
            <w:vAlign w:val="center"/>
          </w:tcPr>
          <w:p w14:paraId="6454C9B4" w14:textId="77777777" w:rsidR="006501A4" w:rsidRPr="00562DA4" w:rsidRDefault="006501A4" w:rsidP="00D877B9">
            <w:pPr>
              <w:spacing w:after="120" w:line="280" w:lineRule="exact"/>
              <w:rPr>
                <w:rFonts w:cstheme="minorHAnsi"/>
                <w:b/>
                <w:sz w:val="20"/>
              </w:rPr>
            </w:pPr>
            <w:r>
              <w:rPr>
                <w:rFonts w:cstheme="minorHAnsi"/>
                <w:b/>
                <w:sz w:val="20"/>
              </w:rPr>
              <w:t>FJ710927.1, FJ710928.1, FJ710929.1</w:t>
            </w:r>
          </w:p>
        </w:tc>
      </w:tr>
      <w:tr w:rsidR="006501A4" w:rsidRPr="008678EE" w14:paraId="76E97FAC" w14:textId="77777777" w:rsidTr="0095397F">
        <w:trPr>
          <w:trHeight w:val="283"/>
        </w:trPr>
        <w:tc>
          <w:tcPr>
            <w:tcW w:w="2127" w:type="dxa"/>
            <w:tcBorders>
              <w:top w:val="nil"/>
              <w:left w:val="single" w:sz="4" w:space="0" w:color="auto"/>
              <w:bottom w:val="nil"/>
              <w:right w:val="nil"/>
            </w:tcBorders>
            <w:vAlign w:val="center"/>
          </w:tcPr>
          <w:p w14:paraId="38321CF8"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758E1EB2" w14:textId="77777777" w:rsidR="006501A4" w:rsidRPr="00562DA4" w:rsidRDefault="006501A4" w:rsidP="00D877B9">
            <w:pPr>
              <w:spacing w:after="120" w:line="280" w:lineRule="exact"/>
              <w:rPr>
                <w:rFonts w:cstheme="minorHAnsi"/>
                <w:i/>
                <w:sz w:val="20"/>
              </w:rPr>
            </w:pPr>
            <w:r w:rsidRPr="00562DA4">
              <w:rPr>
                <w:rFonts w:cstheme="minorHAnsi"/>
                <w:i/>
                <w:sz w:val="20"/>
              </w:rPr>
              <w:t>Gadopsis bispinosus</w:t>
            </w:r>
          </w:p>
        </w:tc>
        <w:tc>
          <w:tcPr>
            <w:tcW w:w="4045" w:type="dxa"/>
            <w:tcBorders>
              <w:top w:val="nil"/>
              <w:left w:val="nil"/>
              <w:bottom w:val="nil"/>
              <w:right w:val="single" w:sz="4" w:space="0" w:color="auto"/>
            </w:tcBorders>
            <w:vAlign w:val="center"/>
          </w:tcPr>
          <w:p w14:paraId="683C933D" w14:textId="77777777" w:rsidR="006501A4" w:rsidRPr="00562DA4" w:rsidRDefault="006501A4" w:rsidP="00D877B9">
            <w:pPr>
              <w:spacing w:after="120" w:line="280" w:lineRule="exact"/>
              <w:rPr>
                <w:rFonts w:cstheme="minorHAnsi"/>
                <w:b/>
                <w:sz w:val="20"/>
              </w:rPr>
            </w:pPr>
            <w:r>
              <w:rPr>
                <w:rFonts w:cstheme="minorHAnsi"/>
                <w:b/>
                <w:sz w:val="20"/>
              </w:rPr>
              <w:t>FJ710926.1</w:t>
            </w:r>
          </w:p>
        </w:tc>
      </w:tr>
      <w:tr w:rsidR="006501A4" w:rsidRPr="008678EE" w14:paraId="50BDF6B6" w14:textId="77777777" w:rsidTr="0095397F">
        <w:trPr>
          <w:trHeight w:val="283"/>
        </w:trPr>
        <w:tc>
          <w:tcPr>
            <w:tcW w:w="2127" w:type="dxa"/>
            <w:tcBorders>
              <w:top w:val="nil"/>
              <w:left w:val="single" w:sz="4" w:space="0" w:color="auto"/>
              <w:bottom w:val="nil"/>
              <w:right w:val="nil"/>
            </w:tcBorders>
            <w:vAlign w:val="center"/>
          </w:tcPr>
          <w:p w14:paraId="76D3D4A1"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37911B1A" w14:textId="77777777" w:rsidR="006501A4" w:rsidRPr="00562DA4" w:rsidRDefault="006501A4" w:rsidP="00D877B9">
            <w:pPr>
              <w:spacing w:after="120" w:line="280" w:lineRule="exact"/>
              <w:rPr>
                <w:rFonts w:cstheme="minorHAnsi"/>
                <w:i/>
                <w:sz w:val="20"/>
              </w:rPr>
            </w:pPr>
            <w:r w:rsidRPr="00562DA4">
              <w:rPr>
                <w:rFonts w:cstheme="minorHAnsi"/>
                <w:i/>
                <w:sz w:val="20"/>
              </w:rPr>
              <w:t>Nannoperca australis</w:t>
            </w:r>
          </w:p>
        </w:tc>
        <w:tc>
          <w:tcPr>
            <w:tcW w:w="4045" w:type="dxa"/>
            <w:tcBorders>
              <w:top w:val="nil"/>
              <w:left w:val="nil"/>
              <w:bottom w:val="nil"/>
              <w:right w:val="single" w:sz="4" w:space="0" w:color="auto"/>
            </w:tcBorders>
            <w:vAlign w:val="center"/>
          </w:tcPr>
          <w:p w14:paraId="54C97C9A" w14:textId="77777777" w:rsidR="006501A4" w:rsidRPr="00562DA4" w:rsidRDefault="006501A4" w:rsidP="00D877B9">
            <w:pPr>
              <w:spacing w:after="120" w:line="280" w:lineRule="exact"/>
              <w:rPr>
                <w:rFonts w:cstheme="minorHAnsi"/>
                <w:b/>
                <w:sz w:val="20"/>
              </w:rPr>
            </w:pPr>
            <w:r>
              <w:rPr>
                <w:rFonts w:cstheme="minorHAnsi"/>
                <w:b/>
                <w:sz w:val="20"/>
              </w:rPr>
              <w:t xml:space="preserve">FJ710965.1, FJ710966.1, </w:t>
            </w:r>
            <w:r>
              <w:rPr>
                <w:rFonts w:cstheme="minorHAnsi"/>
                <w:b/>
                <w:bCs/>
                <w:sz w:val="20"/>
              </w:rPr>
              <w:t>HQ615508.1, HQ615509.1</w:t>
            </w:r>
          </w:p>
        </w:tc>
      </w:tr>
      <w:tr w:rsidR="006501A4" w:rsidRPr="008678EE" w14:paraId="60CA9CAA" w14:textId="77777777" w:rsidTr="0095397F">
        <w:trPr>
          <w:trHeight w:val="283"/>
        </w:trPr>
        <w:tc>
          <w:tcPr>
            <w:tcW w:w="2127" w:type="dxa"/>
            <w:tcBorders>
              <w:top w:val="nil"/>
              <w:left w:val="single" w:sz="4" w:space="0" w:color="auto"/>
              <w:bottom w:val="nil"/>
              <w:right w:val="nil"/>
            </w:tcBorders>
            <w:vAlign w:val="center"/>
          </w:tcPr>
          <w:p w14:paraId="22AE8AFF"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D171B2D" w14:textId="77777777" w:rsidR="006501A4" w:rsidRPr="00562DA4" w:rsidRDefault="006501A4" w:rsidP="00D877B9">
            <w:pPr>
              <w:spacing w:after="120" w:line="280" w:lineRule="exact"/>
              <w:rPr>
                <w:rFonts w:cstheme="minorHAnsi"/>
                <w:i/>
                <w:sz w:val="20"/>
              </w:rPr>
            </w:pPr>
            <w:r>
              <w:rPr>
                <w:rFonts w:cstheme="minorHAnsi"/>
                <w:i/>
                <w:sz w:val="20"/>
              </w:rPr>
              <w:t>Nannoperca obscura*</w:t>
            </w:r>
          </w:p>
        </w:tc>
        <w:tc>
          <w:tcPr>
            <w:tcW w:w="4045" w:type="dxa"/>
            <w:tcBorders>
              <w:top w:val="nil"/>
              <w:left w:val="nil"/>
              <w:bottom w:val="nil"/>
              <w:right w:val="single" w:sz="4" w:space="0" w:color="auto"/>
            </w:tcBorders>
            <w:vAlign w:val="center"/>
          </w:tcPr>
          <w:p w14:paraId="1A7A4C37" w14:textId="77777777" w:rsidR="006501A4" w:rsidRDefault="006501A4" w:rsidP="00D877B9">
            <w:pPr>
              <w:spacing w:after="120" w:line="280" w:lineRule="exact"/>
              <w:rPr>
                <w:rFonts w:cstheme="minorHAnsi"/>
                <w:b/>
                <w:sz w:val="20"/>
              </w:rPr>
            </w:pPr>
            <w:r>
              <w:rPr>
                <w:rFonts w:cstheme="minorHAnsi"/>
                <w:b/>
                <w:sz w:val="20"/>
              </w:rPr>
              <w:t xml:space="preserve">FJ710967.1, </w:t>
            </w:r>
            <w:r>
              <w:rPr>
                <w:rFonts w:cstheme="minorHAnsi"/>
                <w:b/>
                <w:bCs/>
                <w:sz w:val="20"/>
              </w:rPr>
              <w:t>HQ615510.1</w:t>
            </w:r>
          </w:p>
        </w:tc>
      </w:tr>
      <w:tr w:rsidR="006501A4" w:rsidRPr="008678EE" w14:paraId="4746A620" w14:textId="77777777" w:rsidTr="0095397F">
        <w:trPr>
          <w:trHeight w:val="283"/>
        </w:trPr>
        <w:tc>
          <w:tcPr>
            <w:tcW w:w="2127" w:type="dxa"/>
            <w:tcBorders>
              <w:top w:val="nil"/>
              <w:left w:val="single" w:sz="4" w:space="0" w:color="auto"/>
              <w:bottom w:val="nil"/>
              <w:right w:val="nil"/>
            </w:tcBorders>
            <w:vAlign w:val="center"/>
          </w:tcPr>
          <w:p w14:paraId="57E918EC"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246DF68B" w14:textId="77777777" w:rsidR="006501A4" w:rsidRDefault="006501A4" w:rsidP="00D877B9">
            <w:pPr>
              <w:spacing w:after="120" w:line="280" w:lineRule="exact"/>
              <w:rPr>
                <w:rFonts w:cstheme="minorHAnsi"/>
                <w:i/>
                <w:sz w:val="20"/>
              </w:rPr>
            </w:pPr>
            <w:r>
              <w:rPr>
                <w:rFonts w:cstheme="minorHAnsi"/>
                <w:i/>
                <w:sz w:val="20"/>
              </w:rPr>
              <w:t>Nannoperca variegate*</w:t>
            </w:r>
          </w:p>
        </w:tc>
        <w:tc>
          <w:tcPr>
            <w:tcW w:w="4045" w:type="dxa"/>
            <w:tcBorders>
              <w:top w:val="nil"/>
              <w:left w:val="nil"/>
              <w:bottom w:val="nil"/>
              <w:right w:val="single" w:sz="4" w:space="0" w:color="auto"/>
            </w:tcBorders>
            <w:vAlign w:val="center"/>
          </w:tcPr>
          <w:p w14:paraId="2998000C" w14:textId="77777777" w:rsidR="006501A4" w:rsidRDefault="006501A4" w:rsidP="00D877B9">
            <w:pPr>
              <w:spacing w:after="120" w:line="280" w:lineRule="exact"/>
              <w:rPr>
                <w:rFonts w:cstheme="minorHAnsi"/>
                <w:b/>
                <w:sz w:val="20"/>
              </w:rPr>
            </w:pPr>
            <w:r>
              <w:rPr>
                <w:rFonts w:cstheme="minorHAnsi"/>
                <w:b/>
                <w:bCs/>
                <w:sz w:val="20"/>
              </w:rPr>
              <w:t>HQ615511.1, KJ774864.1</w:t>
            </w:r>
          </w:p>
        </w:tc>
      </w:tr>
      <w:tr w:rsidR="006501A4" w:rsidRPr="008678EE" w14:paraId="5F1FABF7" w14:textId="77777777" w:rsidTr="0095397F">
        <w:trPr>
          <w:trHeight w:val="283"/>
        </w:trPr>
        <w:tc>
          <w:tcPr>
            <w:tcW w:w="2127" w:type="dxa"/>
            <w:tcBorders>
              <w:top w:val="nil"/>
              <w:left w:val="single" w:sz="4" w:space="0" w:color="auto"/>
              <w:bottom w:val="nil"/>
              <w:right w:val="nil"/>
            </w:tcBorders>
            <w:vAlign w:val="center"/>
          </w:tcPr>
          <w:p w14:paraId="7C5FE453"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05C74808" w14:textId="77777777" w:rsidR="006501A4" w:rsidRDefault="006501A4" w:rsidP="00D877B9">
            <w:pPr>
              <w:spacing w:after="120" w:line="280" w:lineRule="exact"/>
              <w:rPr>
                <w:rFonts w:cstheme="minorHAnsi"/>
                <w:i/>
                <w:sz w:val="20"/>
              </w:rPr>
            </w:pPr>
            <w:r>
              <w:rPr>
                <w:rFonts w:cstheme="minorHAnsi"/>
                <w:i/>
                <w:sz w:val="20"/>
              </w:rPr>
              <w:t>Nannoperca oxleyana*</w:t>
            </w:r>
          </w:p>
        </w:tc>
        <w:tc>
          <w:tcPr>
            <w:tcW w:w="4045" w:type="dxa"/>
            <w:tcBorders>
              <w:top w:val="nil"/>
              <w:left w:val="nil"/>
              <w:bottom w:val="nil"/>
              <w:right w:val="single" w:sz="4" w:space="0" w:color="auto"/>
            </w:tcBorders>
            <w:vAlign w:val="center"/>
          </w:tcPr>
          <w:p w14:paraId="49230265" w14:textId="77777777" w:rsidR="006501A4" w:rsidRDefault="006501A4" w:rsidP="00D877B9">
            <w:pPr>
              <w:spacing w:after="120" w:line="280" w:lineRule="exact"/>
              <w:rPr>
                <w:rFonts w:cstheme="minorHAnsi"/>
                <w:b/>
                <w:bCs/>
                <w:sz w:val="20"/>
              </w:rPr>
            </w:pPr>
            <w:r>
              <w:rPr>
                <w:rFonts w:cstheme="minorHAnsi"/>
                <w:b/>
                <w:bCs/>
                <w:sz w:val="20"/>
              </w:rPr>
              <w:t>KJ774861.1</w:t>
            </w:r>
          </w:p>
        </w:tc>
      </w:tr>
      <w:tr w:rsidR="006501A4" w:rsidRPr="008678EE" w14:paraId="3A126CB4" w14:textId="77777777" w:rsidTr="0095397F">
        <w:trPr>
          <w:trHeight w:val="283"/>
        </w:trPr>
        <w:tc>
          <w:tcPr>
            <w:tcW w:w="2127" w:type="dxa"/>
            <w:tcBorders>
              <w:top w:val="nil"/>
              <w:left w:val="single" w:sz="4" w:space="0" w:color="auto"/>
              <w:bottom w:val="nil"/>
              <w:right w:val="nil"/>
            </w:tcBorders>
            <w:vAlign w:val="center"/>
          </w:tcPr>
          <w:p w14:paraId="5D150350"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0A2CF313" w14:textId="77777777" w:rsidR="006501A4" w:rsidRDefault="006501A4" w:rsidP="00D877B9">
            <w:pPr>
              <w:spacing w:after="120" w:line="280" w:lineRule="exact"/>
              <w:rPr>
                <w:rFonts w:cstheme="minorHAnsi"/>
                <w:i/>
                <w:sz w:val="20"/>
              </w:rPr>
            </w:pPr>
            <w:r>
              <w:rPr>
                <w:rFonts w:cstheme="minorHAnsi"/>
                <w:i/>
                <w:sz w:val="20"/>
              </w:rPr>
              <w:t>Nannoperca pygmaea*</w:t>
            </w:r>
          </w:p>
        </w:tc>
        <w:tc>
          <w:tcPr>
            <w:tcW w:w="4045" w:type="dxa"/>
            <w:tcBorders>
              <w:top w:val="nil"/>
              <w:left w:val="nil"/>
              <w:bottom w:val="nil"/>
              <w:right w:val="single" w:sz="4" w:space="0" w:color="auto"/>
            </w:tcBorders>
            <w:vAlign w:val="center"/>
          </w:tcPr>
          <w:p w14:paraId="7975DFAA" w14:textId="77777777" w:rsidR="006501A4" w:rsidRDefault="006501A4" w:rsidP="00D877B9">
            <w:pPr>
              <w:spacing w:after="120" w:line="280" w:lineRule="exact"/>
              <w:rPr>
                <w:rFonts w:cstheme="minorHAnsi"/>
                <w:b/>
                <w:bCs/>
                <w:sz w:val="20"/>
              </w:rPr>
            </w:pPr>
            <w:r>
              <w:rPr>
                <w:rFonts w:cstheme="minorHAnsi"/>
                <w:b/>
                <w:bCs/>
                <w:sz w:val="20"/>
              </w:rPr>
              <w:t>KJ774862.1, KJ774863.1</w:t>
            </w:r>
          </w:p>
        </w:tc>
      </w:tr>
      <w:tr w:rsidR="006501A4" w:rsidRPr="008678EE" w14:paraId="0BBB1E9D" w14:textId="77777777" w:rsidTr="0095397F">
        <w:trPr>
          <w:trHeight w:val="283"/>
        </w:trPr>
        <w:tc>
          <w:tcPr>
            <w:tcW w:w="2127" w:type="dxa"/>
            <w:tcBorders>
              <w:top w:val="nil"/>
              <w:left w:val="single" w:sz="4" w:space="0" w:color="auto"/>
              <w:right w:val="nil"/>
            </w:tcBorders>
            <w:vAlign w:val="center"/>
          </w:tcPr>
          <w:p w14:paraId="6FE0F740"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247A457E" w14:textId="77777777" w:rsidR="006501A4" w:rsidRDefault="006501A4" w:rsidP="00D877B9">
            <w:pPr>
              <w:spacing w:after="120" w:line="280" w:lineRule="exact"/>
              <w:rPr>
                <w:rFonts w:cstheme="minorHAnsi"/>
                <w:i/>
                <w:sz w:val="20"/>
              </w:rPr>
            </w:pPr>
            <w:r>
              <w:rPr>
                <w:rFonts w:cstheme="minorHAnsi"/>
                <w:i/>
                <w:sz w:val="20"/>
              </w:rPr>
              <w:t>Nannoperca vittate*</w:t>
            </w:r>
          </w:p>
        </w:tc>
        <w:tc>
          <w:tcPr>
            <w:tcW w:w="4045" w:type="dxa"/>
            <w:tcBorders>
              <w:top w:val="nil"/>
              <w:left w:val="nil"/>
              <w:right w:val="single" w:sz="4" w:space="0" w:color="auto"/>
            </w:tcBorders>
            <w:vAlign w:val="center"/>
          </w:tcPr>
          <w:p w14:paraId="01C8B457" w14:textId="77777777" w:rsidR="006501A4" w:rsidRDefault="006501A4" w:rsidP="00D877B9">
            <w:pPr>
              <w:spacing w:after="120" w:line="280" w:lineRule="exact"/>
              <w:rPr>
                <w:rFonts w:cstheme="minorHAnsi"/>
                <w:b/>
                <w:bCs/>
                <w:sz w:val="20"/>
              </w:rPr>
            </w:pPr>
            <w:r>
              <w:rPr>
                <w:rFonts w:cstheme="minorHAnsi"/>
                <w:b/>
                <w:bCs/>
                <w:sz w:val="20"/>
              </w:rPr>
              <w:t>KJ774865.1, KJ774866.1, KJ774867.1</w:t>
            </w:r>
          </w:p>
        </w:tc>
      </w:tr>
      <w:tr w:rsidR="006501A4" w:rsidRPr="008678EE" w14:paraId="79768BD8" w14:textId="77777777" w:rsidTr="0095397F">
        <w:trPr>
          <w:trHeight w:val="283"/>
        </w:trPr>
        <w:tc>
          <w:tcPr>
            <w:tcW w:w="2127" w:type="dxa"/>
            <w:tcBorders>
              <w:top w:val="nil"/>
              <w:left w:val="single" w:sz="4" w:space="0" w:color="auto"/>
              <w:right w:val="nil"/>
            </w:tcBorders>
            <w:vAlign w:val="center"/>
          </w:tcPr>
          <w:p w14:paraId="24921893"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13C577F8" w14:textId="77777777" w:rsidR="006501A4" w:rsidRPr="00736746" w:rsidRDefault="006501A4" w:rsidP="00D877B9">
            <w:pPr>
              <w:spacing w:after="120" w:line="280" w:lineRule="exact"/>
              <w:rPr>
                <w:rFonts w:cstheme="minorHAnsi"/>
                <w:i/>
                <w:iCs/>
                <w:sz w:val="20"/>
              </w:rPr>
            </w:pPr>
            <w:r w:rsidRPr="00736746">
              <w:rPr>
                <w:rFonts w:cstheme="minorHAnsi"/>
                <w:i/>
                <w:iCs/>
                <w:sz w:val="20"/>
              </w:rPr>
              <w:t>Percalates colonorum</w:t>
            </w:r>
            <w:r>
              <w:rPr>
                <w:rFonts w:cstheme="minorHAnsi"/>
                <w:i/>
                <w:iCs/>
                <w:sz w:val="20"/>
              </w:rPr>
              <w:t>*</w:t>
            </w:r>
          </w:p>
        </w:tc>
        <w:tc>
          <w:tcPr>
            <w:tcW w:w="4045" w:type="dxa"/>
            <w:tcBorders>
              <w:top w:val="nil"/>
              <w:left w:val="nil"/>
              <w:right w:val="single" w:sz="4" w:space="0" w:color="auto"/>
            </w:tcBorders>
            <w:vAlign w:val="center"/>
          </w:tcPr>
          <w:p w14:paraId="19980EA5" w14:textId="77777777" w:rsidR="006501A4" w:rsidRPr="00562DA4" w:rsidRDefault="006501A4" w:rsidP="00D877B9">
            <w:pPr>
              <w:spacing w:after="120" w:line="280" w:lineRule="exact"/>
              <w:rPr>
                <w:rFonts w:cstheme="minorHAnsi"/>
                <w:b/>
                <w:sz w:val="20"/>
              </w:rPr>
            </w:pPr>
            <w:r>
              <w:rPr>
                <w:rFonts w:cstheme="minorHAnsi"/>
                <w:b/>
                <w:sz w:val="20"/>
              </w:rPr>
              <w:t>FJ711001.1, FJ711002.1</w:t>
            </w:r>
          </w:p>
        </w:tc>
      </w:tr>
      <w:tr w:rsidR="006501A4" w:rsidRPr="008678EE" w14:paraId="32EDE9E7" w14:textId="77777777" w:rsidTr="0095397F">
        <w:trPr>
          <w:trHeight w:val="283"/>
        </w:trPr>
        <w:tc>
          <w:tcPr>
            <w:tcW w:w="2127" w:type="dxa"/>
            <w:tcBorders>
              <w:top w:val="nil"/>
              <w:left w:val="single" w:sz="4" w:space="0" w:color="auto"/>
              <w:right w:val="nil"/>
            </w:tcBorders>
            <w:vAlign w:val="center"/>
          </w:tcPr>
          <w:p w14:paraId="53DFD2FE"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4CAE43B2" w14:textId="77777777" w:rsidR="006501A4" w:rsidRPr="00736746" w:rsidRDefault="006501A4" w:rsidP="00D877B9">
            <w:pPr>
              <w:spacing w:after="120" w:line="280" w:lineRule="exact"/>
              <w:rPr>
                <w:rFonts w:cstheme="minorHAnsi"/>
                <w:i/>
                <w:iCs/>
                <w:sz w:val="20"/>
              </w:rPr>
            </w:pPr>
            <w:r w:rsidRPr="00736746">
              <w:rPr>
                <w:rFonts w:cstheme="minorHAnsi"/>
                <w:i/>
                <w:iCs/>
                <w:sz w:val="20"/>
              </w:rPr>
              <w:t>Percalates novemaculeata</w:t>
            </w:r>
            <w:r>
              <w:rPr>
                <w:rFonts w:cstheme="minorHAnsi"/>
                <w:i/>
                <w:iCs/>
                <w:sz w:val="20"/>
              </w:rPr>
              <w:t>*</w:t>
            </w:r>
          </w:p>
        </w:tc>
        <w:tc>
          <w:tcPr>
            <w:tcW w:w="4045" w:type="dxa"/>
            <w:tcBorders>
              <w:top w:val="nil"/>
              <w:left w:val="nil"/>
              <w:right w:val="single" w:sz="4" w:space="0" w:color="auto"/>
            </w:tcBorders>
            <w:vAlign w:val="center"/>
          </w:tcPr>
          <w:p w14:paraId="5467F34E" w14:textId="77777777" w:rsidR="006501A4" w:rsidRPr="00562DA4" w:rsidRDefault="006501A4" w:rsidP="00D877B9">
            <w:pPr>
              <w:spacing w:after="120" w:line="280" w:lineRule="exact"/>
              <w:rPr>
                <w:rFonts w:cstheme="minorHAnsi"/>
                <w:b/>
                <w:sz w:val="20"/>
              </w:rPr>
            </w:pPr>
            <w:r>
              <w:rPr>
                <w:rFonts w:cstheme="minorHAnsi"/>
                <w:b/>
                <w:bCs/>
                <w:sz w:val="20"/>
              </w:rPr>
              <w:t>HQ615503.1</w:t>
            </w:r>
          </w:p>
        </w:tc>
      </w:tr>
      <w:tr w:rsidR="006501A4" w:rsidRPr="008678EE" w14:paraId="631DAF26" w14:textId="77777777" w:rsidTr="0095397F">
        <w:trPr>
          <w:trHeight w:val="283"/>
        </w:trPr>
        <w:tc>
          <w:tcPr>
            <w:tcW w:w="2127" w:type="dxa"/>
            <w:tcBorders>
              <w:top w:val="nil"/>
              <w:left w:val="single" w:sz="4" w:space="0" w:color="auto"/>
              <w:right w:val="nil"/>
            </w:tcBorders>
            <w:vAlign w:val="center"/>
          </w:tcPr>
          <w:p w14:paraId="6C331257"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7E53821F" w14:textId="77777777" w:rsidR="006501A4" w:rsidRPr="00736746" w:rsidRDefault="006501A4" w:rsidP="00D877B9">
            <w:pPr>
              <w:spacing w:after="120" w:line="280" w:lineRule="exact"/>
              <w:rPr>
                <w:rFonts w:cstheme="minorHAnsi"/>
                <w:i/>
                <w:iCs/>
                <w:sz w:val="20"/>
              </w:rPr>
            </w:pPr>
            <w:r w:rsidRPr="00736746">
              <w:rPr>
                <w:rFonts w:cstheme="minorHAnsi"/>
                <w:i/>
                <w:iCs/>
                <w:sz w:val="20"/>
              </w:rPr>
              <w:t>Bostockia porosa</w:t>
            </w:r>
            <w:r>
              <w:rPr>
                <w:rFonts w:cstheme="minorHAnsi"/>
                <w:i/>
                <w:iCs/>
                <w:sz w:val="20"/>
              </w:rPr>
              <w:t>*</w:t>
            </w:r>
          </w:p>
        </w:tc>
        <w:tc>
          <w:tcPr>
            <w:tcW w:w="4045" w:type="dxa"/>
            <w:tcBorders>
              <w:top w:val="nil"/>
              <w:left w:val="nil"/>
              <w:right w:val="single" w:sz="4" w:space="0" w:color="auto"/>
            </w:tcBorders>
            <w:vAlign w:val="center"/>
          </w:tcPr>
          <w:p w14:paraId="64B3DC77" w14:textId="77777777" w:rsidR="006501A4" w:rsidRPr="00562DA4" w:rsidRDefault="006501A4" w:rsidP="00D877B9">
            <w:pPr>
              <w:spacing w:after="120" w:line="280" w:lineRule="exact"/>
              <w:rPr>
                <w:rFonts w:cstheme="minorHAnsi"/>
                <w:b/>
                <w:sz w:val="20"/>
              </w:rPr>
            </w:pPr>
            <w:r>
              <w:rPr>
                <w:rFonts w:cstheme="minorHAnsi"/>
                <w:b/>
                <w:bCs/>
                <w:sz w:val="20"/>
              </w:rPr>
              <w:t>KJ774783.1, KJ774784.1</w:t>
            </w:r>
          </w:p>
        </w:tc>
      </w:tr>
      <w:tr w:rsidR="006501A4" w:rsidRPr="008678EE" w14:paraId="00859D4A" w14:textId="77777777" w:rsidTr="0095397F">
        <w:trPr>
          <w:trHeight w:val="283"/>
        </w:trPr>
        <w:tc>
          <w:tcPr>
            <w:tcW w:w="2127" w:type="dxa"/>
            <w:tcBorders>
              <w:top w:val="nil"/>
              <w:left w:val="single" w:sz="4" w:space="0" w:color="auto"/>
              <w:right w:val="nil"/>
            </w:tcBorders>
            <w:vAlign w:val="center"/>
          </w:tcPr>
          <w:p w14:paraId="04D5308E"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01B472B5" w14:textId="77777777" w:rsidR="006501A4" w:rsidRPr="00736746" w:rsidRDefault="006501A4" w:rsidP="00D877B9">
            <w:pPr>
              <w:spacing w:after="120" w:line="280" w:lineRule="exact"/>
              <w:rPr>
                <w:rFonts w:cstheme="minorHAnsi"/>
                <w:i/>
                <w:iCs/>
                <w:sz w:val="20"/>
              </w:rPr>
            </w:pPr>
            <w:r w:rsidRPr="00736746">
              <w:rPr>
                <w:rFonts w:cstheme="minorHAnsi"/>
                <w:i/>
                <w:iCs/>
                <w:sz w:val="20"/>
              </w:rPr>
              <w:t>Nannatherina balstoni</w:t>
            </w:r>
            <w:r>
              <w:rPr>
                <w:rFonts w:cstheme="minorHAnsi"/>
                <w:i/>
                <w:iCs/>
                <w:sz w:val="20"/>
              </w:rPr>
              <w:t>*</w:t>
            </w:r>
          </w:p>
        </w:tc>
        <w:tc>
          <w:tcPr>
            <w:tcW w:w="4045" w:type="dxa"/>
            <w:tcBorders>
              <w:top w:val="nil"/>
              <w:left w:val="nil"/>
              <w:right w:val="single" w:sz="4" w:space="0" w:color="auto"/>
            </w:tcBorders>
            <w:vAlign w:val="center"/>
          </w:tcPr>
          <w:p w14:paraId="421BA848" w14:textId="77777777" w:rsidR="006501A4" w:rsidRDefault="006501A4" w:rsidP="00D877B9">
            <w:pPr>
              <w:spacing w:after="120" w:line="280" w:lineRule="exact"/>
              <w:rPr>
                <w:rFonts w:cstheme="minorHAnsi"/>
                <w:b/>
                <w:bCs/>
                <w:sz w:val="20"/>
              </w:rPr>
            </w:pPr>
            <w:r>
              <w:rPr>
                <w:rFonts w:cstheme="minorHAnsi"/>
                <w:b/>
                <w:bCs/>
                <w:sz w:val="20"/>
              </w:rPr>
              <w:t>KJ774859.1, KJ774860.1</w:t>
            </w:r>
          </w:p>
          <w:p w14:paraId="02A1494C" w14:textId="77777777" w:rsidR="0095397F" w:rsidRDefault="0095397F" w:rsidP="00D877B9">
            <w:pPr>
              <w:spacing w:after="120" w:line="280" w:lineRule="exact"/>
              <w:rPr>
                <w:rFonts w:cstheme="minorHAnsi"/>
                <w:b/>
                <w:sz w:val="20"/>
              </w:rPr>
            </w:pPr>
          </w:p>
        </w:tc>
      </w:tr>
      <w:tr w:rsidR="006501A4" w:rsidRPr="008678EE" w14:paraId="762BC1EE" w14:textId="77777777" w:rsidTr="0095397F">
        <w:trPr>
          <w:trHeight w:val="283"/>
        </w:trPr>
        <w:tc>
          <w:tcPr>
            <w:tcW w:w="2127" w:type="dxa"/>
            <w:tcBorders>
              <w:top w:val="single" w:sz="4" w:space="0" w:color="auto"/>
              <w:left w:val="single" w:sz="4" w:space="0" w:color="auto"/>
              <w:bottom w:val="nil"/>
              <w:right w:val="nil"/>
            </w:tcBorders>
            <w:vAlign w:val="center"/>
          </w:tcPr>
          <w:p w14:paraId="139AE989" w14:textId="77777777" w:rsidR="006501A4" w:rsidRPr="00562DA4" w:rsidRDefault="006501A4" w:rsidP="00D877B9">
            <w:pPr>
              <w:spacing w:after="120" w:line="280" w:lineRule="exact"/>
              <w:jc w:val="left"/>
              <w:rPr>
                <w:rFonts w:cstheme="minorHAnsi"/>
                <w:i/>
                <w:iCs/>
                <w:sz w:val="20"/>
              </w:rPr>
            </w:pPr>
            <w:r>
              <w:rPr>
                <w:rFonts w:cstheme="minorHAnsi"/>
                <w:sz w:val="20"/>
              </w:rPr>
              <w:t>Trout</w:t>
            </w:r>
            <w:r w:rsidRPr="00562DA4">
              <w:rPr>
                <w:rFonts w:cstheme="minorHAnsi"/>
                <w:sz w:val="20"/>
              </w:rPr>
              <w:t xml:space="preserve"> cod</w:t>
            </w:r>
            <w:r>
              <w:rPr>
                <w:rFonts w:cstheme="minorHAnsi"/>
                <w:sz w:val="20"/>
              </w:rPr>
              <w:t xml:space="preserve"> (</w:t>
            </w:r>
            <w:r w:rsidRPr="00562DA4">
              <w:rPr>
                <w:rFonts w:cstheme="minorHAnsi"/>
                <w:i/>
                <w:sz w:val="20"/>
              </w:rPr>
              <w:t>Maccullochella macquariensis</w:t>
            </w:r>
            <w:r>
              <w:rPr>
                <w:rFonts w:cstheme="minorHAnsi"/>
                <w:sz w:val="20"/>
              </w:rPr>
              <w:t>)</w:t>
            </w:r>
          </w:p>
        </w:tc>
        <w:tc>
          <w:tcPr>
            <w:tcW w:w="2759" w:type="dxa"/>
            <w:tcBorders>
              <w:top w:val="single" w:sz="4" w:space="0" w:color="auto"/>
              <w:left w:val="nil"/>
              <w:bottom w:val="nil"/>
              <w:right w:val="nil"/>
            </w:tcBorders>
            <w:vAlign w:val="center"/>
          </w:tcPr>
          <w:p w14:paraId="38FDDD19" w14:textId="77777777" w:rsidR="006501A4" w:rsidRDefault="006501A4" w:rsidP="00D877B9">
            <w:pPr>
              <w:spacing w:after="120" w:line="280" w:lineRule="exact"/>
              <w:rPr>
                <w:rFonts w:cstheme="minorHAnsi"/>
                <w:sz w:val="20"/>
              </w:rPr>
            </w:pPr>
            <w:r w:rsidRPr="00562DA4">
              <w:rPr>
                <w:rFonts w:cstheme="minorHAnsi"/>
                <w:i/>
                <w:sz w:val="20"/>
              </w:rPr>
              <w:t>Maccullochella macquariensis</w:t>
            </w:r>
            <w:r w:rsidRPr="00C51065">
              <w:rPr>
                <w:rFonts w:cstheme="minorHAnsi"/>
                <w:i/>
                <w:iCs/>
                <w:sz w:val="20"/>
              </w:rPr>
              <w:t xml:space="preserve"> </w:t>
            </w:r>
          </w:p>
        </w:tc>
        <w:tc>
          <w:tcPr>
            <w:tcW w:w="4045" w:type="dxa"/>
            <w:tcBorders>
              <w:top w:val="single" w:sz="4" w:space="0" w:color="auto"/>
              <w:left w:val="nil"/>
              <w:bottom w:val="nil"/>
              <w:right w:val="single" w:sz="4" w:space="0" w:color="auto"/>
            </w:tcBorders>
            <w:vAlign w:val="center"/>
          </w:tcPr>
          <w:p w14:paraId="7E17E7FD" w14:textId="77777777" w:rsidR="006501A4" w:rsidRDefault="006501A4" w:rsidP="00D877B9">
            <w:pPr>
              <w:spacing w:after="120" w:line="280" w:lineRule="exact"/>
              <w:rPr>
                <w:rFonts w:cstheme="minorHAnsi"/>
                <w:b/>
                <w:bCs/>
                <w:sz w:val="20"/>
              </w:rPr>
            </w:pPr>
            <w:r>
              <w:rPr>
                <w:rFonts w:cstheme="minorHAnsi"/>
                <w:b/>
                <w:sz w:val="20"/>
              </w:rPr>
              <w:t xml:space="preserve">FJ710952.1, </w:t>
            </w:r>
            <w:r w:rsidRPr="00C838F6">
              <w:rPr>
                <w:rFonts w:cstheme="minorHAnsi"/>
                <w:b/>
                <w:sz w:val="20"/>
              </w:rPr>
              <w:t>KY798453.1</w:t>
            </w:r>
            <w:r>
              <w:rPr>
                <w:rFonts w:cstheme="minorHAnsi"/>
                <w:b/>
                <w:sz w:val="20"/>
              </w:rPr>
              <w:t xml:space="preserve">, AF295045.1,  generated sequences M.MAC_12S_QS1-5 (provided below) </w:t>
            </w:r>
          </w:p>
        </w:tc>
      </w:tr>
      <w:tr w:rsidR="006501A4" w:rsidRPr="008678EE" w14:paraId="77B75200" w14:textId="77777777" w:rsidTr="0095397F">
        <w:trPr>
          <w:trHeight w:val="283"/>
        </w:trPr>
        <w:tc>
          <w:tcPr>
            <w:tcW w:w="2127" w:type="dxa"/>
            <w:tcBorders>
              <w:top w:val="nil"/>
              <w:left w:val="single" w:sz="4" w:space="0" w:color="auto"/>
              <w:bottom w:val="nil"/>
              <w:right w:val="nil"/>
            </w:tcBorders>
            <w:vAlign w:val="center"/>
          </w:tcPr>
          <w:p w14:paraId="07BBAC65"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5D14594" w14:textId="77777777" w:rsidR="006501A4" w:rsidRDefault="006501A4" w:rsidP="00D877B9">
            <w:pPr>
              <w:spacing w:after="120" w:line="280" w:lineRule="exact"/>
              <w:rPr>
                <w:rFonts w:cstheme="minorHAnsi"/>
                <w:sz w:val="20"/>
              </w:rPr>
            </w:pPr>
            <w:r w:rsidRPr="00C51065">
              <w:rPr>
                <w:rFonts w:cstheme="minorHAnsi"/>
                <w:i/>
                <w:iCs/>
                <w:sz w:val="20"/>
              </w:rPr>
              <w:t>Maccullochella peelii</w:t>
            </w:r>
          </w:p>
        </w:tc>
        <w:tc>
          <w:tcPr>
            <w:tcW w:w="4045" w:type="dxa"/>
            <w:tcBorders>
              <w:top w:val="nil"/>
              <w:left w:val="nil"/>
              <w:bottom w:val="nil"/>
              <w:right w:val="single" w:sz="4" w:space="0" w:color="auto"/>
            </w:tcBorders>
            <w:vAlign w:val="center"/>
          </w:tcPr>
          <w:p w14:paraId="08672306" w14:textId="77777777" w:rsidR="006501A4" w:rsidRDefault="006501A4" w:rsidP="00D877B9">
            <w:pPr>
              <w:spacing w:after="120" w:line="280" w:lineRule="exact"/>
              <w:rPr>
                <w:rFonts w:cstheme="minorHAnsi"/>
                <w:b/>
                <w:bCs/>
                <w:sz w:val="20"/>
              </w:rPr>
            </w:pPr>
            <w:r>
              <w:rPr>
                <w:rFonts w:cstheme="minorHAnsi"/>
                <w:b/>
                <w:sz w:val="20"/>
              </w:rPr>
              <w:t>FJ710953.1, KY798452.1</w:t>
            </w:r>
          </w:p>
        </w:tc>
      </w:tr>
      <w:tr w:rsidR="006501A4" w:rsidRPr="008678EE" w14:paraId="3EBFE47F" w14:textId="77777777" w:rsidTr="0095397F">
        <w:trPr>
          <w:trHeight w:val="283"/>
        </w:trPr>
        <w:tc>
          <w:tcPr>
            <w:tcW w:w="2127" w:type="dxa"/>
            <w:tcBorders>
              <w:top w:val="nil"/>
              <w:left w:val="single" w:sz="4" w:space="0" w:color="auto"/>
              <w:bottom w:val="nil"/>
              <w:right w:val="nil"/>
            </w:tcBorders>
            <w:vAlign w:val="center"/>
          </w:tcPr>
          <w:p w14:paraId="4ED1CC60" w14:textId="77777777" w:rsidR="006501A4" w:rsidRPr="00562DA4" w:rsidRDefault="006501A4" w:rsidP="00D877B9">
            <w:pPr>
              <w:spacing w:after="120" w:line="280" w:lineRule="exact"/>
              <w:rPr>
                <w:rFonts w:cstheme="minorHAnsi"/>
                <w:sz w:val="20"/>
              </w:rPr>
            </w:pPr>
          </w:p>
        </w:tc>
        <w:tc>
          <w:tcPr>
            <w:tcW w:w="2759" w:type="dxa"/>
            <w:tcBorders>
              <w:top w:val="nil"/>
              <w:left w:val="nil"/>
              <w:bottom w:val="nil"/>
              <w:right w:val="nil"/>
            </w:tcBorders>
            <w:vAlign w:val="center"/>
          </w:tcPr>
          <w:p w14:paraId="619A5ACF" w14:textId="77777777" w:rsidR="006501A4" w:rsidRPr="00562DA4" w:rsidRDefault="006501A4" w:rsidP="00D877B9">
            <w:pPr>
              <w:spacing w:after="120" w:line="280" w:lineRule="exact"/>
              <w:rPr>
                <w:rFonts w:cstheme="minorHAnsi"/>
                <w:i/>
                <w:sz w:val="20"/>
              </w:rPr>
            </w:pPr>
            <w:r w:rsidRPr="00562DA4">
              <w:rPr>
                <w:rFonts w:cstheme="minorHAnsi"/>
                <w:i/>
                <w:sz w:val="20"/>
              </w:rPr>
              <w:t>Maccullochella ikei</w:t>
            </w:r>
            <w:r>
              <w:rPr>
                <w:rFonts w:cstheme="minorHAnsi"/>
                <w:i/>
                <w:sz w:val="20"/>
              </w:rPr>
              <w:t>*</w:t>
            </w:r>
          </w:p>
        </w:tc>
        <w:tc>
          <w:tcPr>
            <w:tcW w:w="4045" w:type="dxa"/>
            <w:tcBorders>
              <w:top w:val="nil"/>
              <w:left w:val="nil"/>
              <w:bottom w:val="nil"/>
              <w:right w:val="single" w:sz="4" w:space="0" w:color="auto"/>
            </w:tcBorders>
            <w:vAlign w:val="center"/>
          </w:tcPr>
          <w:p w14:paraId="799AB287" w14:textId="77777777" w:rsidR="006501A4" w:rsidRPr="00562DA4" w:rsidRDefault="006501A4" w:rsidP="00D877B9">
            <w:pPr>
              <w:spacing w:after="120" w:line="280" w:lineRule="exact"/>
              <w:rPr>
                <w:rFonts w:cstheme="minorHAnsi"/>
                <w:b/>
                <w:sz w:val="20"/>
              </w:rPr>
            </w:pPr>
            <w:r>
              <w:rPr>
                <w:rFonts w:cstheme="minorHAnsi"/>
                <w:b/>
                <w:sz w:val="20"/>
              </w:rPr>
              <w:t>HQ615495.1</w:t>
            </w:r>
          </w:p>
        </w:tc>
      </w:tr>
      <w:tr w:rsidR="006501A4" w:rsidRPr="008678EE" w14:paraId="009EB6A6" w14:textId="77777777" w:rsidTr="0095397F">
        <w:trPr>
          <w:trHeight w:val="283"/>
        </w:trPr>
        <w:tc>
          <w:tcPr>
            <w:tcW w:w="2127" w:type="dxa"/>
            <w:tcBorders>
              <w:top w:val="nil"/>
              <w:left w:val="single" w:sz="4" w:space="0" w:color="auto"/>
              <w:bottom w:val="nil"/>
              <w:right w:val="nil"/>
            </w:tcBorders>
            <w:vAlign w:val="center"/>
          </w:tcPr>
          <w:p w14:paraId="62ADB4ED"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3D02CB4E" w14:textId="77777777" w:rsidR="006501A4" w:rsidRPr="00562DA4" w:rsidRDefault="006501A4" w:rsidP="00D877B9">
            <w:pPr>
              <w:spacing w:after="120" w:line="280" w:lineRule="exact"/>
              <w:rPr>
                <w:rFonts w:cstheme="minorHAnsi"/>
                <w:i/>
                <w:sz w:val="20"/>
              </w:rPr>
            </w:pPr>
            <w:r w:rsidRPr="00562DA4">
              <w:rPr>
                <w:rFonts w:cstheme="minorHAnsi"/>
                <w:i/>
                <w:sz w:val="20"/>
              </w:rPr>
              <w:t>Maccullochella mariensis</w:t>
            </w:r>
            <w:r>
              <w:rPr>
                <w:rFonts w:cstheme="minorHAnsi"/>
                <w:i/>
                <w:sz w:val="20"/>
              </w:rPr>
              <w:t>*</w:t>
            </w:r>
          </w:p>
        </w:tc>
        <w:tc>
          <w:tcPr>
            <w:tcW w:w="4045" w:type="dxa"/>
            <w:tcBorders>
              <w:top w:val="nil"/>
              <w:left w:val="nil"/>
              <w:bottom w:val="nil"/>
              <w:right w:val="single" w:sz="4" w:space="0" w:color="auto"/>
            </w:tcBorders>
            <w:vAlign w:val="center"/>
          </w:tcPr>
          <w:p w14:paraId="2F3E35B2" w14:textId="77777777" w:rsidR="006501A4" w:rsidRPr="00562DA4" w:rsidRDefault="006501A4" w:rsidP="00D877B9">
            <w:pPr>
              <w:spacing w:after="120" w:line="280" w:lineRule="exact"/>
              <w:rPr>
                <w:rFonts w:cstheme="minorHAnsi"/>
                <w:b/>
                <w:sz w:val="20"/>
              </w:rPr>
            </w:pPr>
            <w:r>
              <w:rPr>
                <w:rFonts w:cstheme="minorHAnsi"/>
                <w:b/>
                <w:sz w:val="20"/>
              </w:rPr>
              <w:t>HQ615496.1</w:t>
            </w:r>
          </w:p>
        </w:tc>
      </w:tr>
      <w:tr w:rsidR="006501A4" w:rsidRPr="008678EE" w14:paraId="7B349833" w14:textId="77777777" w:rsidTr="0095397F">
        <w:trPr>
          <w:trHeight w:val="283"/>
        </w:trPr>
        <w:tc>
          <w:tcPr>
            <w:tcW w:w="2127" w:type="dxa"/>
            <w:tcBorders>
              <w:top w:val="nil"/>
              <w:left w:val="single" w:sz="4" w:space="0" w:color="auto"/>
              <w:bottom w:val="nil"/>
              <w:right w:val="nil"/>
            </w:tcBorders>
            <w:vAlign w:val="center"/>
          </w:tcPr>
          <w:p w14:paraId="63D1AEA2"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7E255CC2" w14:textId="77777777" w:rsidR="006501A4" w:rsidRPr="00562DA4" w:rsidRDefault="006501A4" w:rsidP="00D877B9">
            <w:pPr>
              <w:spacing w:after="120" w:line="280" w:lineRule="exact"/>
              <w:rPr>
                <w:rFonts w:cstheme="minorHAnsi"/>
                <w:i/>
                <w:sz w:val="20"/>
              </w:rPr>
            </w:pPr>
            <w:r w:rsidRPr="00562DA4">
              <w:rPr>
                <w:rFonts w:cstheme="minorHAnsi"/>
                <w:i/>
                <w:sz w:val="20"/>
              </w:rPr>
              <w:t>Macquaria ambigua</w:t>
            </w:r>
          </w:p>
        </w:tc>
        <w:tc>
          <w:tcPr>
            <w:tcW w:w="4045" w:type="dxa"/>
            <w:tcBorders>
              <w:top w:val="nil"/>
              <w:left w:val="nil"/>
              <w:bottom w:val="nil"/>
              <w:right w:val="single" w:sz="4" w:space="0" w:color="auto"/>
            </w:tcBorders>
            <w:vAlign w:val="center"/>
          </w:tcPr>
          <w:p w14:paraId="7A6476F5" w14:textId="77777777" w:rsidR="006501A4" w:rsidRPr="00562DA4" w:rsidRDefault="006501A4" w:rsidP="00D877B9">
            <w:pPr>
              <w:spacing w:after="120" w:line="280" w:lineRule="exact"/>
              <w:rPr>
                <w:rFonts w:cstheme="minorHAnsi"/>
                <w:b/>
                <w:sz w:val="20"/>
              </w:rPr>
            </w:pPr>
            <w:r>
              <w:rPr>
                <w:rFonts w:cstheme="minorHAnsi"/>
                <w:b/>
                <w:bCs/>
                <w:sz w:val="20"/>
              </w:rPr>
              <w:t>FJ710954.1, FJ710955.1, HQ615497.1, HQ615498.1</w:t>
            </w:r>
          </w:p>
        </w:tc>
      </w:tr>
      <w:tr w:rsidR="006501A4" w:rsidRPr="008678EE" w14:paraId="121ED2F9" w14:textId="77777777" w:rsidTr="0095397F">
        <w:trPr>
          <w:trHeight w:val="283"/>
        </w:trPr>
        <w:tc>
          <w:tcPr>
            <w:tcW w:w="2127" w:type="dxa"/>
            <w:tcBorders>
              <w:top w:val="nil"/>
              <w:left w:val="single" w:sz="4" w:space="0" w:color="auto"/>
              <w:bottom w:val="nil"/>
              <w:right w:val="nil"/>
            </w:tcBorders>
            <w:vAlign w:val="center"/>
          </w:tcPr>
          <w:p w14:paraId="2BBFDED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7AD4400E" w14:textId="77777777" w:rsidR="006501A4" w:rsidRPr="00562DA4" w:rsidRDefault="006501A4" w:rsidP="00D877B9">
            <w:pPr>
              <w:spacing w:after="120" w:line="280" w:lineRule="exact"/>
              <w:rPr>
                <w:rFonts w:cstheme="minorHAnsi"/>
                <w:i/>
                <w:sz w:val="20"/>
              </w:rPr>
            </w:pPr>
            <w:r w:rsidRPr="00562DA4">
              <w:rPr>
                <w:rFonts w:cstheme="minorHAnsi"/>
                <w:i/>
                <w:sz w:val="20"/>
              </w:rPr>
              <w:t>Macquaria australasica</w:t>
            </w:r>
          </w:p>
        </w:tc>
        <w:tc>
          <w:tcPr>
            <w:tcW w:w="4045" w:type="dxa"/>
            <w:tcBorders>
              <w:top w:val="nil"/>
              <w:left w:val="nil"/>
              <w:bottom w:val="nil"/>
              <w:right w:val="single" w:sz="4" w:space="0" w:color="auto"/>
            </w:tcBorders>
            <w:vAlign w:val="center"/>
          </w:tcPr>
          <w:p w14:paraId="3BAA5F82" w14:textId="77777777" w:rsidR="006501A4" w:rsidRPr="00562DA4" w:rsidRDefault="006501A4" w:rsidP="00D877B9">
            <w:pPr>
              <w:spacing w:after="120" w:line="280" w:lineRule="exact"/>
              <w:rPr>
                <w:rFonts w:cstheme="minorHAnsi"/>
                <w:b/>
                <w:sz w:val="20"/>
              </w:rPr>
            </w:pPr>
            <w:r>
              <w:rPr>
                <w:rFonts w:cstheme="minorHAnsi"/>
                <w:b/>
                <w:bCs/>
                <w:sz w:val="20"/>
              </w:rPr>
              <w:t>FJ710956.1, HQ615499.1, HQ615500.1, HQ615501.1, HQ615502.1</w:t>
            </w:r>
          </w:p>
        </w:tc>
      </w:tr>
      <w:tr w:rsidR="006501A4" w:rsidRPr="008678EE" w14:paraId="3458567C" w14:textId="77777777" w:rsidTr="0095397F">
        <w:trPr>
          <w:trHeight w:val="283"/>
        </w:trPr>
        <w:tc>
          <w:tcPr>
            <w:tcW w:w="2127" w:type="dxa"/>
            <w:tcBorders>
              <w:top w:val="nil"/>
              <w:left w:val="single" w:sz="4" w:space="0" w:color="auto"/>
              <w:bottom w:val="nil"/>
              <w:right w:val="nil"/>
            </w:tcBorders>
            <w:vAlign w:val="center"/>
          </w:tcPr>
          <w:p w14:paraId="43905EA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48B9EA9" w14:textId="77777777" w:rsidR="006501A4" w:rsidRPr="00562DA4" w:rsidRDefault="006501A4" w:rsidP="00D877B9">
            <w:pPr>
              <w:spacing w:after="120" w:line="280" w:lineRule="exact"/>
              <w:rPr>
                <w:rFonts w:cstheme="minorHAnsi"/>
                <w:i/>
                <w:sz w:val="20"/>
              </w:rPr>
            </w:pPr>
            <w:r w:rsidRPr="00562DA4">
              <w:rPr>
                <w:rFonts w:cstheme="minorHAnsi"/>
                <w:i/>
                <w:sz w:val="20"/>
              </w:rPr>
              <w:t>Gadopsis marmoratus</w:t>
            </w:r>
          </w:p>
        </w:tc>
        <w:tc>
          <w:tcPr>
            <w:tcW w:w="4045" w:type="dxa"/>
            <w:tcBorders>
              <w:top w:val="nil"/>
              <w:left w:val="nil"/>
              <w:bottom w:val="nil"/>
              <w:right w:val="single" w:sz="4" w:space="0" w:color="auto"/>
            </w:tcBorders>
            <w:vAlign w:val="center"/>
          </w:tcPr>
          <w:p w14:paraId="4B526E25" w14:textId="77777777" w:rsidR="006501A4" w:rsidRPr="00562DA4" w:rsidRDefault="006501A4" w:rsidP="00D877B9">
            <w:pPr>
              <w:spacing w:after="120" w:line="280" w:lineRule="exact"/>
              <w:rPr>
                <w:rFonts w:cstheme="minorHAnsi"/>
                <w:b/>
                <w:sz w:val="20"/>
              </w:rPr>
            </w:pPr>
            <w:r>
              <w:rPr>
                <w:rFonts w:cstheme="minorHAnsi"/>
                <w:b/>
                <w:sz w:val="20"/>
              </w:rPr>
              <w:t>FK710927.1, FK710928.1, FK710929.1</w:t>
            </w:r>
          </w:p>
        </w:tc>
      </w:tr>
      <w:tr w:rsidR="006501A4" w:rsidRPr="008678EE" w14:paraId="0DFAF4DE" w14:textId="77777777" w:rsidTr="0095397F">
        <w:trPr>
          <w:trHeight w:val="283"/>
        </w:trPr>
        <w:tc>
          <w:tcPr>
            <w:tcW w:w="2127" w:type="dxa"/>
            <w:tcBorders>
              <w:top w:val="nil"/>
              <w:left w:val="single" w:sz="4" w:space="0" w:color="auto"/>
              <w:bottom w:val="nil"/>
              <w:right w:val="nil"/>
            </w:tcBorders>
            <w:vAlign w:val="center"/>
          </w:tcPr>
          <w:p w14:paraId="3BFAB31B"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BB5E768" w14:textId="77777777" w:rsidR="006501A4" w:rsidRPr="00562DA4" w:rsidRDefault="006501A4" w:rsidP="00D877B9">
            <w:pPr>
              <w:spacing w:after="120" w:line="280" w:lineRule="exact"/>
              <w:rPr>
                <w:rFonts w:cstheme="minorHAnsi"/>
                <w:i/>
                <w:sz w:val="20"/>
              </w:rPr>
            </w:pPr>
            <w:r w:rsidRPr="00562DA4">
              <w:rPr>
                <w:rFonts w:cstheme="minorHAnsi"/>
                <w:i/>
                <w:sz w:val="20"/>
              </w:rPr>
              <w:t>Gadopsis bispinosus</w:t>
            </w:r>
          </w:p>
        </w:tc>
        <w:tc>
          <w:tcPr>
            <w:tcW w:w="4045" w:type="dxa"/>
            <w:tcBorders>
              <w:top w:val="nil"/>
              <w:left w:val="nil"/>
              <w:bottom w:val="nil"/>
              <w:right w:val="single" w:sz="4" w:space="0" w:color="auto"/>
            </w:tcBorders>
            <w:vAlign w:val="center"/>
          </w:tcPr>
          <w:p w14:paraId="2C7B3708" w14:textId="77777777" w:rsidR="006501A4" w:rsidRPr="00562DA4" w:rsidRDefault="006501A4" w:rsidP="00D877B9">
            <w:pPr>
              <w:spacing w:after="120" w:line="280" w:lineRule="exact"/>
              <w:rPr>
                <w:rFonts w:cstheme="minorHAnsi"/>
                <w:b/>
                <w:sz w:val="20"/>
              </w:rPr>
            </w:pPr>
            <w:r>
              <w:rPr>
                <w:rFonts w:cstheme="minorHAnsi"/>
                <w:b/>
                <w:sz w:val="20"/>
              </w:rPr>
              <w:t>FJ710926.1</w:t>
            </w:r>
          </w:p>
        </w:tc>
      </w:tr>
      <w:tr w:rsidR="006501A4" w:rsidRPr="008678EE" w14:paraId="43725984" w14:textId="77777777" w:rsidTr="0095397F">
        <w:trPr>
          <w:trHeight w:val="283"/>
        </w:trPr>
        <w:tc>
          <w:tcPr>
            <w:tcW w:w="2127" w:type="dxa"/>
            <w:tcBorders>
              <w:top w:val="nil"/>
              <w:left w:val="single" w:sz="4" w:space="0" w:color="auto"/>
              <w:right w:val="nil"/>
            </w:tcBorders>
            <w:vAlign w:val="center"/>
          </w:tcPr>
          <w:p w14:paraId="6F909CA5"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19D66865" w14:textId="77777777" w:rsidR="006501A4" w:rsidRPr="00562DA4" w:rsidRDefault="006501A4" w:rsidP="00D877B9">
            <w:pPr>
              <w:spacing w:after="120" w:line="280" w:lineRule="exact"/>
              <w:rPr>
                <w:rFonts w:cstheme="minorHAnsi"/>
                <w:i/>
                <w:sz w:val="20"/>
              </w:rPr>
            </w:pPr>
            <w:r w:rsidRPr="00562DA4">
              <w:rPr>
                <w:rFonts w:cstheme="minorHAnsi"/>
                <w:i/>
                <w:sz w:val="20"/>
              </w:rPr>
              <w:t>Nannoperca australis</w:t>
            </w:r>
          </w:p>
        </w:tc>
        <w:tc>
          <w:tcPr>
            <w:tcW w:w="4045" w:type="dxa"/>
            <w:tcBorders>
              <w:top w:val="nil"/>
              <w:left w:val="nil"/>
              <w:right w:val="single" w:sz="4" w:space="0" w:color="auto"/>
            </w:tcBorders>
            <w:vAlign w:val="center"/>
          </w:tcPr>
          <w:p w14:paraId="516FA74F" w14:textId="77777777" w:rsidR="006501A4" w:rsidRPr="00562DA4" w:rsidRDefault="006501A4" w:rsidP="00D877B9">
            <w:pPr>
              <w:spacing w:after="120" w:line="280" w:lineRule="exact"/>
              <w:rPr>
                <w:rFonts w:cstheme="minorHAnsi"/>
                <w:b/>
                <w:sz w:val="20"/>
              </w:rPr>
            </w:pPr>
            <w:r>
              <w:rPr>
                <w:rFonts w:cstheme="minorHAnsi"/>
                <w:b/>
                <w:sz w:val="20"/>
              </w:rPr>
              <w:t xml:space="preserve">FJ710965.1, FJ710966.1, </w:t>
            </w:r>
            <w:r>
              <w:rPr>
                <w:rFonts w:cstheme="minorHAnsi"/>
                <w:b/>
                <w:bCs/>
                <w:sz w:val="20"/>
              </w:rPr>
              <w:t>HQ615508.1, HQ615509.1</w:t>
            </w:r>
          </w:p>
        </w:tc>
      </w:tr>
      <w:tr w:rsidR="006501A4" w:rsidRPr="008678EE" w14:paraId="26CED967" w14:textId="77777777" w:rsidTr="0095397F">
        <w:trPr>
          <w:trHeight w:val="283"/>
        </w:trPr>
        <w:tc>
          <w:tcPr>
            <w:tcW w:w="2127" w:type="dxa"/>
            <w:tcBorders>
              <w:top w:val="nil"/>
              <w:left w:val="single" w:sz="4" w:space="0" w:color="auto"/>
              <w:right w:val="nil"/>
            </w:tcBorders>
            <w:vAlign w:val="center"/>
          </w:tcPr>
          <w:p w14:paraId="14E0F24D"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14BC232E" w14:textId="77777777" w:rsidR="006501A4" w:rsidRPr="00562DA4" w:rsidRDefault="006501A4" w:rsidP="00D877B9">
            <w:pPr>
              <w:spacing w:after="120" w:line="280" w:lineRule="exact"/>
              <w:rPr>
                <w:rFonts w:cstheme="minorHAnsi"/>
                <w:i/>
                <w:sz w:val="20"/>
              </w:rPr>
            </w:pPr>
            <w:r>
              <w:rPr>
                <w:rFonts w:cstheme="minorHAnsi"/>
                <w:i/>
                <w:sz w:val="20"/>
              </w:rPr>
              <w:t>Nannoperca obscura*</w:t>
            </w:r>
          </w:p>
        </w:tc>
        <w:tc>
          <w:tcPr>
            <w:tcW w:w="4045" w:type="dxa"/>
            <w:tcBorders>
              <w:top w:val="nil"/>
              <w:left w:val="nil"/>
              <w:right w:val="single" w:sz="4" w:space="0" w:color="auto"/>
            </w:tcBorders>
            <w:vAlign w:val="center"/>
          </w:tcPr>
          <w:p w14:paraId="109E5FD3" w14:textId="77777777" w:rsidR="006501A4" w:rsidRPr="00562DA4" w:rsidRDefault="006501A4" w:rsidP="00D877B9">
            <w:pPr>
              <w:spacing w:after="120" w:line="280" w:lineRule="exact"/>
              <w:rPr>
                <w:rFonts w:cstheme="minorHAnsi"/>
                <w:b/>
                <w:sz w:val="20"/>
              </w:rPr>
            </w:pPr>
            <w:r>
              <w:rPr>
                <w:rFonts w:cstheme="minorHAnsi"/>
                <w:b/>
                <w:sz w:val="20"/>
              </w:rPr>
              <w:t xml:space="preserve">FJ710967.1, </w:t>
            </w:r>
            <w:r>
              <w:rPr>
                <w:rFonts w:cstheme="minorHAnsi"/>
                <w:b/>
                <w:bCs/>
                <w:sz w:val="20"/>
              </w:rPr>
              <w:t>HQ615510.1</w:t>
            </w:r>
          </w:p>
        </w:tc>
      </w:tr>
      <w:tr w:rsidR="006501A4" w:rsidRPr="008678EE" w14:paraId="4D6089AC" w14:textId="77777777" w:rsidTr="0095397F">
        <w:trPr>
          <w:trHeight w:val="283"/>
        </w:trPr>
        <w:tc>
          <w:tcPr>
            <w:tcW w:w="2127" w:type="dxa"/>
            <w:tcBorders>
              <w:top w:val="nil"/>
              <w:left w:val="single" w:sz="4" w:space="0" w:color="auto"/>
              <w:right w:val="nil"/>
            </w:tcBorders>
            <w:vAlign w:val="center"/>
          </w:tcPr>
          <w:p w14:paraId="6876FD49"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37DFD48D" w14:textId="77777777" w:rsidR="006501A4" w:rsidRPr="00562DA4" w:rsidRDefault="006501A4" w:rsidP="00D877B9">
            <w:pPr>
              <w:spacing w:after="120" w:line="280" w:lineRule="exact"/>
              <w:rPr>
                <w:rFonts w:cstheme="minorHAnsi"/>
                <w:i/>
                <w:sz w:val="20"/>
              </w:rPr>
            </w:pPr>
            <w:r>
              <w:rPr>
                <w:rFonts w:cstheme="minorHAnsi"/>
                <w:i/>
                <w:sz w:val="20"/>
              </w:rPr>
              <w:t>Nannoperca variegate*</w:t>
            </w:r>
          </w:p>
        </w:tc>
        <w:tc>
          <w:tcPr>
            <w:tcW w:w="4045" w:type="dxa"/>
            <w:tcBorders>
              <w:top w:val="nil"/>
              <w:left w:val="nil"/>
              <w:right w:val="single" w:sz="4" w:space="0" w:color="auto"/>
            </w:tcBorders>
            <w:vAlign w:val="center"/>
          </w:tcPr>
          <w:p w14:paraId="20EA08CE" w14:textId="77777777" w:rsidR="006501A4" w:rsidRPr="00562DA4" w:rsidRDefault="006501A4" w:rsidP="00D877B9">
            <w:pPr>
              <w:spacing w:after="120" w:line="280" w:lineRule="exact"/>
              <w:rPr>
                <w:rFonts w:cstheme="minorHAnsi"/>
                <w:b/>
                <w:sz w:val="20"/>
              </w:rPr>
            </w:pPr>
            <w:r>
              <w:rPr>
                <w:rFonts w:cstheme="minorHAnsi"/>
                <w:b/>
                <w:bCs/>
                <w:sz w:val="20"/>
              </w:rPr>
              <w:t>HQ615511.1, KJ774864.1</w:t>
            </w:r>
          </w:p>
        </w:tc>
      </w:tr>
      <w:tr w:rsidR="006501A4" w:rsidRPr="008678EE" w14:paraId="5E1AD0BA" w14:textId="77777777" w:rsidTr="0095397F">
        <w:trPr>
          <w:trHeight w:val="283"/>
        </w:trPr>
        <w:tc>
          <w:tcPr>
            <w:tcW w:w="2127" w:type="dxa"/>
            <w:tcBorders>
              <w:top w:val="nil"/>
              <w:left w:val="single" w:sz="4" w:space="0" w:color="auto"/>
              <w:right w:val="nil"/>
            </w:tcBorders>
            <w:vAlign w:val="center"/>
          </w:tcPr>
          <w:p w14:paraId="0B8E663A"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70F47145" w14:textId="77777777" w:rsidR="006501A4" w:rsidRPr="00562DA4" w:rsidRDefault="006501A4" w:rsidP="00D877B9">
            <w:pPr>
              <w:spacing w:after="120" w:line="280" w:lineRule="exact"/>
              <w:rPr>
                <w:rFonts w:cstheme="minorHAnsi"/>
                <w:i/>
                <w:sz w:val="20"/>
              </w:rPr>
            </w:pPr>
            <w:r>
              <w:rPr>
                <w:rFonts w:cstheme="minorHAnsi"/>
                <w:i/>
                <w:sz w:val="20"/>
              </w:rPr>
              <w:t>Nannoperca oxleyana*</w:t>
            </w:r>
          </w:p>
        </w:tc>
        <w:tc>
          <w:tcPr>
            <w:tcW w:w="4045" w:type="dxa"/>
            <w:tcBorders>
              <w:top w:val="nil"/>
              <w:left w:val="nil"/>
              <w:right w:val="single" w:sz="4" w:space="0" w:color="auto"/>
            </w:tcBorders>
            <w:vAlign w:val="center"/>
          </w:tcPr>
          <w:p w14:paraId="6CAA58BA" w14:textId="77777777" w:rsidR="006501A4" w:rsidRPr="00562DA4" w:rsidRDefault="006501A4" w:rsidP="00D877B9">
            <w:pPr>
              <w:spacing w:after="120" w:line="280" w:lineRule="exact"/>
              <w:rPr>
                <w:rFonts w:cstheme="minorHAnsi"/>
                <w:b/>
                <w:sz w:val="20"/>
              </w:rPr>
            </w:pPr>
            <w:r>
              <w:rPr>
                <w:rFonts w:cstheme="minorHAnsi"/>
                <w:b/>
                <w:bCs/>
                <w:sz w:val="20"/>
              </w:rPr>
              <w:t>KJ774861.1</w:t>
            </w:r>
          </w:p>
        </w:tc>
      </w:tr>
      <w:tr w:rsidR="006501A4" w:rsidRPr="008678EE" w14:paraId="410C5CDD" w14:textId="77777777" w:rsidTr="0095397F">
        <w:trPr>
          <w:trHeight w:val="283"/>
        </w:trPr>
        <w:tc>
          <w:tcPr>
            <w:tcW w:w="2127" w:type="dxa"/>
            <w:tcBorders>
              <w:top w:val="nil"/>
              <w:left w:val="single" w:sz="4" w:space="0" w:color="auto"/>
              <w:right w:val="nil"/>
            </w:tcBorders>
            <w:vAlign w:val="center"/>
          </w:tcPr>
          <w:p w14:paraId="45C664D5"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6717237B" w14:textId="77777777" w:rsidR="006501A4" w:rsidRPr="00562DA4" w:rsidRDefault="006501A4" w:rsidP="00D877B9">
            <w:pPr>
              <w:spacing w:after="120" w:line="280" w:lineRule="exact"/>
              <w:rPr>
                <w:rFonts w:cstheme="minorHAnsi"/>
                <w:i/>
                <w:sz w:val="20"/>
              </w:rPr>
            </w:pPr>
            <w:r>
              <w:rPr>
                <w:rFonts w:cstheme="minorHAnsi"/>
                <w:i/>
                <w:sz w:val="20"/>
              </w:rPr>
              <w:t>Nannoperca pygmaea*</w:t>
            </w:r>
          </w:p>
        </w:tc>
        <w:tc>
          <w:tcPr>
            <w:tcW w:w="4045" w:type="dxa"/>
            <w:tcBorders>
              <w:top w:val="nil"/>
              <w:left w:val="nil"/>
              <w:right w:val="single" w:sz="4" w:space="0" w:color="auto"/>
            </w:tcBorders>
            <w:vAlign w:val="center"/>
          </w:tcPr>
          <w:p w14:paraId="7DB9194B" w14:textId="77777777" w:rsidR="006501A4" w:rsidRPr="00562DA4" w:rsidRDefault="006501A4" w:rsidP="00D877B9">
            <w:pPr>
              <w:spacing w:after="120" w:line="280" w:lineRule="exact"/>
              <w:rPr>
                <w:rFonts w:cstheme="minorHAnsi"/>
                <w:b/>
                <w:sz w:val="20"/>
              </w:rPr>
            </w:pPr>
            <w:r>
              <w:rPr>
                <w:rFonts w:cstheme="minorHAnsi"/>
                <w:b/>
                <w:bCs/>
                <w:sz w:val="20"/>
              </w:rPr>
              <w:t>KJ774862.1, KJ774863.1</w:t>
            </w:r>
          </w:p>
        </w:tc>
      </w:tr>
      <w:tr w:rsidR="006501A4" w:rsidRPr="008678EE" w14:paraId="205D7448" w14:textId="77777777" w:rsidTr="0095397F">
        <w:trPr>
          <w:trHeight w:val="283"/>
        </w:trPr>
        <w:tc>
          <w:tcPr>
            <w:tcW w:w="2127" w:type="dxa"/>
            <w:tcBorders>
              <w:top w:val="nil"/>
              <w:left w:val="single" w:sz="4" w:space="0" w:color="auto"/>
              <w:right w:val="nil"/>
            </w:tcBorders>
            <w:vAlign w:val="center"/>
          </w:tcPr>
          <w:p w14:paraId="125365A0"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246E6EB6" w14:textId="77777777" w:rsidR="006501A4" w:rsidRPr="00562DA4" w:rsidRDefault="006501A4" w:rsidP="00D877B9">
            <w:pPr>
              <w:spacing w:after="120" w:line="280" w:lineRule="exact"/>
              <w:rPr>
                <w:rFonts w:cstheme="minorHAnsi"/>
                <w:i/>
                <w:sz w:val="20"/>
              </w:rPr>
            </w:pPr>
            <w:r>
              <w:rPr>
                <w:rFonts w:cstheme="minorHAnsi"/>
                <w:i/>
                <w:sz w:val="20"/>
              </w:rPr>
              <w:t>Nannoperca vittate*</w:t>
            </w:r>
          </w:p>
        </w:tc>
        <w:tc>
          <w:tcPr>
            <w:tcW w:w="4045" w:type="dxa"/>
            <w:tcBorders>
              <w:top w:val="nil"/>
              <w:left w:val="nil"/>
              <w:right w:val="single" w:sz="4" w:space="0" w:color="auto"/>
            </w:tcBorders>
            <w:vAlign w:val="center"/>
          </w:tcPr>
          <w:p w14:paraId="3B9A0FD0" w14:textId="77777777" w:rsidR="006501A4" w:rsidRPr="00562DA4" w:rsidRDefault="006501A4" w:rsidP="00D877B9">
            <w:pPr>
              <w:spacing w:after="120" w:line="280" w:lineRule="exact"/>
              <w:rPr>
                <w:rFonts w:cstheme="minorHAnsi"/>
                <w:b/>
                <w:sz w:val="20"/>
              </w:rPr>
            </w:pPr>
            <w:r>
              <w:rPr>
                <w:rFonts w:cstheme="minorHAnsi"/>
                <w:b/>
                <w:bCs/>
                <w:sz w:val="20"/>
              </w:rPr>
              <w:t>KJ774865.1, KJ774866.1, KJ774867.1</w:t>
            </w:r>
          </w:p>
        </w:tc>
      </w:tr>
      <w:tr w:rsidR="006501A4" w:rsidRPr="008678EE" w14:paraId="23E6C67F" w14:textId="77777777" w:rsidTr="0095397F">
        <w:trPr>
          <w:trHeight w:val="283"/>
        </w:trPr>
        <w:tc>
          <w:tcPr>
            <w:tcW w:w="2127" w:type="dxa"/>
            <w:tcBorders>
              <w:top w:val="nil"/>
              <w:left w:val="single" w:sz="4" w:space="0" w:color="auto"/>
              <w:right w:val="nil"/>
            </w:tcBorders>
            <w:vAlign w:val="center"/>
          </w:tcPr>
          <w:p w14:paraId="3C42C034"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67D460C2" w14:textId="77777777" w:rsidR="006501A4" w:rsidRPr="00562DA4" w:rsidRDefault="006501A4" w:rsidP="00D877B9">
            <w:pPr>
              <w:spacing w:after="120" w:line="280" w:lineRule="exact"/>
              <w:rPr>
                <w:rFonts w:cstheme="minorHAnsi"/>
                <w:i/>
                <w:sz w:val="20"/>
              </w:rPr>
            </w:pPr>
            <w:r w:rsidRPr="00736746">
              <w:rPr>
                <w:rFonts w:cstheme="minorHAnsi"/>
                <w:i/>
                <w:iCs/>
                <w:sz w:val="20"/>
              </w:rPr>
              <w:t>Percalates colonorum</w:t>
            </w:r>
            <w:r>
              <w:rPr>
                <w:rFonts w:cstheme="minorHAnsi"/>
                <w:i/>
                <w:iCs/>
                <w:sz w:val="20"/>
              </w:rPr>
              <w:t>*</w:t>
            </w:r>
          </w:p>
        </w:tc>
        <w:tc>
          <w:tcPr>
            <w:tcW w:w="4045" w:type="dxa"/>
            <w:tcBorders>
              <w:top w:val="nil"/>
              <w:left w:val="nil"/>
              <w:right w:val="single" w:sz="4" w:space="0" w:color="auto"/>
            </w:tcBorders>
            <w:vAlign w:val="center"/>
          </w:tcPr>
          <w:p w14:paraId="5990D275" w14:textId="77777777" w:rsidR="006501A4" w:rsidRPr="00562DA4" w:rsidRDefault="006501A4" w:rsidP="00D877B9">
            <w:pPr>
              <w:spacing w:after="120" w:line="280" w:lineRule="exact"/>
              <w:rPr>
                <w:rFonts w:cstheme="minorHAnsi"/>
                <w:b/>
                <w:sz w:val="20"/>
              </w:rPr>
            </w:pPr>
            <w:r>
              <w:rPr>
                <w:rFonts w:cstheme="minorHAnsi"/>
                <w:b/>
                <w:sz w:val="20"/>
              </w:rPr>
              <w:t>FJ711001.1, FJ711002.1</w:t>
            </w:r>
          </w:p>
        </w:tc>
      </w:tr>
      <w:tr w:rsidR="006501A4" w:rsidRPr="008678EE" w14:paraId="3F440665" w14:textId="77777777" w:rsidTr="0095397F">
        <w:trPr>
          <w:trHeight w:val="283"/>
        </w:trPr>
        <w:tc>
          <w:tcPr>
            <w:tcW w:w="2127" w:type="dxa"/>
            <w:tcBorders>
              <w:top w:val="nil"/>
              <w:left w:val="single" w:sz="4" w:space="0" w:color="auto"/>
              <w:right w:val="nil"/>
            </w:tcBorders>
            <w:vAlign w:val="center"/>
          </w:tcPr>
          <w:p w14:paraId="6759B081"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76D531CE" w14:textId="77777777" w:rsidR="006501A4" w:rsidRPr="00562DA4" w:rsidRDefault="006501A4" w:rsidP="00D877B9">
            <w:pPr>
              <w:spacing w:after="120" w:line="280" w:lineRule="exact"/>
              <w:rPr>
                <w:rFonts w:cstheme="minorHAnsi"/>
                <w:i/>
                <w:sz w:val="20"/>
              </w:rPr>
            </w:pPr>
            <w:r w:rsidRPr="00736746">
              <w:rPr>
                <w:rFonts w:cstheme="minorHAnsi"/>
                <w:i/>
                <w:iCs/>
                <w:sz w:val="20"/>
              </w:rPr>
              <w:t>Percalates novemaculeata</w:t>
            </w:r>
            <w:r>
              <w:rPr>
                <w:rFonts w:cstheme="minorHAnsi"/>
                <w:i/>
                <w:iCs/>
                <w:sz w:val="20"/>
              </w:rPr>
              <w:t>*</w:t>
            </w:r>
          </w:p>
        </w:tc>
        <w:tc>
          <w:tcPr>
            <w:tcW w:w="4045" w:type="dxa"/>
            <w:tcBorders>
              <w:top w:val="nil"/>
              <w:left w:val="nil"/>
              <w:right w:val="single" w:sz="4" w:space="0" w:color="auto"/>
            </w:tcBorders>
            <w:vAlign w:val="center"/>
          </w:tcPr>
          <w:p w14:paraId="6BE4B015" w14:textId="77777777" w:rsidR="006501A4" w:rsidRPr="00562DA4" w:rsidRDefault="006501A4" w:rsidP="00D877B9">
            <w:pPr>
              <w:spacing w:after="120" w:line="280" w:lineRule="exact"/>
              <w:rPr>
                <w:rFonts w:cstheme="minorHAnsi"/>
                <w:b/>
                <w:sz w:val="20"/>
              </w:rPr>
            </w:pPr>
            <w:r>
              <w:rPr>
                <w:rFonts w:cstheme="minorHAnsi"/>
                <w:b/>
                <w:bCs/>
                <w:sz w:val="20"/>
              </w:rPr>
              <w:t>HQ615503.1</w:t>
            </w:r>
          </w:p>
        </w:tc>
      </w:tr>
      <w:tr w:rsidR="006501A4" w:rsidRPr="008678EE" w14:paraId="76B1D6DB" w14:textId="77777777" w:rsidTr="0095397F">
        <w:trPr>
          <w:trHeight w:val="283"/>
        </w:trPr>
        <w:tc>
          <w:tcPr>
            <w:tcW w:w="2127" w:type="dxa"/>
            <w:tcBorders>
              <w:top w:val="nil"/>
              <w:left w:val="single" w:sz="4" w:space="0" w:color="auto"/>
              <w:right w:val="nil"/>
            </w:tcBorders>
            <w:vAlign w:val="center"/>
          </w:tcPr>
          <w:p w14:paraId="2FB638C5"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7CAC9C81" w14:textId="77777777" w:rsidR="006501A4" w:rsidRPr="00562DA4" w:rsidRDefault="006501A4" w:rsidP="00D877B9">
            <w:pPr>
              <w:spacing w:after="120" w:line="280" w:lineRule="exact"/>
              <w:rPr>
                <w:rFonts w:cstheme="minorHAnsi"/>
                <w:i/>
                <w:sz w:val="20"/>
              </w:rPr>
            </w:pPr>
            <w:r w:rsidRPr="00736746">
              <w:rPr>
                <w:rFonts w:cstheme="minorHAnsi"/>
                <w:i/>
                <w:iCs/>
                <w:sz w:val="20"/>
              </w:rPr>
              <w:t>Bostockia porosa</w:t>
            </w:r>
            <w:r>
              <w:rPr>
                <w:rFonts w:cstheme="minorHAnsi"/>
                <w:i/>
                <w:iCs/>
                <w:sz w:val="20"/>
              </w:rPr>
              <w:t>*</w:t>
            </w:r>
          </w:p>
        </w:tc>
        <w:tc>
          <w:tcPr>
            <w:tcW w:w="4045" w:type="dxa"/>
            <w:tcBorders>
              <w:top w:val="nil"/>
              <w:left w:val="nil"/>
              <w:right w:val="single" w:sz="4" w:space="0" w:color="auto"/>
            </w:tcBorders>
            <w:vAlign w:val="center"/>
          </w:tcPr>
          <w:p w14:paraId="04FCF0E3" w14:textId="77777777" w:rsidR="006501A4" w:rsidRPr="00562DA4" w:rsidRDefault="006501A4" w:rsidP="00D877B9">
            <w:pPr>
              <w:spacing w:after="120" w:line="280" w:lineRule="exact"/>
              <w:rPr>
                <w:rFonts w:cstheme="minorHAnsi"/>
                <w:b/>
                <w:sz w:val="20"/>
              </w:rPr>
            </w:pPr>
            <w:r>
              <w:rPr>
                <w:rFonts w:cstheme="minorHAnsi"/>
                <w:b/>
                <w:bCs/>
                <w:sz w:val="20"/>
              </w:rPr>
              <w:t>KJ774783.1, KJ774784.1</w:t>
            </w:r>
          </w:p>
        </w:tc>
      </w:tr>
      <w:tr w:rsidR="006501A4" w:rsidRPr="008678EE" w14:paraId="1FD1A541" w14:textId="77777777" w:rsidTr="0095397F">
        <w:trPr>
          <w:trHeight w:val="283"/>
        </w:trPr>
        <w:tc>
          <w:tcPr>
            <w:tcW w:w="2127" w:type="dxa"/>
            <w:tcBorders>
              <w:top w:val="nil"/>
              <w:left w:val="single" w:sz="4" w:space="0" w:color="auto"/>
              <w:right w:val="nil"/>
            </w:tcBorders>
            <w:vAlign w:val="center"/>
          </w:tcPr>
          <w:p w14:paraId="1F8C77B6"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6AD9472C" w14:textId="77777777" w:rsidR="006501A4" w:rsidRPr="00562DA4" w:rsidRDefault="006501A4" w:rsidP="00D877B9">
            <w:pPr>
              <w:spacing w:after="120" w:line="280" w:lineRule="exact"/>
              <w:rPr>
                <w:rFonts w:cstheme="minorHAnsi"/>
                <w:i/>
                <w:sz w:val="20"/>
              </w:rPr>
            </w:pPr>
            <w:r w:rsidRPr="00736746">
              <w:rPr>
                <w:rFonts w:cstheme="minorHAnsi"/>
                <w:i/>
                <w:iCs/>
                <w:sz w:val="20"/>
              </w:rPr>
              <w:t>Nannatherina balstoni</w:t>
            </w:r>
            <w:r>
              <w:rPr>
                <w:rFonts w:cstheme="minorHAnsi"/>
                <w:i/>
                <w:iCs/>
                <w:sz w:val="20"/>
              </w:rPr>
              <w:t>*</w:t>
            </w:r>
          </w:p>
        </w:tc>
        <w:tc>
          <w:tcPr>
            <w:tcW w:w="4045" w:type="dxa"/>
            <w:tcBorders>
              <w:top w:val="nil"/>
              <w:left w:val="nil"/>
              <w:right w:val="single" w:sz="4" w:space="0" w:color="auto"/>
            </w:tcBorders>
            <w:vAlign w:val="center"/>
          </w:tcPr>
          <w:p w14:paraId="2C8C5CD2" w14:textId="77777777" w:rsidR="006501A4" w:rsidRPr="00562DA4" w:rsidRDefault="006501A4" w:rsidP="00D877B9">
            <w:pPr>
              <w:spacing w:after="120" w:line="280" w:lineRule="exact"/>
              <w:rPr>
                <w:rFonts w:cstheme="minorHAnsi"/>
                <w:b/>
                <w:sz w:val="20"/>
              </w:rPr>
            </w:pPr>
            <w:r>
              <w:rPr>
                <w:rFonts w:cstheme="minorHAnsi"/>
                <w:b/>
                <w:bCs/>
                <w:sz w:val="20"/>
              </w:rPr>
              <w:t>KJ774859.1, KJ774860.1</w:t>
            </w:r>
          </w:p>
        </w:tc>
      </w:tr>
      <w:tr w:rsidR="006501A4" w:rsidRPr="008678EE" w14:paraId="695E2A4C" w14:textId="77777777" w:rsidTr="0095397F">
        <w:trPr>
          <w:trHeight w:val="283"/>
        </w:trPr>
        <w:tc>
          <w:tcPr>
            <w:tcW w:w="2127" w:type="dxa"/>
            <w:tcBorders>
              <w:top w:val="single" w:sz="4" w:space="0" w:color="auto"/>
              <w:left w:val="single" w:sz="4" w:space="0" w:color="auto"/>
              <w:right w:val="nil"/>
            </w:tcBorders>
            <w:vAlign w:val="center"/>
          </w:tcPr>
          <w:p w14:paraId="10F8709F" w14:textId="77777777" w:rsidR="006501A4" w:rsidRPr="00562DA4" w:rsidRDefault="006501A4" w:rsidP="00D877B9">
            <w:pPr>
              <w:spacing w:after="120" w:line="280" w:lineRule="exact"/>
              <w:jc w:val="left"/>
              <w:rPr>
                <w:rFonts w:cstheme="minorHAnsi"/>
                <w:i/>
                <w:iCs/>
                <w:sz w:val="20"/>
              </w:rPr>
            </w:pPr>
            <w:r w:rsidRPr="00562DA4">
              <w:rPr>
                <w:rFonts w:cstheme="minorHAnsi"/>
                <w:sz w:val="20"/>
              </w:rPr>
              <w:t>Silver perch</w:t>
            </w:r>
            <w:r>
              <w:rPr>
                <w:rFonts w:cstheme="minorHAnsi"/>
                <w:sz w:val="20"/>
              </w:rPr>
              <w:t xml:space="preserve"> (</w:t>
            </w:r>
            <w:r w:rsidRPr="00C51065">
              <w:rPr>
                <w:rFonts w:cstheme="minorHAnsi"/>
                <w:i/>
                <w:iCs/>
                <w:sz w:val="20"/>
              </w:rPr>
              <w:t>Bidyanus bidyanus</w:t>
            </w:r>
            <w:r>
              <w:rPr>
                <w:rFonts w:cstheme="minorHAnsi"/>
                <w:sz w:val="20"/>
              </w:rPr>
              <w:t>)</w:t>
            </w:r>
          </w:p>
        </w:tc>
        <w:tc>
          <w:tcPr>
            <w:tcW w:w="2759" w:type="dxa"/>
            <w:tcBorders>
              <w:top w:val="single" w:sz="4" w:space="0" w:color="auto"/>
              <w:left w:val="nil"/>
              <w:right w:val="nil"/>
            </w:tcBorders>
            <w:vAlign w:val="center"/>
          </w:tcPr>
          <w:p w14:paraId="26053631" w14:textId="77777777" w:rsidR="006501A4" w:rsidRPr="00562DA4" w:rsidRDefault="006501A4" w:rsidP="00D877B9">
            <w:pPr>
              <w:spacing w:after="120" w:line="280" w:lineRule="exact"/>
              <w:rPr>
                <w:rFonts w:cstheme="minorHAnsi"/>
                <w:i/>
                <w:sz w:val="20"/>
              </w:rPr>
            </w:pPr>
            <w:r w:rsidRPr="00C51065">
              <w:rPr>
                <w:rFonts w:cstheme="minorHAnsi"/>
                <w:i/>
                <w:iCs/>
                <w:sz w:val="20"/>
              </w:rPr>
              <w:t>Bidyanus bidyanus</w:t>
            </w:r>
          </w:p>
        </w:tc>
        <w:tc>
          <w:tcPr>
            <w:tcW w:w="4045" w:type="dxa"/>
            <w:tcBorders>
              <w:top w:val="single" w:sz="4" w:space="0" w:color="auto"/>
              <w:left w:val="nil"/>
              <w:right w:val="single" w:sz="4" w:space="0" w:color="auto"/>
            </w:tcBorders>
            <w:vAlign w:val="center"/>
          </w:tcPr>
          <w:p w14:paraId="30FCB2A5" w14:textId="77777777" w:rsidR="006501A4" w:rsidRPr="00562DA4" w:rsidRDefault="006501A4" w:rsidP="00D877B9">
            <w:pPr>
              <w:spacing w:after="120" w:line="280" w:lineRule="exact"/>
              <w:rPr>
                <w:rFonts w:cstheme="minorHAnsi"/>
                <w:b/>
                <w:sz w:val="20"/>
              </w:rPr>
            </w:pPr>
            <w:r>
              <w:rPr>
                <w:rFonts w:cstheme="minorHAnsi"/>
                <w:b/>
                <w:sz w:val="20"/>
              </w:rPr>
              <w:t>FJ710915.1, FJ710916.1, KF999833.1, AP014539.1, NC_024854.1, generated sequences B.BID_12S_QS1-5 (provided below)</w:t>
            </w:r>
          </w:p>
        </w:tc>
      </w:tr>
      <w:tr w:rsidR="006501A4" w:rsidRPr="008678EE" w14:paraId="32C57B0B" w14:textId="77777777" w:rsidTr="0095397F">
        <w:trPr>
          <w:trHeight w:val="283"/>
        </w:trPr>
        <w:tc>
          <w:tcPr>
            <w:tcW w:w="2127" w:type="dxa"/>
            <w:tcBorders>
              <w:left w:val="single" w:sz="4" w:space="0" w:color="auto"/>
              <w:bottom w:val="nil"/>
              <w:right w:val="nil"/>
            </w:tcBorders>
            <w:vAlign w:val="center"/>
          </w:tcPr>
          <w:p w14:paraId="5C8994F4" w14:textId="77777777" w:rsidR="006501A4" w:rsidRPr="00562DA4" w:rsidRDefault="006501A4" w:rsidP="00D877B9">
            <w:pPr>
              <w:spacing w:after="120" w:line="280" w:lineRule="exact"/>
              <w:rPr>
                <w:rFonts w:cstheme="minorHAnsi"/>
                <w:sz w:val="20"/>
              </w:rPr>
            </w:pPr>
          </w:p>
        </w:tc>
        <w:tc>
          <w:tcPr>
            <w:tcW w:w="2759" w:type="dxa"/>
            <w:tcBorders>
              <w:left w:val="nil"/>
              <w:bottom w:val="nil"/>
              <w:right w:val="nil"/>
            </w:tcBorders>
            <w:vAlign w:val="center"/>
          </w:tcPr>
          <w:p w14:paraId="25242B56" w14:textId="77777777" w:rsidR="006501A4" w:rsidRPr="00C51065" w:rsidRDefault="006501A4" w:rsidP="00D877B9">
            <w:pPr>
              <w:spacing w:after="120" w:line="280" w:lineRule="exact"/>
              <w:rPr>
                <w:rFonts w:cstheme="minorHAnsi"/>
                <w:i/>
                <w:iCs/>
                <w:sz w:val="20"/>
              </w:rPr>
            </w:pPr>
            <w:r>
              <w:rPr>
                <w:rFonts w:cstheme="minorHAnsi"/>
                <w:i/>
                <w:iCs/>
                <w:sz w:val="20"/>
              </w:rPr>
              <w:t>Bidyanus welchi*</w:t>
            </w:r>
          </w:p>
        </w:tc>
        <w:tc>
          <w:tcPr>
            <w:tcW w:w="4045" w:type="dxa"/>
            <w:tcBorders>
              <w:left w:val="nil"/>
              <w:bottom w:val="nil"/>
              <w:right w:val="single" w:sz="4" w:space="0" w:color="auto"/>
            </w:tcBorders>
            <w:vAlign w:val="center"/>
          </w:tcPr>
          <w:p w14:paraId="779F3BC9" w14:textId="77777777" w:rsidR="006501A4" w:rsidRDefault="006501A4" w:rsidP="00D877B9">
            <w:pPr>
              <w:spacing w:after="120" w:line="280" w:lineRule="exact"/>
              <w:rPr>
                <w:rFonts w:cstheme="minorHAnsi"/>
                <w:b/>
                <w:sz w:val="20"/>
              </w:rPr>
            </w:pPr>
            <w:r>
              <w:rPr>
                <w:rFonts w:cstheme="minorHAnsi"/>
                <w:b/>
                <w:sz w:val="20"/>
              </w:rPr>
              <w:t>HQ615466.1</w:t>
            </w:r>
          </w:p>
        </w:tc>
      </w:tr>
      <w:tr w:rsidR="006501A4" w:rsidRPr="008678EE" w14:paraId="2DEB4BFA" w14:textId="77777777" w:rsidTr="0095397F">
        <w:trPr>
          <w:trHeight w:val="283"/>
        </w:trPr>
        <w:tc>
          <w:tcPr>
            <w:tcW w:w="2127" w:type="dxa"/>
            <w:tcBorders>
              <w:top w:val="nil"/>
              <w:left w:val="single" w:sz="4" w:space="0" w:color="auto"/>
              <w:right w:val="nil"/>
            </w:tcBorders>
            <w:vAlign w:val="center"/>
          </w:tcPr>
          <w:p w14:paraId="5D0E138F"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0011487E" w14:textId="77777777" w:rsidR="006501A4" w:rsidRPr="00562DA4" w:rsidRDefault="006501A4" w:rsidP="00D877B9">
            <w:pPr>
              <w:spacing w:after="120" w:line="280" w:lineRule="exact"/>
              <w:rPr>
                <w:rFonts w:cstheme="minorHAnsi"/>
                <w:sz w:val="20"/>
              </w:rPr>
            </w:pPr>
            <w:r w:rsidRPr="00562DA4">
              <w:rPr>
                <w:rFonts w:cstheme="minorHAnsi"/>
                <w:i/>
                <w:sz w:val="20"/>
              </w:rPr>
              <w:t>Leiopotherapon unicolor</w:t>
            </w:r>
          </w:p>
        </w:tc>
        <w:tc>
          <w:tcPr>
            <w:tcW w:w="4045" w:type="dxa"/>
            <w:tcBorders>
              <w:top w:val="nil"/>
              <w:left w:val="nil"/>
              <w:right w:val="single" w:sz="4" w:space="0" w:color="auto"/>
            </w:tcBorders>
            <w:vAlign w:val="center"/>
          </w:tcPr>
          <w:p w14:paraId="3216C0B2" w14:textId="77777777" w:rsidR="006501A4" w:rsidRPr="00562DA4" w:rsidRDefault="006501A4" w:rsidP="00D877B9">
            <w:pPr>
              <w:spacing w:after="120" w:line="280" w:lineRule="exact"/>
              <w:rPr>
                <w:rFonts w:cstheme="minorHAnsi"/>
                <w:b/>
                <w:sz w:val="20"/>
              </w:rPr>
            </w:pPr>
            <w:r>
              <w:rPr>
                <w:rFonts w:cstheme="minorHAnsi"/>
                <w:b/>
                <w:sz w:val="20"/>
              </w:rPr>
              <w:t>FJ710951.1, HQ615491.1</w:t>
            </w:r>
          </w:p>
        </w:tc>
      </w:tr>
      <w:tr w:rsidR="006501A4" w:rsidRPr="008678EE" w14:paraId="2B8533DB" w14:textId="77777777" w:rsidTr="0095397F">
        <w:trPr>
          <w:trHeight w:val="283"/>
        </w:trPr>
        <w:tc>
          <w:tcPr>
            <w:tcW w:w="2127" w:type="dxa"/>
            <w:tcBorders>
              <w:top w:val="nil"/>
              <w:left w:val="single" w:sz="4" w:space="0" w:color="auto"/>
              <w:right w:val="nil"/>
            </w:tcBorders>
            <w:vAlign w:val="center"/>
          </w:tcPr>
          <w:p w14:paraId="36CE78BB"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29FA7FA4" w14:textId="77777777" w:rsidR="006501A4" w:rsidRPr="00562DA4" w:rsidRDefault="006501A4" w:rsidP="00D877B9">
            <w:pPr>
              <w:spacing w:after="120" w:line="280" w:lineRule="exact"/>
              <w:rPr>
                <w:rFonts w:cstheme="minorHAnsi"/>
                <w:i/>
                <w:sz w:val="20"/>
              </w:rPr>
            </w:pPr>
            <w:r>
              <w:rPr>
                <w:rFonts w:cstheme="minorHAnsi"/>
                <w:i/>
                <w:sz w:val="20"/>
              </w:rPr>
              <w:t>Amniataba percoides*</w:t>
            </w:r>
          </w:p>
        </w:tc>
        <w:tc>
          <w:tcPr>
            <w:tcW w:w="4045" w:type="dxa"/>
            <w:tcBorders>
              <w:top w:val="nil"/>
              <w:left w:val="nil"/>
              <w:right w:val="single" w:sz="4" w:space="0" w:color="auto"/>
            </w:tcBorders>
            <w:vAlign w:val="center"/>
          </w:tcPr>
          <w:p w14:paraId="09FF8B07" w14:textId="77777777" w:rsidR="006501A4" w:rsidRPr="00562DA4" w:rsidRDefault="006501A4" w:rsidP="00D877B9">
            <w:pPr>
              <w:spacing w:after="120" w:line="280" w:lineRule="exact"/>
              <w:rPr>
                <w:rFonts w:cstheme="minorHAnsi"/>
                <w:b/>
                <w:sz w:val="20"/>
              </w:rPr>
            </w:pPr>
            <w:r>
              <w:rPr>
                <w:rFonts w:cstheme="minorHAnsi"/>
                <w:b/>
                <w:sz w:val="20"/>
              </w:rPr>
              <w:t>KJ774778.1</w:t>
            </w:r>
          </w:p>
        </w:tc>
      </w:tr>
      <w:tr w:rsidR="006501A4" w:rsidRPr="008678EE" w14:paraId="43FA6ACD" w14:textId="77777777" w:rsidTr="0095397F">
        <w:trPr>
          <w:trHeight w:val="283"/>
        </w:trPr>
        <w:tc>
          <w:tcPr>
            <w:tcW w:w="2127" w:type="dxa"/>
            <w:tcBorders>
              <w:top w:val="nil"/>
              <w:left w:val="single" w:sz="4" w:space="0" w:color="auto"/>
              <w:right w:val="nil"/>
            </w:tcBorders>
            <w:vAlign w:val="center"/>
          </w:tcPr>
          <w:p w14:paraId="302327C2"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4FB91717" w14:textId="77777777" w:rsidR="006501A4" w:rsidRPr="00562DA4" w:rsidRDefault="006501A4" w:rsidP="00D877B9">
            <w:pPr>
              <w:spacing w:after="120" w:line="280" w:lineRule="exact"/>
              <w:rPr>
                <w:rFonts w:cstheme="minorHAnsi"/>
                <w:i/>
                <w:sz w:val="20"/>
              </w:rPr>
            </w:pPr>
            <w:r>
              <w:rPr>
                <w:rFonts w:cstheme="minorHAnsi"/>
                <w:i/>
                <w:sz w:val="20"/>
              </w:rPr>
              <w:t>Amniataba caudavitta*</w:t>
            </w:r>
          </w:p>
        </w:tc>
        <w:tc>
          <w:tcPr>
            <w:tcW w:w="4045" w:type="dxa"/>
            <w:tcBorders>
              <w:top w:val="nil"/>
              <w:left w:val="nil"/>
              <w:right w:val="single" w:sz="4" w:space="0" w:color="auto"/>
            </w:tcBorders>
            <w:vAlign w:val="center"/>
          </w:tcPr>
          <w:p w14:paraId="0AB7B07D" w14:textId="77777777" w:rsidR="006501A4" w:rsidRPr="00562DA4" w:rsidRDefault="006501A4" w:rsidP="00D877B9">
            <w:pPr>
              <w:spacing w:after="120" w:line="280" w:lineRule="exact"/>
              <w:rPr>
                <w:rFonts w:cstheme="minorHAnsi"/>
                <w:b/>
                <w:sz w:val="20"/>
              </w:rPr>
            </w:pPr>
            <w:r>
              <w:rPr>
                <w:rFonts w:cstheme="minorHAnsi"/>
                <w:b/>
                <w:sz w:val="20"/>
              </w:rPr>
              <w:t>KJ774777.1</w:t>
            </w:r>
          </w:p>
        </w:tc>
      </w:tr>
      <w:tr w:rsidR="006501A4" w:rsidRPr="008678EE" w14:paraId="0FAEDEB2" w14:textId="77777777" w:rsidTr="0095397F">
        <w:trPr>
          <w:trHeight w:val="283"/>
        </w:trPr>
        <w:tc>
          <w:tcPr>
            <w:tcW w:w="2127" w:type="dxa"/>
            <w:tcBorders>
              <w:top w:val="nil"/>
              <w:left w:val="single" w:sz="4" w:space="0" w:color="auto"/>
              <w:right w:val="nil"/>
            </w:tcBorders>
            <w:vAlign w:val="center"/>
          </w:tcPr>
          <w:p w14:paraId="78E00792"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458F68B8" w14:textId="77777777" w:rsidR="006501A4" w:rsidRDefault="006501A4" w:rsidP="00D877B9">
            <w:pPr>
              <w:spacing w:after="120" w:line="280" w:lineRule="exact"/>
              <w:rPr>
                <w:rFonts w:cstheme="minorHAnsi"/>
                <w:i/>
                <w:sz w:val="20"/>
              </w:rPr>
            </w:pPr>
            <w:r>
              <w:rPr>
                <w:rFonts w:cstheme="minorHAnsi"/>
                <w:i/>
                <w:sz w:val="20"/>
              </w:rPr>
              <w:t>Scortum hillii*</w:t>
            </w:r>
          </w:p>
        </w:tc>
        <w:tc>
          <w:tcPr>
            <w:tcW w:w="4045" w:type="dxa"/>
            <w:tcBorders>
              <w:top w:val="nil"/>
              <w:left w:val="nil"/>
              <w:right w:val="single" w:sz="4" w:space="0" w:color="auto"/>
            </w:tcBorders>
            <w:vAlign w:val="center"/>
          </w:tcPr>
          <w:p w14:paraId="29B13E46" w14:textId="77777777" w:rsidR="006501A4" w:rsidRDefault="006501A4" w:rsidP="00D877B9">
            <w:pPr>
              <w:spacing w:after="120" w:line="280" w:lineRule="exact"/>
              <w:rPr>
                <w:rFonts w:cstheme="minorHAnsi"/>
                <w:b/>
                <w:sz w:val="20"/>
              </w:rPr>
            </w:pPr>
            <w:r>
              <w:rPr>
                <w:rFonts w:cstheme="minorHAnsi"/>
                <w:b/>
                <w:sz w:val="20"/>
              </w:rPr>
              <w:t>KJ774928.1</w:t>
            </w:r>
          </w:p>
        </w:tc>
      </w:tr>
      <w:tr w:rsidR="006501A4" w:rsidRPr="008678EE" w14:paraId="0A2DB30B" w14:textId="77777777" w:rsidTr="0095397F">
        <w:trPr>
          <w:trHeight w:val="283"/>
        </w:trPr>
        <w:tc>
          <w:tcPr>
            <w:tcW w:w="2127" w:type="dxa"/>
            <w:tcBorders>
              <w:top w:val="nil"/>
              <w:left w:val="single" w:sz="4" w:space="0" w:color="auto"/>
              <w:right w:val="nil"/>
            </w:tcBorders>
            <w:vAlign w:val="center"/>
          </w:tcPr>
          <w:p w14:paraId="42A20F48" w14:textId="77777777" w:rsidR="006501A4" w:rsidRPr="00562DA4" w:rsidRDefault="006501A4" w:rsidP="00D877B9">
            <w:pPr>
              <w:spacing w:after="120" w:line="280" w:lineRule="exact"/>
              <w:rPr>
                <w:rFonts w:cstheme="minorHAnsi"/>
                <w:i/>
                <w:iCs/>
                <w:sz w:val="20"/>
              </w:rPr>
            </w:pPr>
          </w:p>
        </w:tc>
        <w:tc>
          <w:tcPr>
            <w:tcW w:w="2759" w:type="dxa"/>
            <w:tcBorders>
              <w:top w:val="nil"/>
              <w:left w:val="nil"/>
              <w:right w:val="nil"/>
            </w:tcBorders>
            <w:vAlign w:val="center"/>
          </w:tcPr>
          <w:p w14:paraId="5E3114F8" w14:textId="77777777" w:rsidR="006501A4" w:rsidRPr="00562DA4" w:rsidRDefault="006501A4" w:rsidP="00D877B9">
            <w:pPr>
              <w:spacing w:after="120" w:line="280" w:lineRule="exact"/>
              <w:rPr>
                <w:rFonts w:cstheme="minorHAnsi"/>
                <w:i/>
                <w:sz w:val="20"/>
              </w:rPr>
            </w:pPr>
            <w:r>
              <w:rPr>
                <w:rFonts w:cstheme="minorHAnsi"/>
                <w:i/>
                <w:sz w:val="20"/>
              </w:rPr>
              <w:t>Scortum barcoo*</w:t>
            </w:r>
          </w:p>
        </w:tc>
        <w:tc>
          <w:tcPr>
            <w:tcW w:w="4045" w:type="dxa"/>
            <w:tcBorders>
              <w:top w:val="nil"/>
              <w:left w:val="nil"/>
              <w:right w:val="single" w:sz="4" w:space="0" w:color="auto"/>
            </w:tcBorders>
            <w:vAlign w:val="center"/>
          </w:tcPr>
          <w:p w14:paraId="1BFE69CE" w14:textId="77777777" w:rsidR="006501A4" w:rsidRPr="00562DA4" w:rsidRDefault="006501A4" w:rsidP="00D877B9">
            <w:pPr>
              <w:spacing w:after="120" w:line="280" w:lineRule="exact"/>
              <w:rPr>
                <w:rFonts w:cstheme="minorHAnsi"/>
                <w:b/>
                <w:sz w:val="20"/>
              </w:rPr>
            </w:pPr>
            <w:r>
              <w:rPr>
                <w:rFonts w:cstheme="minorHAnsi"/>
                <w:b/>
                <w:sz w:val="20"/>
              </w:rPr>
              <w:t>KJ774927.1</w:t>
            </w:r>
          </w:p>
        </w:tc>
      </w:tr>
      <w:tr w:rsidR="006501A4" w:rsidRPr="008678EE" w14:paraId="53DDCD26" w14:textId="77777777" w:rsidTr="0095397F">
        <w:trPr>
          <w:trHeight w:val="283"/>
        </w:trPr>
        <w:tc>
          <w:tcPr>
            <w:tcW w:w="2127" w:type="dxa"/>
            <w:tcBorders>
              <w:top w:val="single" w:sz="4" w:space="0" w:color="auto"/>
              <w:left w:val="single" w:sz="4" w:space="0" w:color="auto"/>
              <w:bottom w:val="nil"/>
              <w:right w:val="nil"/>
            </w:tcBorders>
            <w:vAlign w:val="center"/>
          </w:tcPr>
          <w:p w14:paraId="25E88467" w14:textId="77777777" w:rsidR="006501A4" w:rsidRPr="00562DA4" w:rsidRDefault="006501A4" w:rsidP="00D877B9">
            <w:pPr>
              <w:spacing w:after="120" w:line="280" w:lineRule="exact"/>
              <w:rPr>
                <w:rFonts w:cstheme="minorHAnsi"/>
                <w:sz w:val="20"/>
              </w:rPr>
            </w:pPr>
            <w:r w:rsidRPr="00562DA4">
              <w:rPr>
                <w:rFonts w:cstheme="minorHAnsi"/>
                <w:sz w:val="20"/>
              </w:rPr>
              <w:t>Freshwater catfish</w:t>
            </w:r>
            <w:r>
              <w:rPr>
                <w:rFonts w:cstheme="minorHAnsi"/>
                <w:sz w:val="20"/>
              </w:rPr>
              <w:t xml:space="preserve"> (</w:t>
            </w:r>
            <w:r w:rsidRPr="00C51065">
              <w:rPr>
                <w:rFonts w:cstheme="minorHAnsi"/>
                <w:i/>
                <w:iCs/>
                <w:sz w:val="20"/>
              </w:rPr>
              <w:t>Tandanus tandanus</w:t>
            </w:r>
            <w:r>
              <w:rPr>
                <w:rFonts w:cstheme="minorHAnsi"/>
                <w:sz w:val="20"/>
              </w:rPr>
              <w:t>)</w:t>
            </w:r>
          </w:p>
        </w:tc>
        <w:tc>
          <w:tcPr>
            <w:tcW w:w="2759" w:type="dxa"/>
            <w:tcBorders>
              <w:top w:val="single" w:sz="4" w:space="0" w:color="auto"/>
              <w:left w:val="nil"/>
              <w:bottom w:val="nil"/>
              <w:right w:val="nil"/>
            </w:tcBorders>
            <w:vAlign w:val="center"/>
          </w:tcPr>
          <w:p w14:paraId="642C2654" w14:textId="77777777" w:rsidR="006501A4" w:rsidRPr="00562DA4" w:rsidRDefault="006501A4" w:rsidP="00D877B9">
            <w:pPr>
              <w:spacing w:after="120" w:line="280" w:lineRule="exact"/>
              <w:rPr>
                <w:rFonts w:cstheme="minorHAnsi"/>
                <w:i/>
                <w:sz w:val="20"/>
              </w:rPr>
            </w:pPr>
            <w:r w:rsidRPr="00C51065">
              <w:rPr>
                <w:rFonts w:cstheme="minorHAnsi"/>
                <w:i/>
                <w:iCs/>
                <w:sz w:val="20"/>
              </w:rPr>
              <w:t>Tandanus tandanus</w:t>
            </w:r>
          </w:p>
        </w:tc>
        <w:tc>
          <w:tcPr>
            <w:tcW w:w="4045" w:type="dxa"/>
            <w:tcBorders>
              <w:top w:val="single" w:sz="4" w:space="0" w:color="auto"/>
              <w:left w:val="nil"/>
              <w:bottom w:val="nil"/>
              <w:right w:val="single" w:sz="4" w:space="0" w:color="auto"/>
            </w:tcBorders>
            <w:vAlign w:val="center"/>
          </w:tcPr>
          <w:p w14:paraId="0CC7463A" w14:textId="77777777" w:rsidR="006501A4" w:rsidRPr="00562DA4" w:rsidRDefault="006501A4" w:rsidP="00D877B9">
            <w:pPr>
              <w:spacing w:after="120" w:line="280" w:lineRule="exact"/>
              <w:rPr>
                <w:rFonts w:cstheme="minorHAnsi"/>
                <w:b/>
                <w:sz w:val="20"/>
              </w:rPr>
            </w:pPr>
            <w:r>
              <w:rPr>
                <w:rFonts w:cstheme="minorHAnsi"/>
                <w:b/>
                <w:sz w:val="20"/>
              </w:rPr>
              <w:t>FJ710988.1, FJ710989.1, FJ710990.1, FJ710991.1, FJ710988.1, KY798489.1, generated sequences T.TAN_12S_QS1-6 (provided below)</w:t>
            </w:r>
          </w:p>
        </w:tc>
      </w:tr>
      <w:tr w:rsidR="006501A4" w:rsidRPr="008678EE" w14:paraId="3269D44D" w14:textId="77777777" w:rsidTr="0095397F">
        <w:trPr>
          <w:trHeight w:val="283"/>
        </w:trPr>
        <w:tc>
          <w:tcPr>
            <w:tcW w:w="2127" w:type="dxa"/>
            <w:tcBorders>
              <w:top w:val="nil"/>
              <w:left w:val="single" w:sz="4" w:space="0" w:color="auto"/>
              <w:bottom w:val="nil"/>
              <w:right w:val="nil"/>
            </w:tcBorders>
            <w:vAlign w:val="center"/>
          </w:tcPr>
          <w:p w14:paraId="7F141FD7"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21670AB" w14:textId="77777777" w:rsidR="006501A4" w:rsidRPr="00562DA4" w:rsidRDefault="006501A4" w:rsidP="00D877B9">
            <w:pPr>
              <w:spacing w:after="120" w:line="280" w:lineRule="exact"/>
              <w:rPr>
                <w:rFonts w:cstheme="minorHAnsi"/>
                <w:i/>
                <w:sz w:val="20"/>
              </w:rPr>
            </w:pPr>
            <w:r w:rsidRPr="00562DA4">
              <w:rPr>
                <w:rFonts w:cstheme="minorHAnsi"/>
                <w:i/>
                <w:sz w:val="20"/>
              </w:rPr>
              <w:t xml:space="preserve">Tandanus </w:t>
            </w:r>
            <w:r>
              <w:rPr>
                <w:rFonts w:cstheme="minorHAnsi"/>
                <w:i/>
                <w:sz w:val="20"/>
              </w:rPr>
              <w:t>tropicanus</w:t>
            </w:r>
          </w:p>
        </w:tc>
        <w:tc>
          <w:tcPr>
            <w:tcW w:w="4045" w:type="dxa"/>
            <w:tcBorders>
              <w:top w:val="nil"/>
              <w:left w:val="nil"/>
              <w:bottom w:val="nil"/>
              <w:right w:val="single" w:sz="4" w:space="0" w:color="auto"/>
            </w:tcBorders>
            <w:vAlign w:val="center"/>
          </w:tcPr>
          <w:p w14:paraId="71ED29CF" w14:textId="77777777" w:rsidR="006501A4" w:rsidRPr="00562DA4" w:rsidRDefault="006501A4" w:rsidP="00D877B9">
            <w:pPr>
              <w:spacing w:after="120" w:line="280" w:lineRule="exact"/>
              <w:rPr>
                <w:rFonts w:cstheme="minorHAnsi"/>
                <w:b/>
                <w:sz w:val="20"/>
              </w:rPr>
            </w:pPr>
            <w:r>
              <w:rPr>
                <w:rFonts w:cstheme="minorHAnsi"/>
                <w:b/>
                <w:sz w:val="20"/>
              </w:rPr>
              <w:t>HQ615524.1</w:t>
            </w:r>
          </w:p>
        </w:tc>
      </w:tr>
      <w:tr w:rsidR="006501A4" w:rsidRPr="008678EE" w14:paraId="6B23F002" w14:textId="77777777" w:rsidTr="0095397F">
        <w:trPr>
          <w:trHeight w:val="283"/>
        </w:trPr>
        <w:tc>
          <w:tcPr>
            <w:tcW w:w="2127" w:type="dxa"/>
            <w:tcBorders>
              <w:top w:val="nil"/>
              <w:left w:val="single" w:sz="4" w:space="0" w:color="auto"/>
              <w:bottom w:val="nil"/>
              <w:right w:val="nil"/>
            </w:tcBorders>
            <w:vAlign w:val="center"/>
          </w:tcPr>
          <w:p w14:paraId="2102493E"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6FC09CFF" w14:textId="77777777" w:rsidR="006501A4" w:rsidRPr="00562DA4" w:rsidRDefault="006501A4" w:rsidP="00D877B9">
            <w:pPr>
              <w:spacing w:after="120" w:line="280" w:lineRule="exact"/>
              <w:rPr>
                <w:rFonts w:cstheme="minorHAnsi"/>
                <w:i/>
                <w:sz w:val="20"/>
              </w:rPr>
            </w:pPr>
            <w:r w:rsidRPr="00562DA4">
              <w:rPr>
                <w:rFonts w:cstheme="minorHAnsi"/>
                <w:i/>
                <w:sz w:val="20"/>
              </w:rPr>
              <w:t>Tandanus bellingerensis</w:t>
            </w:r>
          </w:p>
        </w:tc>
        <w:tc>
          <w:tcPr>
            <w:tcW w:w="4045" w:type="dxa"/>
            <w:tcBorders>
              <w:top w:val="nil"/>
              <w:left w:val="nil"/>
              <w:bottom w:val="nil"/>
              <w:right w:val="single" w:sz="4" w:space="0" w:color="auto"/>
            </w:tcBorders>
            <w:vAlign w:val="center"/>
          </w:tcPr>
          <w:p w14:paraId="4B53DBCC" w14:textId="77777777" w:rsidR="006501A4" w:rsidRPr="00562DA4" w:rsidRDefault="006501A4" w:rsidP="00D877B9">
            <w:pPr>
              <w:spacing w:after="120" w:line="280" w:lineRule="exact"/>
              <w:rPr>
                <w:rFonts w:cstheme="minorHAnsi"/>
                <w:b/>
                <w:bCs/>
                <w:sz w:val="20"/>
              </w:rPr>
            </w:pPr>
            <w:r>
              <w:rPr>
                <w:rFonts w:cstheme="minorHAnsi"/>
                <w:b/>
                <w:bCs/>
                <w:sz w:val="20"/>
              </w:rPr>
              <w:t>HQ615523.1</w:t>
            </w:r>
          </w:p>
        </w:tc>
      </w:tr>
      <w:tr w:rsidR="006501A4" w:rsidRPr="008678EE" w14:paraId="6AD12035" w14:textId="77777777" w:rsidTr="0095397F">
        <w:trPr>
          <w:trHeight w:val="283"/>
        </w:trPr>
        <w:tc>
          <w:tcPr>
            <w:tcW w:w="2127" w:type="dxa"/>
            <w:tcBorders>
              <w:top w:val="nil"/>
              <w:left w:val="single" w:sz="4" w:space="0" w:color="auto"/>
              <w:bottom w:val="nil"/>
              <w:right w:val="nil"/>
            </w:tcBorders>
            <w:vAlign w:val="center"/>
          </w:tcPr>
          <w:p w14:paraId="5CBB60D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B7E98A2" w14:textId="77777777" w:rsidR="006501A4" w:rsidRPr="00562DA4" w:rsidRDefault="006501A4" w:rsidP="00D877B9">
            <w:pPr>
              <w:spacing w:after="120" w:line="280" w:lineRule="exact"/>
              <w:rPr>
                <w:rFonts w:cstheme="minorHAnsi"/>
                <w:i/>
                <w:sz w:val="20"/>
              </w:rPr>
            </w:pPr>
            <w:r w:rsidRPr="00562DA4">
              <w:rPr>
                <w:rFonts w:cstheme="minorHAnsi"/>
                <w:i/>
                <w:sz w:val="20"/>
              </w:rPr>
              <w:t>Tandanus bostocki</w:t>
            </w:r>
            <w:r>
              <w:rPr>
                <w:rFonts w:cstheme="minorHAnsi"/>
                <w:i/>
                <w:sz w:val="20"/>
              </w:rPr>
              <w:t>*</w:t>
            </w:r>
          </w:p>
        </w:tc>
        <w:tc>
          <w:tcPr>
            <w:tcW w:w="4045" w:type="dxa"/>
            <w:tcBorders>
              <w:top w:val="nil"/>
              <w:left w:val="nil"/>
              <w:bottom w:val="nil"/>
              <w:right w:val="single" w:sz="4" w:space="0" w:color="auto"/>
            </w:tcBorders>
            <w:vAlign w:val="center"/>
          </w:tcPr>
          <w:p w14:paraId="62B23CBE" w14:textId="77777777" w:rsidR="006501A4" w:rsidRPr="00562DA4" w:rsidRDefault="006501A4" w:rsidP="00D877B9">
            <w:pPr>
              <w:spacing w:after="120" w:line="280" w:lineRule="exact"/>
              <w:rPr>
                <w:rFonts w:cstheme="minorHAnsi"/>
                <w:b/>
                <w:bCs/>
                <w:sz w:val="20"/>
              </w:rPr>
            </w:pPr>
            <w:r>
              <w:rPr>
                <w:rFonts w:cstheme="minorHAnsi"/>
                <w:b/>
                <w:bCs/>
                <w:sz w:val="20"/>
              </w:rPr>
              <w:t>KJ774930.1</w:t>
            </w:r>
          </w:p>
        </w:tc>
      </w:tr>
      <w:tr w:rsidR="006501A4" w:rsidRPr="008678EE" w14:paraId="71EB70A2" w14:textId="77777777" w:rsidTr="0095397F">
        <w:trPr>
          <w:trHeight w:val="283"/>
        </w:trPr>
        <w:tc>
          <w:tcPr>
            <w:tcW w:w="2127" w:type="dxa"/>
            <w:tcBorders>
              <w:top w:val="nil"/>
              <w:left w:val="single" w:sz="4" w:space="0" w:color="auto"/>
              <w:bottom w:val="nil"/>
              <w:right w:val="nil"/>
            </w:tcBorders>
            <w:vAlign w:val="center"/>
          </w:tcPr>
          <w:p w14:paraId="73CD93A0"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30A5636D" w14:textId="77777777" w:rsidR="006501A4" w:rsidRPr="00562DA4" w:rsidRDefault="006501A4" w:rsidP="00D877B9">
            <w:pPr>
              <w:spacing w:after="120" w:line="280" w:lineRule="exact"/>
              <w:rPr>
                <w:rFonts w:cstheme="minorHAnsi"/>
                <w:i/>
                <w:sz w:val="20"/>
              </w:rPr>
            </w:pPr>
            <w:r w:rsidRPr="00562DA4">
              <w:rPr>
                <w:rFonts w:cstheme="minorHAnsi"/>
                <w:i/>
                <w:sz w:val="20"/>
              </w:rPr>
              <w:t>Neosilurus hyrtlii</w:t>
            </w:r>
          </w:p>
        </w:tc>
        <w:tc>
          <w:tcPr>
            <w:tcW w:w="4045" w:type="dxa"/>
            <w:tcBorders>
              <w:top w:val="nil"/>
              <w:left w:val="nil"/>
              <w:bottom w:val="nil"/>
              <w:right w:val="single" w:sz="4" w:space="0" w:color="auto"/>
            </w:tcBorders>
            <w:vAlign w:val="center"/>
          </w:tcPr>
          <w:p w14:paraId="53E421A4" w14:textId="77777777" w:rsidR="006501A4" w:rsidRPr="00562DA4" w:rsidRDefault="006501A4" w:rsidP="00D877B9">
            <w:pPr>
              <w:spacing w:after="120" w:line="280" w:lineRule="exact"/>
              <w:rPr>
                <w:rFonts w:cstheme="minorHAnsi"/>
                <w:b/>
                <w:bCs/>
                <w:sz w:val="20"/>
              </w:rPr>
            </w:pPr>
            <w:r>
              <w:rPr>
                <w:rFonts w:cstheme="minorHAnsi"/>
                <w:b/>
                <w:bCs/>
                <w:sz w:val="20"/>
              </w:rPr>
              <w:t>HQ615514.1, KJ774877.1</w:t>
            </w:r>
          </w:p>
        </w:tc>
      </w:tr>
      <w:tr w:rsidR="006501A4" w:rsidRPr="008678EE" w14:paraId="78A65A70" w14:textId="77777777" w:rsidTr="0095397F">
        <w:trPr>
          <w:trHeight w:val="283"/>
        </w:trPr>
        <w:tc>
          <w:tcPr>
            <w:tcW w:w="2127" w:type="dxa"/>
            <w:tcBorders>
              <w:top w:val="nil"/>
              <w:left w:val="single" w:sz="4" w:space="0" w:color="auto"/>
              <w:bottom w:val="nil"/>
              <w:right w:val="nil"/>
            </w:tcBorders>
            <w:vAlign w:val="center"/>
          </w:tcPr>
          <w:p w14:paraId="704CF1CE" w14:textId="77777777" w:rsidR="006501A4" w:rsidRPr="00562DA4" w:rsidRDefault="006501A4" w:rsidP="00D877B9">
            <w:pPr>
              <w:spacing w:after="120" w:line="280" w:lineRule="exact"/>
              <w:rPr>
                <w:rFonts w:cstheme="minorHAnsi"/>
                <w:sz w:val="20"/>
              </w:rPr>
            </w:pPr>
          </w:p>
        </w:tc>
        <w:tc>
          <w:tcPr>
            <w:tcW w:w="2759" w:type="dxa"/>
            <w:tcBorders>
              <w:top w:val="nil"/>
              <w:left w:val="nil"/>
              <w:bottom w:val="nil"/>
              <w:right w:val="nil"/>
            </w:tcBorders>
            <w:vAlign w:val="center"/>
          </w:tcPr>
          <w:p w14:paraId="52E56EE2" w14:textId="77777777" w:rsidR="006501A4" w:rsidRPr="00562DA4" w:rsidRDefault="006501A4" w:rsidP="00D877B9">
            <w:pPr>
              <w:spacing w:after="120" w:line="280" w:lineRule="exact"/>
              <w:rPr>
                <w:rFonts w:cstheme="minorHAnsi"/>
                <w:i/>
                <w:sz w:val="20"/>
              </w:rPr>
            </w:pPr>
            <w:r>
              <w:rPr>
                <w:rFonts w:cstheme="minorHAnsi"/>
                <w:i/>
                <w:sz w:val="20"/>
              </w:rPr>
              <w:t>Porochilus rendahli</w:t>
            </w:r>
          </w:p>
        </w:tc>
        <w:tc>
          <w:tcPr>
            <w:tcW w:w="4045" w:type="dxa"/>
            <w:tcBorders>
              <w:top w:val="nil"/>
              <w:left w:val="nil"/>
              <w:bottom w:val="nil"/>
              <w:right w:val="single" w:sz="4" w:space="0" w:color="auto"/>
            </w:tcBorders>
            <w:vAlign w:val="center"/>
          </w:tcPr>
          <w:p w14:paraId="46DBC877" w14:textId="77777777" w:rsidR="006501A4" w:rsidRPr="00562DA4" w:rsidRDefault="006501A4" w:rsidP="00D877B9">
            <w:pPr>
              <w:spacing w:after="120" w:line="280" w:lineRule="exact"/>
              <w:rPr>
                <w:rFonts w:cstheme="minorHAnsi"/>
                <w:b/>
                <w:sz w:val="20"/>
              </w:rPr>
            </w:pPr>
            <w:r>
              <w:rPr>
                <w:rFonts w:cstheme="minorHAnsi"/>
                <w:b/>
                <w:sz w:val="20"/>
              </w:rPr>
              <w:t>HQ615519.1, FJ710978.1</w:t>
            </w:r>
          </w:p>
        </w:tc>
      </w:tr>
      <w:tr w:rsidR="006501A4" w:rsidRPr="008678EE" w14:paraId="40F5E7E4" w14:textId="77777777" w:rsidTr="0095397F">
        <w:trPr>
          <w:trHeight w:val="283"/>
        </w:trPr>
        <w:tc>
          <w:tcPr>
            <w:tcW w:w="2127" w:type="dxa"/>
            <w:tcBorders>
              <w:top w:val="nil"/>
              <w:left w:val="single" w:sz="4" w:space="0" w:color="auto"/>
              <w:bottom w:val="single" w:sz="4" w:space="0" w:color="auto"/>
              <w:right w:val="nil"/>
            </w:tcBorders>
            <w:vAlign w:val="center"/>
          </w:tcPr>
          <w:p w14:paraId="20E87965"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single" w:sz="4" w:space="0" w:color="auto"/>
              <w:right w:val="nil"/>
            </w:tcBorders>
            <w:vAlign w:val="center"/>
          </w:tcPr>
          <w:p w14:paraId="1185D12A" w14:textId="77777777" w:rsidR="006501A4" w:rsidRPr="00562DA4" w:rsidRDefault="006501A4" w:rsidP="00D877B9">
            <w:pPr>
              <w:spacing w:after="120" w:line="280" w:lineRule="exact"/>
              <w:rPr>
                <w:rFonts w:cstheme="minorHAnsi"/>
                <w:i/>
                <w:sz w:val="20"/>
              </w:rPr>
            </w:pPr>
          </w:p>
        </w:tc>
        <w:tc>
          <w:tcPr>
            <w:tcW w:w="4045" w:type="dxa"/>
            <w:tcBorders>
              <w:top w:val="nil"/>
              <w:left w:val="nil"/>
              <w:bottom w:val="single" w:sz="4" w:space="0" w:color="auto"/>
              <w:right w:val="single" w:sz="4" w:space="0" w:color="auto"/>
            </w:tcBorders>
            <w:vAlign w:val="center"/>
          </w:tcPr>
          <w:p w14:paraId="55B5F7F2" w14:textId="77777777" w:rsidR="006501A4" w:rsidRPr="00562DA4" w:rsidRDefault="006501A4" w:rsidP="00D877B9">
            <w:pPr>
              <w:spacing w:after="120" w:line="280" w:lineRule="exact"/>
              <w:rPr>
                <w:rFonts w:cstheme="minorHAnsi"/>
                <w:b/>
                <w:sz w:val="20"/>
              </w:rPr>
            </w:pPr>
          </w:p>
        </w:tc>
      </w:tr>
      <w:tr w:rsidR="006501A4" w:rsidRPr="008678EE" w14:paraId="5EC9DBCD" w14:textId="77777777" w:rsidTr="0095397F">
        <w:trPr>
          <w:trHeight w:val="283"/>
        </w:trPr>
        <w:tc>
          <w:tcPr>
            <w:tcW w:w="2127" w:type="dxa"/>
            <w:tcBorders>
              <w:top w:val="single" w:sz="4" w:space="0" w:color="auto"/>
              <w:left w:val="single" w:sz="4" w:space="0" w:color="auto"/>
              <w:bottom w:val="nil"/>
              <w:right w:val="nil"/>
            </w:tcBorders>
            <w:vAlign w:val="center"/>
          </w:tcPr>
          <w:p w14:paraId="34CDDBAA" w14:textId="77777777" w:rsidR="006501A4" w:rsidRPr="00562DA4" w:rsidRDefault="006501A4" w:rsidP="00D877B9">
            <w:pPr>
              <w:spacing w:after="120" w:line="280" w:lineRule="exact"/>
              <w:jc w:val="left"/>
              <w:rPr>
                <w:rFonts w:cstheme="minorHAnsi"/>
                <w:i/>
                <w:iCs/>
                <w:sz w:val="20"/>
              </w:rPr>
            </w:pPr>
            <w:r w:rsidRPr="00562DA4">
              <w:rPr>
                <w:rFonts w:cstheme="minorHAnsi"/>
                <w:sz w:val="20"/>
              </w:rPr>
              <w:t>Dwarf flathead gudgeon</w:t>
            </w:r>
            <w:r>
              <w:rPr>
                <w:rFonts w:cstheme="minorHAnsi"/>
                <w:sz w:val="20"/>
              </w:rPr>
              <w:t xml:space="preserve"> (</w:t>
            </w:r>
            <w:r w:rsidRPr="00EF7AE8">
              <w:rPr>
                <w:rFonts w:cstheme="minorHAnsi"/>
                <w:i/>
                <w:iCs/>
                <w:sz w:val="20"/>
              </w:rPr>
              <w:t>Phylipnodon marcrostomus</w:t>
            </w:r>
            <w:r>
              <w:rPr>
                <w:rFonts w:cstheme="minorHAnsi"/>
                <w:sz w:val="20"/>
              </w:rPr>
              <w:t>)</w:t>
            </w:r>
          </w:p>
        </w:tc>
        <w:tc>
          <w:tcPr>
            <w:tcW w:w="2759" w:type="dxa"/>
            <w:tcBorders>
              <w:top w:val="single" w:sz="4" w:space="0" w:color="auto"/>
              <w:left w:val="nil"/>
              <w:bottom w:val="nil"/>
              <w:right w:val="nil"/>
            </w:tcBorders>
            <w:vAlign w:val="center"/>
          </w:tcPr>
          <w:p w14:paraId="5870C752" w14:textId="77777777" w:rsidR="006501A4" w:rsidRPr="00562DA4" w:rsidRDefault="006501A4" w:rsidP="00D877B9">
            <w:pPr>
              <w:spacing w:after="120" w:line="280" w:lineRule="exact"/>
              <w:jc w:val="left"/>
              <w:rPr>
                <w:rFonts w:cstheme="minorHAnsi"/>
                <w:i/>
                <w:sz w:val="20"/>
              </w:rPr>
            </w:pPr>
            <w:r w:rsidRPr="00EF7AE8">
              <w:rPr>
                <w:rFonts w:cstheme="minorHAnsi"/>
                <w:i/>
                <w:iCs/>
                <w:sz w:val="20"/>
              </w:rPr>
              <w:t>Phylipnodon marcrostomus</w:t>
            </w:r>
          </w:p>
        </w:tc>
        <w:tc>
          <w:tcPr>
            <w:tcW w:w="4045" w:type="dxa"/>
            <w:tcBorders>
              <w:top w:val="single" w:sz="4" w:space="0" w:color="auto"/>
              <w:left w:val="nil"/>
              <w:bottom w:val="nil"/>
              <w:right w:val="single" w:sz="4" w:space="0" w:color="auto"/>
            </w:tcBorders>
            <w:vAlign w:val="center"/>
          </w:tcPr>
          <w:p w14:paraId="799B8853" w14:textId="77777777" w:rsidR="006501A4" w:rsidRPr="00562DA4" w:rsidRDefault="006501A4" w:rsidP="00D877B9">
            <w:pPr>
              <w:spacing w:after="120" w:line="280" w:lineRule="exact"/>
              <w:jc w:val="left"/>
              <w:rPr>
                <w:rFonts w:cstheme="minorHAnsi"/>
                <w:b/>
                <w:sz w:val="20"/>
              </w:rPr>
            </w:pPr>
            <w:r>
              <w:rPr>
                <w:rFonts w:cstheme="minorHAnsi"/>
                <w:b/>
                <w:sz w:val="20"/>
              </w:rPr>
              <w:t>HQ615518.1, FJ710976.1, KJ774997.1, KJ774002.1, KJ774000.1, KJ774998.1, generated sequences P.MAC_12S_QS1-3 (provided below)</w:t>
            </w:r>
          </w:p>
        </w:tc>
      </w:tr>
      <w:tr w:rsidR="006501A4" w:rsidRPr="008678EE" w14:paraId="2E3D9CA2" w14:textId="77777777" w:rsidTr="0095397F">
        <w:trPr>
          <w:trHeight w:val="283"/>
        </w:trPr>
        <w:tc>
          <w:tcPr>
            <w:tcW w:w="2127" w:type="dxa"/>
            <w:tcBorders>
              <w:top w:val="nil"/>
              <w:left w:val="single" w:sz="4" w:space="0" w:color="auto"/>
              <w:bottom w:val="nil"/>
              <w:right w:val="nil"/>
            </w:tcBorders>
            <w:vAlign w:val="center"/>
          </w:tcPr>
          <w:p w14:paraId="010226DC"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A99822A" w14:textId="77777777" w:rsidR="006501A4" w:rsidRPr="00562DA4" w:rsidRDefault="006501A4" w:rsidP="00D877B9">
            <w:pPr>
              <w:spacing w:after="120" w:line="280" w:lineRule="exact"/>
              <w:rPr>
                <w:rFonts w:cstheme="minorHAnsi"/>
                <w:i/>
                <w:sz w:val="20"/>
              </w:rPr>
            </w:pPr>
            <w:r w:rsidRPr="00562DA4">
              <w:rPr>
                <w:rFonts w:cstheme="minorHAnsi"/>
                <w:i/>
                <w:sz w:val="20"/>
              </w:rPr>
              <w:t>Philypnodon grandiceps</w:t>
            </w:r>
          </w:p>
        </w:tc>
        <w:tc>
          <w:tcPr>
            <w:tcW w:w="4045" w:type="dxa"/>
            <w:tcBorders>
              <w:top w:val="nil"/>
              <w:left w:val="nil"/>
              <w:bottom w:val="nil"/>
              <w:right w:val="single" w:sz="4" w:space="0" w:color="auto"/>
            </w:tcBorders>
            <w:vAlign w:val="center"/>
          </w:tcPr>
          <w:p w14:paraId="7E236098" w14:textId="77777777" w:rsidR="006501A4" w:rsidRPr="00562DA4" w:rsidRDefault="006501A4" w:rsidP="00D877B9">
            <w:pPr>
              <w:spacing w:after="120" w:line="280" w:lineRule="exact"/>
              <w:rPr>
                <w:rFonts w:cstheme="minorHAnsi"/>
                <w:b/>
                <w:sz w:val="20"/>
              </w:rPr>
            </w:pPr>
            <w:r>
              <w:rPr>
                <w:rFonts w:cstheme="minorHAnsi"/>
                <w:b/>
                <w:sz w:val="20"/>
              </w:rPr>
              <w:t>FJ710975.1, KJ774996.1, KJ774995.1, KJ774889.1, KJ774888.1, KJ774890.1</w:t>
            </w:r>
          </w:p>
        </w:tc>
      </w:tr>
      <w:tr w:rsidR="006501A4" w:rsidRPr="008678EE" w14:paraId="3B599CF0" w14:textId="77777777" w:rsidTr="0095397F">
        <w:trPr>
          <w:trHeight w:val="283"/>
        </w:trPr>
        <w:tc>
          <w:tcPr>
            <w:tcW w:w="2127" w:type="dxa"/>
            <w:tcBorders>
              <w:top w:val="nil"/>
              <w:left w:val="single" w:sz="4" w:space="0" w:color="auto"/>
              <w:bottom w:val="nil"/>
              <w:right w:val="nil"/>
            </w:tcBorders>
            <w:vAlign w:val="center"/>
          </w:tcPr>
          <w:p w14:paraId="0CAEBE9C"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26D30C4A" w14:textId="77777777" w:rsidR="006501A4" w:rsidRPr="00562DA4" w:rsidRDefault="006501A4" w:rsidP="00D877B9">
            <w:pPr>
              <w:spacing w:after="120" w:line="280" w:lineRule="exact"/>
              <w:rPr>
                <w:rFonts w:cstheme="minorHAnsi"/>
                <w:i/>
                <w:sz w:val="20"/>
              </w:rPr>
            </w:pPr>
            <w:r w:rsidRPr="00562DA4">
              <w:rPr>
                <w:rFonts w:cstheme="minorHAnsi"/>
                <w:i/>
                <w:sz w:val="20"/>
              </w:rPr>
              <w:t xml:space="preserve">Mogurnda adspersa </w:t>
            </w:r>
          </w:p>
        </w:tc>
        <w:tc>
          <w:tcPr>
            <w:tcW w:w="4045" w:type="dxa"/>
            <w:tcBorders>
              <w:top w:val="nil"/>
              <w:left w:val="nil"/>
              <w:bottom w:val="nil"/>
              <w:right w:val="single" w:sz="4" w:space="0" w:color="auto"/>
            </w:tcBorders>
            <w:vAlign w:val="center"/>
          </w:tcPr>
          <w:p w14:paraId="098B2D68" w14:textId="77777777" w:rsidR="006501A4" w:rsidRPr="00562DA4" w:rsidRDefault="006501A4" w:rsidP="00D877B9">
            <w:pPr>
              <w:spacing w:after="120" w:line="280" w:lineRule="exact"/>
              <w:rPr>
                <w:rFonts w:cstheme="minorHAnsi"/>
                <w:b/>
                <w:bCs/>
                <w:sz w:val="20"/>
              </w:rPr>
            </w:pPr>
            <w:r>
              <w:rPr>
                <w:rFonts w:cstheme="minorHAnsi"/>
                <w:b/>
                <w:bCs/>
                <w:sz w:val="20"/>
              </w:rPr>
              <w:t>FJ710962.1, FJ710963.1, KJ774849.1</w:t>
            </w:r>
          </w:p>
        </w:tc>
      </w:tr>
      <w:tr w:rsidR="006501A4" w:rsidRPr="008678EE" w14:paraId="6774591F" w14:textId="77777777" w:rsidTr="0095397F">
        <w:trPr>
          <w:trHeight w:val="283"/>
        </w:trPr>
        <w:tc>
          <w:tcPr>
            <w:tcW w:w="2127" w:type="dxa"/>
            <w:tcBorders>
              <w:top w:val="nil"/>
              <w:left w:val="single" w:sz="4" w:space="0" w:color="auto"/>
              <w:bottom w:val="nil"/>
              <w:right w:val="nil"/>
            </w:tcBorders>
            <w:vAlign w:val="center"/>
          </w:tcPr>
          <w:p w14:paraId="77E678D4"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5FB64E75" w14:textId="77777777" w:rsidR="006501A4" w:rsidRPr="00562DA4" w:rsidRDefault="006501A4" w:rsidP="00D877B9">
            <w:pPr>
              <w:spacing w:after="120" w:line="280" w:lineRule="exact"/>
              <w:rPr>
                <w:rFonts w:cstheme="minorHAnsi"/>
                <w:i/>
                <w:sz w:val="20"/>
              </w:rPr>
            </w:pPr>
            <w:r w:rsidRPr="00562DA4">
              <w:rPr>
                <w:rFonts w:cstheme="minorHAnsi"/>
                <w:i/>
                <w:sz w:val="20"/>
              </w:rPr>
              <w:t>Mogurnda</w:t>
            </w:r>
            <w:r>
              <w:rPr>
                <w:rFonts w:cstheme="minorHAnsi"/>
                <w:i/>
                <w:sz w:val="20"/>
              </w:rPr>
              <w:t xml:space="preserve"> larapintae*</w:t>
            </w:r>
          </w:p>
        </w:tc>
        <w:tc>
          <w:tcPr>
            <w:tcW w:w="4045" w:type="dxa"/>
            <w:tcBorders>
              <w:top w:val="nil"/>
              <w:left w:val="nil"/>
              <w:bottom w:val="nil"/>
              <w:right w:val="single" w:sz="4" w:space="0" w:color="auto"/>
            </w:tcBorders>
            <w:vAlign w:val="center"/>
          </w:tcPr>
          <w:p w14:paraId="6FECB8A4" w14:textId="77777777" w:rsidR="006501A4" w:rsidRPr="00562DA4" w:rsidRDefault="006501A4" w:rsidP="00D877B9">
            <w:pPr>
              <w:spacing w:after="120" w:line="280" w:lineRule="exact"/>
              <w:rPr>
                <w:rFonts w:cstheme="minorHAnsi"/>
                <w:b/>
                <w:bCs/>
                <w:sz w:val="20"/>
              </w:rPr>
            </w:pPr>
            <w:r>
              <w:rPr>
                <w:rFonts w:cstheme="minorHAnsi"/>
                <w:b/>
                <w:bCs/>
                <w:sz w:val="20"/>
              </w:rPr>
              <w:t>KJ774852.1</w:t>
            </w:r>
          </w:p>
        </w:tc>
      </w:tr>
      <w:tr w:rsidR="006501A4" w:rsidRPr="008678EE" w14:paraId="1EEAAA40" w14:textId="77777777" w:rsidTr="0095397F">
        <w:trPr>
          <w:trHeight w:val="283"/>
        </w:trPr>
        <w:tc>
          <w:tcPr>
            <w:tcW w:w="2127" w:type="dxa"/>
            <w:tcBorders>
              <w:top w:val="nil"/>
              <w:left w:val="single" w:sz="4" w:space="0" w:color="auto"/>
              <w:bottom w:val="nil"/>
              <w:right w:val="nil"/>
            </w:tcBorders>
            <w:vAlign w:val="center"/>
          </w:tcPr>
          <w:p w14:paraId="758BE9AD"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39095E0" w14:textId="77777777" w:rsidR="006501A4" w:rsidRPr="00562DA4" w:rsidRDefault="006501A4" w:rsidP="00D877B9">
            <w:pPr>
              <w:spacing w:after="120" w:line="280" w:lineRule="exact"/>
              <w:rPr>
                <w:rFonts w:cstheme="minorHAnsi"/>
                <w:i/>
                <w:sz w:val="20"/>
              </w:rPr>
            </w:pPr>
            <w:r w:rsidRPr="00562DA4">
              <w:rPr>
                <w:rFonts w:cstheme="minorHAnsi"/>
                <w:i/>
                <w:sz w:val="20"/>
              </w:rPr>
              <w:t>Mogurnda</w:t>
            </w:r>
            <w:r>
              <w:rPr>
                <w:rFonts w:cstheme="minorHAnsi"/>
                <w:i/>
                <w:sz w:val="20"/>
              </w:rPr>
              <w:t xml:space="preserve"> mogurnda*</w:t>
            </w:r>
          </w:p>
        </w:tc>
        <w:tc>
          <w:tcPr>
            <w:tcW w:w="4045" w:type="dxa"/>
            <w:tcBorders>
              <w:top w:val="nil"/>
              <w:left w:val="nil"/>
              <w:bottom w:val="nil"/>
              <w:right w:val="single" w:sz="4" w:space="0" w:color="auto"/>
            </w:tcBorders>
            <w:vAlign w:val="center"/>
          </w:tcPr>
          <w:p w14:paraId="2CD267F3" w14:textId="77777777" w:rsidR="006501A4" w:rsidRPr="00562DA4" w:rsidRDefault="006501A4" w:rsidP="00D877B9">
            <w:pPr>
              <w:spacing w:after="120" w:line="280" w:lineRule="exact"/>
              <w:rPr>
                <w:rFonts w:cstheme="minorHAnsi"/>
                <w:b/>
                <w:bCs/>
                <w:sz w:val="20"/>
              </w:rPr>
            </w:pPr>
            <w:r>
              <w:rPr>
                <w:rFonts w:cstheme="minorHAnsi"/>
                <w:b/>
                <w:bCs/>
                <w:sz w:val="20"/>
              </w:rPr>
              <w:t>KJ774989.1</w:t>
            </w:r>
          </w:p>
        </w:tc>
      </w:tr>
      <w:tr w:rsidR="006501A4" w:rsidRPr="008678EE" w14:paraId="5E4BA934" w14:textId="77777777" w:rsidTr="0095397F">
        <w:trPr>
          <w:trHeight w:val="283"/>
        </w:trPr>
        <w:tc>
          <w:tcPr>
            <w:tcW w:w="2127" w:type="dxa"/>
            <w:tcBorders>
              <w:top w:val="nil"/>
              <w:left w:val="single" w:sz="4" w:space="0" w:color="auto"/>
              <w:bottom w:val="nil"/>
              <w:right w:val="nil"/>
            </w:tcBorders>
            <w:vAlign w:val="center"/>
          </w:tcPr>
          <w:p w14:paraId="2B920BFA"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CE24E8A" w14:textId="77777777" w:rsidR="006501A4" w:rsidRPr="00562DA4" w:rsidRDefault="006501A4" w:rsidP="00D877B9">
            <w:pPr>
              <w:spacing w:after="120" w:line="280" w:lineRule="exact"/>
              <w:rPr>
                <w:rFonts w:cstheme="minorHAnsi"/>
                <w:i/>
                <w:sz w:val="20"/>
              </w:rPr>
            </w:pPr>
            <w:r w:rsidRPr="00562DA4">
              <w:rPr>
                <w:rFonts w:cstheme="minorHAnsi"/>
                <w:i/>
                <w:sz w:val="20"/>
              </w:rPr>
              <w:t>Mogurnda</w:t>
            </w:r>
            <w:r>
              <w:rPr>
                <w:rFonts w:cstheme="minorHAnsi"/>
                <w:i/>
                <w:sz w:val="20"/>
              </w:rPr>
              <w:t xml:space="preserve"> thermophlia*</w:t>
            </w:r>
          </w:p>
        </w:tc>
        <w:tc>
          <w:tcPr>
            <w:tcW w:w="4045" w:type="dxa"/>
            <w:tcBorders>
              <w:top w:val="nil"/>
              <w:left w:val="nil"/>
              <w:bottom w:val="nil"/>
              <w:right w:val="single" w:sz="4" w:space="0" w:color="auto"/>
            </w:tcBorders>
            <w:vAlign w:val="center"/>
          </w:tcPr>
          <w:p w14:paraId="30EBBA02" w14:textId="77777777" w:rsidR="006501A4" w:rsidRPr="00562DA4" w:rsidRDefault="006501A4" w:rsidP="00D877B9">
            <w:pPr>
              <w:spacing w:after="120" w:line="280" w:lineRule="exact"/>
              <w:rPr>
                <w:rFonts w:cstheme="minorHAnsi"/>
                <w:b/>
                <w:bCs/>
                <w:sz w:val="20"/>
              </w:rPr>
            </w:pPr>
            <w:r>
              <w:rPr>
                <w:rFonts w:cstheme="minorHAnsi"/>
                <w:b/>
                <w:bCs/>
                <w:sz w:val="20"/>
              </w:rPr>
              <w:t>KJ774853.1</w:t>
            </w:r>
          </w:p>
        </w:tc>
      </w:tr>
      <w:tr w:rsidR="006501A4" w:rsidRPr="008678EE" w14:paraId="373BDD6F" w14:textId="77777777" w:rsidTr="0095397F">
        <w:trPr>
          <w:trHeight w:val="283"/>
        </w:trPr>
        <w:tc>
          <w:tcPr>
            <w:tcW w:w="2127" w:type="dxa"/>
            <w:tcBorders>
              <w:top w:val="nil"/>
              <w:left w:val="single" w:sz="4" w:space="0" w:color="auto"/>
              <w:bottom w:val="nil"/>
              <w:right w:val="nil"/>
            </w:tcBorders>
            <w:vAlign w:val="center"/>
          </w:tcPr>
          <w:p w14:paraId="17A71EDD"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0157B824" w14:textId="77777777" w:rsidR="006501A4" w:rsidRPr="00562DA4" w:rsidRDefault="006501A4" w:rsidP="00D877B9">
            <w:pPr>
              <w:spacing w:after="120" w:line="280" w:lineRule="exact"/>
              <w:rPr>
                <w:rFonts w:cstheme="minorHAnsi"/>
                <w:i/>
                <w:sz w:val="20"/>
              </w:rPr>
            </w:pPr>
            <w:r w:rsidRPr="00562DA4">
              <w:rPr>
                <w:rFonts w:cstheme="minorHAnsi"/>
                <w:i/>
                <w:sz w:val="20"/>
              </w:rPr>
              <w:t>Mogurnda</w:t>
            </w:r>
            <w:r>
              <w:rPr>
                <w:rFonts w:cstheme="minorHAnsi"/>
                <w:i/>
                <w:sz w:val="20"/>
              </w:rPr>
              <w:t xml:space="preserve"> clivicola*</w:t>
            </w:r>
          </w:p>
        </w:tc>
        <w:tc>
          <w:tcPr>
            <w:tcW w:w="4045" w:type="dxa"/>
            <w:tcBorders>
              <w:top w:val="nil"/>
              <w:left w:val="nil"/>
              <w:bottom w:val="nil"/>
              <w:right w:val="single" w:sz="4" w:space="0" w:color="auto"/>
            </w:tcBorders>
            <w:vAlign w:val="center"/>
          </w:tcPr>
          <w:p w14:paraId="1D3FE4DE" w14:textId="77777777" w:rsidR="006501A4" w:rsidRPr="00562DA4" w:rsidRDefault="006501A4" w:rsidP="00D877B9">
            <w:pPr>
              <w:spacing w:after="120" w:line="280" w:lineRule="exact"/>
              <w:rPr>
                <w:rFonts w:cstheme="minorHAnsi"/>
                <w:b/>
                <w:bCs/>
                <w:sz w:val="20"/>
              </w:rPr>
            </w:pPr>
            <w:r>
              <w:rPr>
                <w:rFonts w:cstheme="minorHAnsi"/>
                <w:b/>
                <w:bCs/>
                <w:sz w:val="20"/>
              </w:rPr>
              <w:t>KJ774850.1</w:t>
            </w:r>
          </w:p>
        </w:tc>
      </w:tr>
      <w:tr w:rsidR="006501A4" w:rsidRPr="008678EE" w14:paraId="47CE7721" w14:textId="77777777" w:rsidTr="0095397F">
        <w:trPr>
          <w:trHeight w:val="283"/>
        </w:trPr>
        <w:tc>
          <w:tcPr>
            <w:tcW w:w="2127" w:type="dxa"/>
            <w:tcBorders>
              <w:top w:val="nil"/>
              <w:left w:val="single" w:sz="4" w:space="0" w:color="auto"/>
              <w:bottom w:val="nil"/>
              <w:right w:val="nil"/>
            </w:tcBorders>
            <w:vAlign w:val="center"/>
          </w:tcPr>
          <w:p w14:paraId="0EAAC6ED"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89E3AEE" w14:textId="77777777" w:rsidR="006501A4" w:rsidRPr="00562DA4" w:rsidRDefault="006501A4" w:rsidP="00D877B9">
            <w:pPr>
              <w:spacing w:after="120" w:line="280" w:lineRule="exact"/>
              <w:rPr>
                <w:rFonts w:cstheme="minorHAnsi"/>
                <w:i/>
                <w:sz w:val="20"/>
              </w:rPr>
            </w:pPr>
            <w:r>
              <w:rPr>
                <w:rFonts w:cstheme="minorHAnsi"/>
                <w:i/>
                <w:sz w:val="20"/>
              </w:rPr>
              <w:t>Gobiomorphus australis</w:t>
            </w:r>
          </w:p>
        </w:tc>
        <w:tc>
          <w:tcPr>
            <w:tcW w:w="4045" w:type="dxa"/>
            <w:tcBorders>
              <w:top w:val="nil"/>
              <w:left w:val="nil"/>
              <w:bottom w:val="nil"/>
              <w:right w:val="single" w:sz="4" w:space="0" w:color="auto"/>
            </w:tcBorders>
            <w:vAlign w:val="center"/>
          </w:tcPr>
          <w:p w14:paraId="79478537" w14:textId="77777777" w:rsidR="006501A4" w:rsidRPr="00562DA4" w:rsidRDefault="006501A4" w:rsidP="00D877B9">
            <w:pPr>
              <w:spacing w:after="120" w:line="280" w:lineRule="exact"/>
              <w:rPr>
                <w:rFonts w:cstheme="minorHAnsi"/>
                <w:b/>
                <w:bCs/>
                <w:sz w:val="20"/>
              </w:rPr>
            </w:pPr>
            <w:r>
              <w:rPr>
                <w:rFonts w:cstheme="minorHAnsi"/>
                <w:b/>
                <w:bCs/>
                <w:sz w:val="20"/>
              </w:rPr>
              <w:t>KJ774831.1</w:t>
            </w:r>
          </w:p>
        </w:tc>
      </w:tr>
      <w:tr w:rsidR="006501A4" w:rsidRPr="008678EE" w14:paraId="77DDB006" w14:textId="77777777" w:rsidTr="0095397F">
        <w:trPr>
          <w:trHeight w:val="283"/>
        </w:trPr>
        <w:tc>
          <w:tcPr>
            <w:tcW w:w="2127" w:type="dxa"/>
            <w:tcBorders>
              <w:top w:val="nil"/>
              <w:left w:val="single" w:sz="4" w:space="0" w:color="auto"/>
              <w:bottom w:val="nil"/>
              <w:right w:val="nil"/>
            </w:tcBorders>
            <w:vAlign w:val="center"/>
          </w:tcPr>
          <w:p w14:paraId="56BD1969"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2F84A49E" w14:textId="77777777" w:rsidR="006501A4" w:rsidRDefault="006501A4" w:rsidP="00D877B9">
            <w:pPr>
              <w:spacing w:after="120" w:line="280" w:lineRule="exact"/>
              <w:rPr>
                <w:rFonts w:cstheme="minorHAnsi"/>
                <w:i/>
                <w:sz w:val="20"/>
              </w:rPr>
            </w:pPr>
            <w:r>
              <w:rPr>
                <w:rFonts w:cstheme="minorHAnsi"/>
                <w:i/>
                <w:sz w:val="20"/>
              </w:rPr>
              <w:t>Gobiomorphus coxii</w:t>
            </w:r>
          </w:p>
        </w:tc>
        <w:tc>
          <w:tcPr>
            <w:tcW w:w="4045" w:type="dxa"/>
            <w:tcBorders>
              <w:top w:val="nil"/>
              <w:left w:val="nil"/>
              <w:bottom w:val="nil"/>
              <w:right w:val="single" w:sz="4" w:space="0" w:color="auto"/>
            </w:tcBorders>
            <w:vAlign w:val="center"/>
          </w:tcPr>
          <w:p w14:paraId="0EAC0237" w14:textId="77777777" w:rsidR="006501A4" w:rsidRPr="00562DA4" w:rsidRDefault="006501A4" w:rsidP="00D877B9">
            <w:pPr>
              <w:spacing w:after="120" w:line="280" w:lineRule="exact"/>
              <w:rPr>
                <w:rFonts w:cstheme="minorHAnsi"/>
                <w:b/>
                <w:bCs/>
                <w:sz w:val="20"/>
              </w:rPr>
            </w:pPr>
            <w:r>
              <w:rPr>
                <w:rFonts w:cstheme="minorHAnsi"/>
                <w:b/>
                <w:bCs/>
                <w:sz w:val="20"/>
              </w:rPr>
              <w:t>KJ774832.1</w:t>
            </w:r>
          </w:p>
        </w:tc>
      </w:tr>
      <w:tr w:rsidR="006501A4" w:rsidRPr="008678EE" w14:paraId="5003179E" w14:textId="77777777" w:rsidTr="0095397F">
        <w:trPr>
          <w:trHeight w:val="283"/>
        </w:trPr>
        <w:tc>
          <w:tcPr>
            <w:tcW w:w="2127" w:type="dxa"/>
            <w:tcBorders>
              <w:top w:val="nil"/>
              <w:left w:val="single" w:sz="4" w:space="0" w:color="auto"/>
              <w:bottom w:val="nil"/>
              <w:right w:val="nil"/>
            </w:tcBorders>
            <w:vAlign w:val="center"/>
          </w:tcPr>
          <w:p w14:paraId="0EB6D14A"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687C825" w14:textId="77777777" w:rsidR="006501A4" w:rsidRPr="00562DA4" w:rsidRDefault="006501A4" w:rsidP="00D877B9">
            <w:pPr>
              <w:spacing w:after="120" w:line="280" w:lineRule="exact"/>
              <w:rPr>
                <w:rFonts w:cstheme="minorHAnsi"/>
                <w:i/>
                <w:sz w:val="20"/>
              </w:rPr>
            </w:pPr>
            <w:r w:rsidRPr="00562DA4">
              <w:rPr>
                <w:rFonts w:cstheme="minorHAnsi"/>
                <w:i/>
                <w:sz w:val="20"/>
              </w:rPr>
              <w:t>Hypseleotris klunzingeri</w:t>
            </w:r>
          </w:p>
        </w:tc>
        <w:tc>
          <w:tcPr>
            <w:tcW w:w="4045" w:type="dxa"/>
            <w:tcBorders>
              <w:top w:val="nil"/>
              <w:left w:val="nil"/>
              <w:bottom w:val="nil"/>
              <w:right w:val="single" w:sz="4" w:space="0" w:color="auto"/>
            </w:tcBorders>
            <w:vAlign w:val="center"/>
          </w:tcPr>
          <w:p w14:paraId="7215F91F" w14:textId="77777777" w:rsidR="006501A4" w:rsidRPr="00562DA4" w:rsidRDefault="006501A4" w:rsidP="00D877B9">
            <w:pPr>
              <w:spacing w:after="120" w:line="280" w:lineRule="exact"/>
              <w:rPr>
                <w:rFonts w:cstheme="minorHAnsi"/>
                <w:b/>
                <w:sz w:val="20"/>
              </w:rPr>
            </w:pPr>
            <w:r>
              <w:rPr>
                <w:rFonts w:cstheme="minorHAnsi"/>
                <w:b/>
                <w:bCs/>
                <w:sz w:val="20"/>
              </w:rPr>
              <w:t>KJ774972.1, KJ774971.1, KJ774973.1, KJ774976.1, KJ774974.1, KJ774977.1, HQ615482.1</w:t>
            </w:r>
          </w:p>
        </w:tc>
      </w:tr>
      <w:tr w:rsidR="006501A4" w:rsidRPr="008678EE" w14:paraId="6C4F2307" w14:textId="77777777" w:rsidTr="0095397F">
        <w:trPr>
          <w:trHeight w:val="283"/>
        </w:trPr>
        <w:tc>
          <w:tcPr>
            <w:tcW w:w="2127" w:type="dxa"/>
            <w:tcBorders>
              <w:top w:val="nil"/>
              <w:left w:val="single" w:sz="4" w:space="0" w:color="auto"/>
              <w:bottom w:val="nil"/>
              <w:right w:val="nil"/>
            </w:tcBorders>
            <w:vAlign w:val="center"/>
          </w:tcPr>
          <w:p w14:paraId="21ADDDE5"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26265756"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galii</w:t>
            </w:r>
          </w:p>
        </w:tc>
        <w:tc>
          <w:tcPr>
            <w:tcW w:w="4045" w:type="dxa"/>
            <w:tcBorders>
              <w:top w:val="nil"/>
              <w:left w:val="nil"/>
              <w:bottom w:val="nil"/>
              <w:right w:val="single" w:sz="4" w:space="0" w:color="auto"/>
            </w:tcBorders>
            <w:vAlign w:val="center"/>
          </w:tcPr>
          <w:p w14:paraId="27F13A1D" w14:textId="77777777" w:rsidR="006501A4" w:rsidRPr="00562DA4" w:rsidRDefault="006501A4" w:rsidP="00D877B9">
            <w:pPr>
              <w:spacing w:after="120" w:line="280" w:lineRule="exact"/>
              <w:rPr>
                <w:rFonts w:cstheme="minorHAnsi"/>
                <w:b/>
                <w:bCs/>
                <w:sz w:val="20"/>
              </w:rPr>
            </w:pPr>
            <w:r>
              <w:rPr>
                <w:rFonts w:cstheme="minorHAnsi"/>
                <w:b/>
                <w:bCs/>
                <w:sz w:val="20"/>
              </w:rPr>
              <w:t>HQ615479.1, HQ615478.1, KJ774970.1, KJ774835.1, KJ774836.1, KJ774969.1</w:t>
            </w:r>
          </w:p>
        </w:tc>
      </w:tr>
      <w:tr w:rsidR="006501A4" w:rsidRPr="008678EE" w14:paraId="163DCBC3" w14:textId="77777777" w:rsidTr="0095397F">
        <w:trPr>
          <w:trHeight w:val="283"/>
        </w:trPr>
        <w:tc>
          <w:tcPr>
            <w:tcW w:w="2127" w:type="dxa"/>
            <w:tcBorders>
              <w:top w:val="nil"/>
              <w:left w:val="single" w:sz="4" w:space="0" w:color="auto"/>
              <w:bottom w:val="nil"/>
              <w:right w:val="nil"/>
            </w:tcBorders>
            <w:vAlign w:val="center"/>
          </w:tcPr>
          <w:p w14:paraId="32FFC219"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18C60AFB"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compressa</w:t>
            </w:r>
          </w:p>
        </w:tc>
        <w:tc>
          <w:tcPr>
            <w:tcW w:w="4045" w:type="dxa"/>
            <w:tcBorders>
              <w:top w:val="nil"/>
              <w:left w:val="nil"/>
              <w:bottom w:val="nil"/>
              <w:right w:val="single" w:sz="4" w:space="0" w:color="auto"/>
            </w:tcBorders>
            <w:vAlign w:val="center"/>
          </w:tcPr>
          <w:p w14:paraId="00A0071E" w14:textId="77777777" w:rsidR="006501A4" w:rsidRPr="00562DA4" w:rsidRDefault="006501A4" w:rsidP="00D877B9">
            <w:pPr>
              <w:spacing w:after="120" w:line="280" w:lineRule="exact"/>
              <w:rPr>
                <w:rFonts w:cstheme="minorHAnsi"/>
                <w:b/>
                <w:bCs/>
                <w:sz w:val="20"/>
              </w:rPr>
            </w:pPr>
            <w:r>
              <w:rPr>
                <w:rFonts w:cstheme="minorHAnsi"/>
                <w:b/>
                <w:bCs/>
                <w:sz w:val="20"/>
              </w:rPr>
              <w:t>KJ774834.1</w:t>
            </w:r>
          </w:p>
        </w:tc>
      </w:tr>
      <w:tr w:rsidR="006501A4" w:rsidRPr="008678EE" w14:paraId="13C8FF13" w14:textId="77777777" w:rsidTr="0095397F">
        <w:trPr>
          <w:trHeight w:val="283"/>
        </w:trPr>
        <w:tc>
          <w:tcPr>
            <w:tcW w:w="2127" w:type="dxa"/>
            <w:tcBorders>
              <w:top w:val="nil"/>
              <w:left w:val="single" w:sz="4" w:space="0" w:color="auto"/>
              <w:bottom w:val="nil"/>
              <w:right w:val="nil"/>
            </w:tcBorders>
            <w:vAlign w:val="center"/>
          </w:tcPr>
          <w:p w14:paraId="5BBEC4B7"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408D93C2"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sp. ‘Lake’s carp gudgeon’</w:t>
            </w:r>
          </w:p>
        </w:tc>
        <w:tc>
          <w:tcPr>
            <w:tcW w:w="4045" w:type="dxa"/>
            <w:tcBorders>
              <w:top w:val="nil"/>
              <w:left w:val="nil"/>
              <w:bottom w:val="nil"/>
              <w:right w:val="single" w:sz="4" w:space="0" w:color="auto"/>
            </w:tcBorders>
            <w:vAlign w:val="center"/>
          </w:tcPr>
          <w:p w14:paraId="126A5198" w14:textId="77777777" w:rsidR="006501A4" w:rsidRPr="00562DA4" w:rsidRDefault="006501A4" w:rsidP="00D877B9">
            <w:pPr>
              <w:spacing w:after="120" w:line="280" w:lineRule="exact"/>
              <w:rPr>
                <w:rFonts w:cstheme="minorHAnsi"/>
                <w:b/>
                <w:bCs/>
                <w:sz w:val="20"/>
              </w:rPr>
            </w:pPr>
            <w:r>
              <w:rPr>
                <w:rFonts w:cstheme="minorHAnsi"/>
                <w:b/>
                <w:bCs/>
                <w:sz w:val="20"/>
              </w:rPr>
              <w:t>KJ784396.1, HQ615483.1, HQ615486.1</w:t>
            </w:r>
          </w:p>
        </w:tc>
      </w:tr>
      <w:tr w:rsidR="006501A4" w:rsidRPr="008678EE" w14:paraId="2FD89025" w14:textId="77777777" w:rsidTr="0095397F">
        <w:trPr>
          <w:trHeight w:val="283"/>
        </w:trPr>
        <w:tc>
          <w:tcPr>
            <w:tcW w:w="2127" w:type="dxa"/>
            <w:tcBorders>
              <w:top w:val="nil"/>
              <w:left w:val="single" w:sz="4" w:space="0" w:color="auto"/>
              <w:bottom w:val="nil"/>
              <w:right w:val="nil"/>
            </w:tcBorders>
            <w:vAlign w:val="center"/>
          </w:tcPr>
          <w:p w14:paraId="20EE40FD"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6F3FEF84"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‘Midgleys carp gudgeon’ </w:t>
            </w:r>
          </w:p>
        </w:tc>
        <w:tc>
          <w:tcPr>
            <w:tcW w:w="4045" w:type="dxa"/>
            <w:tcBorders>
              <w:top w:val="nil"/>
              <w:left w:val="nil"/>
              <w:bottom w:val="nil"/>
              <w:right w:val="single" w:sz="4" w:space="0" w:color="auto"/>
            </w:tcBorders>
            <w:vAlign w:val="center"/>
          </w:tcPr>
          <w:p w14:paraId="02D49158" w14:textId="77777777" w:rsidR="006501A4" w:rsidRPr="00562DA4" w:rsidRDefault="006501A4" w:rsidP="00D877B9">
            <w:pPr>
              <w:spacing w:after="120" w:line="280" w:lineRule="exact"/>
              <w:rPr>
                <w:rFonts w:cstheme="minorHAnsi"/>
                <w:b/>
                <w:bCs/>
                <w:sz w:val="20"/>
              </w:rPr>
            </w:pPr>
            <w:r>
              <w:rPr>
                <w:rFonts w:cstheme="minorHAnsi"/>
                <w:b/>
                <w:bCs/>
                <w:sz w:val="20"/>
              </w:rPr>
              <w:t>KJ774839.1, KJ774838.1</w:t>
            </w:r>
          </w:p>
        </w:tc>
      </w:tr>
      <w:tr w:rsidR="006501A4" w:rsidRPr="008678EE" w14:paraId="6D6DB8B9" w14:textId="77777777" w:rsidTr="0095397F">
        <w:trPr>
          <w:trHeight w:val="283"/>
        </w:trPr>
        <w:tc>
          <w:tcPr>
            <w:tcW w:w="2127" w:type="dxa"/>
            <w:tcBorders>
              <w:top w:val="nil"/>
              <w:left w:val="single" w:sz="4" w:space="0" w:color="auto"/>
              <w:bottom w:val="nil"/>
              <w:right w:val="nil"/>
            </w:tcBorders>
            <w:vAlign w:val="center"/>
          </w:tcPr>
          <w:p w14:paraId="221EB79C"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0F768FD3"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sp. ‘Murray-Darling carp gudgeon’</w:t>
            </w:r>
          </w:p>
        </w:tc>
        <w:tc>
          <w:tcPr>
            <w:tcW w:w="4045" w:type="dxa"/>
            <w:tcBorders>
              <w:top w:val="nil"/>
              <w:left w:val="nil"/>
              <w:bottom w:val="nil"/>
              <w:right w:val="single" w:sz="4" w:space="0" w:color="auto"/>
            </w:tcBorders>
            <w:vAlign w:val="center"/>
          </w:tcPr>
          <w:p w14:paraId="52785550" w14:textId="77777777" w:rsidR="006501A4" w:rsidRDefault="006501A4" w:rsidP="00D877B9">
            <w:pPr>
              <w:spacing w:after="120" w:line="280" w:lineRule="exact"/>
              <w:rPr>
                <w:rFonts w:cstheme="minorHAnsi"/>
                <w:b/>
                <w:bCs/>
                <w:sz w:val="20"/>
              </w:rPr>
            </w:pPr>
            <w:r>
              <w:rPr>
                <w:rFonts w:cstheme="minorHAnsi"/>
                <w:b/>
                <w:bCs/>
                <w:sz w:val="20"/>
              </w:rPr>
              <w:t>KJ774984.1</w:t>
            </w:r>
          </w:p>
        </w:tc>
      </w:tr>
      <w:tr w:rsidR="006501A4" w:rsidRPr="008678EE" w14:paraId="6B750E3C" w14:textId="77777777" w:rsidTr="0095397F">
        <w:trPr>
          <w:trHeight w:val="283"/>
        </w:trPr>
        <w:tc>
          <w:tcPr>
            <w:tcW w:w="2127" w:type="dxa"/>
            <w:tcBorders>
              <w:top w:val="nil"/>
              <w:left w:val="single" w:sz="4" w:space="0" w:color="auto"/>
              <w:bottom w:val="nil"/>
              <w:right w:val="nil"/>
            </w:tcBorders>
            <w:vAlign w:val="center"/>
          </w:tcPr>
          <w:p w14:paraId="2554892B"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371F091E"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hybrid ‘Midgleys-Lakes’</w:t>
            </w:r>
          </w:p>
        </w:tc>
        <w:tc>
          <w:tcPr>
            <w:tcW w:w="4045" w:type="dxa"/>
            <w:tcBorders>
              <w:top w:val="nil"/>
              <w:left w:val="nil"/>
              <w:bottom w:val="nil"/>
              <w:right w:val="single" w:sz="4" w:space="0" w:color="auto"/>
            </w:tcBorders>
            <w:vAlign w:val="center"/>
          </w:tcPr>
          <w:p w14:paraId="3CAD9D37" w14:textId="77777777" w:rsidR="006501A4" w:rsidRPr="00562DA4" w:rsidRDefault="006501A4" w:rsidP="00D877B9">
            <w:pPr>
              <w:spacing w:after="120" w:line="280" w:lineRule="exact"/>
              <w:rPr>
                <w:rFonts w:cstheme="minorHAnsi"/>
                <w:b/>
                <w:bCs/>
                <w:sz w:val="20"/>
              </w:rPr>
            </w:pPr>
            <w:r>
              <w:rPr>
                <w:rFonts w:cstheme="minorHAnsi"/>
                <w:b/>
                <w:bCs/>
                <w:sz w:val="20"/>
              </w:rPr>
              <w:t>KJ774980.1</w:t>
            </w:r>
          </w:p>
        </w:tc>
      </w:tr>
      <w:tr w:rsidR="006501A4" w:rsidRPr="008678EE" w14:paraId="1F24C891" w14:textId="77777777" w:rsidTr="0095397F">
        <w:trPr>
          <w:trHeight w:val="283"/>
        </w:trPr>
        <w:tc>
          <w:tcPr>
            <w:tcW w:w="2127" w:type="dxa"/>
            <w:tcBorders>
              <w:top w:val="nil"/>
              <w:left w:val="single" w:sz="4" w:space="0" w:color="auto"/>
              <w:bottom w:val="nil"/>
              <w:right w:val="nil"/>
            </w:tcBorders>
            <w:vAlign w:val="center"/>
          </w:tcPr>
          <w:p w14:paraId="04B00A0A"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707DC705" w14:textId="77777777" w:rsidR="006501A4" w:rsidRPr="00562DA4" w:rsidRDefault="006501A4" w:rsidP="00D877B9">
            <w:pPr>
              <w:spacing w:after="120" w:line="280" w:lineRule="exact"/>
              <w:rPr>
                <w:rFonts w:cstheme="minorHAnsi"/>
                <w:i/>
                <w:sz w:val="20"/>
              </w:rPr>
            </w:pPr>
            <w:r w:rsidRPr="00562DA4">
              <w:rPr>
                <w:rFonts w:cstheme="minorHAnsi"/>
                <w:i/>
                <w:sz w:val="20"/>
              </w:rPr>
              <w:t>Hypseleotris</w:t>
            </w:r>
            <w:r>
              <w:rPr>
                <w:rFonts w:cstheme="minorHAnsi"/>
                <w:i/>
                <w:sz w:val="20"/>
              </w:rPr>
              <w:t xml:space="preserve"> sp. hybrid ‘Midgleys-Murray-Darling’</w:t>
            </w:r>
          </w:p>
        </w:tc>
        <w:tc>
          <w:tcPr>
            <w:tcW w:w="4045" w:type="dxa"/>
            <w:tcBorders>
              <w:top w:val="nil"/>
              <w:left w:val="nil"/>
              <w:bottom w:val="nil"/>
              <w:right w:val="single" w:sz="4" w:space="0" w:color="auto"/>
            </w:tcBorders>
            <w:vAlign w:val="center"/>
          </w:tcPr>
          <w:p w14:paraId="2448FD29" w14:textId="77777777" w:rsidR="006501A4" w:rsidRPr="00562DA4" w:rsidRDefault="006501A4" w:rsidP="00D877B9">
            <w:pPr>
              <w:spacing w:after="120" w:line="280" w:lineRule="exact"/>
              <w:rPr>
                <w:rFonts w:cstheme="minorHAnsi"/>
                <w:b/>
                <w:bCs/>
                <w:sz w:val="20"/>
              </w:rPr>
            </w:pPr>
            <w:r>
              <w:rPr>
                <w:rFonts w:cstheme="minorHAnsi"/>
                <w:b/>
                <w:bCs/>
                <w:sz w:val="20"/>
              </w:rPr>
              <w:t>KJ774982.1, KJ774983.1</w:t>
            </w:r>
          </w:p>
        </w:tc>
      </w:tr>
      <w:tr w:rsidR="006501A4" w:rsidRPr="008678EE" w14:paraId="16D429AF" w14:textId="77777777" w:rsidTr="0095397F">
        <w:trPr>
          <w:trHeight w:val="283"/>
        </w:trPr>
        <w:tc>
          <w:tcPr>
            <w:tcW w:w="2127" w:type="dxa"/>
            <w:tcBorders>
              <w:top w:val="nil"/>
              <w:left w:val="single" w:sz="4" w:space="0" w:color="auto"/>
              <w:bottom w:val="nil"/>
              <w:right w:val="nil"/>
            </w:tcBorders>
            <w:vAlign w:val="center"/>
          </w:tcPr>
          <w:p w14:paraId="612F1EC4" w14:textId="77777777" w:rsidR="006501A4" w:rsidRPr="00C51065" w:rsidRDefault="006501A4" w:rsidP="00D877B9">
            <w:pPr>
              <w:spacing w:after="120" w:line="280" w:lineRule="exact"/>
              <w:rPr>
                <w:rFonts w:cstheme="minorHAnsi"/>
                <w:i/>
                <w:iCs/>
                <w:sz w:val="20"/>
              </w:rPr>
            </w:pPr>
          </w:p>
        </w:tc>
        <w:tc>
          <w:tcPr>
            <w:tcW w:w="2759" w:type="dxa"/>
            <w:tcBorders>
              <w:top w:val="nil"/>
              <w:left w:val="nil"/>
              <w:bottom w:val="nil"/>
              <w:right w:val="nil"/>
            </w:tcBorders>
            <w:vAlign w:val="center"/>
          </w:tcPr>
          <w:p w14:paraId="67BC38F7" w14:textId="77777777" w:rsidR="006501A4" w:rsidRPr="00562DA4" w:rsidRDefault="006501A4" w:rsidP="00D877B9">
            <w:pPr>
              <w:spacing w:after="120" w:line="280" w:lineRule="exact"/>
              <w:rPr>
                <w:rFonts w:cstheme="minorHAnsi"/>
                <w:i/>
                <w:sz w:val="20"/>
              </w:rPr>
            </w:pPr>
            <w:r>
              <w:rPr>
                <w:rFonts w:cstheme="minorHAnsi"/>
                <w:i/>
                <w:sz w:val="20"/>
              </w:rPr>
              <w:t>Oxyeleotris lineolata</w:t>
            </w:r>
          </w:p>
        </w:tc>
        <w:tc>
          <w:tcPr>
            <w:tcW w:w="4045" w:type="dxa"/>
            <w:tcBorders>
              <w:top w:val="nil"/>
              <w:left w:val="nil"/>
              <w:bottom w:val="nil"/>
              <w:right w:val="single" w:sz="4" w:space="0" w:color="auto"/>
            </w:tcBorders>
            <w:vAlign w:val="center"/>
          </w:tcPr>
          <w:p w14:paraId="3AE24DEC" w14:textId="77777777" w:rsidR="006501A4" w:rsidRPr="00562DA4" w:rsidRDefault="006501A4" w:rsidP="00D877B9">
            <w:pPr>
              <w:spacing w:after="120" w:line="280" w:lineRule="exact"/>
              <w:rPr>
                <w:rFonts w:cstheme="minorHAnsi"/>
                <w:b/>
                <w:bCs/>
                <w:sz w:val="20"/>
              </w:rPr>
            </w:pPr>
            <w:r>
              <w:rPr>
                <w:rFonts w:cstheme="minorHAnsi"/>
                <w:b/>
                <w:bCs/>
                <w:sz w:val="20"/>
              </w:rPr>
              <w:t>HQ615516.1</w:t>
            </w:r>
          </w:p>
        </w:tc>
      </w:tr>
      <w:tr w:rsidR="006501A4" w:rsidRPr="008678EE" w14:paraId="652DB5C3" w14:textId="77777777" w:rsidTr="0095397F">
        <w:trPr>
          <w:trHeight w:val="283"/>
        </w:trPr>
        <w:tc>
          <w:tcPr>
            <w:tcW w:w="2127" w:type="dxa"/>
            <w:tcBorders>
              <w:top w:val="nil"/>
              <w:left w:val="single" w:sz="4" w:space="0" w:color="auto"/>
              <w:bottom w:val="single" w:sz="4" w:space="0" w:color="auto"/>
              <w:right w:val="nil"/>
            </w:tcBorders>
            <w:vAlign w:val="center"/>
          </w:tcPr>
          <w:p w14:paraId="644FD4F8" w14:textId="77777777" w:rsidR="006501A4" w:rsidRPr="00562DA4" w:rsidRDefault="006501A4" w:rsidP="00D877B9">
            <w:pPr>
              <w:spacing w:after="120" w:line="280" w:lineRule="exact"/>
              <w:rPr>
                <w:rFonts w:cstheme="minorHAnsi"/>
                <w:i/>
                <w:iCs/>
                <w:sz w:val="20"/>
              </w:rPr>
            </w:pPr>
          </w:p>
        </w:tc>
        <w:tc>
          <w:tcPr>
            <w:tcW w:w="2759" w:type="dxa"/>
            <w:tcBorders>
              <w:top w:val="nil"/>
              <w:left w:val="nil"/>
              <w:bottom w:val="single" w:sz="4" w:space="0" w:color="auto"/>
              <w:right w:val="nil"/>
            </w:tcBorders>
            <w:vAlign w:val="center"/>
          </w:tcPr>
          <w:p w14:paraId="65AA2959" w14:textId="77777777" w:rsidR="006501A4" w:rsidRPr="00562DA4" w:rsidRDefault="006501A4" w:rsidP="00D877B9">
            <w:pPr>
              <w:spacing w:after="120" w:line="280" w:lineRule="exact"/>
              <w:rPr>
                <w:rFonts w:cstheme="minorHAnsi"/>
                <w:i/>
                <w:sz w:val="20"/>
              </w:rPr>
            </w:pPr>
          </w:p>
        </w:tc>
        <w:tc>
          <w:tcPr>
            <w:tcW w:w="4045" w:type="dxa"/>
            <w:tcBorders>
              <w:top w:val="nil"/>
              <w:left w:val="nil"/>
              <w:bottom w:val="single" w:sz="4" w:space="0" w:color="auto"/>
              <w:right w:val="single" w:sz="4" w:space="0" w:color="auto"/>
            </w:tcBorders>
            <w:vAlign w:val="center"/>
          </w:tcPr>
          <w:p w14:paraId="4C0133D1" w14:textId="77777777" w:rsidR="006501A4" w:rsidRPr="00562DA4" w:rsidRDefault="006501A4" w:rsidP="00D877B9">
            <w:pPr>
              <w:spacing w:after="120" w:line="280" w:lineRule="exact"/>
              <w:rPr>
                <w:rFonts w:cstheme="minorHAnsi"/>
                <w:b/>
                <w:sz w:val="20"/>
              </w:rPr>
            </w:pPr>
          </w:p>
        </w:tc>
      </w:tr>
      <w:tr w:rsidR="006501A4" w:rsidRPr="008678EE" w14:paraId="4131C379" w14:textId="77777777" w:rsidTr="0095397F">
        <w:trPr>
          <w:trHeight w:val="283"/>
        </w:trPr>
        <w:tc>
          <w:tcPr>
            <w:tcW w:w="2127" w:type="dxa"/>
            <w:tcBorders>
              <w:top w:val="single" w:sz="4" w:space="0" w:color="auto"/>
              <w:left w:val="single" w:sz="4" w:space="0" w:color="auto"/>
              <w:right w:val="nil"/>
            </w:tcBorders>
            <w:vAlign w:val="center"/>
          </w:tcPr>
          <w:p w14:paraId="25A2D5B4" w14:textId="77777777" w:rsidR="006501A4" w:rsidRPr="00562DA4" w:rsidRDefault="006501A4" w:rsidP="00D877B9">
            <w:pPr>
              <w:spacing w:after="120" w:line="280" w:lineRule="exact"/>
              <w:jc w:val="left"/>
              <w:rPr>
                <w:rFonts w:cstheme="minorHAnsi"/>
                <w:i/>
                <w:iCs/>
                <w:sz w:val="20"/>
              </w:rPr>
            </w:pPr>
            <w:r w:rsidRPr="00562DA4">
              <w:rPr>
                <w:rFonts w:cstheme="minorHAnsi"/>
                <w:sz w:val="20"/>
              </w:rPr>
              <w:t>Murray cray</w:t>
            </w:r>
            <w:r>
              <w:rPr>
                <w:rFonts w:cstheme="minorHAnsi"/>
                <w:sz w:val="20"/>
              </w:rPr>
              <w:t xml:space="preserve"> (</w:t>
            </w:r>
            <w:r w:rsidRPr="00A955BF">
              <w:rPr>
                <w:rFonts w:cstheme="minorHAnsi"/>
                <w:i/>
                <w:iCs/>
                <w:sz w:val="20"/>
              </w:rPr>
              <w:t>Euastacus armatus</w:t>
            </w:r>
            <w:r w:rsidRPr="00A955BF">
              <w:rPr>
                <w:rFonts w:cstheme="minorHAnsi"/>
                <w:sz w:val="20"/>
              </w:rPr>
              <w:t>)</w:t>
            </w:r>
          </w:p>
        </w:tc>
        <w:tc>
          <w:tcPr>
            <w:tcW w:w="2759" w:type="dxa"/>
            <w:tcBorders>
              <w:top w:val="single" w:sz="4" w:space="0" w:color="auto"/>
              <w:left w:val="nil"/>
              <w:right w:val="nil"/>
            </w:tcBorders>
            <w:vAlign w:val="center"/>
          </w:tcPr>
          <w:p w14:paraId="72ED2863" w14:textId="77777777" w:rsidR="006501A4" w:rsidRPr="00562DA4" w:rsidRDefault="006501A4" w:rsidP="00D877B9">
            <w:pPr>
              <w:spacing w:after="120" w:line="280" w:lineRule="exact"/>
              <w:rPr>
                <w:rFonts w:cstheme="minorHAnsi"/>
                <w:i/>
                <w:sz w:val="20"/>
              </w:rPr>
            </w:pPr>
            <w:r w:rsidRPr="00A955BF">
              <w:rPr>
                <w:rFonts w:cstheme="minorHAnsi"/>
                <w:i/>
                <w:iCs/>
                <w:sz w:val="20"/>
              </w:rPr>
              <w:t>Euastacus armatus</w:t>
            </w:r>
          </w:p>
        </w:tc>
        <w:tc>
          <w:tcPr>
            <w:tcW w:w="4045" w:type="dxa"/>
            <w:tcBorders>
              <w:top w:val="single" w:sz="4" w:space="0" w:color="auto"/>
              <w:left w:val="nil"/>
              <w:right w:val="single" w:sz="4" w:space="0" w:color="auto"/>
            </w:tcBorders>
            <w:vAlign w:val="center"/>
          </w:tcPr>
          <w:p w14:paraId="0F33618B" w14:textId="77777777" w:rsidR="006501A4" w:rsidRPr="00562DA4" w:rsidRDefault="006501A4" w:rsidP="00D877B9">
            <w:pPr>
              <w:spacing w:after="120" w:line="280" w:lineRule="exact"/>
              <w:rPr>
                <w:rFonts w:cstheme="minorHAnsi"/>
                <w:b/>
                <w:sz w:val="20"/>
              </w:rPr>
            </w:pPr>
            <w:r>
              <w:rPr>
                <w:rFonts w:cstheme="minorHAnsi"/>
                <w:b/>
                <w:sz w:val="20"/>
              </w:rPr>
              <w:t>NC_026575.1, KP294310.1, DQ006424.1, DQ006425.1, DQ006426.1</w:t>
            </w:r>
          </w:p>
        </w:tc>
      </w:tr>
      <w:tr w:rsidR="006501A4" w:rsidRPr="008678EE" w14:paraId="4F45799A" w14:textId="77777777" w:rsidTr="0095397F">
        <w:trPr>
          <w:trHeight w:val="283"/>
        </w:trPr>
        <w:tc>
          <w:tcPr>
            <w:tcW w:w="2127" w:type="dxa"/>
            <w:tcBorders>
              <w:left w:val="single" w:sz="4" w:space="0" w:color="auto"/>
              <w:bottom w:val="nil"/>
              <w:right w:val="nil"/>
            </w:tcBorders>
            <w:vAlign w:val="center"/>
          </w:tcPr>
          <w:p w14:paraId="2D24D8B8" w14:textId="77777777" w:rsidR="006501A4" w:rsidRPr="00562DA4" w:rsidRDefault="006501A4" w:rsidP="00D877B9">
            <w:pPr>
              <w:spacing w:after="120" w:line="280" w:lineRule="exact"/>
              <w:rPr>
                <w:rFonts w:cstheme="minorHAnsi"/>
                <w:sz w:val="20"/>
              </w:rPr>
            </w:pPr>
          </w:p>
        </w:tc>
        <w:tc>
          <w:tcPr>
            <w:tcW w:w="2759" w:type="dxa"/>
            <w:tcBorders>
              <w:left w:val="nil"/>
              <w:bottom w:val="nil"/>
              <w:right w:val="nil"/>
            </w:tcBorders>
            <w:vAlign w:val="center"/>
          </w:tcPr>
          <w:p w14:paraId="799AC390" w14:textId="77777777" w:rsidR="006501A4" w:rsidRPr="00562DA4" w:rsidRDefault="006501A4" w:rsidP="00D877B9">
            <w:pPr>
              <w:spacing w:after="120" w:line="280" w:lineRule="exact"/>
              <w:rPr>
                <w:rFonts w:cstheme="minorHAnsi"/>
                <w:i/>
                <w:sz w:val="20"/>
              </w:rPr>
            </w:pPr>
            <w:r w:rsidRPr="00A955BF">
              <w:rPr>
                <w:rFonts w:cstheme="minorHAnsi"/>
                <w:i/>
                <w:iCs/>
                <w:sz w:val="20"/>
              </w:rPr>
              <w:t>Euastacus</w:t>
            </w:r>
            <w:r>
              <w:rPr>
                <w:rFonts w:cstheme="minorHAnsi"/>
                <w:i/>
                <w:iCs/>
                <w:sz w:val="20"/>
              </w:rPr>
              <w:t xml:space="preserve"> crassus</w:t>
            </w:r>
          </w:p>
        </w:tc>
        <w:tc>
          <w:tcPr>
            <w:tcW w:w="4045" w:type="dxa"/>
            <w:tcBorders>
              <w:left w:val="nil"/>
              <w:bottom w:val="nil"/>
              <w:right w:val="single" w:sz="4" w:space="0" w:color="auto"/>
            </w:tcBorders>
            <w:vAlign w:val="center"/>
          </w:tcPr>
          <w:p w14:paraId="414D5869" w14:textId="77777777" w:rsidR="006501A4" w:rsidRPr="00562DA4" w:rsidRDefault="006501A4" w:rsidP="00D877B9">
            <w:pPr>
              <w:spacing w:after="120" w:line="280" w:lineRule="exact"/>
              <w:rPr>
                <w:rFonts w:cstheme="minorHAnsi"/>
                <w:b/>
                <w:bCs/>
                <w:sz w:val="20"/>
              </w:rPr>
            </w:pPr>
            <w:r>
              <w:rPr>
                <w:rFonts w:cstheme="minorHAnsi"/>
                <w:b/>
                <w:bCs/>
                <w:sz w:val="20"/>
              </w:rPr>
              <w:t>DQ006453.1, DQ006455.1,</w:t>
            </w:r>
          </w:p>
        </w:tc>
      </w:tr>
      <w:tr w:rsidR="006501A4" w:rsidRPr="008678EE" w14:paraId="26D8C911" w14:textId="77777777" w:rsidTr="0095397F">
        <w:trPr>
          <w:trHeight w:val="283"/>
        </w:trPr>
        <w:tc>
          <w:tcPr>
            <w:tcW w:w="2127" w:type="dxa"/>
            <w:tcBorders>
              <w:left w:val="single" w:sz="4" w:space="0" w:color="auto"/>
              <w:bottom w:val="nil"/>
              <w:right w:val="nil"/>
            </w:tcBorders>
            <w:vAlign w:val="center"/>
          </w:tcPr>
          <w:p w14:paraId="3756F165" w14:textId="77777777" w:rsidR="006501A4" w:rsidRPr="00562DA4" w:rsidRDefault="006501A4" w:rsidP="00D877B9">
            <w:pPr>
              <w:spacing w:after="120" w:line="280" w:lineRule="exact"/>
              <w:rPr>
                <w:rFonts w:cstheme="minorHAnsi"/>
                <w:sz w:val="20"/>
              </w:rPr>
            </w:pPr>
          </w:p>
        </w:tc>
        <w:tc>
          <w:tcPr>
            <w:tcW w:w="2759" w:type="dxa"/>
            <w:tcBorders>
              <w:left w:val="nil"/>
              <w:bottom w:val="nil"/>
              <w:right w:val="nil"/>
            </w:tcBorders>
            <w:vAlign w:val="center"/>
          </w:tcPr>
          <w:p w14:paraId="1D77917A" w14:textId="77777777" w:rsidR="006501A4" w:rsidRPr="00562DA4" w:rsidRDefault="006501A4" w:rsidP="00D877B9">
            <w:pPr>
              <w:spacing w:after="120" w:line="280" w:lineRule="exact"/>
              <w:rPr>
                <w:rFonts w:cstheme="minorHAnsi"/>
                <w:i/>
                <w:sz w:val="20"/>
              </w:rPr>
            </w:pPr>
            <w:r w:rsidRPr="00A955BF">
              <w:rPr>
                <w:rFonts w:cstheme="minorHAnsi"/>
                <w:i/>
                <w:iCs/>
                <w:sz w:val="20"/>
              </w:rPr>
              <w:t>Euastacus</w:t>
            </w:r>
            <w:r>
              <w:rPr>
                <w:rFonts w:cstheme="minorHAnsi"/>
                <w:i/>
                <w:iCs/>
                <w:sz w:val="20"/>
              </w:rPr>
              <w:t xml:space="preserve"> rieki</w:t>
            </w:r>
          </w:p>
        </w:tc>
        <w:tc>
          <w:tcPr>
            <w:tcW w:w="4045" w:type="dxa"/>
            <w:tcBorders>
              <w:left w:val="nil"/>
              <w:bottom w:val="nil"/>
              <w:right w:val="single" w:sz="4" w:space="0" w:color="auto"/>
            </w:tcBorders>
            <w:vAlign w:val="center"/>
          </w:tcPr>
          <w:p w14:paraId="0F14AA5F" w14:textId="77777777" w:rsidR="006501A4" w:rsidRPr="00562DA4" w:rsidRDefault="006501A4" w:rsidP="00D877B9">
            <w:pPr>
              <w:spacing w:after="120" w:line="280" w:lineRule="exact"/>
              <w:rPr>
                <w:rFonts w:cstheme="minorHAnsi"/>
                <w:b/>
                <w:bCs/>
                <w:sz w:val="20"/>
              </w:rPr>
            </w:pPr>
            <w:r>
              <w:rPr>
                <w:rFonts w:cstheme="minorHAnsi"/>
                <w:b/>
                <w:bCs/>
                <w:sz w:val="20"/>
              </w:rPr>
              <w:t>DQ006495.1, DQ006496.1</w:t>
            </w:r>
          </w:p>
        </w:tc>
      </w:tr>
      <w:tr w:rsidR="006501A4" w:rsidRPr="008678EE" w14:paraId="767D86E5" w14:textId="77777777" w:rsidTr="0095397F">
        <w:trPr>
          <w:trHeight w:val="283"/>
        </w:trPr>
        <w:tc>
          <w:tcPr>
            <w:tcW w:w="2127" w:type="dxa"/>
            <w:tcBorders>
              <w:left w:val="single" w:sz="4" w:space="0" w:color="auto"/>
              <w:right w:val="nil"/>
            </w:tcBorders>
            <w:vAlign w:val="center"/>
          </w:tcPr>
          <w:p w14:paraId="65A660BF" w14:textId="77777777" w:rsidR="006501A4" w:rsidRPr="00562DA4" w:rsidRDefault="006501A4" w:rsidP="00D877B9">
            <w:pPr>
              <w:spacing w:after="120" w:line="280" w:lineRule="exact"/>
              <w:rPr>
                <w:rFonts w:cstheme="minorHAnsi"/>
                <w:sz w:val="20"/>
              </w:rPr>
            </w:pPr>
          </w:p>
        </w:tc>
        <w:tc>
          <w:tcPr>
            <w:tcW w:w="2759" w:type="dxa"/>
            <w:tcBorders>
              <w:left w:val="nil"/>
              <w:right w:val="nil"/>
            </w:tcBorders>
            <w:vAlign w:val="center"/>
          </w:tcPr>
          <w:p w14:paraId="3ADA7BD8" w14:textId="77777777" w:rsidR="006501A4" w:rsidRPr="00562DA4" w:rsidRDefault="006501A4" w:rsidP="00D877B9">
            <w:pPr>
              <w:spacing w:after="120" w:line="280" w:lineRule="exact"/>
              <w:rPr>
                <w:rFonts w:cstheme="minorHAnsi"/>
                <w:i/>
                <w:sz w:val="20"/>
              </w:rPr>
            </w:pPr>
            <w:r w:rsidRPr="00562DA4">
              <w:rPr>
                <w:rFonts w:cstheme="minorHAnsi"/>
                <w:i/>
                <w:sz w:val="20"/>
              </w:rPr>
              <w:t>Cherax destructor</w:t>
            </w:r>
          </w:p>
        </w:tc>
        <w:tc>
          <w:tcPr>
            <w:tcW w:w="4045" w:type="dxa"/>
            <w:tcBorders>
              <w:left w:val="nil"/>
              <w:right w:val="single" w:sz="4" w:space="0" w:color="auto"/>
            </w:tcBorders>
            <w:vAlign w:val="center"/>
          </w:tcPr>
          <w:p w14:paraId="6ACDDBFE" w14:textId="77777777" w:rsidR="006501A4" w:rsidRPr="00562DA4" w:rsidRDefault="006501A4" w:rsidP="00D877B9">
            <w:pPr>
              <w:spacing w:after="120" w:line="280" w:lineRule="exact"/>
              <w:rPr>
                <w:rFonts w:cstheme="minorHAnsi"/>
                <w:b/>
                <w:bCs/>
                <w:sz w:val="20"/>
              </w:rPr>
            </w:pPr>
            <w:r>
              <w:rPr>
                <w:rFonts w:cstheme="minorHAnsi"/>
                <w:b/>
                <w:bCs/>
                <w:sz w:val="20"/>
              </w:rPr>
              <w:t>KJ573468.1, KJ573469.1, AY191737.1, AY191738.1, AY191739.1, AY191740.1</w:t>
            </w:r>
          </w:p>
        </w:tc>
      </w:tr>
      <w:tr w:rsidR="006501A4" w:rsidRPr="008678EE" w14:paraId="7E7DA2C5" w14:textId="77777777" w:rsidTr="0095397F">
        <w:trPr>
          <w:trHeight w:val="283"/>
        </w:trPr>
        <w:tc>
          <w:tcPr>
            <w:tcW w:w="8931" w:type="dxa"/>
            <w:gridSpan w:val="3"/>
            <w:tcBorders>
              <w:top w:val="single" w:sz="4" w:space="0" w:color="auto"/>
            </w:tcBorders>
          </w:tcPr>
          <w:p w14:paraId="76999F35" w14:textId="77777777" w:rsidR="006501A4" w:rsidRPr="00562DA4" w:rsidRDefault="006501A4" w:rsidP="0095397F">
            <w:pPr>
              <w:spacing w:after="120"/>
              <w:rPr>
                <w:rFonts w:cstheme="minorHAnsi"/>
                <w:b/>
                <w:sz w:val="20"/>
              </w:rPr>
            </w:pPr>
            <w:r>
              <w:rPr>
                <w:rFonts w:cs="Calibri"/>
                <w:color w:val="201F1E"/>
                <w:sz w:val="20"/>
                <w:bdr w:val="none" w:sz="0" w:space="0" w:color="auto" w:frame="1"/>
              </w:rPr>
              <w:t xml:space="preserve">* </w:t>
            </w:r>
            <w:r w:rsidRPr="00B242DA">
              <w:rPr>
                <w:rFonts w:cs="Calibri"/>
                <w:color w:val="201F1E"/>
                <w:sz w:val="20"/>
              </w:rPr>
              <w:t>Closely related species that do not co-occur with the target species but were still included in the alignment.</w:t>
            </w:r>
          </w:p>
        </w:tc>
      </w:tr>
    </w:tbl>
    <w:p w14:paraId="3825DF7D" w14:textId="77777777" w:rsidR="006501A4" w:rsidRPr="00D71336" w:rsidRDefault="006501A4" w:rsidP="00D877B9">
      <w:pPr>
        <w:spacing w:after="120" w:line="320" w:lineRule="exact"/>
        <w:rPr>
          <w:rFonts w:cstheme="minorHAnsi"/>
          <w:b/>
          <w:bCs/>
          <w:sz w:val="20"/>
        </w:rPr>
      </w:pPr>
      <w:r w:rsidRPr="00D71336">
        <w:rPr>
          <w:rFonts w:cstheme="minorHAnsi"/>
          <w:b/>
          <w:bCs/>
          <w:color w:val="201F1E"/>
          <w:sz w:val="20"/>
          <w:bdr w:val="none" w:sz="0" w:space="0" w:color="auto" w:frame="1"/>
        </w:rPr>
        <w:t xml:space="preserve">Appendix 12.1 continued: </w:t>
      </w:r>
      <w:r w:rsidRPr="00D71336">
        <w:rPr>
          <w:rFonts w:cstheme="minorHAnsi"/>
          <w:color w:val="201F1E"/>
          <w:sz w:val="20"/>
          <w:bdr w:val="none" w:sz="0" w:space="0" w:color="auto" w:frame="1"/>
        </w:rPr>
        <w:t>Newly g</w:t>
      </w:r>
      <w:r w:rsidRPr="00D71336">
        <w:rPr>
          <w:rFonts w:cstheme="minorHAnsi"/>
          <w:sz w:val="20"/>
        </w:rPr>
        <w:t>enerated sequences</w:t>
      </w:r>
      <w:r w:rsidRPr="00D71336">
        <w:rPr>
          <w:rFonts w:cstheme="minorHAnsi"/>
          <w:b/>
          <w:bCs/>
          <w:sz w:val="20"/>
        </w:rPr>
        <w:t xml:space="preserve"> </w:t>
      </w:r>
      <w:r w:rsidRPr="00D71336">
        <w:rPr>
          <w:rFonts w:cstheme="minorHAnsi"/>
          <w:sz w:val="20"/>
        </w:rPr>
        <w:t xml:space="preserve">– Sequences that were included in the alignments for each target species but not yet published on GenBank. The location provided reflects the sample’s origin. </w:t>
      </w:r>
    </w:p>
    <w:tbl>
      <w:tblPr>
        <w:tblW w:w="9021" w:type="dxa"/>
        <w:tblInd w:w="-5" w:type="dxa"/>
        <w:tblLayout w:type="fixed"/>
        <w:tblLook w:val="04A0" w:firstRow="1" w:lastRow="0" w:firstColumn="1" w:lastColumn="0" w:noHBand="0" w:noVBand="1"/>
      </w:tblPr>
      <w:tblGrid>
        <w:gridCol w:w="2127"/>
        <w:gridCol w:w="6894"/>
      </w:tblGrid>
      <w:tr w:rsidR="006501A4" w:rsidRPr="008678EE" w14:paraId="706F6AF8" w14:textId="77777777" w:rsidTr="0095397F">
        <w:trPr>
          <w:trHeight w:val="397"/>
        </w:trPr>
        <w:tc>
          <w:tcPr>
            <w:tcW w:w="2127" w:type="dxa"/>
            <w:tcBorders>
              <w:top w:val="single" w:sz="4" w:space="0" w:color="auto"/>
              <w:left w:val="single" w:sz="4" w:space="0" w:color="auto"/>
              <w:bottom w:val="single" w:sz="4" w:space="0" w:color="auto"/>
              <w:right w:val="nil"/>
            </w:tcBorders>
            <w:shd w:val="clear" w:color="auto" w:fill="92CDDC"/>
            <w:vAlign w:val="center"/>
          </w:tcPr>
          <w:p w14:paraId="1FFB83CC" w14:textId="77777777" w:rsidR="006501A4" w:rsidRPr="00562DA4" w:rsidRDefault="006501A4" w:rsidP="0095397F">
            <w:pPr>
              <w:spacing w:after="120"/>
              <w:rPr>
                <w:b/>
                <w:sz w:val="20"/>
              </w:rPr>
            </w:pPr>
            <w:r>
              <w:rPr>
                <w:b/>
                <w:sz w:val="20"/>
              </w:rPr>
              <w:t xml:space="preserve">Target species </w:t>
            </w:r>
          </w:p>
        </w:tc>
        <w:tc>
          <w:tcPr>
            <w:tcW w:w="6894" w:type="dxa"/>
            <w:tcBorders>
              <w:top w:val="single" w:sz="4" w:space="0" w:color="auto"/>
              <w:left w:val="nil"/>
              <w:bottom w:val="single" w:sz="4" w:space="0" w:color="auto"/>
              <w:right w:val="single" w:sz="4" w:space="0" w:color="auto"/>
            </w:tcBorders>
            <w:shd w:val="clear" w:color="auto" w:fill="92CDDC"/>
            <w:vAlign w:val="center"/>
          </w:tcPr>
          <w:p w14:paraId="0EFBE43B" w14:textId="77777777" w:rsidR="006501A4" w:rsidRPr="00562DA4" w:rsidRDefault="006501A4" w:rsidP="0095397F">
            <w:pPr>
              <w:spacing w:after="120"/>
              <w:rPr>
                <w:b/>
                <w:sz w:val="20"/>
              </w:rPr>
            </w:pPr>
            <w:r>
              <w:rPr>
                <w:b/>
                <w:sz w:val="20"/>
              </w:rPr>
              <w:t>Sequence (5’-3’)</w:t>
            </w:r>
          </w:p>
        </w:tc>
      </w:tr>
      <w:tr w:rsidR="006501A4" w:rsidRPr="008678EE" w14:paraId="3AC29849" w14:textId="77777777" w:rsidTr="0095397F">
        <w:trPr>
          <w:trHeight w:val="283"/>
        </w:trPr>
        <w:tc>
          <w:tcPr>
            <w:tcW w:w="2127" w:type="dxa"/>
            <w:tcBorders>
              <w:top w:val="single" w:sz="4" w:space="0" w:color="auto"/>
              <w:left w:val="single" w:sz="4" w:space="0" w:color="auto"/>
              <w:bottom w:val="nil"/>
              <w:right w:val="nil"/>
            </w:tcBorders>
          </w:tcPr>
          <w:p w14:paraId="7D67AD7E" w14:textId="77777777" w:rsidR="006501A4" w:rsidRDefault="006501A4" w:rsidP="00D877B9">
            <w:pPr>
              <w:spacing w:after="120"/>
              <w:jc w:val="left"/>
              <w:rPr>
                <w:rFonts w:cstheme="minorHAnsi"/>
                <w:sz w:val="20"/>
              </w:rPr>
            </w:pPr>
            <w:r w:rsidRPr="00562DA4">
              <w:rPr>
                <w:rFonts w:cstheme="minorHAnsi"/>
                <w:sz w:val="20"/>
              </w:rPr>
              <w:t>Murray cod</w:t>
            </w:r>
            <w:r>
              <w:rPr>
                <w:rFonts w:cstheme="minorHAnsi"/>
                <w:sz w:val="20"/>
              </w:rPr>
              <w:t xml:space="preserve"> (</w:t>
            </w:r>
            <w:r w:rsidRPr="00C51065">
              <w:rPr>
                <w:rFonts w:cstheme="minorHAnsi"/>
                <w:i/>
                <w:iCs/>
                <w:sz w:val="20"/>
              </w:rPr>
              <w:t>Maccullochella peelii</w:t>
            </w:r>
            <w:r>
              <w:rPr>
                <w:rFonts w:cstheme="minorHAnsi"/>
                <w:sz w:val="20"/>
              </w:rPr>
              <w:t xml:space="preserve">) </w:t>
            </w:r>
          </w:p>
          <w:p w14:paraId="0D77AF4A" w14:textId="77777777" w:rsidR="006501A4" w:rsidRDefault="006501A4" w:rsidP="0095397F">
            <w:pPr>
              <w:spacing w:after="120"/>
              <w:rPr>
                <w:rFonts w:cstheme="minorHAnsi"/>
                <w:sz w:val="20"/>
              </w:rPr>
            </w:pPr>
          </w:p>
          <w:p w14:paraId="438C6EBE" w14:textId="77777777" w:rsidR="006501A4" w:rsidRDefault="006501A4" w:rsidP="0095397F">
            <w:pPr>
              <w:spacing w:after="120"/>
              <w:rPr>
                <w:rFonts w:cstheme="minorHAnsi"/>
                <w:sz w:val="20"/>
              </w:rPr>
            </w:pPr>
          </w:p>
          <w:p w14:paraId="7D814616" w14:textId="77777777" w:rsidR="006501A4" w:rsidRPr="00562DA4" w:rsidRDefault="006501A4" w:rsidP="0095397F">
            <w:pPr>
              <w:spacing w:after="120"/>
              <w:rPr>
                <w:rFonts w:cstheme="minorHAnsi"/>
                <w:sz w:val="20"/>
              </w:rPr>
            </w:pPr>
            <w:r>
              <w:rPr>
                <w:rFonts w:cstheme="minorHAnsi"/>
                <w:sz w:val="20"/>
              </w:rPr>
              <w:t>Wakool River, NSW</w:t>
            </w:r>
          </w:p>
        </w:tc>
        <w:tc>
          <w:tcPr>
            <w:tcW w:w="6894" w:type="dxa"/>
            <w:tcBorders>
              <w:top w:val="single" w:sz="4" w:space="0" w:color="auto"/>
              <w:left w:val="nil"/>
              <w:bottom w:val="nil"/>
              <w:right w:val="single" w:sz="4" w:space="0" w:color="auto"/>
            </w:tcBorders>
            <w:vAlign w:val="center"/>
          </w:tcPr>
          <w:p w14:paraId="636ABCBD" w14:textId="77777777" w:rsidR="006501A4" w:rsidRDefault="006501A4" w:rsidP="0095397F">
            <w:pPr>
              <w:spacing w:after="120"/>
              <w:rPr>
                <w:rFonts w:cstheme="minorHAnsi"/>
                <w:i/>
                <w:sz w:val="12"/>
                <w:szCs w:val="12"/>
              </w:rPr>
            </w:pPr>
          </w:p>
          <w:p w14:paraId="10D79D84" w14:textId="77777777" w:rsidR="006501A4" w:rsidRPr="007A0C6C" w:rsidRDefault="006501A4" w:rsidP="0095397F">
            <w:pPr>
              <w:spacing w:after="120"/>
              <w:rPr>
                <w:rFonts w:cstheme="minorHAnsi"/>
                <w:iCs/>
                <w:sz w:val="16"/>
                <w:szCs w:val="16"/>
              </w:rPr>
            </w:pPr>
            <w:r>
              <w:rPr>
                <w:rFonts w:cstheme="minorHAnsi"/>
                <w:iCs/>
                <w:sz w:val="16"/>
                <w:szCs w:val="16"/>
              </w:rPr>
              <w:t>M.PEE_12S_QS1</w:t>
            </w:r>
            <w:r>
              <w:rPr>
                <w:rFonts w:cstheme="minorHAnsi"/>
                <w:iCs/>
                <w:sz w:val="16"/>
                <w:szCs w:val="16"/>
              </w:rPr>
              <w:br/>
            </w:r>
            <w:r w:rsidRPr="007A0C6C">
              <w:rPr>
                <w:rFonts w:cstheme="minorHAnsi"/>
                <w:iCs/>
                <w:sz w:val="16"/>
                <w:szCs w:val="16"/>
              </w:rPr>
              <w:t>TTAGCCTTAAAAATTGATAATACACTACACCTATTATCCGCCTGGGCACTACGAGCATCAGCTTAAAACCCAAAGGACTTGGCGGTGCTTTAGATCCCCCTAGAGGAGCCTGTCCTAGAACCGATAATCCCCGTTAAACCTCACCCCCCCTTGTTCCACCAGCCTATATACCGCCGTCGCCAGCTTACCCTGTGAAGGACCTATAGTAAGCATAATTGGTACAACCCAGAACGTCAGGTCGAGGTGTAGCTTATGGGAGGGAAAGAGATGGGCTACATTCCATAACACATGAAATACGAACGATGTATTGAAAAACACATCCGAAGGAGGATTTAGTAGTAAGTAGAAAAAAGAGTATTCTACTGAAACCGGCCCTGAAGCGCGT</w:t>
            </w:r>
          </w:p>
        </w:tc>
      </w:tr>
      <w:tr w:rsidR="006501A4" w:rsidRPr="008678EE" w14:paraId="2C18C77C" w14:textId="77777777" w:rsidTr="0095397F">
        <w:trPr>
          <w:trHeight w:val="283"/>
        </w:trPr>
        <w:tc>
          <w:tcPr>
            <w:tcW w:w="2127" w:type="dxa"/>
            <w:tcBorders>
              <w:top w:val="nil"/>
              <w:left w:val="single" w:sz="4" w:space="0" w:color="auto"/>
              <w:bottom w:val="nil"/>
              <w:right w:val="nil"/>
            </w:tcBorders>
            <w:vAlign w:val="bottom"/>
          </w:tcPr>
          <w:p w14:paraId="5658FF5C" w14:textId="77777777" w:rsidR="006501A4" w:rsidRPr="006242D5" w:rsidRDefault="006501A4" w:rsidP="0095397F">
            <w:pPr>
              <w:spacing w:after="120"/>
              <w:rPr>
                <w:rFonts w:cstheme="minorHAnsi"/>
                <w:sz w:val="20"/>
              </w:rPr>
            </w:pPr>
            <w:r w:rsidRPr="006242D5">
              <w:rPr>
                <w:rFonts w:cstheme="minorHAnsi"/>
                <w:sz w:val="20"/>
              </w:rPr>
              <w:t>Lachlan River, NSW</w:t>
            </w:r>
          </w:p>
        </w:tc>
        <w:tc>
          <w:tcPr>
            <w:tcW w:w="6894" w:type="dxa"/>
            <w:tcBorders>
              <w:top w:val="nil"/>
              <w:left w:val="nil"/>
              <w:bottom w:val="nil"/>
              <w:right w:val="single" w:sz="4" w:space="0" w:color="auto"/>
            </w:tcBorders>
            <w:vAlign w:val="center"/>
          </w:tcPr>
          <w:p w14:paraId="2F495A45" w14:textId="77777777" w:rsidR="006501A4" w:rsidRPr="007A0C6C" w:rsidRDefault="006501A4" w:rsidP="0095397F">
            <w:pPr>
              <w:spacing w:after="120"/>
              <w:rPr>
                <w:rFonts w:cstheme="minorHAnsi"/>
                <w:iCs/>
                <w:sz w:val="16"/>
                <w:szCs w:val="16"/>
              </w:rPr>
            </w:pPr>
            <w:r>
              <w:rPr>
                <w:rFonts w:cstheme="minorHAnsi"/>
                <w:iCs/>
                <w:sz w:val="16"/>
                <w:szCs w:val="16"/>
              </w:rPr>
              <w:t>M.PEE_12S_QS2</w:t>
            </w:r>
            <w:r>
              <w:rPr>
                <w:rFonts w:cstheme="minorHAnsi"/>
                <w:iCs/>
                <w:sz w:val="16"/>
                <w:szCs w:val="16"/>
              </w:rPr>
              <w:br/>
            </w:r>
            <w:r w:rsidRPr="007A0C6C">
              <w:rPr>
                <w:rFonts w:cstheme="minorHAnsi"/>
                <w:iCs/>
                <w:sz w:val="16"/>
                <w:szCs w:val="16"/>
              </w:rPr>
              <w:t>GCTTAGCCTTAAAAATTGATAATACACTACACCTATTATCCGCCTGGGCACTACGAGCATCAGCTTAAAACCCAAAGGACTTGGCGGTGCTTTAGATCCCCCTAGAGGAGCCTGTCCTAGAACCGATAATCCCCGTTAAACCTCACCCCCCCTTGTTCCACCAGCCTATATACCGCCGTCGCCAGCTTACCCTGTGAAGGACCTATAGTAAGCATAATTGGTACAACCCAGAACGTCAGGTCGAGGTGTAGCTTATGGGAGGGAAAGAGATGGGCTACATTCCATAACACATGAAATACGAACGATGTATTGAAAAACACATCCGAAGGAGGATTTAGTAGTAAGTAGAAAAAAGAGTATTCTACTGAAACCGGCCCTGAAGCGCGT</w:t>
            </w:r>
          </w:p>
        </w:tc>
      </w:tr>
      <w:tr w:rsidR="006501A4" w:rsidRPr="008678EE" w14:paraId="520C3FEB" w14:textId="77777777" w:rsidTr="0095397F">
        <w:trPr>
          <w:trHeight w:val="283"/>
        </w:trPr>
        <w:tc>
          <w:tcPr>
            <w:tcW w:w="2127" w:type="dxa"/>
            <w:tcBorders>
              <w:top w:val="nil"/>
              <w:left w:val="single" w:sz="4" w:space="0" w:color="auto"/>
              <w:bottom w:val="nil"/>
              <w:right w:val="nil"/>
            </w:tcBorders>
            <w:vAlign w:val="bottom"/>
          </w:tcPr>
          <w:p w14:paraId="4DA99F49" w14:textId="77777777" w:rsidR="006501A4" w:rsidRPr="006242D5" w:rsidRDefault="006501A4" w:rsidP="0095397F">
            <w:pPr>
              <w:spacing w:after="120"/>
              <w:rPr>
                <w:rFonts w:cstheme="minorHAnsi"/>
                <w:sz w:val="20"/>
              </w:rPr>
            </w:pPr>
            <w:r>
              <w:rPr>
                <w:rFonts w:cstheme="minorHAnsi"/>
                <w:sz w:val="20"/>
              </w:rPr>
              <w:t>Murrumbidgee River, NSW</w:t>
            </w:r>
          </w:p>
        </w:tc>
        <w:tc>
          <w:tcPr>
            <w:tcW w:w="6894" w:type="dxa"/>
            <w:tcBorders>
              <w:top w:val="nil"/>
              <w:left w:val="nil"/>
              <w:bottom w:val="nil"/>
              <w:right w:val="single" w:sz="4" w:space="0" w:color="auto"/>
            </w:tcBorders>
            <w:vAlign w:val="center"/>
          </w:tcPr>
          <w:p w14:paraId="7F50990B" w14:textId="77777777" w:rsidR="006501A4" w:rsidRPr="007A0C6C" w:rsidRDefault="006501A4" w:rsidP="0095397F">
            <w:pPr>
              <w:spacing w:after="120"/>
              <w:rPr>
                <w:rFonts w:cstheme="minorHAnsi"/>
                <w:iCs/>
                <w:sz w:val="16"/>
                <w:szCs w:val="16"/>
              </w:rPr>
            </w:pPr>
            <w:r>
              <w:rPr>
                <w:rFonts w:cstheme="minorHAnsi"/>
                <w:iCs/>
                <w:sz w:val="16"/>
                <w:szCs w:val="16"/>
              </w:rPr>
              <w:t>M.PEE_12S_QS3</w:t>
            </w:r>
            <w:r>
              <w:rPr>
                <w:rFonts w:cstheme="minorHAnsi"/>
                <w:iCs/>
                <w:sz w:val="16"/>
                <w:szCs w:val="16"/>
              </w:rPr>
              <w:br/>
            </w:r>
            <w:r w:rsidRPr="007A0C6C">
              <w:rPr>
                <w:rFonts w:cstheme="minorHAnsi"/>
                <w:iCs/>
                <w:sz w:val="16"/>
                <w:szCs w:val="16"/>
              </w:rPr>
              <w:t>GCTTAGCCTTAAAAATTGATAATACACTACACCTATTATCCGCCTGGGCACTACGAGCATCAGCTTAAAACCCAAAGGACTTGGCGGTGCTTTAGATCCCCCTAGAGGAGCCTGTCCTAGAACCGATAATCCCCGTTAAACCTCACCCCCCCTTGTTCCACCAGCCTATATACCGCCGTCGCCAGCTTACCCTGTGAAGGACCTATAGTAAGCATAATTGGTACAACCCAGAACGTCAGGTCGAGGTGTAGCTTATGGGAGGGAAAGAGATGGGCTACATTCCATAACACATGAAATACGAACGATGTATTGAAAAACACATCCGAAGGAGGATTTAGTAGTAAGTAGAAAAAAGAG</w:t>
            </w:r>
          </w:p>
        </w:tc>
      </w:tr>
      <w:tr w:rsidR="006501A4" w:rsidRPr="008678EE" w14:paraId="5A07CC27" w14:textId="77777777" w:rsidTr="0095397F">
        <w:trPr>
          <w:trHeight w:val="283"/>
        </w:trPr>
        <w:tc>
          <w:tcPr>
            <w:tcW w:w="2127" w:type="dxa"/>
            <w:tcBorders>
              <w:top w:val="nil"/>
              <w:left w:val="single" w:sz="4" w:space="0" w:color="auto"/>
              <w:bottom w:val="nil"/>
              <w:right w:val="nil"/>
            </w:tcBorders>
            <w:vAlign w:val="bottom"/>
          </w:tcPr>
          <w:p w14:paraId="3AFCFD34" w14:textId="25DBB09B" w:rsidR="006501A4" w:rsidRPr="006242D5" w:rsidRDefault="00D877B9" w:rsidP="0095397F">
            <w:pPr>
              <w:spacing w:after="120"/>
              <w:rPr>
                <w:rFonts w:cstheme="minorHAnsi"/>
                <w:sz w:val="20"/>
              </w:rPr>
            </w:pPr>
            <w:r>
              <w:rPr>
                <w:rFonts w:cstheme="minorHAnsi"/>
                <w:sz w:val="20"/>
              </w:rPr>
              <w:t>Edward</w:t>
            </w:r>
            <w:r w:rsidR="006501A4">
              <w:rPr>
                <w:rFonts w:cstheme="minorHAnsi"/>
                <w:sz w:val="20"/>
              </w:rPr>
              <w:t xml:space="preserve"> River, NSW</w:t>
            </w:r>
          </w:p>
        </w:tc>
        <w:tc>
          <w:tcPr>
            <w:tcW w:w="6894" w:type="dxa"/>
            <w:tcBorders>
              <w:top w:val="nil"/>
              <w:left w:val="nil"/>
              <w:bottom w:val="nil"/>
              <w:right w:val="single" w:sz="4" w:space="0" w:color="auto"/>
            </w:tcBorders>
            <w:vAlign w:val="center"/>
          </w:tcPr>
          <w:p w14:paraId="168A7DC6" w14:textId="77777777" w:rsidR="006501A4" w:rsidRPr="007A0C6C" w:rsidRDefault="006501A4" w:rsidP="0095397F">
            <w:pPr>
              <w:spacing w:after="120"/>
              <w:rPr>
                <w:rFonts w:cstheme="minorHAnsi"/>
                <w:iCs/>
                <w:sz w:val="16"/>
                <w:szCs w:val="16"/>
              </w:rPr>
            </w:pPr>
            <w:r>
              <w:rPr>
                <w:rFonts w:cstheme="minorHAnsi"/>
                <w:iCs/>
                <w:sz w:val="16"/>
                <w:szCs w:val="16"/>
              </w:rPr>
              <w:t>M.PEE_12S_QS4</w:t>
            </w:r>
            <w:r>
              <w:rPr>
                <w:rFonts w:cstheme="minorHAnsi"/>
                <w:iCs/>
                <w:sz w:val="16"/>
                <w:szCs w:val="16"/>
              </w:rPr>
              <w:br/>
            </w:r>
            <w:r w:rsidRPr="007A0C6C">
              <w:rPr>
                <w:rFonts w:cstheme="minorHAnsi"/>
                <w:iCs/>
                <w:sz w:val="16"/>
                <w:szCs w:val="16"/>
              </w:rPr>
              <w:t>CGGTGCTTTAGATCCCCCTAGAGGAGCCTGTCCTAGAACCGATAATCCCCGTTAAACCTCACCCCCCCTTGTTCCACCAGCCTATATACCGCCGTCGCCAGCTTACCCTGTGAAGGACCTATAGTAAGCATAATTGGTACAACCCAGAACGTCAGGTCGAGGTGTAGCTTATGGGAGGGAAAGAGATGGGCTACATTCCATAACACATGAAATACGAACGATGTATTGAAAAACACATCCGAAGGAGGATTTAGTAGTAAGTAGAAAAAAGAGTATTCTACTGAAACCGGCCCTGAAGCGCGT</w:t>
            </w:r>
          </w:p>
        </w:tc>
      </w:tr>
      <w:tr w:rsidR="006501A4" w:rsidRPr="008678EE" w14:paraId="5F850FD8" w14:textId="77777777" w:rsidTr="0095397F">
        <w:trPr>
          <w:trHeight w:val="283"/>
        </w:trPr>
        <w:tc>
          <w:tcPr>
            <w:tcW w:w="2127" w:type="dxa"/>
            <w:tcBorders>
              <w:top w:val="nil"/>
              <w:left w:val="single" w:sz="4" w:space="0" w:color="auto"/>
              <w:bottom w:val="nil"/>
              <w:right w:val="nil"/>
            </w:tcBorders>
            <w:vAlign w:val="bottom"/>
          </w:tcPr>
          <w:p w14:paraId="782FC8FC" w14:textId="77777777" w:rsidR="006501A4" w:rsidRPr="006242D5" w:rsidRDefault="006501A4" w:rsidP="0095397F">
            <w:pPr>
              <w:spacing w:after="120"/>
              <w:rPr>
                <w:rFonts w:cstheme="minorHAnsi"/>
                <w:sz w:val="20"/>
              </w:rPr>
            </w:pPr>
            <w:r>
              <w:rPr>
                <w:rFonts w:cstheme="minorHAnsi"/>
                <w:sz w:val="20"/>
              </w:rPr>
              <w:t>Neimur River, NSW</w:t>
            </w:r>
          </w:p>
        </w:tc>
        <w:tc>
          <w:tcPr>
            <w:tcW w:w="6894" w:type="dxa"/>
            <w:tcBorders>
              <w:top w:val="nil"/>
              <w:left w:val="nil"/>
              <w:bottom w:val="nil"/>
              <w:right w:val="single" w:sz="4" w:space="0" w:color="auto"/>
            </w:tcBorders>
            <w:vAlign w:val="center"/>
          </w:tcPr>
          <w:p w14:paraId="5C3E5D10" w14:textId="77777777" w:rsidR="006501A4" w:rsidRPr="007A0C6C" w:rsidRDefault="006501A4" w:rsidP="0095397F">
            <w:pPr>
              <w:spacing w:after="120"/>
              <w:rPr>
                <w:rFonts w:cstheme="minorHAnsi"/>
                <w:iCs/>
                <w:sz w:val="16"/>
                <w:szCs w:val="16"/>
              </w:rPr>
            </w:pPr>
            <w:r>
              <w:rPr>
                <w:rFonts w:cstheme="minorHAnsi"/>
                <w:iCs/>
                <w:sz w:val="16"/>
                <w:szCs w:val="16"/>
              </w:rPr>
              <w:t>M.PEE_12S_QS5</w:t>
            </w:r>
            <w:r>
              <w:rPr>
                <w:rFonts w:cstheme="minorHAnsi"/>
                <w:iCs/>
                <w:sz w:val="16"/>
                <w:szCs w:val="16"/>
              </w:rPr>
              <w:br/>
            </w:r>
            <w:r w:rsidRPr="007A0C6C">
              <w:rPr>
                <w:rFonts w:cstheme="minorHAnsi"/>
                <w:iCs/>
                <w:sz w:val="16"/>
                <w:szCs w:val="16"/>
              </w:rPr>
              <w:t>GGTGCTTTAGATCCCCCTAGAGGAGCCTGTCCTAGAACCGATAATCCCCGTTAAACCTCACCCCCCCTTGTTCCACCAGCCTATATACCGCCGTCGCCAGCTTACCCTGTGAAGGACCTATAGTAAGCATAATTGGTACAACCCAGAACGTCAGGTCGAGGTGTAGCTTATGGGAGGGAAAGAGATGGGCTACATTCCATAACACATGAAATACGAACGATGTATTGAAAAACACATCCGAAGGAGGATTTAGTAGTAAGTAGAAAAAAGAGTATTCTACTGAAACCGGCCCTGAAGCGCGT</w:t>
            </w:r>
          </w:p>
        </w:tc>
      </w:tr>
      <w:tr w:rsidR="006501A4" w:rsidRPr="008678EE" w14:paraId="3B56CDC0" w14:textId="77777777" w:rsidTr="0095397F">
        <w:trPr>
          <w:trHeight w:val="283"/>
        </w:trPr>
        <w:tc>
          <w:tcPr>
            <w:tcW w:w="2127" w:type="dxa"/>
            <w:tcBorders>
              <w:top w:val="single" w:sz="4" w:space="0" w:color="auto"/>
              <w:left w:val="single" w:sz="4" w:space="0" w:color="auto"/>
              <w:bottom w:val="nil"/>
              <w:right w:val="nil"/>
            </w:tcBorders>
          </w:tcPr>
          <w:p w14:paraId="2F1C5376" w14:textId="77777777" w:rsidR="006501A4" w:rsidRDefault="006501A4" w:rsidP="00D877B9">
            <w:pPr>
              <w:spacing w:after="120"/>
              <w:jc w:val="left"/>
              <w:rPr>
                <w:rFonts w:cstheme="minorHAnsi"/>
                <w:sz w:val="20"/>
              </w:rPr>
            </w:pPr>
            <w:r>
              <w:rPr>
                <w:rFonts w:cstheme="minorHAnsi"/>
                <w:sz w:val="20"/>
              </w:rPr>
              <w:t>Trout</w:t>
            </w:r>
            <w:r w:rsidRPr="00562DA4">
              <w:rPr>
                <w:rFonts w:cstheme="minorHAnsi"/>
                <w:sz w:val="20"/>
              </w:rPr>
              <w:t xml:space="preserve"> cod</w:t>
            </w:r>
            <w:r>
              <w:rPr>
                <w:rFonts w:cstheme="minorHAnsi"/>
                <w:sz w:val="20"/>
              </w:rPr>
              <w:t xml:space="preserve"> (</w:t>
            </w:r>
            <w:r w:rsidRPr="00562DA4">
              <w:rPr>
                <w:rFonts w:cstheme="minorHAnsi"/>
                <w:i/>
                <w:sz w:val="20"/>
              </w:rPr>
              <w:t>Maccullochella macquariensis</w:t>
            </w:r>
            <w:r>
              <w:rPr>
                <w:rFonts w:cstheme="minorHAnsi"/>
                <w:sz w:val="20"/>
              </w:rPr>
              <w:t>)</w:t>
            </w:r>
          </w:p>
          <w:p w14:paraId="51639F62" w14:textId="77777777" w:rsidR="006501A4" w:rsidRPr="006242D5" w:rsidRDefault="006501A4" w:rsidP="0095397F">
            <w:pPr>
              <w:spacing w:after="120"/>
              <w:rPr>
                <w:rFonts w:cstheme="minorHAnsi"/>
                <w:sz w:val="20"/>
              </w:rPr>
            </w:pPr>
            <w:r>
              <w:rPr>
                <w:rFonts w:cstheme="minorHAnsi"/>
                <w:sz w:val="20"/>
              </w:rPr>
              <w:t>Murray River, NSW</w:t>
            </w:r>
          </w:p>
        </w:tc>
        <w:tc>
          <w:tcPr>
            <w:tcW w:w="6894" w:type="dxa"/>
            <w:tcBorders>
              <w:top w:val="single" w:sz="4" w:space="0" w:color="auto"/>
              <w:left w:val="nil"/>
              <w:bottom w:val="nil"/>
              <w:right w:val="single" w:sz="4" w:space="0" w:color="auto"/>
            </w:tcBorders>
            <w:vAlign w:val="center"/>
          </w:tcPr>
          <w:p w14:paraId="1DEA29EB" w14:textId="77777777" w:rsidR="006501A4" w:rsidRPr="00C83796" w:rsidRDefault="006501A4" w:rsidP="0095397F">
            <w:pPr>
              <w:spacing w:after="120"/>
              <w:rPr>
                <w:rFonts w:cstheme="minorHAnsi"/>
                <w:iCs/>
                <w:sz w:val="16"/>
                <w:szCs w:val="16"/>
              </w:rPr>
            </w:pPr>
            <w:r w:rsidRPr="00C83796">
              <w:rPr>
                <w:rFonts w:cstheme="minorHAnsi"/>
                <w:iCs/>
                <w:sz w:val="16"/>
                <w:szCs w:val="16"/>
              </w:rPr>
              <w:t>M.MAC_12S_QS1</w:t>
            </w:r>
            <w:r w:rsidRPr="00C83796">
              <w:rPr>
                <w:rFonts w:cstheme="minorHAnsi"/>
                <w:iCs/>
                <w:sz w:val="16"/>
                <w:szCs w:val="16"/>
              </w:rPr>
              <w:br/>
              <w:t>GCTTAGCCCTAAACATTGATAATACACTACAATTATTATCCGCCCGGGTACTACGAGCATCAGCTTAAAACCCAAAGGACTTGGCGGTGCTTTAGATCCCCCTAGAGGAGCCTGTCCTAGAACCGATAATCCCCGTTAAACCTCACCCCCCCTTGTTCTCCTAGCCTATATACCGCCGTCGTCAGCTTACCCTGTGAAGGACTTATAGTAAGCATAATTGGCATAACCCAGAACGTCAGGTCGAGGTGTAGCTTATGGGAGGGAAAGAGATGGGCTACATTCCATGACACACGGAATACGAACGATGTCCTGAAACACACATCTGAAGGAGGATTTAGTAGTAAGCAGAAAACAGAGAGTTCTGCTGAAACTGGCCCTGAAGCGCGT</w:t>
            </w:r>
          </w:p>
        </w:tc>
      </w:tr>
      <w:tr w:rsidR="006501A4" w:rsidRPr="008678EE" w14:paraId="70C30D29" w14:textId="77777777" w:rsidTr="0095397F">
        <w:trPr>
          <w:trHeight w:val="283"/>
        </w:trPr>
        <w:tc>
          <w:tcPr>
            <w:tcW w:w="2127" w:type="dxa"/>
            <w:tcBorders>
              <w:top w:val="nil"/>
              <w:left w:val="single" w:sz="4" w:space="0" w:color="auto"/>
              <w:bottom w:val="nil"/>
              <w:right w:val="nil"/>
            </w:tcBorders>
            <w:vAlign w:val="bottom"/>
          </w:tcPr>
          <w:p w14:paraId="0C200D21" w14:textId="77777777" w:rsidR="006501A4" w:rsidRPr="006242D5" w:rsidRDefault="006501A4" w:rsidP="0095397F">
            <w:pPr>
              <w:spacing w:after="120"/>
              <w:rPr>
                <w:rFonts w:cstheme="minorHAnsi"/>
                <w:sz w:val="20"/>
              </w:rPr>
            </w:pPr>
            <w:r>
              <w:rPr>
                <w:rFonts w:cstheme="minorHAnsi"/>
                <w:sz w:val="20"/>
              </w:rPr>
              <w:t>Murray River, NSW</w:t>
            </w:r>
          </w:p>
        </w:tc>
        <w:tc>
          <w:tcPr>
            <w:tcW w:w="6894" w:type="dxa"/>
            <w:tcBorders>
              <w:top w:val="nil"/>
              <w:left w:val="nil"/>
              <w:bottom w:val="nil"/>
              <w:right w:val="single" w:sz="4" w:space="0" w:color="auto"/>
            </w:tcBorders>
            <w:vAlign w:val="center"/>
          </w:tcPr>
          <w:p w14:paraId="44A45E50" w14:textId="77777777" w:rsidR="006501A4" w:rsidRPr="00C83796" w:rsidRDefault="006501A4" w:rsidP="0095397F">
            <w:pPr>
              <w:spacing w:after="120"/>
              <w:rPr>
                <w:rFonts w:cstheme="minorHAnsi"/>
                <w:iCs/>
                <w:sz w:val="16"/>
                <w:szCs w:val="16"/>
              </w:rPr>
            </w:pPr>
            <w:r w:rsidRPr="00C83796">
              <w:rPr>
                <w:rFonts w:cstheme="minorHAnsi"/>
                <w:iCs/>
                <w:sz w:val="16"/>
                <w:szCs w:val="16"/>
              </w:rPr>
              <w:t>M.MAC_12S_QS</w:t>
            </w:r>
            <w:r>
              <w:rPr>
                <w:rFonts w:cstheme="minorHAnsi"/>
                <w:iCs/>
                <w:sz w:val="16"/>
                <w:szCs w:val="16"/>
              </w:rPr>
              <w:t>2</w:t>
            </w:r>
            <w:r w:rsidRPr="00C83796">
              <w:rPr>
                <w:rFonts w:cstheme="minorHAnsi"/>
                <w:iCs/>
                <w:sz w:val="16"/>
                <w:szCs w:val="16"/>
              </w:rPr>
              <w:br/>
              <w:t>GCTTAGCCCTAAACATTGATAATACACTACAATTATTATCCGCCCGGGTACTACGAGCATCAGCTTAAAACCCAAAGGACTTGGCGGTGCTTTAGATCCCCCTAGAGGAGCCTGTCCTAGAACCGATAATCCCCGTTAAACCTCACCCCCCCTTGTTCTCCTAGCCTATATACCGCCGTCGTCAGCTTACCCTGTGAAGGACTTATAGTAAGCATAATTGGCATAACCCAGAACGTCAGGTCGAGGTGTAGCTTATGGGAGGGAAAGAGATGGGCTACATTCCATGACACACGGAATACGAACGATGTCCTGAAACACACATCTGAAGGAGGATTTAGTAGTAAGCAGAAAACAGAGAGTTCTGCTGAAACTGGCCCTGAAGCGCGT</w:t>
            </w:r>
          </w:p>
        </w:tc>
      </w:tr>
      <w:tr w:rsidR="006501A4" w:rsidRPr="008678EE" w14:paraId="71A87FFB" w14:textId="77777777" w:rsidTr="0095397F">
        <w:trPr>
          <w:trHeight w:val="283"/>
        </w:trPr>
        <w:tc>
          <w:tcPr>
            <w:tcW w:w="2127" w:type="dxa"/>
            <w:tcBorders>
              <w:top w:val="nil"/>
              <w:left w:val="single" w:sz="4" w:space="0" w:color="auto"/>
              <w:bottom w:val="nil"/>
              <w:right w:val="nil"/>
            </w:tcBorders>
            <w:vAlign w:val="bottom"/>
          </w:tcPr>
          <w:p w14:paraId="05DCBF88" w14:textId="77777777" w:rsidR="006501A4" w:rsidRPr="006242D5" w:rsidRDefault="006501A4" w:rsidP="0095397F">
            <w:pPr>
              <w:spacing w:after="120"/>
              <w:rPr>
                <w:rFonts w:cstheme="minorHAnsi"/>
                <w:sz w:val="20"/>
              </w:rPr>
            </w:pPr>
            <w:r>
              <w:rPr>
                <w:rFonts w:cstheme="minorHAnsi"/>
                <w:sz w:val="20"/>
              </w:rPr>
              <w:t>Mary Ada Creek, NSW</w:t>
            </w:r>
          </w:p>
        </w:tc>
        <w:tc>
          <w:tcPr>
            <w:tcW w:w="6894" w:type="dxa"/>
            <w:tcBorders>
              <w:top w:val="nil"/>
              <w:left w:val="nil"/>
              <w:bottom w:val="nil"/>
              <w:right w:val="single" w:sz="4" w:space="0" w:color="auto"/>
            </w:tcBorders>
            <w:vAlign w:val="center"/>
          </w:tcPr>
          <w:p w14:paraId="00AC6B99" w14:textId="77777777" w:rsidR="006501A4" w:rsidRPr="00C83796" w:rsidRDefault="006501A4" w:rsidP="0095397F">
            <w:pPr>
              <w:spacing w:after="120"/>
              <w:rPr>
                <w:rFonts w:cstheme="minorHAnsi"/>
                <w:iCs/>
                <w:sz w:val="16"/>
                <w:szCs w:val="16"/>
              </w:rPr>
            </w:pPr>
            <w:r w:rsidRPr="00C83796">
              <w:rPr>
                <w:rFonts w:cstheme="minorHAnsi"/>
                <w:iCs/>
                <w:sz w:val="16"/>
                <w:szCs w:val="16"/>
              </w:rPr>
              <w:t>M.MAC_12S_QS3</w:t>
            </w:r>
            <w:r w:rsidRPr="00C83796">
              <w:rPr>
                <w:rFonts w:cstheme="minorHAnsi"/>
                <w:iCs/>
                <w:sz w:val="16"/>
                <w:szCs w:val="16"/>
              </w:rPr>
              <w:br/>
              <w:t>GCTTAGCCCTAAACATTGATAATACACTACAATTATTATCCGCCCGGGTACTACGAGCATCAGCTTAAAACCCAAAGGACTTGGCGGTGCTTTAGATCCCCCTAGAGGAGCCTGTCCTAGAACCGATAATCCCCGTTAAACCTCACCCCCCCTTGTTCTCCTAGCCTATATACCGCCGTCGTCAGCTTACCCTGTGAAGGACTTATAGTAAGCATAATTGGCATAACCCAGAACGTCAGGTCGAGGTGTAGCTTATGGGAGGGAAAGAGATGGGCTACATTCCATGACACACGGAATACGAACGATGTCCTGAAACACACATCTGAAGGAGGATTTAGTAGTAAGCAGAAAACAGAGAGTTCTGCTGAAACTGGCCCTGAAGCGCGT</w:t>
            </w:r>
          </w:p>
        </w:tc>
      </w:tr>
      <w:tr w:rsidR="006501A4" w:rsidRPr="008678EE" w14:paraId="7151AFA4" w14:textId="77777777" w:rsidTr="0095397F">
        <w:trPr>
          <w:trHeight w:val="283"/>
        </w:trPr>
        <w:tc>
          <w:tcPr>
            <w:tcW w:w="2127" w:type="dxa"/>
            <w:tcBorders>
              <w:top w:val="nil"/>
              <w:left w:val="single" w:sz="4" w:space="0" w:color="auto"/>
              <w:bottom w:val="nil"/>
              <w:right w:val="nil"/>
            </w:tcBorders>
            <w:vAlign w:val="bottom"/>
          </w:tcPr>
          <w:p w14:paraId="6842B140" w14:textId="77777777" w:rsidR="006501A4" w:rsidRPr="006242D5" w:rsidRDefault="006501A4" w:rsidP="0095397F">
            <w:pPr>
              <w:spacing w:after="120"/>
              <w:rPr>
                <w:rFonts w:cstheme="minorHAnsi"/>
                <w:sz w:val="20"/>
              </w:rPr>
            </w:pPr>
            <w:r>
              <w:rPr>
                <w:rFonts w:cstheme="minorHAnsi"/>
                <w:sz w:val="20"/>
              </w:rPr>
              <w:t>Mary Ada Creek, NSW</w:t>
            </w:r>
          </w:p>
        </w:tc>
        <w:tc>
          <w:tcPr>
            <w:tcW w:w="6894" w:type="dxa"/>
            <w:tcBorders>
              <w:top w:val="nil"/>
              <w:left w:val="nil"/>
              <w:bottom w:val="nil"/>
              <w:right w:val="single" w:sz="4" w:space="0" w:color="auto"/>
            </w:tcBorders>
            <w:vAlign w:val="center"/>
          </w:tcPr>
          <w:p w14:paraId="6196CD5F" w14:textId="77777777" w:rsidR="006501A4" w:rsidRPr="00C83796" w:rsidRDefault="006501A4" w:rsidP="0095397F">
            <w:pPr>
              <w:spacing w:after="120"/>
              <w:rPr>
                <w:rFonts w:cstheme="minorHAnsi"/>
                <w:iCs/>
                <w:sz w:val="16"/>
                <w:szCs w:val="16"/>
              </w:rPr>
            </w:pPr>
            <w:r w:rsidRPr="00C83796">
              <w:rPr>
                <w:rFonts w:cstheme="minorHAnsi"/>
                <w:iCs/>
                <w:sz w:val="16"/>
                <w:szCs w:val="16"/>
              </w:rPr>
              <w:t>M.MAC_12S_QS4</w:t>
            </w:r>
            <w:r w:rsidRPr="00C83796">
              <w:rPr>
                <w:rFonts w:cstheme="minorHAnsi"/>
                <w:iCs/>
                <w:sz w:val="16"/>
                <w:szCs w:val="16"/>
              </w:rPr>
              <w:br/>
              <w:t>GCTTAGCCCTAAACATTGATAATACACTACAATTATTATCCGCCCGGGTACTACGAGCATCAGCTTAAAACCCAAAGGACTTGGCGGTGCTTTAGATCCCCCTAGAGGAGCCTGTCCTAGAACCGATAATCCCCGTTAAACCTCACCCCCCCTTGTTCTCCTAGCCTATATACCGCCGTCGTCAGCTTACCCTGTGAAGGACTTATAGTAAGCATAATTGGCATAACCCAGAACGTCAGGTCGAGGTGTAGCTTATGGGAGGGAAAGAGATGGGCTACATTCCATGACACACGGAATACGAACGATGTCCTGAAACACACATCTGAAGGAGGATTTAGTAGTAAGCAGAAAACAGAGAGTTCTGCTGAAACTGGCCCTGAAGCGCGT</w:t>
            </w:r>
          </w:p>
        </w:tc>
      </w:tr>
      <w:tr w:rsidR="006501A4" w:rsidRPr="008678EE" w14:paraId="316F3F9F" w14:textId="77777777" w:rsidTr="0095397F">
        <w:trPr>
          <w:trHeight w:val="283"/>
        </w:trPr>
        <w:tc>
          <w:tcPr>
            <w:tcW w:w="2127" w:type="dxa"/>
            <w:tcBorders>
              <w:top w:val="nil"/>
              <w:left w:val="single" w:sz="4" w:space="0" w:color="auto"/>
              <w:bottom w:val="nil"/>
              <w:right w:val="nil"/>
            </w:tcBorders>
            <w:vAlign w:val="bottom"/>
          </w:tcPr>
          <w:p w14:paraId="65CC29A0" w14:textId="77777777" w:rsidR="006501A4" w:rsidRPr="006242D5" w:rsidRDefault="006501A4" w:rsidP="0095397F">
            <w:pPr>
              <w:spacing w:after="120"/>
              <w:rPr>
                <w:rFonts w:cstheme="minorHAnsi"/>
                <w:sz w:val="20"/>
              </w:rPr>
            </w:pPr>
            <w:r>
              <w:rPr>
                <w:rFonts w:cstheme="minorHAnsi"/>
                <w:sz w:val="20"/>
              </w:rPr>
              <w:t>Mary Ada Creek, NSW</w:t>
            </w:r>
          </w:p>
        </w:tc>
        <w:tc>
          <w:tcPr>
            <w:tcW w:w="6894" w:type="dxa"/>
            <w:tcBorders>
              <w:top w:val="nil"/>
              <w:left w:val="nil"/>
              <w:bottom w:val="nil"/>
              <w:right w:val="single" w:sz="4" w:space="0" w:color="auto"/>
            </w:tcBorders>
            <w:vAlign w:val="center"/>
          </w:tcPr>
          <w:p w14:paraId="6465D37D" w14:textId="77777777" w:rsidR="006501A4" w:rsidRPr="00C83796" w:rsidRDefault="006501A4" w:rsidP="0095397F">
            <w:pPr>
              <w:spacing w:after="120"/>
              <w:rPr>
                <w:rFonts w:cstheme="minorHAnsi"/>
                <w:iCs/>
                <w:sz w:val="16"/>
                <w:szCs w:val="16"/>
              </w:rPr>
            </w:pPr>
            <w:r w:rsidRPr="00C83796">
              <w:rPr>
                <w:rFonts w:cstheme="minorHAnsi"/>
                <w:iCs/>
                <w:sz w:val="16"/>
                <w:szCs w:val="16"/>
              </w:rPr>
              <w:t>M.MAC_12S_QS5</w:t>
            </w:r>
            <w:r w:rsidRPr="00C83796">
              <w:rPr>
                <w:rFonts w:cstheme="minorHAnsi"/>
                <w:iCs/>
                <w:sz w:val="16"/>
                <w:szCs w:val="16"/>
              </w:rPr>
              <w:br/>
              <w:t>GCTTAGCCCTAAACATTGATAATACACTACAATTATTATCCGCCCGGGTACTACGAGCATCAGCTTAAAACCCAAAGGACTTGGCGGTGCTTTAGATCCCCCTAGAGGAGCCTGTCCTAGAACCGATAATCCCCGTTAAACCTCACCCCCCCTTGTTCTCCTAGCCTATATACCGCCGTCGTCAGCTTACCCTGTGAAGGACTTATAGTAAGCATAATTGGCATAACCCAGAACGTCAGGTCGAGGTGTAGCTTATGGGAGGGAAAGAGATGGGCTACATTCCATGACACACGGAATACGAACGATGTCCTGAAACACACATCTGAAGGAGGATTTAGTAGTAAGCAGAAAACAGAGAGTTCTGCTGAAACTGGCCCTGAAGCGCGT</w:t>
            </w:r>
          </w:p>
        </w:tc>
      </w:tr>
      <w:tr w:rsidR="006501A4" w:rsidRPr="008678EE" w14:paraId="237A665D" w14:textId="77777777" w:rsidTr="0095397F">
        <w:trPr>
          <w:trHeight w:val="283"/>
        </w:trPr>
        <w:tc>
          <w:tcPr>
            <w:tcW w:w="2127" w:type="dxa"/>
            <w:tcBorders>
              <w:top w:val="single" w:sz="4" w:space="0" w:color="auto"/>
              <w:left w:val="single" w:sz="4" w:space="0" w:color="auto"/>
              <w:right w:val="nil"/>
            </w:tcBorders>
          </w:tcPr>
          <w:p w14:paraId="0FA81A8E" w14:textId="77777777" w:rsidR="006501A4" w:rsidRDefault="006501A4" w:rsidP="0095397F">
            <w:pPr>
              <w:spacing w:after="120"/>
              <w:rPr>
                <w:rFonts w:cstheme="minorHAnsi"/>
                <w:sz w:val="20"/>
              </w:rPr>
            </w:pPr>
            <w:r w:rsidRPr="00562DA4">
              <w:rPr>
                <w:rFonts w:cstheme="minorHAnsi"/>
                <w:sz w:val="20"/>
              </w:rPr>
              <w:t>Silver perch</w:t>
            </w:r>
            <w:r>
              <w:rPr>
                <w:rFonts w:cstheme="minorHAnsi"/>
                <w:sz w:val="20"/>
              </w:rPr>
              <w:t xml:space="preserve"> (</w:t>
            </w:r>
            <w:r w:rsidRPr="00C51065">
              <w:rPr>
                <w:rFonts w:cstheme="minorHAnsi"/>
                <w:i/>
                <w:iCs/>
                <w:sz w:val="20"/>
              </w:rPr>
              <w:t>Bidyanus bidyanus</w:t>
            </w:r>
            <w:r>
              <w:rPr>
                <w:rFonts w:cstheme="minorHAnsi"/>
                <w:sz w:val="20"/>
              </w:rPr>
              <w:t>)</w:t>
            </w:r>
          </w:p>
          <w:p w14:paraId="3F0F7F0B" w14:textId="77777777" w:rsidR="006501A4" w:rsidRDefault="006501A4" w:rsidP="0095397F">
            <w:pPr>
              <w:spacing w:after="120"/>
              <w:rPr>
                <w:rFonts w:cstheme="minorHAnsi"/>
                <w:sz w:val="20"/>
              </w:rPr>
            </w:pPr>
          </w:p>
          <w:p w14:paraId="5089B172" w14:textId="77777777" w:rsidR="006501A4" w:rsidRDefault="006501A4" w:rsidP="0095397F">
            <w:pPr>
              <w:spacing w:after="120"/>
              <w:rPr>
                <w:rFonts w:cstheme="minorHAnsi"/>
                <w:sz w:val="20"/>
              </w:rPr>
            </w:pPr>
          </w:p>
          <w:p w14:paraId="4D694432" w14:textId="77777777" w:rsidR="006501A4" w:rsidRPr="00562DA4" w:rsidRDefault="006501A4" w:rsidP="0095397F">
            <w:pPr>
              <w:spacing w:after="120"/>
              <w:rPr>
                <w:rFonts w:cstheme="minorHAnsi"/>
                <w:i/>
                <w:iCs/>
                <w:sz w:val="20"/>
              </w:rPr>
            </w:pPr>
            <w:r>
              <w:rPr>
                <w:rFonts w:cstheme="minorHAnsi"/>
                <w:sz w:val="20"/>
              </w:rPr>
              <w:t>Murray River, NSW</w:t>
            </w:r>
          </w:p>
        </w:tc>
        <w:tc>
          <w:tcPr>
            <w:tcW w:w="6894" w:type="dxa"/>
            <w:tcBorders>
              <w:top w:val="single" w:sz="4" w:space="0" w:color="auto"/>
              <w:left w:val="nil"/>
              <w:right w:val="single" w:sz="4" w:space="0" w:color="auto"/>
            </w:tcBorders>
            <w:vAlign w:val="center"/>
          </w:tcPr>
          <w:p w14:paraId="5A6A0D93" w14:textId="77777777" w:rsidR="006501A4" w:rsidRPr="00C83796" w:rsidRDefault="006501A4" w:rsidP="0095397F">
            <w:pPr>
              <w:spacing w:after="120"/>
              <w:rPr>
                <w:rFonts w:cstheme="minorHAnsi"/>
                <w:sz w:val="16"/>
                <w:szCs w:val="16"/>
              </w:rPr>
            </w:pPr>
          </w:p>
          <w:p w14:paraId="3197B152" w14:textId="77777777" w:rsidR="006501A4" w:rsidRPr="00C83796" w:rsidRDefault="006501A4" w:rsidP="0095397F">
            <w:pPr>
              <w:spacing w:after="120"/>
              <w:rPr>
                <w:rFonts w:cstheme="minorHAnsi"/>
                <w:sz w:val="16"/>
                <w:szCs w:val="16"/>
              </w:rPr>
            </w:pPr>
            <w:r w:rsidRPr="00C83796">
              <w:rPr>
                <w:rFonts w:cstheme="minorHAnsi"/>
                <w:sz w:val="16"/>
                <w:szCs w:val="16"/>
              </w:rPr>
              <w:t>B.BID_12S_QS1</w:t>
            </w:r>
            <w:r w:rsidRPr="00C83796">
              <w:rPr>
                <w:rFonts w:cstheme="minorHAnsi"/>
                <w:sz w:val="16"/>
                <w:szCs w:val="16"/>
              </w:rPr>
              <w:br/>
              <w:t>GCTTAGCCCTAAACATAAATAGTACAATACACCCACTATTCGCCCGGGGACTACGAGCATTAGCTTAAAACCCAAAGGACTTGGCGGTGCTTTAGATCCACCTAGAGGAGCCTGTTCTAGAACCGATAACCCCCGTTCAACCTCACCCTTCCTTGCTCTTTTCCGCCTATATACCGCCGTCGCCAGCTTACCCTATGAAGGACGCACAGTAAGCAAAATTGGCACAGCCCAGAACGTCAGGTCGACGTGTAGCGTATGGAAGGGGAAGAAATGGGCTACATTCCCTAACACAGTGAATACGAAAGATGCACTGAAACGTGCAACATGAAGGAGGATTTAGCAGTAAGCGGGAAATAGAGTGTCCCGCTGAAACCGGCCCTGAAGCGCGC</w:t>
            </w:r>
          </w:p>
        </w:tc>
      </w:tr>
      <w:tr w:rsidR="006501A4" w:rsidRPr="008678EE" w14:paraId="4C6B4AF7" w14:textId="77777777" w:rsidTr="0095397F">
        <w:trPr>
          <w:trHeight w:val="283"/>
        </w:trPr>
        <w:tc>
          <w:tcPr>
            <w:tcW w:w="2127" w:type="dxa"/>
            <w:tcBorders>
              <w:left w:val="single" w:sz="4" w:space="0" w:color="auto"/>
              <w:bottom w:val="nil"/>
              <w:right w:val="nil"/>
            </w:tcBorders>
            <w:vAlign w:val="bottom"/>
          </w:tcPr>
          <w:p w14:paraId="29B5D3E1" w14:textId="77777777" w:rsidR="006501A4" w:rsidRPr="00562DA4" w:rsidRDefault="006501A4" w:rsidP="0095397F">
            <w:pPr>
              <w:spacing w:after="120"/>
              <w:rPr>
                <w:rFonts w:cstheme="minorHAnsi"/>
                <w:sz w:val="20"/>
              </w:rPr>
            </w:pPr>
            <w:r>
              <w:rPr>
                <w:rFonts w:cstheme="minorHAnsi"/>
                <w:sz w:val="20"/>
              </w:rPr>
              <w:t>Murray River, NSW</w:t>
            </w:r>
          </w:p>
        </w:tc>
        <w:tc>
          <w:tcPr>
            <w:tcW w:w="6894" w:type="dxa"/>
            <w:tcBorders>
              <w:left w:val="nil"/>
              <w:bottom w:val="nil"/>
              <w:right w:val="single" w:sz="4" w:space="0" w:color="auto"/>
            </w:tcBorders>
            <w:vAlign w:val="center"/>
          </w:tcPr>
          <w:p w14:paraId="3F8E2D43" w14:textId="77777777" w:rsidR="006501A4" w:rsidRPr="00C83796" w:rsidRDefault="006501A4" w:rsidP="0095397F">
            <w:pPr>
              <w:spacing w:after="120"/>
              <w:rPr>
                <w:rFonts w:cstheme="minorHAnsi"/>
                <w:sz w:val="16"/>
                <w:szCs w:val="16"/>
              </w:rPr>
            </w:pPr>
            <w:r w:rsidRPr="00C83796">
              <w:rPr>
                <w:rFonts w:cstheme="minorHAnsi"/>
                <w:sz w:val="16"/>
                <w:szCs w:val="16"/>
              </w:rPr>
              <w:t>B.BID_12S_QS</w:t>
            </w:r>
            <w:r w:rsidRPr="00C83796">
              <w:rPr>
                <w:rFonts w:cstheme="minorHAnsi"/>
                <w:sz w:val="16"/>
                <w:szCs w:val="16"/>
              </w:rPr>
              <w:br/>
              <w:t>GCTTAGCCCTAAACATAAATAGTACAATACACCCACTATTCGCCCGGGGACTACGAGCATTAGCTTAAAACCCAAAGGACTTGGCGGTGCTTTAGATCCACCTAGAGGAGCCTGTTCTAGAACCGATAACCCCCGTTCAACCTCACCCTTCCTTGCTCTTTTCCGCCTATATACCGCCGTCGCCAGCTTACCCTATGAAGGACGCACAGTAAGCAAAATTGGCACAGCCCAGAACGTCAGGTCGACGTGTAGCGTATGGAAGGGGAAGAAATGGGCTACATTCCCTAACACAGTGAATACGAAAGATGCACTGAAACGTGCAACATGAAGGAGGATTTAGCAGTAAGCGGGAAATAGAGTGTCCCGCTGAAACCGGCCCTGAAGCGCGC</w:t>
            </w:r>
          </w:p>
        </w:tc>
      </w:tr>
      <w:tr w:rsidR="006501A4" w:rsidRPr="008678EE" w14:paraId="0FD502D0" w14:textId="77777777" w:rsidTr="0095397F">
        <w:trPr>
          <w:trHeight w:val="283"/>
        </w:trPr>
        <w:tc>
          <w:tcPr>
            <w:tcW w:w="2127" w:type="dxa"/>
            <w:tcBorders>
              <w:top w:val="nil"/>
              <w:left w:val="single" w:sz="4" w:space="0" w:color="auto"/>
              <w:right w:val="nil"/>
            </w:tcBorders>
            <w:vAlign w:val="bottom"/>
          </w:tcPr>
          <w:p w14:paraId="4B27C796" w14:textId="77777777" w:rsidR="006501A4" w:rsidRPr="00562DA4" w:rsidRDefault="006501A4" w:rsidP="0095397F">
            <w:pPr>
              <w:spacing w:after="120"/>
              <w:rPr>
                <w:rFonts w:cstheme="minorHAnsi"/>
                <w:i/>
                <w:iCs/>
                <w:sz w:val="20"/>
              </w:rPr>
            </w:pPr>
            <w:r>
              <w:rPr>
                <w:rFonts w:cstheme="minorHAnsi"/>
                <w:sz w:val="20"/>
              </w:rPr>
              <w:t>Darling River, NSW</w:t>
            </w:r>
          </w:p>
        </w:tc>
        <w:tc>
          <w:tcPr>
            <w:tcW w:w="6894" w:type="dxa"/>
            <w:tcBorders>
              <w:top w:val="nil"/>
              <w:left w:val="nil"/>
              <w:right w:val="single" w:sz="4" w:space="0" w:color="auto"/>
            </w:tcBorders>
            <w:vAlign w:val="center"/>
          </w:tcPr>
          <w:p w14:paraId="5020A7DF" w14:textId="77777777" w:rsidR="006501A4" w:rsidRPr="00C83796" w:rsidRDefault="006501A4" w:rsidP="0095397F">
            <w:pPr>
              <w:spacing w:after="120"/>
              <w:rPr>
                <w:rFonts w:cstheme="minorHAnsi"/>
                <w:sz w:val="16"/>
                <w:szCs w:val="16"/>
              </w:rPr>
            </w:pPr>
            <w:r w:rsidRPr="00C83796">
              <w:rPr>
                <w:rFonts w:cstheme="minorHAnsi"/>
                <w:sz w:val="16"/>
                <w:szCs w:val="16"/>
              </w:rPr>
              <w:t>B.BID_12S_QS3</w:t>
            </w:r>
            <w:r w:rsidRPr="00C83796">
              <w:rPr>
                <w:rFonts w:cstheme="minorHAnsi"/>
                <w:sz w:val="16"/>
                <w:szCs w:val="16"/>
              </w:rPr>
              <w:br/>
              <w:t>GCTTAGCCCTAAACATAAATAGTACAATACACCCACTATTCGCCCGGGGACTACGAGCATTAGCTTAAAACCCAAAGGACTTGGCGGTGCTTTAGATCCACCTAGAGGAGCCTGTTCTAGAACCGATAACCCCCGTTCAACCTCACCCTTCCTTGCTCTTTTCCGCCTATATACCGCCGTCGCCAGCTTACCCTATGAAGGACGCACAGTAAGCAAAATTGGCACAGCCCAGAACGTCAGGTCGACGTGTAGCGTATGGAAGGGGAAGAAATGGGCTACATTCCCTAACACAGTGAATACGAAAGATGCACTGAAACGTGCAACATGAAGGAGGATTTAGCAGTAAGCGGGAAATAGAGTGTCCCGCTGAAACCGGCCCTGAAGCGCGC</w:t>
            </w:r>
          </w:p>
        </w:tc>
      </w:tr>
      <w:tr w:rsidR="006501A4" w:rsidRPr="008678EE" w14:paraId="2BD17E4F" w14:textId="77777777" w:rsidTr="0095397F">
        <w:trPr>
          <w:trHeight w:val="283"/>
        </w:trPr>
        <w:tc>
          <w:tcPr>
            <w:tcW w:w="2127" w:type="dxa"/>
            <w:tcBorders>
              <w:top w:val="nil"/>
              <w:left w:val="single" w:sz="4" w:space="0" w:color="auto"/>
              <w:right w:val="nil"/>
            </w:tcBorders>
            <w:vAlign w:val="bottom"/>
          </w:tcPr>
          <w:p w14:paraId="79D98F25" w14:textId="77777777" w:rsidR="006501A4" w:rsidRPr="00562DA4" w:rsidRDefault="006501A4" w:rsidP="0095397F">
            <w:pPr>
              <w:spacing w:after="120"/>
              <w:rPr>
                <w:rFonts w:cstheme="minorHAnsi"/>
                <w:i/>
                <w:iCs/>
                <w:sz w:val="20"/>
              </w:rPr>
            </w:pPr>
            <w:r>
              <w:rPr>
                <w:rFonts w:cstheme="minorHAnsi"/>
                <w:sz w:val="20"/>
              </w:rPr>
              <w:t>Murray River, NSW</w:t>
            </w:r>
          </w:p>
        </w:tc>
        <w:tc>
          <w:tcPr>
            <w:tcW w:w="6894" w:type="dxa"/>
            <w:tcBorders>
              <w:top w:val="nil"/>
              <w:left w:val="nil"/>
              <w:right w:val="single" w:sz="4" w:space="0" w:color="auto"/>
            </w:tcBorders>
            <w:vAlign w:val="center"/>
          </w:tcPr>
          <w:p w14:paraId="2A557761" w14:textId="77777777" w:rsidR="006501A4" w:rsidRPr="00C83796" w:rsidRDefault="006501A4" w:rsidP="0095397F">
            <w:pPr>
              <w:spacing w:after="120"/>
              <w:rPr>
                <w:rFonts w:cstheme="minorHAnsi"/>
                <w:sz w:val="16"/>
                <w:szCs w:val="16"/>
              </w:rPr>
            </w:pPr>
            <w:r w:rsidRPr="00C83796">
              <w:rPr>
                <w:rFonts w:cstheme="minorHAnsi"/>
                <w:sz w:val="16"/>
                <w:szCs w:val="16"/>
              </w:rPr>
              <w:t>B.BID_12S_QS4</w:t>
            </w:r>
            <w:r w:rsidRPr="00C83796">
              <w:rPr>
                <w:rFonts w:cstheme="minorHAnsi"/>
                <w:sz w:val="16"/>
                <w:szCs w:val="16"/>
              </w:rPr>
              <w:br/>
              <w:t>GCTTAGCCCTAAACATAAATAGTACAATACACCCACTATTCGCCCGGGGACTACGAGCATTAGCTTAAAACCCAAAGGACTTGGCGGTGCTTTAGATCCACCTAGAGGAGCCTGTTCTAGAACCGATAACCCCCGTTCAACCTCACCCTTCCTTGCTCTTTTCCGCCTATATACCGCCGTCGCCAGCTTACCCTATGAAGGACGCACAGTAAGCAAAATTGGCACAGCCCAGAACGTCAGGTCGACGTGTAGCGTATGGAAGGGGAAGAAATGGGCTACATTCCCTAACACAGTGAATACGAAAGATGCACTGAAACGTGCAACATGAAGGAGGATTTAGCAGTAAGCGGGAAATAGAGTGTCCCGCTGAAACCGGCCCTGAAGCGCGC</w:t>
            </w:r>
          </w:p>
        </w:tc>
      </w:tr>
      <w:tr w:rsidR="006501A4" w:rsidRPr="008678EE" w14:paraId="38DC1C05" w14:textId="77777777" w:rsidTr="0095397F">
        <w:trPr>
          <w:trHeight w:val="283"/>
        </w:trPr>
        <w:tc>
          <w:tcPr>
            <w:tcW w:w="2127" w:type="dxa"/>
            <w:tcBorders>
              <w:top w:val="nil"/>
              <w:left w:val="single" w:sz="4" w:space="0" w:color="auto"/>
              <w:right w:val="nil"/>
            </w:tcBorders>
            <w:vAlign w:val="bottom"/>
          </w:tcPr>
          <w:p w14:paraId="1EE76DC6" w14:textId="77777777" w:rsidR="006501A4" w:rsidRPr="00562DA4" w:rsidRDefault="006501A4" w:rsidP="0095397F">
            <w:pPr>
              <w:spacing w:after="120"/>
              <w:rPr>
                <w:rFonts w:cstheme="minorHAnsi"/>
                <w:i/>
                <w:iCs/>
                <w:sz w:val="20"/>
              </w:rPr>
            </w:pPr>
            <w:r>
              <w:rPr>
                <w:rFonts w:cstheme="minorHAnsi"/>
                <w:sz w:val="20"/>
              </w:rPr>
              <w:t>Murray River, NSW</w:t>
            </w:r>
          </w:p>
        </w:tc>
        <w:tc>
          <w:tcPr>
            <w:tcW w:w="6894" w:type="dxa"/>
            <w:tcBorders>
              <w:top w:val="nil"/>
              <w:left w:val="nil"/>
              <w:right w:val="single" w:sz="4" w:space="0" w:color="auto"/>
            </w:tcBorders>
            <w:vAlign w:val="center"/>
          </w:tcPr>
          <w:p w14:paraId="2F6B0CF0" w14:textId="77777777" w:rsidR="006501A4" w:rsidRPr="00C83796" w:rsidRDefault="006501A4" w:rsidP="0095397F">
            <w:pPr>
              <w:spacing w:after="120"/>
              <w:rPr>
                <w:rFonts w:cstheme="minorHAnsi"/>
                <w:sz w:val="16"/>
                <w:szCs w:val="16"/>
              </w:rPr>
            </w:pPr>
            <w:r w:rsidRPr="00C83796">
              <w:rPr>
                <w:rFonts w:cstheme="minorHAnsi"/>
                <w:sz w:val="16"/>
                <w:szCs w:val="16"/>
              </w:rPr>
              <w:t>B.BID_12S_QS5</w:t>
            </w:r>
            <w:r w:rsidRPr="00C83796">
              <w:rPr>
                <w:rFonts w:cstheme="minorHAnsi"/>
                <w:sz w:val="16"/>
                <w:szCs w:val="16"/>
              </w:rPr>
              <w:br/>
              <w:t>GCTTAGCCCTAAACATAAATAGTACAATACACCCACTATTCGCCCGGGGACTACGAGCATTAGCTTAAAACCCAAAGGACTTGGCGGTGCTTTAGATCCACCTAGAGGAGCCTGTTCTAGAACCGATAACCCCCGTTCAACCTCACCCTTCCTTGCTCTTTTCCGCCTATATACCGCCGTCGCCAGCTTACCCTATGAAGGACGCACAGTAAGCAAAATTGGCACAGCCCAGAACGTCAGGTCGACGTGTAGCGTATGGAAGGGGAAGAAATGGGCTACATTCCCTAACACAGTGAATACGAAAGATGCACTGAAACGTGCAACATGAAGGAGGATTTAGCAGTAAGCGGGAAATAGAGTGTCCCGCTGAAACCGGCCCTGAAGCGCGC</w:t>
            </w:r>
          </w:p>
        </w:tc>
      </w:tr>
      <w:tr w:rsidR="006501A4" w:rsidRPr="008678EE" w14:paraId="01E9D84D" w14:textId="77777777" w:rsidTr="0095397F">
        <w:trPr>
          <w:trHeight w:val="283"/>
        </w:trPr>
        <w:tc>
          <w:tcPr>
            <w:tcW w:w="2127" w:type="dxa"/>
            <w:tcBorders>
              <w:top w:val="single" w:sz="4" w:space="0" w:color="auto"/>
              <w:left w:val="single" w:sz="4" w:space="0" w:color="auto"/>
              <w:bottom w:val="nil"/>
              <w:right w:val="nil"/>
            </w:tcBorders>
          </w:tcPr>
          <w:p w14:paraId="0DF9A978" w14:textId="77777777" w:rsidR="006501A4" w:rsidRDefault="006501A4" w:rsidP="00D877B9">
            <w:pPr>
              <w:spacing w:after="120"/>
              <w:jc w:val="left"/>
              <w:rPr>
                <w:rFonts w:cstheme="minorHAnsi"/>
                <w:sz w:val="20"/>
              </w:rPr>
            </w:pPr>
            <w:r w:rsidRPr="00562DA4">
              <w:rPr>
                <w:rFonts w:cstheme="minorHAnsi"/>
                <w:sz w:val="20"/>
              </w:rPr>
              <w:t>Freshwater catfish</w:t>
            </w:r>
            <w:r>
              <w:rPr>
                <w:rFonts w:cstheme="minorHAnsi"/>
                <w:sz w:val="20"/>
              </w:rPr>
              <w:t xml:space="preserve"> (</w:t>
            </w:r>
            <w:r w:rsidRPr="00C51065">
              <w:rPr>
                <w:rFonts w:cstheme="minorHAnsi"/>
                <w:i/>
                <w:iCs/>
                <w:sz w:val="20"/>
              </w:rPr>
              <w:t>Tandanus tandanus</w:t>
            </w:r>
            <w:r>
              <w:rPr>
                <w:rFonts w:cstheme="minorHAnsi"/>
                <w:sz w:val="20"/>
              </w:rPr>
              <w:t>)</w:t>
            </w:r>
          </w:p>
          <w:p w14:paraId="3DE72873" w14:textId="77777777" w:rsidR="006501A4" w:rsidRDefault="006501A4" w:rsidP="0095397F">
            <w:pPr>
              <w:spacing w:after="120"/>
              <w:rPr>
                <w:rFonts w:cstheme="minorHAnsi"/>
                <w:sz w:val="20"/>
              </w:rPr>
            </w:pPr>
          </w:p>
          <w:p w14:paraId="6807A508" w14:textId="77777777" w:rsidR="006501A4" w:rsidRDefault="006501A4" w:rsidP="0095397F">
            <w:pPr>
              <w:spacing w:after="120"/>
              <w:rPr>
                <w:rFonts w:cstheme="minorHAnsi"/>
                <w:sz w:val="20"/>
              </w:rPr>
            </w:pPr>
          </w:p>
          <w:p w14:paraId="08531B45" w14:textId="77777777" w:rsidR="006501A4" w:rsidRPr="00562DA4" w:rsidRDefault="006501A4" w:rsidP="0095397F">
            <w:pPr>
              <w:spacing w:after="120"/>
              <w:rPr>
                <w:rFonts w:cstheme="minorHAnsi"/>
                <w:sz w:val="20"/>
              </w:rPr>
            </w:pPr>
            <w:r>
              <w:rPr>
                <w:rFonts w:cstheme="minorHAnsi"/>
                <w:sz w:val="20"/>
              </w:rPr>
              <w:t>Lachlan River, NSW</w:t>
            </w:r>
          </w:p>
        </w:tc>
        <w:tc>
          <w:tcPr>
            <w:tcW w:w="6894" w:type="dxa"/>
            <w:tcBorders>
              <w:top w:val="single" w:sz="4" w:space="0" w:color="auto"/>
              <w:left w:val="nil"/>
              <w:bottom w:val="nil"/>
              <w:right w:val="single" w:sz="4" w:space="0" w:color="auto"/>
            </w:tcBorders>
            <w:vAlign w:val="center"/>
          </w:tcPr>
          <w:p w14:paraId="7749E71A" w14:textId="77777777" w:rsidR="006501A4" w:rsidRPr="00C83796" w:rsidRDefault="006501A4" w:rsidP="0095397F">
            <w:pPr>
              <w:spacing w:after="120"/>
              <w:rPr>
                <w:rFonts w:cstheme="minorHAnsi"/>
                <w:sz w:val="16"/>
                <w:szCs w:val="16"/>
              </w:rPr>
            </w:pPr>
          </w:p>
          <w:p w14:paraId="6933C3C2" w14:textId="77777777" w:rsidR="006501A4" w:rsidRPr="00C83796" w:rsidRDefault="006501A4" w:rsidP="0095397F">
            <w:pPr>
              <w:spacing w:after="120"/>
              <w:rPr>
                <w:rFonts w:cstheme="minorHAnsi"/>
                <w:sz w:val="16"/>
                <w:szCs w:val="16"/>
              </w:rPr>
            </w:pPr>
            <w:r w:rsidRPr="00C83796">
              <w:rPr>
                <w:rFonts w:cstheme="minorHAnsi"/>
                <w:sz w:val="16"/>
                <w:szCs w:val="16"/>
              </w:rPr>
              <w:t>T.TAN_12S_QS1</w:t>
            </w:r>
            <w:r w:rsidRPr="00C83796">
              <w:rPr>
                <w:rFonts w:cstheme="minorHAnsi"/>
                <w:sz w:val="16"/>
                <w:szCs w:val="16"/>
              </w:rPr>
              <w:br/>
              <w:t>GCTTAGCCTTAAACCTAGGTGTATTTTTACACATGCACCCGCCCGGGCACTACGAGCACAGCTTAAAACCCAAAGGACTTGGCGGTGCCTCAG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639023F4" w14:textId="77777777" w:rsidTr="0095397F">
        <w:trPr>
          <w:trHeight w:val="283"/>
        </w:trPr>
        <w:tc>
          <w:tcPr>
            <w:tcW w:w="2127" w:type="dxa"/>
            <w:tcBorders>
              <w:top w:val="nil"/>
              <w:left w:val="single" w:sz="4" w:space="0" w:color="auto"/>
              <w:bottom w:val="nil"/>
              <w:right w:val="nil"/>
            </w:tcBorders>
            <w:vAlign w:val="bottom"/>
          </w:tcPr>
          <w:p w14:paraId="031BA7E4" w14:textId="77777777" w:rsidR="006501A4" w:rsidRPr="00A11C6A" w:rsidRDefault="006501A4" w:rsidP="0095397F">
            <w:pPr>
              <w:spacing w:after="120"/>
              <w:rPr>
                <w:rFonts w:cstheme="minorHAnsi"/>
                <w:sz w:val="20"/>
              </w:rPr>
            </w:pPr>
            <w:r w:rsidRPr="00A11C6A">
              <w:rPr>
                <w:rFonts w:cstheme="minorHAnsi"/>
                <w:sz w:val="20"/>
              </w:rPr>
              <w:t>Lachlan River, NSW</w:t>
            </w:r>
          </w:p>
        </w:tc>
        <w:tc>
          <w:tcPr>
            <w:tcW w:w="6894" w:type="dxa"/>
            <w:tcBorders>
              <w:top w:val="nil"/>
              <w:left w:val="nil"/>
              <w:bottom w:val="nil"/>
              <w:right w:val="single" w:sz="4" w:space="0" w:color="auto"/>
            </w:tcBorders>
            <w:vAlign w:val="center"/>
          </w:tcPr>
          <w:p w14:paraId="570485DC" w14:textId="77777777" w:rsidR="006501A4" w:rsidRPr="00C83796" w:rsidRDefault="006501A4" w:rsidP="0095397F">
            <w:pPr>
              <w:spacing w:after="120"/>
              <w:rPr>
                <w:rFonts w:cstheme="minorHAnsi"/>
                <w:sz w:val="16"/>
                <w:szCs w:val="16"/>
              </w:rPr>
            </w:pPr>
            <w:r w:rsidRPr="00C83796">
              <w:rPr>
                <w:rFonts w:cstheme="minorHAnsi"/>
                <w:sz w:val="16"/>
                <w:szCs w:val="16"/>
              </w:rPr>
              <w:t>T.TAN_12S_QS2</w:t>
            </w:r>
            <w:r w:rsidRPr="00C83796">
              <w:rPr>
                <w:rFonts w:cstheme="minorHAnsi"/>
                <w:sz w:val="16"/>
                <w:szCs w:val="16"/>
              </w:rPr>
              <w:br/>
              <w:t>GCTTAGCCTTAAACCTAGGTGTATTTTTACACATGCACCCGCCCGGGCACTACGAGCACAGCTTAAAACCCAAAGGACTTGGCGGTGCCTCAG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65C24BC9" w14:textId="77777777" w:rsidTr="0095397F">
        <w:trPr>
          <w:trHeight w:val="283"/>
        </w:trPr>
        <w:tc>
          <w:tcPr>
            <w:tcW w:w="2127" w:type="dxa"/>
            <w:tcBorders>
              <w:top w:val="nil"/>
              <w:left w:val="single" w:sz="4" w:space="0" w:color="auto"/>
              <w:bottom w:val="nil"/>
              <w:right w:val="nil"/>
            </w:tcBorders>
            <w:vAlign w:val="bottom"/>
          </w:tcPr>
          <w:p w14:paraId="2BC03470" w14:textId="77777777" w:rsidR="006501A4" w:rsidRPr="00A11C6A" w:rsidRDefault="006501A4" w:rsidP="0095397F">
            <w:pPr>
              <w:spacing w:after="120"/>
              <w:rPr>
                <w:rFonts w:cstheme="minorHAnsi"/>
                <w:sz w:val="20"/>
              </w:rPr>
            </w:pPr>
            <w:r w:rsidRPr="00A11C6A">
              <w:rPr>
                <w:rFonts w:cstheme="minorHAnsi"/>
                <w:sz w:val="20"/>
              </w:rPr>
              <w:t>Lachlan River, NSW</w:t>
            </w:r>
          </w:p>
        </w:tc>
        <w:tc>
          <w:tcPr>
            <w:tcW w:w="6894" w:type="dxa"/>
            <w:tcBorders>
              <w:top w:val="nil"/>
              <w:left w:val="nil"/>
              <w:bottom w:val="nil"/>
              <w:right w:val="single" w:sz="4" w:space="0" w:color="auto"/>
            </w:tcBorders>
            <w:vAlign w:val="center"/>
          </w:tcPr>
          <w:p w14:paraId="07A87CA4" w14:textId="77777777" w:rsidR="006501A4" w:rsidRPr="00C83796" w:rsidRDefault="006501A4" w:rsidP="0095397F">
            <w:pPr>
              <w:spacing w:after="120"/>
              <w:rPr>
                <w:rFonts w:cstheme="minorHAnsi"/>
                <w:sz w:val="16"/>
                <w:szCs w:val="16"/>
              </w:rPr>
            </w:pPr>
            <w:r w:rsidRPr="00C83796">
              <w:rPr>
                <w:rFonts w:cstheme="minorHAnsi"/>
                <w:sz w:val="16"/>
                <w:szCs w:val="16"/>
              </w:rPr>
              <w:t>T.TAN_12S_QS3</w:t>
            </w:r>
            <w:r w:rsidRPr="00C83796">
              <w:rPr>
                <w:rFonts w:cstheme="minorHAnsi"/>
                <w:sz w:val="16"/>
                <w:szCs w:val="16"/>
              </w:rPr>
              <w:br/>
              <w:t>GCTTAGCCTTAAACCTAGGTGTATTTTTACACATGCACCCGCCCGGGCACTACGAGCACAGCTTAAAACCCAAAGGACTTGGCGGTGCCTCAG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007B6736" w14:textId="77777777" w:rsidTr="0095397F">
        <w:trPr>
          <w:trHeight w:val="283"/>
        </w:trPr>
        <w:tc>
          <w:tcPr>
            <w:tcW w:w="2127" w:type="dxa"/>
            <w:tcBorders>
              <w:top w:val="nil"/>
              <w:left w:val="single" w:sz="4" w:space="0" w:color="auto"/>
              <w:bottom w:val="nil"/>
              <w:right w:val="nil"/>
            </w:tcBorders>
            <w:vAlign w:val="bottom"/>
          </w:tcPr>
          <w:p w14:paraId="69E23E4D" w14:textId="77777777" w:rsidR="006501A4" w:rsidRPr="00A11C6A" w:rsidRDefault="006501A4" w:rsidP="0095397F">
            <w:pPr>
              <w:spacing w:after="120"/>
              <w:rPr>
                <w:rFonts w:cstheme="minorHAnsi"/>
                <w:sz w:val="20"/>
              </w:rPr>
            </w:pPr>
            <w:r w:rsidRPr="00A11C6A">
              <w:rPr>
                <w:rFonts w:cstheme="minorHAnsi"/>
                <w:sz w:val="20"/>
              </w:rPr>
              <w:t>Colombo Creek, NSW</w:t>
            </w:r>
          </w:p>
        </w:tc>
        <w:tc>
          <w:tcPr>
            <w:tcW w:w="6894" w:type="dxa"/>
            <w:tcBorders>
              <w:top w:val="nil"/>
              <w:left w:val="nil"/>
              <w:bottom w:val="nil"/>
              <w:right w:val="single" w:sz="4" w:space="0" w:color="auto"/>
            </w:tcBorders>
            <w:vAlign w:val="center"/>
          </w:tcPr>
          <w:p w14:paraId="277CF979" w14:textId="77777777" w:rsidR="006501A4" w:rsidRPr="00C83796" w:rsidRDefault="006501A4" w:rsidP="0095397F">
            <w:pPr>
              <w:spacing w:after="120"/>
              <w:rPr>
                <w:rFonts w:cstheme="minorHAnsi"/>
                <w:sz w:val="16"/>
                <w:szCs w:val="16"/>
              </w:rPr>
            </w:pPr>
            <w:r w:rsidRPr="00C83796">
              <w:rPr>
                <w:rFonts w:cstheme="minorHAnsi"/>
                <w:sz w:val="16"/>
                <w:szCs w:val="16"/>
              </w:rPr>
              <w:t>T.TAN_12S_QS4</w:t>
            </w:r>
            <w:r w:rsidRPr="00C83796">
              <w:rPr>
                <w:rFonts w:cstheme="minorHAnsi"/>
                <w:sz w:val="16"/>
                <w:szCs w:val="16"/>
              </w:rPr>
              <w:br/>
              <w:t>GCTTAGCCTTAAACCTAGGTGTATTTTTACACATGCACCCGCCCGGGCACTACGAGCACAGCTTAAAACCCAAAGGACTTGGCGGTGCCTCAG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2AB1C122" w14:textId="77777777" w:rsidTr="0095397F">
        <w:trPr>
          <w:trHeight w:val="283"/>
        </w:trPr>
        <w:tc>
          <w:tcPr>
            <w:tcW w:w="2127" w:type="dxa"/>
            <w:tcBorders>
              <w:top w:val="nil"/>
              <w:left w:val="single" w:sz="4" w:space="0" w:color="auto"/>
              <w:bottom w:val="nil"/>
              <w:right w:val="nil"/>
            </w:tcBorders>
            <w:vAlign w:val="bottom"/>
          </w:tcPr>
          <w:p w14:paraId="19332456" w14:textId="77777777" w:rsidR="006501A4" w:rsidRPr="00A11C6A" w:rsidRDefault="006501A4" w:rsidP="0095397F">
            <w:pPr>
              <w:spacing w:after="120"/>
              <w:rPr>
                <w:rFonts w:cstheme="minorHAnsi"/>
                <w:sz w:val="20"/>
              </w:rPr>
            </w:pPr>
            <w:r w:rsidRPr="00A11C6A">
              <w:rPr>
                <w:rFonts w:cstheme="minorHAnsi"/>
                <w:sz w:val="20"/>
              </w:rPr>
              <w:t>Colombo Creek, NSW</w:t>
            </w:r>
          </w:p>
        </w:tc>
        <w:tc>
          <w:tcPr>
            <w:tcW w:w="6894" w:type="dxa"/>
            <w:tcBorders>
              <w:top w:val="nil"/>
              <w:left w:val="nil"/>
              <w:bottom w:val="nil"/>
              <w:right w:val="single" w:sz="4" w:space="0" w:color="auto"/>
            </w:tcBorders>
            <w:vAlign w:val="center"/>
          </w:tcPr>
          <w:p w14:paraId="5A05C70A" w14:textId="77777777" w:rsidR="006501A4" w:rsidRPr="00C83796" w:rsidRDefault="006501A4" w:rsidP="0095397F">
            <w:pPr>
              <w:spacing w:after="120"/>
              <w:rPr>
                <w:rFonts w:cstheme="minorHAnsi"/>
                <w:sz w:val="16"/>
                <w:szCs w:val="16"/>
              </w:rPr>
            </w:pPr>
            <w:r w:rsidRPr="00C83796">
              <w:rPr>
                <w:rFonts w:cstheme="minorHAnsi"/>
                <w:sz w:val="16"/>
                <w:szCs w:val="16"/>
              </w:rPr>
              <w:t>T.TAN_12S_QS5</w:t>
            </w:r>
            <w:r w:rsidRPr="00C83796">
              <w:rPr>
                <w:rFonts w:cstheme="minorHAnsi"/>
                <w:sz w:val="16"/>
                <w:szCs w:val="16"/>
              </w:rPr>
              <w:br/>
              <w:t>GCTTAGCCTTAAACCTAGGTGTATTTTTACACATGCACCCGCCCGGGCACTACGAGCACAGCTTAAAACCCAAAGGACTTGGCGGTGCCTCAG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26419A94" w14:textId="77777777" w:rsidTr="0095397F">
        <w:trPr>
          <w:trHeight w:val="283"/>
        </w:trPr>
        <w:tc>
          <w:tcPr>
            <w:tcW w:w="2127" w:type="dxa"/>
            <w:tcBorders>
              <w:top w:val="nil"/>
              <w:left w:val="single" w:sz="4" w:space="0" w:color="auto"/>
              <w:bottom w:val="nil"/>
              <w:right w:val="nil"/>
            </w:tcBorders>
            <w:vAlign w:val="bottom"/>
          </w:tcPr>
          <w:p w14:paraId="004B0621" w14:textId="77777777" w:rsidR="006501A4" w:rsidRPr="00A11C6A" w:rsidRDefault="006501A4" w:rsidP="0095397F">
            <w:pPr>
              <w:spacing w:after="120"/>
              <w:rPr>
                <w:rFonts w:cstheme="minorHAnsi"/>
                <w:sz w:val="20"/>
              </w:rPr>
            </w:pPr>
            <w:r w:rsidRPr="00A11C6A">
              <w:rPr>
                <w:rFonts w:cstheme="minorHAnsi"/>
                <w:sz w:val="20"/>
              </w:rPr>
              <w:t>Colombo Creek, NSW</w:t>
            </w:r>
          </w:p>
        </w:tc>
        <w:tc>
          <w:tcPr>
            <w:tcW w:w="6894" w:type="dxa"/>
            <w:tcBorders>
              <w:top w:val="nil"/>
              <w:left w:val="nil"/>
              <w:bottom w:val="nil"/>
              <w:right w:val="single" w:sz="4" w:space="0" w:color="auto"/>
            </w:tcBorders>
            <w:vAlign w:val="center"/>
          </w:tcPr>
          <w:p w14:paraId="5936CC1F" w14:textId="77777777" w:rsidR="006501A4" w:rsidRPr="00C83796" w:rsidRDefault="006501A4" w:rsidP="0095397F">
            <w:pPr>
              <w:spacing w:after="120"/>
              <w:rPr>
                <w:rFonts w:cstheme="minorHAnsi"/>
                <w:sz w:val="16"/>
                <w:szCs w:val="16"/>
              </w:rPr>
            </w:pPr>
            <w:r w:rsidRPr="00C83796">
              <w:rPr>
                <w:rFonts w:cstheme="minorHAnsi"/>
                <w:sz w:val="16"/>
                <w:szCs w:val="16"/>
              </w:rPr>
              <w:t>T.TAN_12S_QS6</w:t>
            </w:r>
            <w:r w:rsidRPr="00C83796">
              <w:rPr>
                <w:rFonts w:cstheme="minorHAnsi"/>
                <w:sz w:val="16"/>
                <w:szCs w:val="16"/>
              </w:rPr>
              <w:br/>
              <w:t>GCTTAGCCTTAAACCTAGGTGTATTTTTACACATGCACCCGCCCGGGCACTACGAGCACAGCTTAAAACCCAAAGGACTTGGCGGTGCCTCAAACCCACCTAGAGGAGCCTGTTCTAGAACCGATAATCCTCGTTAAACCTCACCACTTCTTGTTTTACCCGCCTATATACCGCCGTCGTCAGCTTACCCTGTGAAGGCCCAACAGTAAGCAAAACTGGTCAGCCCAAAAACGTCAGGTCGAGGTGTAGCGTACGAAGTGGGAAGAAATGGGCTACATTTTCTAATAATAGACTATAACGAATAGCACGCTGAAACACGTGCTTAAAGGTGGATTTAGCAGTAAAAAGTAAATAGAGAGTTCTTTTGAACCCGGCTCTGAAGCGCGC</w:t>
            </w:r>
          </w:p>
        </w:tc>
      </w:tr>
      <w:tr w:rsidR="006501A4" w:rsidRPr="008678EE" w14:paraId="4553BA3D" w14:textId="77777777" w:rsidTr="0095397F">
        <w:trPr>
          <w:trHeight w:val="283"/>
        </w:trPr>
        <w:tc>
          <w:tcPr>
            <w:tcW w:w="2127" w:type="dxa"/>
            <w:tcBorders>
              <w:top w:val="single" w:sz="4" w:space="0" w:color="auto"/>
              <w:left w:val="single" w:sz="4" w:space="0" w:color="auto"/>
              <w:bottom w:val="nil"/>
              <w:right w:val="nil"/>
            </w:tcBorders>
          </w:tcPr>
          <w:p w14:paraId="6C61A845" w14:textId="77777777" w:rsidR="006501A4" w:rsidRDefault="006501A4" w:rsidP="00D877B9">
            <w:pPr>
              <w:spacing w:after="120"/>
              <w:jc w:val="left"/>
              <w:rPr>
                <w:rFonts w:cstheme="minorHAnsi"/>
                <w:sz w:val="20"/>
              </w:rPr>
            </w:pPr>
            <w:r w:rsidRPr="00562DA4">
              <w:rPr>
                <w:rFonts w:cstheme="minorHAnsi"/>
                <w:sz w:val="20"/>
              </w:rPr>
              <w:t>Dwarf flathead gudgeon</w:t>
            </w:r>
            <w:r>
              <w:rPr>
                <w:rFonts w:cstheme="minorHAnsi"/>
                <w:sz w:val="20"/>
              </w:rPr>
              <w:t xml:space="preserve"> (</w:t>
            </w:r>
            <w:r w:rsidRPr="00EF7AE8">
              <w:rPr>
                <w:rFonts w:cstheme="minorHAnsi"/>
                <w:i/>
                <w:iCs/>
                <w:sz w:val="20"/>
              </w:rPr>
              <w:t>Phylipnodon marcrostomus</w:t>
            </w:r>
            <w:r>
              <w:rPr>
                <w:rFonts w:cstheme="minorHAnsi"/>
                <w:sz w:val="20"/>
              </w:rPr>
              <w:t>)</w:t>
            </w:r>
          </w:p>
          <w:p w14:paraId="79815694" w14:textId="77777777" w:rsidR="006501A4" w:rsidRDefault="006501A4" w:rsidP="0095397F">
            <w:pPr>
              <w:spacing w:after="120"/>
              <w:rPr>
                <w:rFonts w:cstheme="minorHAnsi"/>
                <w:sz w:val="20"/>
              </w:rPr>
            </w:pPr>
          </w:p>
          <w:p w14:paraId="71E351BE" w14:textId="77777777" w:rsidR="006501A4" w:rsidRPr="00562DA4" w:rsidRDefault="006501A4" w:rsidP="0095397F">
            <w:pPr>
              <w:spacing w:after="120"/>
              <w:rPr>
                <w:rFonts w:cstheme="minorHAnsi"/>
                <w:i/>
                <w:iCs/>
                <w:sz w:val="20"/>
              </w:rPr>
            </w:pPr>
            <w:r>
              <w:rPr>
                <w:rFonts w:cstheme="minorHAnsi"/>
                <w:sz w:val="20"/>
              </w:rPr>
              <w:t>Aratula Creek, NSW</w:t>
            </w:r>
          </w:p>
        </w:tc>
        <w:tc>
          <w:tcPr>
            <w:tcW w:w="6894" w:type="dxa"/>
            <w:tcBorders>
              <w:top w:val="single" w:sz="4" w:space="0" w:color="auto"/>
              <w:left w:val="nil"/>
              <w:bottom w:val="nil"/>
              <w:right w:val="single" w:sz="4" w:space="0" w:color="auto"/>
            </w:tcBorders>
            <w:vAlign w:val="center"/>
          </w:tcPr>
          <w:p w14:paraId="38C3C81B" w14:textId="77777777" w:rsidR="006501A4" w:rsidRPr="00C83796" w:rsidRDefault="006501A4" w:rsidP="0095397F">
            <w:pPr>
              <w:spacing w:after="120"/>
              <w:rPr>
                <w:rFonts w:cstheme="minorHAnsi"/>
                <w:sz w:val="16"/>
                <w:szCs w:val="16"/>
              </w:rPr>
            </w:pPr>
          </w:p>
          <w:p w14:paraId="49E084CE" w14:textId="77777777" w:rsidR="006501A4" w:rsidRPr="00C83796" w:rsidRDefault="006501A4" w:rsidP="0095397F">
            <w:pPr>
              <w:spacing w:after="120"/>
              <w:rPr>
                <w:rFonts w:cstheme="minorHAnsi"/>
                <w:sz w:val="16"/>
                <w:szCs w:val="16"/>
              </w:rPr>
            </w:pPr>
            <w:r w:rsidRPr="00C83796">
              <w:rPr>
                <w:rFonts w:cstheme="minorHAnsi"/>
                <w:sz w:val="16"/>
                <w:szCs w:val="16"/>
              </w:rPr>
              <w:t>P.MAC_12S_QS1</w:t>
            </w:r>
            <w:r w:rsidRPr="00C83796">
              <w:rPr>
                <w:rFonts w:cstheme="minorHAnsi"/>
                <w:sz w:val="16"/>
                <w:szCs w:val="16"/>
              </w:rPr>
              <w:br/>
              <w:t>GCCTTGCCCTAAACAAAAGTAGCAAAGTATGTCTGCTACTCGCCCGGGAACTACGAGCAAAAGCTTAAAACCCAAAGGACTTGGCGGTGCTTTAGACCCACCTAGAGGAGCCTGTTCTGGAACCGATAACCCCCGTTCAACCTCACCCTCTCTTGTTCCACCCGCCTATATACCGCCGTCGTCAGCTTACCCTGCAAAGGGCACACAGTAAGCATAATTGGCATAGCCCAAAACGTCAGGTCGAGGTGTAGCGTATGAGAGGGGAAGAAATGGGCTACATTCCCTGACACAGTGTACACGAACGATGTGATGAAATAAACATCTAAAGGAGGATTTAGCAGTAAGAAGGAAAGCAGAGCGTTCCTCTGAAAATGGCCCTGAAGCGCGC</w:t>
            </w:r>
          </w:p>
        </w:tc>
      </w:tr>
      <w:tr w:rsidR="006501A4" w:rsidRPr="008678EE" w14:paraId="534277AE" w14:textId="77777777" w:rsidTr="00D877B9">
        <w:trPr>
          <w:trHeight w:val="283"/>
        </w:trPr>
        <w:tc>
          <w:tcPr>
            <w:tcW w:w="2127" w:type="dxa"/>
            <w:tcBorders>
              <w:top w:val="nil"/>
              <w:left w:val="single" w:sz="4" w:space="0" w:color="auto"/>
              <w:right w:val="nil"/>
            </w:tcBorders>
            <w:vAlign w:val="bottom"/>
          </w:tcPr>
          <w:p w14:paraId="381C831D" w14:textId="77777777" w:rsidR="006501A4" w:rsidRPr="00562DA4" w:rsidRDefault="006501A4" w:rsidP="0095397F">
            <w:pPr>
              <w:spacing w:after="120"/>
              <w:rPr>
                <w:rFonts w:cstheme="minorHAnsi"/>
                <w:i/>
                <w:iCs/>
                <w:sz w:val="20"/>
              </w:rPr>
            </w:pPr>
            <w:r>
              <w:rPr>
                <w:rFonts w:cstheme="minorHAnsi"/>
                <w:sz w:val="20"/>
              </w:rPr>
              <w:t>Aratula Creek, NSW</w:t>
            </w:r>
          </w:p>
        </w:tc>
        <w:tc>
          <w:tcPr>
            <w:tcW w:w="6894" w:type="dxa"/>
            <w:tcBorders>
              <w:top w:val="nil"/>
              <w:left w:val="nil"/>
              <w:right w:val="single" w:sz="4" w:space="0" w:color="auto"/>
            </w:tcBorders>
            <w:vAlign w:val="center"/>
          </w:tcPr>
          <w:p w14:paraId="38DEB7EB" w14:textId="77777777" w:rsidR="006501A4" w:rsidRPr="00C83796" w:rsidRDefault="006501A4" w:rsidP="0095397F">
            <w:pPr>
              <w:spacing w:after="120"/>
              <w:rPr>
                <w:rFonts w:cstheme="minorHAnsi"/>
                <w:sz w:val="16"/>
                <w:szCs w:val="16"/>
              </w:rPr>
            </w:pPr>
            <w:r w:rsidRPr="00C83796">
              <w:rPr>
                <w:rFonts w:cstheme="minorHAnsi"/>
                <w:sz w:val="16"/>
                <w:szCs w:val="16"/>
              </w:rPr>
              <w:t>P.MAC_12S_QS2</w:t>
            </w:r>
            <w:r w:rsidRPr="00C83796">
              <w:rPr>
                <w:rFonts w:cstheme="minorHAnsi"/>
                <w:sz w:val="16"/>
                <w:szCs w:val="16"/>
              </w:rPr>
              <w:br/>
              <w:t>GCCTTGCCCTAAACAAAAGTAGCAAAGTATGTCTGCTACTCGCCCGGGAACTACGAGCAAAAGCTTAAAACCCAAAGGACTTGGCGGTGCTTTAGACCCACCTAGAGGAGCCTGTTCTGGAACCGATAACCCCCGTTCAACCTCACCCTCTCTTGTTCCACCCGCCTATATACCGCCGTCGTCAGCTTACCCTGCAAAGGGCACACAGTAAGCATAATTGGCATAGCCCAAAACGTCAGGTCGAGGTGTAGCGTATGAGAGGGGAAGAAATGGGCTACATTCCCTGACACAGTGTACACGAACGATGTGATGAAATAAACATCTAAAGGAGGATTTAGCAGTAAGAAGGAAAGCAGAGCGTTCCTCTGAAAATGGCCCTGAAGCGCGC</w:t>
            </w:r>
          </w:p>
        </w:tc>
      </w:tr>
      <w:tr w:rsidR="006501A4" w:rsidRPr="008678EE" w14:paraId="04D8511A" w14:textId="77777777" w:rsidTr="00D877B9">
        <w:trPr>
          <w:trHeight w:val="283"/>
        </w:trPr>
        <w:tc>
          <w:tcPr>
            <w:tcW w:w="2127" w:type="dxa"/>
            <w:tcBorders>
              <w:top w:val="nil"/>
              <w:left w:val="single" w:sz="4" w:space="0" w:color="auto"/>
              <w:bottom w:val="single" w:sz="4" w:space="0" w:color="auto"/>
              <w:right w:val="nil"/>
            </w:tcBorders>
            <w:vAlign w:val="bottom"/>
          </w:tcPr>
          <w:p w14:paraId="37F628BA" w14:textId="77777777" w:rsidR="006501A4" w:rsidRPr="00562DA4" w:rsidRDefault="006501A4" w:rsidP="0095397F">
            <w:pPr>
              <w:spacing w:after="120"/>
              <w:rPr>
                <w:rFonts w:cstheme="minorHAnsi"/>
                <w:i/>
                <w:iCs/>
                <w:sz w:val="20"/>
              </w:rPr>
            </w:pPr>
            <w:r>
              <w:rPr>
                <w:rFonts w:cstheme="minorHAnsi"/>
                <w:sz w:val="20"/>
              </w:rPr>
              <w:t>Aratula Creek, NSW</w:t>
            </w:r>
          </w:p>
        </w:tc>
        <w:tc>
          <w:tcPr>
            <w:tcW w:w="6894" w:type="dxa"/>
            <w:tcBorders>
              <w:top w:val="nil"/>
              <w:left w:val="nil"/>
              <w:bottom w:val="single" w:sz="4" w:space="0" w:color="auto"/>
              <w:right w:val="single" w:sz="4" w:space="0" w:color="auto"/>
            </w:tcBorders>
            <w:vAlign w:val="center"/>
          </w:tcPr>
          <w:p w14:paraId="79852B3A" w14:textId="77777777" w:rsidR="006501A4" w:rsidRPr="00C83796" w:rsidRDefault="006501A4" w:rsidP="0095397F">
            <w:pPr>
              <w:spacing w:after="120"/>
              <w:rPr>
                <w:rFonts w:cstheme="minorHAnsi"/>
                <w:sz w:val="16"/>
                <w:szCs w:val="16"/>
              </w:rPr>
            </w:pPr>
            <w:r w:rsidRPr="00C83796">
              <w:rPr>
                <w:rFonts w:cstheme="minorHAnsi"/>
                <w:sz w:val="16"/>
                <w:szCs w:val="16"/>
              </w:rPr>
              <w:t>P.MAC_12S_QS3</w:t>
            </w:r>
            <w:r w:rsidRPr="00C83796">
              <w:rPr>
                <w:rFonts w:cstheme="minorHAnsi"/>
                <w:sz w:val="16"/>
                <w:szCs w:val="16"/>
              </w:rPr>
              <w:br/>
              <w:t>GCCTTGCCCTAAACAAAAGTAGCAAAGTATGTCTGCTACTCGCCCGGGAACTACGAGCAAAAGCTTAAAACCCAAAGGACTTGGCGGTGCTTTAGACCCACCTAGAGGAGCCTGTTCTGGAACCGATAACCCCCGTTCAACCTCACCCTCTCTTGTTCCACCCGCCTATATACCGCCGTCGTCAGCTTACCCTGCAAAGGGCACACAGTAAGCATAATTGGCATAGCCCAAAACGTCAGGTCGAGGTGTAGCGTATGAGAGGGGAAGAAATGGGCTACATTCCCTGACACAGTGTACACGAACGATGTGATGAAATAAACATCTAAAGGAGGATTTAGCAGTAAGAAGGAAAGCAGAGCGTTCCTCTGAAAATGGCCCTGAAGCGCGC</w:t>
            </w:r>
          </w:p>
        </w:tc>
      </w:tr>
    </w:tbl>
    <w:p w14:paraId="2881A30E" w14:textId="77777777" w:rsidR="006501A4" w:rsidRDefault="006501A4" w:rsidP="006501A4"/>
    <w:p w14:paraId="43D32700" w14:textId="77777777" w:rsidR="006501A4" w:rsidRPr="00D86F7C" w:rsidRDefault="006501A4" w:rsidP="006501A4">
      <w:pPr>
        <w:spacing w:after="120"/>
        <w:rPr>
          <w:sz w:val="20"/>
        </w:rPr>
      </w:pPr>
      <w:r w:rsidRPr="00D86F7C">
        <w:rPr>
          <w:b/>
          <w:bCs/>
          <w:sz w:val="20"/>
        </w:rPr>
        <w:t>Table 12.</w:t>
      </w:r>
      <w:r>
        <w:rPr>
          <w:b/>
          <w:bCs/>
          <w:sz w:val="20"/>
        </w:rPr>
        <w:t>2</w:t>
      </w:r>
      <w:r w:rsidRPr="00D86F7C">
        <w:rPr>
          <w:sz w:val="20"/>
        </w:rPr>
        <w:t xml:space="preserve"> </w:t>
      </w:r>
      <w:r>
        <w:rPr>
          <w:sz w:val="20"/>
        </w:rPr>
        <w:t xml:space="preserve">eDNA </w:t>
      </w:r>
      <w:r w:rsidRPr="00D86F7C">
        <w:rPr>
          <w:sz w:val="20"/>
        </w:rPr>
        <w:t xml:space="preserve">sampling sites </w:t>
      </w:r>
      <w:r>
        <w:rPr>
          <w:sz w:val="20"/>
        </w:rPr>
        <w:t>and the volume of water filtered at each site.</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410"/>
        <w:gridCol w:w="2551"/>
        <w:gridCol w:w="1418"/>
        <w:gridCol w:w="1417"/>
      </w:tblGrid>
      <w:tr w:rsidR="006501A4" w:rsidRPr="009E3AA9" w14:paraId="59BFBD38" w14:textId="77777777" w:rsidTr="0095397F">
        <w:trPr>
          <w:trHeight w:val="300"/>
        </w:trPr>
        <w:tc>
          <w:tcPr>
            <w:tcW w:w="1271" w:type="dxa"/>
            <w:shd w:val="clear" w:color="auto" w:fill="92CDDC"/>
          </w:tcPr>
          <w:p w14:paraId="168BFA5A" w14:textId="77777777" w:rsidR="006501A4" w:rsidRPr="009E3AA9" w:rsidRDefault="006501A4" w:rsidP="0095397F">
            <w:pPr>
              <w:spacing w:after="120"/>
              <w:rPr>
                <w:b/>
                <w:sz w:val="20"/>
              </w:rPr>
            </w:pPr>
            <w:bookmarkStart w:id="215" w:name="_Hlk58244204"/>
            <w:r>
              <w:rPr>
                <w:b/>
                <w:sz w:val="20"/>
              </w:rPr>
              <w:t>Site n</w:t>
            </w:r>
            <w:r w:rsidRPr="009E3AA9">
              <w:rPr>
                <w:b/>
                <w:sz w:val="20"/>
              </w:rPr>
              <w:t>umber</w:t>
            </w:r>
          </w:p>
        </w:tc>
        <w:tc>
          <w:tcPr>
            <w:tcW w:w="2410" w:type="dxa"/>
            <w:shd w:val="clear" w:color="auto" w:fill="92CDDC"/>
            <w:noWrap/>
            <w:hideMark/>
          </w:tcPr>
          <w:p w14:paraId="13100FE3" w14:textId="77777777" w:rsidR="006501A4" w:rsidRPr="009E3AA9" w:rsidRDefault="006501A4" w:rsidP="0095397F">
            <w:pPr>
              <w:spacing w:after="120"/>
              <w:rPr>
                <w:b/>
                <w:sz w:val="20"/>
              </w:rPr>
            </w:pPr>
            <w:r w:rsidRPr="009E3AA9">
              <w:rPr>
                <w:b/>
                <w:sz w:val="20"/>
              </w:rPr>
              <w:t>Waterway</w:t>
            </w:r>
          </w:p>
        </w:tc>
        <w:tc>
          <w:tcPr>
            <w:tcW w:w="2551" w:type="dxa"/>
            <w:shd w:val="clear" w:color="auto" w:fill="92CDDC"/>
            <w:noWrap/>
            <w:hideMark/>
          </w:tcPr>
          <w:p w14:paraId="6A3E2BFD" w14:textId="77777777" w:rsidR="006501A4" w:rsidRPr="009E3AA9" w:rsidRDefault="006501A4" w:rsidP="0095397F">
            <w:pPr>
              <w:spacing w:after="120"/>
              <w:rPr>
                <w:b/>
                <w:sz w:val="20"/>
              </w:rPr>
            </w:pPr>
            <w:r w:rsidRPr="009E3AA9">
              <w:rPr>
                <w:b/>
                <w:sz w:val="20"/>
              </w:rPr>
              <w:t>Sampling site (ID)</w:t>
            </w:r>
          </w:p>
        </w:tc>
        <w:tc>
          <w:tcPr>
            <w:tcW w:w="1418" w:type="dxa"/>
            <w:shd w:val="clear" w:color="auto" w:fill="92CDDC"/>
            <w:noWrap/>
            <w:hideMark/>
          </w:tcPr>
          <w:p w14:paraId="6E2A6F69" w14:textId="77777777" w:rsidR="006501A4" w:rsidRPr="009E3AA9" w:rsidRDefault="006501A4" w:rsidP="0095397F">
            <w:pPr>
              <w:spacing w:after="120"/>
              <w:rPr>
                <w:b/>
                <w:sz w:val="20"/>
              </w:rPr>
            </w:pPr>
            <w:r w:rsidRPr="009E3AA9">
              <w:rPr>
                <w:b/>
                <w:sz w:val="20"/>
              </w:rPr>
              <w:t>Sampling date</w:t>
            </w:r>
          </w:p>
        </w:tc>
        <w:tc>
          <w:tcPr>
            <w:tcW w:w="1417" w:type="dxa"/>
            <w:shd w:val="clear" w:color="auto" w:fill="92CDDC"/>
          </w:tcPr>
          <w:p w14:paraId="6D00FB90" w14:textId="77777777" w:rsidR="006501A4" w:rsidRPr="009E3AA9" w:rsidRDefault="006501A4" w:rsidP="0095397F">
            <w:pPr>
              <w:spacing w:after="120"/>
              <w:rPr>
                <w:b/>
                <w:sz w:val="20"/>
              </w:rPr>
            </w:pPr>
            <w:r w:rsidRPr="009E3AA9">
              <w:rPr>
                <w:b/>
                <w:sz w:val="20"/>
              </w:rPr>
              <w:t>Total volume filtered (L)</w:t>
            </w:r>
          </w:p>
        </w:tc>
      </w:tr>
      <w:tr w:rsidR="006501A4" w:rsidRPr="009E3AA9" w14:paraId="67939624" w14:textId="77777777" w:rsidTr="0095397F">
        <w:trPr>
          <w:trHeight w:val="300"/>
        </w:trPr>
        <w:tc>
          <w:tcPr>
            <w:tcW w:w="1271" w:type="dxa"/>
          </w:tcPr>
          <w:p w14:paraId="2BCAFB91"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w:t>
            </w:r>
          </w:p>
        </w:tc>
        <w:tc>
          <w:tcPr>
            <w:tcW w:w="2410" w:type="dxa"/>
            <w:noWrap/>
          </w:tcPr>
          <w:p w14:paraId="2521A492"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Edward/Kolety River</w:t>
            </w:r>
          </w:p>
        </w:tc>
        <w:tc>
          <w:tcPr>
            <w:tcW w:w="2551" w:type="dxa"/>
            <w:noWrap/>
          </w:tcPr>
          <w:p w14:paraId="16B3460A"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Four Posts (FP)</w:t>
            </w:r>
          </w:p>
        </w:tc>
        <w:tc>
          <w:tcPr>
            <w:tcW w:w="1418" w:type="dxa"/>
            <w:noWrap/>
          </w:tcPr>
          <w:p w14:paraId="7692AEA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27/11/2019</w:t>
            </w:r>
          </w:p>
        </w:tc>
        <w:tc>
          <w:tcPr>
            <w:tcW w:w="1417" w:type="dxa"/>
          </w:tcPr>
          <w:p w14:paraId="7443C96F"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10.19</w:t>
            </w:r>
          </w:p>
        </w:tc>
      </w:tr>
      <w:tr w:rsidR="006501A4" w:rsidRPr="009E3AA9" w14:paraId="1C173394" w14:textId="77777777" w:rsidTr="0095397F">
        <w:trPr>
          <w:trHeight w:val="300"/>
        </w:trPr>
        <w:tc>
          <w:tcPr>
            <w:tcW w:w="1271" w:type="dxa"/>
          </w:tcPr>
          <w:p w14:paraId="23F3D5CC"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w:t>
            </w:r>
          </w:p>
        </w:tc>
        <w:tc>
          <w:tcPr>
            <w:tcW w:w="2410" w:type="dxa"/>
            <w:noWrap/>
          </w:tcPr>
          <w:p w14:paraId="5C5DAA1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Edward/Kolety River</w:t>
            </w:r>
          </w:p>
        </w:tc>
        <w:tc>
          <w:tcPr>
            <w:tcW w:w="2551" w:type="dxa"/>
            <w:noWrap/>
          </w:tcPr>
          <w:p w14:paraId="1053B417"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Eastman Bridge (EB)</w:t>
            </w:r>
          </w:p>
        </w:tc>
        <w:tc>
          <w:tcPr>
            <w:tcW w:w="1418" w:type="dxa"/>
            <w:noWrap/>
          </w:tcPr>
          <w:p w14:paraId="76308781"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27/11/2019</w:t>
            </w:r>
          </w:p>
        </w:tc>
        <w:tc>
          <w:tcPr>
            <w:tcW w:w="1417" w:type="dxa"/>
          </w:tcPr>
          <w:p w14:paraId="3ECB660F"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10.99</w:t>
            </w:r>
          </w:p>
        </w:tc>
      </w:tr>
      <w:tr w:rsidR="006501A4" w:rsidRPr="009E3AA9" w14:paraId="74C1F7AC" w14:textId="77777777" w:rsidTr="0095397F">
        <w:trPr>
          <w:trHeight w:val="300"/>
        </w:trPr>
        <w:tc>
          <w:tcPr>
            <w:tcW w:w="1271" w:type="dxa"/>
          </w:tcPr>
          <w:p w14:paraId="41227E58"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3</w:t>
            </w:r>
          </w:p>
        </w:tc>
        <w:tc>
          <w:tcPr>
            <w:tcW w:w="2410" w:type="dxa"/>
            <w:noWrap/>
          </w:tcPr>
          <w:p w14:paraId="6355DE0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Edward/Kolety River</w:t>
            </w:r>
          </w:p>
        </w:tc>
        <w:tc>
          <w:tcPr>
            <w:tcW w:w="2551" w:type="dxa"/>
            <w:noWrap/>
          </w:tcPr>
          <w:p w14:paraId="7034314C"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Balpool (BP)</w:t>
            </w:r>
          </w:p>
        </w:tc>
        <w:tc>
          <w:tcPr>
            <w:tcW w:w="1418" w:type="dxa"/>
            <w:noWrap/>
          </w:tcPr>
          <w:p w14:paraId="1D5420A1"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26/11/2019</w:t>
            </w:r>
          </w:p>
        </w:tc>
        <w:tc>
          <w:tcPr>
            <w:tcW w:w="1417" w:type="dxa"/>
          </w:tcPr>
          <w:p w14:paraId="3F74893E"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10.55</w:t>
            </w:r>
          </w:p>
        </w:tc>
      </w:tr>
      <w:tr w:rsidR="006501A4" w:rsidRPr="009E3AA9" w14:paraId="54CB9732" w14:textId="77777777" w:rsidTr="0095397F">
        <w:trPr>
          <w:trHeight w:val="300"/>
        </w:trPr>
        <w:tc>
          <w:tcPr>
            <w:tcW w:w="1271" w:type="dxa"/>
          </w:tcPr>
          <w:p w14:paraId="50476DC1"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4</w:t>
            </w:r>
          </w:p>
        </w:tc>
        <w:tc>
          <w:tcPr>
            <w:tcW w:w="2410" w:type="dxa"/>
            <w:noWrap/>
          </w:tcPr>
          <w:p w14:paraId="5F4A7115"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Edward/Kolety River</w:t>
            </w:r>
          </w:p>
        </w:tc>
        <w:tc>
          <w:tcPr>
            <w:tcW w:w="2551" w:type="dxa"/>
            <w:noWrap/>
          </w:tcPr>
          <w:p w14:paraId="45E12904"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Kyalite State Forest (KY)</w:t>
            </w:r>
          </w:p>
        </w:tc>
        <w:tc>
          <w:tcPr>
            <w:tcW w:w="1418" w:type="dxa"/>
            <w:noWrap/>
          </w:tcPr>
          <w:p w14:paraId="69EF57FD"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25/11/2019</w:t>
            </w:r>
          </w:p>
        </w:tc>
        <w:tc>
          <w:tcPr>
            <w:tcW w:w="1417" w:type="dxa"/>
          </w:tcPr>
          <w:p w14:paraId="1E0F8770"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9.08</w:t>
            </w:r>
          </w:p>
        </w:tc>
      </w:tr>
      <w:tr w:rsidR="006501A4" w:rsidRPr="009E3AA9" w14:paraId="65AFFC66" w14:textId="77777777" w:rsidTr="0095397F">
        <w:trPr>
          <w:trHeight w:val="300"/>
        </w:trPr>
        <w:tc>
          <w:tcPr>
            <w:tcW w:w="1271" w:type="dxa"/>
          </w:tcPr>
          <w:p w14:paraId="21744C42"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5</w:t>
            </w:r>
          </w:p>
        </w:tc>
        <w:tc>
          <w:tcPr>
            <w:tcW w:w="2410" w:type="dxa"/>
            <w:noWrap/>
          </w:tcPr>
          <w:p w14:paraId="059E3375" w14:textId="77777777" w:rsidR="006501A4" w:rsidRPr="009E3AA9" w:rsidRDefault="006501A4" w:rsidP="0095397F">
            <w:pPr>
              <w:spacing w:after="120"/>
              <w:rPr>
                <w:rFonts w:eastAsia="Times New Roman" w:cs="Calibri"/>
                <w:color w:val="000000"/>
                <w:sz w:val="20"/>
                <w:lang w:eastAsia="en-AU"/>
              </w:rPr>
            </w:pPr>
            <w:r>
              <w:rPr>
                <w:rFonts w:eastAsia="Times New Roman" w:cs="Calibri"/>
                <w:color w:val="000000"/>
                <w:sz w:val="20"/>
                <w:lang w:eastAsia="en-AU"/>
              </w:rPr>
              <w:t>Wakool River</w:t>
            </w:r>
          </w:p>
        </w:tc>
        <w:tc>
          <w:tcPr>
            <w:tcW w:w="2551" w:type="dxa"/>
            <w:noWrap/>
          </w:tcPr>
          <w:p w14:paraId="2128BAD1" w14:textId="77777777" w:rsidR="006501A4" w:rsidRPr="009E3AA9" w:rsidRDefault="006501A4" w:rsidP="0095397F">
            <w:pPr>
              <w:spacing w:after="120"/>
              <w:rPr>
                <w:rFonts w:eastAsia="Times New Roman" w:cs="Calibri"/>
                <w:color w:val="000000"/>
                <w:sz w:val="20"/>
                <w:lang w:eastAsia="en-AU"/>
              </w:rPr>
            </w:pPr>
            <w:r>
              <w:rPr>
                <w:rFonts w:eastAsia="Times New Roman" w:cs="Calibri"/>
                <w:color w:val="000000"/>
                <w:sz w:val="20"/>
                <w:lang w:eastAsia="en-AU"/>
              </w:rPr>
              <w:t>Widgee1</w:t>
            </w:r>
            <w:r w:rsidRPr="009E3AA9">
              <w:rPr>
                <w:rFonts w:eastAsia="Times New Roman" w:cs="Calibri"/>
                <w:color w:val="000000"/>
                <w:sz w:val="20"/>
                <w:lang w:eastAsia="en-AU"/>
              </w:rPr>
              <w:t xml:space="preserve"> (WG)</w:t>
            </w:r>
          </w:p>
        </w:tc>
        <w:tc>
          <w:tcPr>
            <w:tcW w:w="1418" w:type="dxa"/>
            <w:noWrap/>
          </w:tcPr>
          <w:p w14:paraId="329396F4"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28/11/2019</w:t>
            </w:r>
          </w:p>
        </w:tc>
        <w:tc>
          <w:tcPr>
            <w:tcW w:w="1417" w:type="dxa"/>
          </w:tcPr>
          <w:p w14:paraId="6312DCDD"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9.39</w:t>
            </w:r>
          </w:p>
        </w:tc>
      </w:tr>
      <w:tr w:rsidR="006501A4" w:rsidRPr="009E3AA9" w14:paraId="4E406149" w14:textId="77777777" w:rsidTr="0095397F">
        <w:trPr>
          <w:trHeight w:val="300"/>
        </w:trPr>
        <w:tc>
          <w:tcPr>
            <w:tcW w:w="1271" w:type="dxa"/>
          </w:tcPr>
          <w:p w14:paraId="2B72C766"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6</w:t>
            </w:r>
          </w:p>
        </w:tc>
        <w:tc>
          <w:tcPr>
            <w:tcW w:w="2410" w:type="dxa"/>
            <w:noWrap/>
          </w:tcPr>
          <w:p w14:paraId="6D584E92"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Wakool River</w:t>
            </w:r>
          </w:p>
        </w:tc>
        <w:tc>
          <w:tcPr>
            <w:tcW w:w="2551" w:type="dxa"/>
            <w:noWrap/>
          </w:tcPr>
          <w:p w14:paraId="6FCB31E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Gee Gee (GG)</w:t>
            </w:r>
          </w:p>
        </w:tc>
        <w:tc>
          <w:tcPr>
            <w:tcW w:w="1418" w:type="dxa"/>
            <w:noWrap/>
          </w:tcPr>
          <w:p w14:paraId="61470060"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26/11/2019</w:t>
            </w:r>
          </w:p>
        </w:tc>
        <w:tc>
          <w:tcPr>
            <w:tcW w:w="1417" w:type="dxa"/>
          </w:tcPr>
          <w:p w14:paraId="7BE65463"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7.26</w:t>
            </w:r>
          </w:p>
        </w:tc>
      </w:tr>
      <w:tr w:rsidR="006501A4" w:rsidRPr="009E3AA9" w14:paraId="73359AEE" w14:textId="77777777" w:rsidTr="0095397F">
        <w:trPr>
          <w:trHeight w:val="300"/>
        </w:trPr>
        <w:tc>
          <w:tcPr>
            <w:tcW w:w="1271" w:type="dxa"/>
          </w:tcPr>
          <w:p w14:paraId="16E10929"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7</w:t>
            </w:r>
          </w:p>
        </w:tc>
        <w:tc>
          <w:tcPr>
            <w:tcW w:w="2410" w:type="dxa"/>
            <w:noWrap/>
          </w:tcPr>
          <w:p w14:paraId="522922FD"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Wakool River</w:t>
            </w:r>
          </w:p>
        </w:tc>
        <w:tc>
          <w:tcPr>
            <w:tcW w:w="2551" w:type="dxa"/>
            <w:noWrap/>
          </w:tcPr>
          <w:p w14:paraId="0F302D7D"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Stoney Creek Crossing (SC)</w:t>
            </w:r>
          </w:p>
        </w:tc>
        <w:tc>
          <w:tcPr>
            <w:tcW w:w="1418" w:type="dxa"/>
            <w:noWrap/>
          </w:tcPr>
          <w:p w14:paraId="464DC543"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25/11/2019</w:t>
            </w:r>
          </w:p>
        </w:tc>
        <w:tc>
          <w:tcPr>
            <w:tcW w:w="1417" w:type="dxa"/>
          </w:tcPr>
          <w:p w14:paraId="309585AA"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9.08</w:t>
            </w:r>
          </w:p>
        </w:tc>
      </w:tr>
      <w:tr w:rsidR="006501A4" w:rsidRPr="009E3AA9" w14:paraId="72756EA1" w14:textId="77777777" w:rsidTr="0095397F">
        <w:trPr>
          <w:trHeight w:val="300"/>
        </w:trPr>
        <w:tc>
          <w:tcPr>
            <w:tcW w:w="1271" w:type="dxa"/>
          </w:tcPr>
          <w:p w14:paraId="6A8583EF"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8</w:t>
            </w:r>
          </w:p>
        </w:tc>
        <w:tc>
          <w:tcPr>
            <w:tcW w:w="2410" w:type="dxa"/>
            <w:noWrap/>
          </w:tcPr>
          <w:p w14:paraId="1F23622F"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Colligen-Neimur River</w:t>
            </w:r>
          </w:p>
        </w:tc>
        <w:tc>
          <w:tcPr>
            <w:tcW w:w="2551" w:type="dxa"/>
            <w:noWrap/>
          </w:tcPr>
          <w:p w14:paraId="2B7A704E"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Calimo (CL)</w:t>
            </w:r>
          </w:p>
        </w:tc>
        <w:tc>
          <w:tcPr>
            <w:tcW w:w="1418" w:type="dxa"/>
            <w:noWrap/>
          </w:tcPr>
          <w:p w14:paraId="133321E7"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27/11/2019</w:t>
            </w:r>
          </w:p>
        </w:tc>
        <w:tc>
          <w:tcPr>
            <w:tcW w:w="1417" w:type="dxa"/>
          </w:tcPr>
          <w:p w14:paraId="2BA84BEC"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7.85</w:t>
            </w:r>
          </w:p>
        </w:tc>
      </w:tr>
      <w:tr w:rsidR="006501A4" w:rsidRPr="009E3AA9" w14:paraId="116A7C3B" w14:textId="77777777" w:rsidTr="0095397F">
        <w:trPr>
          <w:trHeight w:val="300"/>
        </w:trPr>
        <w:tc>
          <w:tcPr>
            <w:tcW w:w="1271" w:type="dxa"/>
          </w:tcPr>
          <w:p w14:paraId="1E2204C9"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9</w:t>
            </w:r>
          </w:p>
        </w:tc>
        <w:tc>
          <w:tcPr>
            <w:tcW w:w="2410" w:type="dxa"/>
            <w:noWrap/>
          </w:tcPr>
          <w:p w14:paraId="1A1E54E2"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Colligen-Neimur River</w:t>
            </w:r>
          </w:p>
        </w:tc>
        <w:tc>
          <w:tcPr>
            <w:tcW w:w="2551" w:type="dxa"/>
            <w:noWrap/>
          </w:tcPr>
          <w:p w14:paraId="18AB2EF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Mallan School (MS)</w:t>
            </w:r>
          </w:p>
        </w:tc>
        <w:tc>
          <w:tcPr>
            <w:tcW w:w="1418" w:type="dxa"/>
            <w:noWrap/>
          </w:tcPr>
          <w:p w14:paraId="7A361498"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25/11/2019</w:t>
            </w:r>
          </w:p>
        </w:tc>
        <w:tc>
          <w:tcPr>
            <w:tcW w:w="1417" w:type="dxa"/>
          </w:tcPr>
          <w:p w14:paraId="07C0FB04"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11.83</w:t>
            </w:r>
          </w:p>
        </w:tc>
      </w:tr>
      <w:tr w:rsidR="006501A4" w:rsidRPr="009E3AA9" w14:paraId="5AE3831B" w14:textId="77777777" w:rsidTr="0095397F">
        <w:trPr>
          <w:trHeight w:val="300"/>
        </w:trPr>
        <w:tc>
          <w:tcPr>
            <w:tcW w:w="1271" w:type="dxa"/>
          </w:tcPr>
          <w:p w14:paraId="3D2CAA9E"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10</w:t>
            </w:r>
          </w:p>
        </w:tc>
        <w:tc>
          <w:tcPr>
            <w:tcW w:w="2410" w:type="dxa"/>
            <w:noWrap/>
          </w:tcPr>
          <w:p w14:paraId="759A384D"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Yallakool Creek</w:t>
            </w:r>
          </w:p>
        </w:tc>
        <w:tc>
          <w:tcPr>
            <w:tcW w:w="2551" w:type="dxa"/>
            <w:noWrap/>
          </w:tcPr>
          <w:p w14:paraId="386ED80F"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Windra Vale2 (WV)</w:t>
            </w:r>
          </w:p>
        </w:tc>
        <w:tc>
          <w:tcPr>
            <w:tcW w:w="1418" w:type="dxa"/>
            <w:noWrap/>
          </w:tcPr>
          <w:p w14:paraId="0F639B7B"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28/11/2019</w:t>
            </w:r>
          </w:p>
        </w:tc>
        <w:tc>
          <w:tcPr>
            <w:tcW w:w="1417" w:type="dxa"/>
          </w:tcPr>
          <w:p w14:paraId="7B5083F7" w14:textId="77777777" w:rsidR="006501A4" w:rsidRPr="009E3AA9" w:rsidRDefault="006501A4" w:rsidP="0095397F">
            <w:pPr>
              <w:spacing w:after="120"/>
              <w:rPr>
                <w:rFonts w:eastAsia="Times New Roman" w:cs="Calibri"/>
                <w:color w:val="000000"/>
                <w:sz w:val="20"/>
                <w:lang w:eastAsia="en-AU"/>
              </w:rPr>
            </w:pPr>
            <w:r w:rsidRPr="009E3AA9">
              <w:rPr>
                <w:rFonts w:eastAsia="Times New Roman" w:cs="Calibri"/>
                <w:color w:val="000000"/>
                <w:sz w:val="20"/>
                <w:lang w:eastAsia="en-AU"/>
              </w:rPr>
              <w:t>9.30</w:t>
            </w:r>
          </w:p>
        </w:tc>
      </w:tr>
      <w:bookmarkEnd w:id="215"/>
    </w:tbl>
    <w:p w14:paraId="65297DB2" w14:textId="77777777" w:rsidR="006501A4"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0"/>
          <w:szCs w:val="20"/>
          <w:bdr w:val="none" w:sz="0" w:space="0" w:color="auto" w:frame="1"/>
        </w:rPr>
      </w:pPr>
    </w:p>
    <w:p w14:paraId="150FBA1E" w14:textId="77777777" w:rsidR="00D877B9" w:rsidRDefault="00D877B9">
      <w:pPr>
        <w:spacing w:after="0" w:line="240" w:lineRule="auto"/>
        <w:jc w:val="left"/>
        <w:rPr>
          <w:rFonts w:asciiTheme="minorHAnsi" w:eastAsia="Times New Roman" w:hAnsiTheme="minorHAnsi" w:cs="Calibri"/>
          <w:b/>
          <w:bCs/>
          <w:color w:val="201F1E"/>
          <w:sz w:val="20"/>
          <w:bdr w:val="none" w:sz="0" w:space="0" w:color="auto" w:frame="1"/>
          <w:lang w:eastAsia="en-AU"/>
        </w:rPr>
      </w:pPr>
      <w:r>
        <w:rPr>
          <w:rFonts w:asciiTheme="minorHAnsi" w:hAnsiTheme="minorHAnsi" w:cs="Calibri"/>
          <w:b/>
          <w:bCs/>
          <w:color w:val="201F1E"/>
          <w:sz w:val="20"/>
          <w:bdr w:val="none" w:sz="0" w:space="0" w:color="auto" w:frame="1"/>
        </w:rPr>
        <w:br w:type="page"/>
      </w:r>
    </w:p>
    <w:p w14:paraId="03C7FC2C" w14:textId="5FE2A639" w:rsidR="006501A4" w:rsidRPr="00364C60" w:rsidRDefault="006501A4" w:rsidP="00D877B9">
      <w:pPr>
        <w:pStyle w:val="xmsonormal"/>
        <w:shd w:val="clear" w:color="auto" w:fill="FFFFFF"/>
        <w:spacing w:before="0" w:beforeAutospacing="0" w:after="0" w:afterAutospacing="0"/>
        <w:contextualSpacing/>
        <w:textAlignment w:val="baseline"/>
        <w:rPr>
          <w:rFonts w:asciiTheme="minorHAnsi" w:hAnsiTheme="minorHAnsi" w:cs="Calibri"/>
          <w:color w:val="201F1E"/>
          <w:sz w:val="22"/>
          <w:szCs w:val="22"/>
          <w:bdr w:val="none" w:sz="0" w:space="0" w:color="auto" w:frame="1"/>
        </w:rPr>
      </w:pPr>
      <w:r w:rsidRPr="00283082">
        <w:rPr>
          <w:rFonts w:asciiTheme="minorHAnsi" w:hAnsiTheme="minorHAnsi" w:cs="Calibri"/>
          <w:b/>
          <w:bCs/>
          <w:color w:val="201F1E"/>
          <w:sz w:val="20"/>
          <w:szCs w:val="20"/>
          <w:bdr w:val="none" w:sz="0" w:space="0" w:color="auto" w:frame="1"/>
        </w:rPr>
        <w:t>Appendix 12.</w:t>
      </w:r>
      <w:r>
        <w:rPr>
          <w:rFonts w:asciiTheme="minorHAnsi" w:hAnsiTheme="minorHAnsi" w:cs="Calibri"/>
          <w:b/>
          <w:bCs/>
          <w:color w:val="201F1E"/>
          <w:sz w:val="20"/>
          <w:szCs w:val="20"/>
          <w:bdr w:val="none" w:sz="0" w:space="0" w:color="auto" w:frame="1"/>
        </w:rPr>
        <w:t>3</w:t>
      </w:r>
      <w:r w:rsidRPr="00E65EAD">
        <w:rPr>
          <w:rFonts w:asciiTheme="minorHAnsi" w:hAnsiTheme="minorHAnsi" w:cs="Calibri"/>
          <w:color w:val="201F1E"/>
          <w:sz w:val="20"/>
          <w:szCs w:val="20"/>
          <w:bdr w:val="none" w:sz="0" w:space="0" w:color="auto" w:frame="1"/>
        </w:rPr>
        <w:t xml:space="preserve"> The closely related species (at the family level) that co-occur with the target species that were included in the specificity test for each assay. In some cases, amplification was detected in the non-target species </w:t>
      </w:r>
      <w:r>
        <w:rPr>
          <w:rFonts w:asciiTheme="minorHAnsi" w:hAnsiTheme="minorHAnsi" w:cs="Calibri"/>
          <w:color w:val="201F1E"/>
          <w:sz w:val="20"/>
          <w:szCs w:val="20"/>
          <w:bdr w:val="none" w:sz="0" w:space="0" w:color="auto" w:frame="1"/>
        </w:rPr>
        <w:t xml:space="preserve">during PCR </w:t>
      </w:r>
      <w:r w:rsidRPr="00E65EAD">
        <w:rPr>
          <w:rFonts w:asciiTheme="minorHAnsi" w:hAnsiTheme="minorHAnsi" w:cs="Calibri"/>
          <w:color w:val="201F1E"/>
          <w:sz w:val="20"/>
          <w:szCs w:val="20"/>
          <w:bdr w:val="none" w:sz="0" w:space="0" w:color="auto" w:frame="1"/>
        </w:rPr>
        <w:t>that was the result of contaminating DNA from the target species (</w:t>
      </w:r>
      <w:r>
        <w:rPr>
          <w:rFonts w:asciiTheme="minorHAnsi" w:hAnsiTheme="minorHAnsi" w:cs="Calibri"/>
          <w:color w:val="201F1E"/>
          <w:sz w:val="20"/>
          <w:szCs w:val="20"/>
          <w:bdr w:val="none" w:sz="0" w:space="0" w:color="auto" w:frame="1"/>
        </w:rPr>
        <w:t>PCR test result</w:t>
      </w:r>
      <w:r w:rsidRPr="00E65EAD">
        <w:rPr>
          <w:rFonts w:asciiTheme="minorHAnsi" w:hAnsiTheme="minorHAnsi" w:cs="Calibri"/>
          <w:color w:val="201F1E"/>
          <w:sz w:val="20"/>
          <w:szCs w:val="20"/>
          <w:bdr w:val="none" w:sz="0" w:space="0" w:color="auto" w:frame="1"/>
        </w:rPr>
        <w:t>) that occurred at the time of fin-clip sampling of the non-target species.</w:t>
      </w:r>
      <w:r w:rsidRPr="00FC6608">
        <w:rPr>
          <w:rFonts w:asciiTheme="minorHAnsi" w:hAnsiTheme="minorHAnsi" w:cs="Calibri"/>
          <w:color w:val="201F1E"/>
          <w:sz w:val="20"/>
          <w:szCs w:val="20"/>
          <w:bdr w:val="none" w:sz="0" w:space="0" w:color="auto" w:frame="1"/>
        </w:rPr>
        <w:t xml:space="preserve"> </w:t>
      </w:r>
      <w:r w:rsidRPr="00E65EAD">
        <w:rPr>
          <w:rFonts w:asciiTheme="minorHAnsi" w:hAnsiTheme="minorHAnsi" w:cs="Calibri"/>
          <w:color w:val="201F1E"/>
          <w:sz w:val="20"/>
          <w:szCs w:val="20"/>
          <w:bdr w:val="none" w:sz="0" w:space="0" w:color="auto" w:frame="1"/>
        </w:rPr>
        <w:t>To confirm</w:t>
      </w:r>
      <w:r>
        <w:rPr>
          <w:rFonts w:asciiTheme="minorHAnsi" w:hAnsiTheme="minorHAnsi" w:cs="Calibri"/>
          <w:color w:val="201F1E"/>
          <w:sz w:val="20"/>
          <w:szCs w:val="20"/>
          <w:bdr w:val="none" w:sz="0" w:space="0" w:color="auto" w:frame="1"/>
        </w:rPr>
        <w:t xml:space="preserve"> any</w:t>
      </w:r>
      <w:r w:rsidRPr="00E65EAD">
        <w:rPr>
          <w:rFonts w:asciiTheme="minorHAnsi" w:hAnsiTheme="minorHAnsi" w:cs="Calibri"/>
          <w:color w:val="201F1E"/>
          <w:sz w:val="20"/>
          <w:szCs w:val="20"/>
          <w:bdr w:val="none" w:sz="0" w:space="0" w:color="auto" w:frame="1"/>
        </w:rPr>
        <w:t xml:space="preserve"> non-</w:t>
      </w:r>
      <w:r>
        <w:rPr>
          <w:rFonts w:asciiTheme="minorHAnsi" w:hAnsiTheme="minorHAnsi" w:cs="Calibri"/>
          <w:color w:val="201F1E"/>
          <w:sz w:val="20"/>
          <w:szCs w:val="20"/>
          <w:bdr w:val="none" w:sz="0" w:space="0" w:color="auto" w:frame="1"/>
        </w:rPr>
        <w:t>target</w:t>
      </w:r>
      <w:r w:rsidRPr="00E65EAD">
        <w:rPr>
          <w:rFonts w:asciiTheme="minorHAnsi" w:hAnsiTheme="minorHAnsi" w:cs="Calibri"/>
          <w:color w:val="201F1E"/>
          <w:sz w:val="20"/>
          <w:szCs w:val="20"/>
          <w:bdr w:val="none" w:sz="0" w:space="0" w:color="auto" w:frame="1"/>
        </w:rPr>
        <w:t xml:space="preserve"> amplification, Sanger sequencing was conducted</w:t>
      </w:r>
      <w:r>
        <w:rPr>
          <w:rFonts w:asciiTheme="minorHAnsi" w:hAnsiTheme="minorHAnsi" w:cs="Calibri"/>
          <w:color w:val="201F1E"/>
          <w:sz w:val="20"/>
          <w:szCs w:val="20"/>
          <w:bdr w:val="none" w:sz="0" w:space="0" w:color="auto" w:frame="1"/>
        </w:rPr>
        <w:t xml:space="preserve"> (Sanger sequencing test result). The final column details the final result of any non-target amplification success. </w:t>
      </w:r>
    </w:p>
    <w:tbl>
      <w:tblPr>
        <w:tblW w:w="9072" w:type="dxa"/>
        <w:tblInd w:w="-5" w:type="dxa"/>
        <w:tblLook w:val="04A0" w:firstRow="1" w:lastRow="0" w:firstColumn="1" w:lastColumn="0" w:noHBand="0" w:noVBand="1"/>
      </w:tblPr>
      <w:tblGrid>
        <w:gridCol w:w="2055"/>
        <w:gridCol w:w="2712"/>
        <w:gridCol w:w="1452"/>
        <w:gridCol w:w="1401"/>
        <w:gridCol w:w="1452"/>
      </w:tblGrid>
      <w:tr w:rsidR="006501A4" w:rsidRPr="008678EE" w14:paraId="65F07FD6" w14:textId="77777777" w:rsidTr="00D877B9">
        <w:trPr>
          <w:trHeight w:val="397"/>
        </w:trPr>
        <w:tc>
          <w:tcPr>
            <w:tcW w:w="2055" w:type="dxa"/>
            <w:tcBorders>
              <w:top w:val="single" w:sz="4" w:space="0" w:color="auto"/>
              <w:left w:val="single" w:sz="4" w:space="0" w:color="auto"/>
              <w:bottom w:val="single" w:sz="4" w:space="0" w:color="auto"/>
              <w:right w:val="nil"/>
            </w:tcBorders>
            <w:shd w:val="clear" w:color="auto" w:fill="92CDDC"/>
            <w:vAlign w:val="center"/>
          </w:tcPr>
          <w:p w14:paraId="2A21C3AE" w14:textId="77777777" w:rsidR="006501A4" w:rsidRPr="00562DA4" w:rsidRDefault="006501A4" w:rsidP="00D877B9">
            <w:pPr>
              <w:spacing w:after="0" w:line="240" w:lineRule="auto"/>
              <w:rPr>
                <w:b/>
                <w:sz w:val="20"/>
              </w:rPr>
            </w:pPr>
            <w:r w:rsidRPr="00562DA4">
              <w:rPr>
                <w:b/>
                <w:sz w:val="20"/>
              </w:rPr>
              <w:t>Target species</w:t>
            </w:r>
          </w:p>
        </w:tc>
        <w:tc>
          <w:tcPr>
            <w:tcW w:w="2712" w:type="dxa"/>
            <w:tcBorders>
              <w:top w:val="single" w:sz="4" w:space="0" w:color="auto"/>
              <w:left w:val="nil"/>
              <w:bottom w:val="single" w:sz="4" w:space="0" w:color="auto"/>
              <w:right w:val="nil"/>
            </w:tcBorders>
            <w:shd w:val="clear" w:color="auto" w:fill="92CDDC"/>
            <w:vAlign w:val="center"/>
          </w:tcPr>
          <w:p w14:paraId="6C5CBDAE" w14:textId="77777777" w:rsidR="006501A4" w:rsidRPr="00562DA4" w:rsidRDefault="006501A4" w:rsidP="00D877B9">
            <w:pPr>
              <w:spacing w:after="0" w:line="240" w:lineRule="auto"/>
              <w:rPr>
                <w:b/>
                <w:sz w:val="20"/>
              </w:rPr>
            </w:pPr>
            <w:r w:rsidRPr="00562DA4">
              <w:rPr>
                <w:b/>
                <w:sz w:val="20"/>
              </w:rPr>
              <w:t>Species tested</w:t>
            </w:r>
          </w:p>
        </w:tc>
        <w:tc>
          <w:tcPr>
            <w:tcW w:w="1452" w:type="dxa"/>
            <w:tcBorders>
              <w:top w:val="single" w:sz="4" w:space="0" w:color="auto"/>
              <w:left w:val="nil"/>
              <w:bottom w:val="single" w:sz="4" w:space="0" w:color="auto"/>
              <w:right w:val="nil"/>
            </w:tcBorders>
            <w:shd w:val="clear" w:color="auto" w:fill="92CDDC"/>
            <w:vAlign w:val="center"/>
          </w:tcPr>
          <w:p w14:paraId="3CE5A363" w14:textId="77777777" w:rsidR="006501A4" w:rsidRPr="00562DA4" w:rsidRDefault="006501A4" w:rsidP="00D877B9">
            <w:pPr>
              <w:spacing w:after="0" w:line="240" w:lineRule="auto"/>
              <w:jc w:val="center"/>
              <w:rPr>
                <w:b/>
                <w:sz w:val="20"/>
              </w:rPr>
            </w:pPr>
            <w:r>
              <w:rPr>
                <w:b/>
                <w:sz w:val="20"/>
              </w:rPr>
              <w:t>Was there amplification of the DNA from the species tested?</w:t>
            </w:r>
          </w:p>
        </w:tc>
        <w:tc>
          <w:tcPr>
            <w:tcW w:w="1401" w:type="dxa"/>
            <w:tcBorders>
              <w:top w:val="single" w:sz="4" w:space="0" w:color="auto"/>
              <w:left w:val="nil"/>
              <w:bottom w:val="single" w:sz="4" w:space="0" w:color="auto"/>
              <w:right w:val="nil"/>
            </w:tcBorders>
            <w:shd w:val="clear" w:color="auto" w:fill="92CDDC"/>
            <w:vAlign w:val="center"/>
          </w:tcPr>
          <w:p w14:paraId="50B9EB73" w14:textId="77777777" w:rsidR="006501A4" w:rsidRPr="00562DA4" w:rsidRDefault="006501A4" w:rsidP="00D877B9">
            <w:pPr>
              <w:spacing w:after="0" w:line="240" w:lineRule="auto"/>
              <w:jc w:val="center"/>
              <w:rPr>
                <w:b/>
                <w:sz w:val="20"/>
              </w:rPr>
            </w:pPr>
            <w:r>
              <w:rPr>
                <w:b/>
                <w:sz w:val="20"/>
              </w:rPr>
              <w:t>Did sequencing confirm that the DNA was a match to the species tested?</w:t>
            </w:r>
          </w:p>
        </w:tc>
        <w:tc>
          <w:tcPr>
            <w:tcW w:w="1452" w:type="dxa"/>
            <w:tcBorders>
              <w:top w:val="single" w:sz="4" w:space="0" w:color="auto"/>
              <w:left w:val="nil"/>
              <w:bottom w:val="single" w:sz="4" w:space="0" w:color="auto"/>
              <w:right w:val="single" w:sz="4" w:space="0" w:color="auto"/>
            </w:tcBorders>
            <w:shd w:val="clear" w:color="auto" w:fill="92CDDC"/>
            <w:vAlign w:val="center"/>
          </w:tcPr>
          <w:p w14:paraId="078A767E" w14:textId="77777777" w:rsidR="006501A4" w:rsidRPr="00562DA4" w:rsidRDefault="006501A4" w:rsidP="00D877B9">
            <w:pPr>
              <w:spacing w:after="0" w:line="240" w:lineRule="auto"/>
              <w:jc w:val="center"/>
              <w:rPr>
                <w:b/>
                <w:sz w:val="20"/>
              </w:rPr>
            </w:pPr>
            <w:r w:rsidRPr="00562DA4">
              <w:rPr>
                <w:b/>
                <w:sz w:val="20"/>
              </w:rPr>
              <w:t>Final amplification result</w:t>
            </w:r>
          </w:p>
        </w:tc>
      </w:tr>
      <w:tr w:rsidR="006501A4" w:rsidRPr="008678EE" w14:paraId="23D06399" w14:textId="77777777" w:rsidTr="00D877B9">
        <w:trPr>
          <w:trHeight w:val="283"/>
        </w:trPr>
        <w:tc>
          <w:tcPr>
            <w:tcW w:w="2055" w:type="dxa"/>
            <w:tcBorders>
              <w:top w:val="single" w:sz="4" w:space="0" w:color="auto"/>
              <w:left w:val="single" w:sz="4" w:space="0" w:color="auto"/>
              <w:bottom w:val="nil"/>
              <w:right w:val="nil"/>
            </w:tcBorders>
            <w:vAlign w:val="center"/>
          </w:tcPr>
          <w:p w14:paraId="56651A32" w14:textId="77777777" w:rsidR="006501A4" w:rsidRPr="00562DA4" w:rsidRDefault="006501A4" w:rsidP="00D877B9">
            <w:pPr>
              <w:spacing w:after="0" w:line="240" w:lineRule="auto"/>
              <w:jc w:val="left"/>
              <w:rPr>
                <w:rFonts w:cstheme="minorHAnsi"/>
                <w:sz w:val="20"/>
              </w:rPr>
            </w:pPr>
            <w:r w:rsidRPr="00562DA4">
              <w:rPr>
                <w:rFonts w:cstheme="minorHAnsi"/>
                <w:sz w:val="20"/>
              </w:rPr>
              <w:t>Murray cod</w:t>
            </w:r>
            <w:r>
              <w:rPr>
                <w:rFonts w:cstheme="minorHAnsi"/>
                <w:sz w:val="20"/>
              </w:rPr>
              <w:t xml:space="preserve"> (</w:t>
            </w:r>
            <w:r w:rsidRPr="00C51065">
              <w:rPr>
                <w:rFonts w:cstheme="minorHAnsi"/>
                <w:i/>
                <w:iCs/>
                <w:sz w:val="20"/>
              </w:rPr>
              <w:t>Maccullochella peelii</w:t>
            </w:r>
            <w:r>
              <w:rPr>
                <w:rFonts w:cstheme="minorHAnsi"/>
                <w:sz w:val="20"/>
              </w:rPr>
              <w:t>)</w:t>
            </w:r>
          </w:p>
        </w:tc>
        <w:tc>
          <w:tcPr>
            <w:tcW w:w="2712" w:type="dxa"/>
            <w:tcBorders>
              <w:top w:val="single" w:sz="4" w:space="0" w:color="auto"/>
              <w:left w:val="nil"/>
              <w:bottom w:val="nil"/>
              <w:right w:val="nil"/>
            </w:tcBorders>
            <w:vAlign w:val="center"/>
          </w:tcPr>
          <w:p w14:paraId="7FAAC7C0" w14:textId="77777777" w:rsidR="006501A4" w:rsidRPr="00562DA4" w:rsidRDefault="006501A4" w:rsidP="00D877B9">
            <w:pPr>
              <w:spacing w:after="0" w:line="240" w:lineRule="auto"/>
              <w:rPr>
                <w:rFonts w:cstheme="minorHAnsi"/>
                <w:i/>
                <w:sz w:val="20"/>
              </w:rPr>
            </w:pPr>
            <w:r w:rsidRPr="00562DA4">
              <w:rPr>
                <w:rFonts w:cstheme="minorHAnsi"/>
                <w:i/>
                <w:sz w:val="20"/>
              </w:rPr>
              <w:t>Maccullochella macquariensis</w:t>
            </w:r>
          </w:p>
        </w:tc>
        <w:tc>
          <w:tcPr>
            <w:tcW w:w="1452" w:type="dxa"/>
            <w:tcBorders>
              <w:top w:val="single" w:sz="4" w:space="0" w:color="auto"/>
              <w:left w:val="nil"/>
              <w:bottom w:val="nil"/>
              <w:right w:val="nil"/>
            </w:tcBorders>
            <w:vAlign w:val="center"/>
          </w:tcPr>
          <w:p w14:paraId="55BE1DEA"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single" w:sz="4" w:space="0" w:color="auto"/>
              <w:left w:val="nil"/>
              <w:bottom w:val="nil"/>
              <w:right w:val="nil"/>
            </w:tcBorders>
            <w:vAlign w:val="center"/>
          </w:tcPr>
          <w:p w14:paraId="798E7BF0"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single" w:sz="4" w:space="0" w:color="auto"/>
              <w:left w:val="nil"/>
              <w:bottom w:val="nil"/>
              <w:right w:val="single" w:sz="4" w:space="0" w:color="auto"/>
            </w:tcBorders>
            <w:vAlign w:val="center"/>
          </w:tcPr>
          <w:p w14:paraId="6A358F89"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5D2F0A3E" w14:textId="77777777" w:rsidTr="00D877B9">
        <w:trPr>
          <w:trHeight w:val="283"/>
        </w:trPr>
        <w:tc>
          <w:tcPr>
            <w:tcW w:w="2055" w:type="dxa"/>
            <w:tcBorders>
              <w:top w:val="nil"/>
              <w:left w:val="single" w:sz="4" w:space="0" w:color="auto"/>
              <w:bottom w:val="nil"/>
              <w:right w:val="nil"/>
            </w:tcBorders>
            <w:vAlign w:val="center"/>
          </w:tcPr>
          <w:p w14:paraId="0C899C7B"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1644E17E" w14:textId="77777777" w:rsidR="006501A4" w:rsidRPr="00562DA4" w:rsidRDefault="006501A4" w:rsidP="00D877B9">
            <w:pPr>
              <w:spacing w:after="0" w:line="240" w:lineRule="auto"/>
              <w:rPr>
                <w:rFonts w:cstheme="minorHAnsi"/>
                <w:i/>
                <w:sz w:val="20"/>
              </w:rPr>
            </w:pPr>
            <w:r w:rsidRPr="00562DA4">
              <w:rPr>
                <w:rFonts w:cstheme="minorHAnsi"/>
                <w:i/>
                <w:sz w:val="20"/>
              </w:rPr>
              <w:t>Macquaria ambigua</w:t>
            </w:r>
          </w:p>
        </w:tc>
        <w:tc>
          <w:tcPr>
            <w:tcW w:w="1452" w:type="dxa"/>
            <w:tcBorders>
              <w:top w:val="nil"/>
              <w:left w:val="nil"/>
              <w:bottom w:val="nil"/>
              <w:right w:val="nil"/>
            </w:tcBorders>
            <w:vAlign w:val="center"/>
          </w:tcPr>
          <w:p w14:paraId="6B8B6B33"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5E9C67DB"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31491ECA"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52B4253C" w14:textId="77777777" w:rsidTr="00D877B9">
        <w:trPr>
          <w:trHeight w:val="283"/>
        </w:trPr>
        <w:tc>
          <w:tcPr>
            <w:tcW w:w="2055" w:type="dxa"/>
            <w:tcBorders>
              <w:top w:val="nil"/>
              <w:left w:val="single" w:sz="4" w:space="0" w:color="auto"/>
              <w:bottom w:val="nil"/>
              <w:right w:val="nil"/>
            </w:tcBorders>
            <w:vAlign w:val="center"/>
          </w:tcPr>
          <w:p w14:paraId="70A8C4B6"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158F724E" w14:textId="77777777" w:rsidR="006501A4" w:rsidRPr="00562DA4" w:rsidRDefault="006501A4" w:rsidP="00D877B9">
            <w:pPr>
              <w:spacing w:after="0" w:line="240" w:lineRule="auto"/>
              <w:rPr>
                <w:rFonts w:cstheme="minorHAnsi"/>
                <w:i/>
                <w:sz w:val="20"/>
              </w:rPr>
            </w:pPr>
            <w:r w:rsidRPr="00562DA4">
              <w:rPr>
                <w:rFonts w:cstheme="minorHAnsi"/>
                <w:i/>
                <w:sz w:val="20"/>
              </w:rPr>
              <w:t>Macquaria australasica</w:t>
            </w:r>
          </w:p>
        </w:tc>
        <w:tc>
          <w:tcPr>
            <w:tcW w:w="1452" w:type="dxa"/>
            <w:tcBorders>
              <w:top w:val="nil"/>
              <w:left w:val="nil"/>
              <w:bottom w:val="nil"/>
              <w:right w:val="nil"/>
            </w:tcBorders>
            <w:vAlign w:val="center"/>
          </w:tcPr>
          <w:p w14:paraId="3B20DB4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7689DEF4"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223B2982"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3CE6D8F8" w14:textId="77777777" w:rsidTr="00D877B9">
        <w:trPr>
          <w:trHeight w:val="283"/>
        </w:trPr>
        <w:tc>
          <w:tcPr>
            <w:tcW w:w="2055" w:type="dxa"/>
            <w:tcBorders>
              <w:top w:val="nil"/>
              <w:left w:val="single" w:sz="4" w:space="0" w:color="auto"/>
              <w:bottom w:val="nil"/>
              <w:right w:val="nil"/>
            </w:tcBorders>
            <w:vAlign w:val="center"/>
          </w:tcPr>
          <w:p w14:paraId="640553CC"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3B6CB39E" w14:textId="77777777" w:rsidR="006501A4" w:rsidRPr="00562DA4" w:rsidRDefault="006501A4" w:rsidP="00D877B9">
            <w:pPr>
              <w:spacing w:after="0" w:line="240" w:lineRule="auto"/>
              <w:rPr>
                <w:rFonts w:cstheme="minorHAnsi"/>
                <w:i/>
                <w:sz w:val="20"/>
              </w:rPr>
            </w:pPr>
            <w:r w:rsidRPr="00562DA4">
              <w:rPr>
                <w:rFonts w:cstheme="minorHAnsi"/>
                <w:i/>
                <w:sz w:val="20"/>
              </w:rPr>
              <w:t>Gadopsis marmoratus</w:t>
            </w:r>
          </w:p>
        </w:tc>
        <w:tc>
          <w:tcPr>
            <w:tcW w:w="1452" w:type="dxa"/>
            <w:tcBorders>
              <w:top w:val="nil"/>
              <w:left w:val="nil"/>
              <w:bottom w:val="nil"/>
              <w:right w:val="nil"/>
            </w:tcBorders>
            <w:vAlign w:val="center"/>
          </w:tcPr>
          <w:p w14:paraId="54338D90"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58CAACFF"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725B8AC0"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5362B391" w14:textId="77777777" w:rsidTr="00D877B9">
        <w:trPr>
          <w:trHeight w:val="283"/>
        </w:trPr>
        <w:tc>
          <w:tcPr>
            <w:tcW w:w="2055" w:type="dxa"/>
            <w:tcBorders>
              <w:top w:val="nil"/>
              <w:left w:val="single" w:sz="4" w:space="0" w:color="auto"/>
              <w:bottom w:val="nil"/>
              <w:right w:val="nil"/>
            </w:tcBorders>
            <w:vAlign w:val="center"/>
          </w:tcPr>
          <w:p w14:paraId="7F1E6740"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4C6BF531" w14:textId="77777777" w:rsidR="006501A4" w:rsidRPr="00562DA4" w:rsidRDefault="006501A4" w:rsidP="00D877B9">
            <w:pPr>
              <w:spacing w:after="0" w:line="240" w:lineRule="auto"/>
              <w:rPr>
                <w:rFonts w:cstheme="minorHAnsi"/>
                <w:i/>
                <w:sz w:val="20"/>
              </w:rPr>
            </w:pPr>
            <w:r w:rsidRPr="00562DA4">
              <w:rPr>
                <w:rFonts w:cstheme="minorHAnsi"/>
                <w:i/>
                <w:sz w:val="20"/>
              </w:rPr>
              <w:t>Gadopsis bispinosus</w:t>
            </w:r>
          </w:p>
        </w:tc>
        <w:tc>
          <w:tcPr>
            <w:tcW w:w="1452" w:type="dxa"/>
            <w:tcBorders>
              <w:top w:val="nil"/>
              <w:left w:val="nil"/>
              <w:bottom w:val="nil"/>
              <w:right w:val="nil"/>
            </w:tcBorders>
            <w:vAlign w:val="center"/>
          </w:tcPr>
          <w:p w14:paraId="64AA24DA"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6E54A70B"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409947C2"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46981E9A" w14:textId="77777777" w:rsidTr="00D877B9">
        <w:trPr>
          <w:trHeight w:val="283"/>
        </w:trPr>
        <w:tc>
          <w:tcPr>
            <w:tcW w:w="2055" w:type="dxa"/>
            <w:tcBorders>
              <w:top w:val="nil"/>
              <w:left w:val="single" w:sz="4" w:space="0" w:color="auto"/>
              <w:bottom w:val="nil"/>
              <w:right w:val="nil"/>
            </w:tcBorders>
            <w:vAlign w:val="center"/>
          </w:tcPr>
          <w:p w14:paraId="0C8FB691"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005B99F1" w14:textId="77777777" w:rsidR="006501A4" w:rsidRPr="00562DA4" w:rsidRDefault="006501A4" w:rsidP="00D877B9">
            <w:pPr>
              <w:spacing w:after="0" w:line="240" w:lineRule="auto"/>
              <w:rPr>
                <w:rFonts w:cstheme="minorHAnsi"/>
                <w:i/>
                <w:sz w:val="20"/>
              </w:rPr>
            </w:pPr>
            <w:r w:rsidRPr="00562DA4">
              <w:rPr>
                <w:rFonts w:cstheme="minorHAnsi"/>
                <w:i/>
                <w:sz w:val="20"/>
              </w:rPr>
              <w:t>Nannoperca australis</w:t>
            </w:r>
          </w:p>
        </w:tc>
        <w:tc>
          <w:tcPr>
            <w:tcW w:w="1452" w:type="dxa"/>
            <w:tcBorders>
              <w:top w:val="nil"/>
              <w:left w:val="nil"/>
              <w:bottom w:val="nil"/>
              <w:right w:val="nil"/>
            </w:tcBorders>
            <w:vAlign w:val="center"/>
          </w:tcPr>
          <w:p w14:paraId="552D6E0B"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4AE37E61"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1474240F"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790A7632" w14:textId="77777777" w:rsidTr="00D877B9">
        <w:trPr>
          <w:trHeight w:val="283"/>
        </w:trPr>
        <w:tc>
          <w:tcPr>
            <w:tcW w:w="2055" w:type="dxa"/>
            <w:tcBorders>
              <w:top w:val="nil"/>
              <w:left w:val="single" w:sz="4" w:space="0" w:color="auto"/>
              <w:bottom w:val="nil"/>
              <w:right w:val="nil"/>
            </w:tcBorders>
            <w:vAlign w:val="center"/>
          </w:tcPr>
          <w:p w14:paraId="54DADAE7"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6B0CAB67" w14:textId="77777777" w:rsidR="006501A4" w:rsidRPr="00562DA4" w:rsidRDefault="006501A4" w:rsidP="00D877B9">
            <w:pPr>
              <w:spacing w:after="0" w:line="240" w:lineRule="auto"/>
              <w:rPr>
                <w:rFonts w:cstheme="minorHAnsi"/>
                <w:i/>
                <w:sz w:val="20"/>
              </w:rPr>
            </w:pPr>
            <w:r w:rsidRPr="00562DA4">
              <w:rPr>
                <w:rFonts w:cstheme="minorHAnsi"/>
                <w:i/>
                <w:sz w:val="20"/>
              </w:rPr>
              <w:t xml:space="preserve">Maccullochella ikei </w:t>
            </w:r>
            <w:r w:rsidRPr="00562DA4">
              <w:rPr>
                <w:rFonts w:cstheme="minorHAnsi"/>
                <w:sz w:val="20"/>
                <w:vertAlign w:val="superscript"/>
              </w:rPr>
              <w:t>†</w:t>
            </w:r>
          </w:p>
        </w:tc>
        <w:tc>
          <w:tcPr>
            <w:tcW w:w="1452" w:type="dxa"/>
            <w:tcBorders>
              <w:top w:val="nil"/>
              <w:left w:val="nil"/>
              <w:bottom w:val="nil"/>
              <w:right w:val="nil"/>
            </w:tcBorders>
            <w:vAlign w:val="center"/>
          </w:tcPr>
          <w:p w14:paraId="6018864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27E529CA"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52" w:type="dxa"/>
            <w:tcBorders>
              <w:top w:val="nil"/>
              <w:left w:val="nil"/>
              <w:bottom w:val="nil"/>
              <w:right w:val="single" w:sz="4" w:space="0" w:color="auto"/>
            </w:tcBorders>
            <w:vAlign w:val="center"/>
          </w:tcPr>
          <w:p w14:paraId="1D8100DA"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Yes</w:t>
            </w:r>
          </w:p>
        </w:tc>
      </w:tr>
      <w:tr w:rsidR="006501A4" w:rsidRPr="008678EE" w14:paraId="2194976A" w14:textId="77777777" w:rsidTr="00D877B9">
        <w:trPr>
          <w:trHeight w:val="283"/>
        </w:trPr>
        <w:tc>
          <w:tcPr>
            <w:tcW w:w="2055" w:type="dxa"/>
            <w:tcBorders>
              <w:top w:val="nil"/>
              <w:left w:val="single" w:sz="4" w:space="0" w:color="auto"/>
              <w:bottom w:val="nil"/>
              <w:right w:val="nil"/>
            </w:tcBorders>
            <w:vAlign w:val="center"/>
          </w:tcPr>
          <w:p w14:paraId="2165558D"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478FBF97" w14:textId="77777777" w:rsidR="006501A4" w:rsidRPr="00562DA4" w:rsidRDefault="006501A4" w:rsidP="00D877B9">
            <w:pPr>
              <w:spacing w:after="0" w:line="240" w:lineRule="auto"/>
              <w:rPr>
                <w:rFonts w:cstheme="minorHAnsi"/>
                <w:i/>
                <w:sz w:val="20"/>
              </w:rPr>
            </w:pPr>
            <w:r w:rsidRPr="00562DA4">
              <w:rPr>
                <w:rFonts w:cstheme="minorHAnsi"/>
                <w:i/>
                <w:sz w:val="20"/>
              </w:rPr>
              <w:t xml:space="preserve">Maccullochella mariensis </w:t>
            </w:r>
            <w:r w:rsidRPr="00562DA4">
              <w:rPr>
                <w:rFonts w:cstheme="minorHAnsi"/>
                <w:sz w:val="20"/>
                <w:vertAlign w:val="superscript"/>
              </w:rPr>
              <w:t>†</w:t>
            </w:r>
          </w:p>
        </w:tc>
        <w:tc>
          <w:tcPr>
            <w:tcW w:w="1452" w:type="dxa"/>
            <w:tcBorders>
              <w:top w:val="nil"/>
              <w:left w:val="nil"/>
              <w:bottom w:val="nil"/>
              <w:right w:val="nil"/>
            </w:tcBorders>
            <w:vAlign w:val="center"/>
          </w:tcPr>
          <w:p w14:paraId="70B5D4A0"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0AAAF6F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52" w:type="dxa"/>
            <w:tcBorders>
              <w:top w:val="nil"/>
              <w:left w:val="nil"/>
              <w:bottom w:val="nil"/>
              <w:right w:val="single" w:sz="4" w:space="0" w:color="auto"/>
            </w:tcBorders>
            <w:vAlign w:val="center"/>
          </w:tcPr>
          <w:p w14:paraId="5BD1FAEF"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Yes</w:t>
            </w:r>
          </w:p>
        </w:tc>
      </w:tr>
      <w:tr w:rsidR="006501A4" w:rsidRPr="008678EE" w14:paraId="7A83EC5D" w14:textId="77777777" w:rsidTr="00D877B9">
        <w:trPr>
          <w:trHeight w:val="283"/>
        </w:trPr>
        <w:tc>
          <w:tcPr>
            <w:tcW w:w="2055" w:type="dxa"/>
            <w:tcBorders>
              <w:top w:val="single" w:sz="4" w:space="0" w:color="auto"/>
              <w:left w:val="single" w:sz="4" w:space="0" w:color="auto"/>
              <w:bottom w:val="nil"/>
              <w:right w:val="nil"/>
            </w:tcBorders>
            <w:vAlign w:val="center"/>
          </w:tcPr>
          <w:p w14:paraId="2CBF531A" w14:textId="77777777" w:rsidR="006501A4" w:rsidRPr="00562DA4" w:rsidRDefault="006501A4" w:rsidP="00D877B9">
            <w:pPr>
              <w:spacing w:after="0" w:line="240" w:lineRule="auto"/>
              <w:jc w:val="left"/>
              <w:rPr>
                <w:rFonts w:cstheme="minorHAnsi"/>
                <w:sz w:val="20"/>
              </w:rPr>
            </w:pPr>
            <w:r w:rsidRPr="00562DA4">
              <w:rPr>
                <w:rFonts w:cstheme="minorHAnsi"/>
                <w:sz w:val="20"/>
              </w:rPr>
              <w:t xml:space="preserve">Trout cod </w:t>
            </w:r>
            <w:r>
              <w:rPr>
                <w:rFonts w:cstheme="minorHAnsi"/>
                <w:sz w:val="20"/>
              </w:rPr>
              <w:t>(</w:t>
            </w:r>
            <w:r w:rsidRPr="00C51065">
              <w:rPr>
                <w:rFonts w:cstheme="minorHAnsi"/>
                <w:i/>
                <w:iCs/>
                <w:sz w:val="20"/>
              </w:rPr>
              <w:t>Maccullochella macquariensis</w:t>
            </w:r>
            <w:r>
              <w:rPr>
                <w:rFonts w:cstheme="minorHAnsi"/>
                <w:sz w:val="20"/>
              </w:rPr>
              <w:t>)</w:t>
            </w:r>
            <w:r w:rsidRPr="00562DA4">
              <w:rPr>
                <w:rFonts w:cstheme="minorHAnsi"/>
                <w:sz w:val="20"/>
              </w:rPr>
              <w:t xml:space="preserve"> </w:t>
            </w:r>
          </w:p>
        </w:tc>
        <w:tc>
          <w:tcPr>
            <w:tcW w:w="2712" w:type="dxa"/>
            <w:tcBorders>
              <w:top w:val="single" w:sz="4" w:space="0" w:color="auto"/>
              <w:left w:val="nil"/>
              <w:bottom w:val="nil"/>
              <w:right w:val="nil"/>
            </w:tcBorders>
            <w:vAlign w:val="center"/>
          </w:tcPr>
          <w:p w14:paraId="42E3E888" w14:textId="77777777" w:rsidR="006501A4" w:rsidRPr="00562DA4" w:rsidRDefault="006501A4" w:rsidP="00D877B9">
            <w:pPr>
              <w:spacing w:after="0" w:line="240" w:lineRule="auto"/>
              <w:rPr>
                <w:rFonts w:cstheme="minorHAnsi"/>
                <w:i/>
                <w:sz w:val="20"/>
              </w:rPr>
            </w:pPr>
            <w:r w:rsidRPr="00562DA4">
              <w:rPr>
                <w:rFonts w:cstheme="minorHAnsi"/>
                <w:i/>
                <w:sz w:val="20"/>
              </w:rPr>
              <w:t xml:space="preserve">Maccullochella </w:t>
            </w:r>
            <w:r w:rsidRPr="00562DA4">
              <w:rPr>
                <w:rFonts w:cstheme="minorHAnsi"/>
                <w:i/>
                <w:iCs/>
                <w:sz w:val="20"/>
              </w:rPr>
              <w:t>peelii</w:t>
            </w:r>
          </w:p>
        </w:tc>
        <w:tc>
          <w:tcPr>
            <w:tcW w:w="1452" w:type="dxa"/>
            <w:tcBorders>
              <w:top w:val="single" w:sz="4" w:space="0" w:color="auto"/>
              <w:left w:val="nil"/>
              <w:bottom w:val="nil"/>
              <w:right w:val="nil"/>
            </w:tcBorders>
            <w:vAlign w:val="center"/>
          </w:tcPr>
          <w:p w14:paraId="3C5C8C50"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single" w:sz="4" w:space="0" w:color="auto"/>
              <w:left w:val="nil"/>
              <w:bottom w:val="nil"/>
              <w:right w:val="nil"/>
            </w:tcBorders>
            <w:vAlign w:val="center"/>
          </w:tcPr>
          <w:p w14:paraId="457FA9E9"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single" w:sz="4" w:space="0" w:color="auto"/>
              <w:left w:val="nil"/>
              <w:bottom w:val="nil"/>
              <w:right w:val="single" w:sz="4" w:space="0" w:color="auto"/>
            </w:tcBorders>
            <w:vAlign w:val="center"/>
          </w:tcPr>
          <w:p w14:paraId="4DA6291C"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221077F7" w14:textId="77777777" w:rsidTr="00D877B9">
        <w:trPr>
          <w:trHeight w:val="283"/>
        </w:trPr>
        <w:tc>
          <w:tcPr>
            <w:tcW w:w="2055" w:type="dxa"/>
            <w:tcBorders>
              <w:top w:val="nil"/>
              <w:left w:val="single" w:sz="4" w:space="0" w:color="auto"/>
              <w:bottom w:val="nil"/>
              <w:right w:val="nil"/>
            </w:tcBorders>
            <w:vAlign w:val="center"/>
          </w:tcPr>
          <w:p w14:paraId="320F99C8"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1B8B5A03" w14:textId="77777777" w:rsidR="006501A4" w:rsidRPr="00562DA4" w:rsidRDefault="006501A4" w:rsidP="00D877B9">
            <w:pPr>
              <w:spacing w:after="0" w:line="240" w:lineRule="auto"/>
              <w:rPr>
                <w:rFonts w:cstheme="minorHAnsi"/>
                <w:i/>
                <w:sz w:val="20"/>
              </w:rPr>
            </w:pPr>
            <w:r w:rsidRPr="00562DA4">
              <w:rPr>
                <w:rFonts w:cstheme="minorHAnsi"/>
                <w:i/>
                <w:sz w:val="20"/>
              </w:rPr>
              <w:t>Macquaria ambigua</w:t>
            </w:r>
          </w:p>
        </w:tc>
        <w:tc>
          <w:tcPr>
            <w:tcW w:w="1452" w:type="dxa"/>
            <w:tcBorders>
              <w:top w:val="nil"/>
              <w:left w:val="nil"/>
              <w:bottom w:val="nil"/>
              <w:right w:val="nil"/>
            </w:tcBorders>
            <w:vAlign w:val="center"/>
          </w:tcPr>
          <w:p w14:paraId="4C08DC16"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0AF01E46"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38C61495"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2BA80606" w14:textId="77777777" w:rsidTr="00D877B9">
        <w:trPr>
          <w:trHeight w:val="283"/>
        </w:trPr>
        <w:tc>
          <w:tcPr>
            <w:tcW w:w="2055" w:type="dxa"/>
            <w:tcBorders>
              <w:top w:val="nil"/>
              <w:left w:val="single" w:sz="4" w:space="0" w:color="auto"/>
              <w:bottom w:val="nil"/>
              <w:right w:val="nil"/>
            </w:tcBorders>
            <w:vAlign w:val="center"/>
          </w:tcPr>
          <w:p w14:paraId="6CD6FE6B"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0EEB37D9" w14:textId="77777777" w:rsidR="006501A4" w:rsidRPr="00562DA4" w:rsidRDefault="006501A4" w:rsidP="00D877B9">
            <w:pPr>
              <w:spacing w:after="0" w:line="240" w:lineRule="auto"/>
              <w:rPr>
                <w:rFonts w:cstheme="minorHAnsi"/>
                <w:i/>
                <w:sz w:val="20"/>
              </w:rPr>
            </w:pPr>
            <w:r w:rsidRPr="00562DA4">
              <w:rPr>
                <w:rFonts w:cstheme="minorHAnsi"/>
                <w:i/>
                <w:sz w:val="20"/>
              </w:rPr>
              <w:t>Macquaria australasica</w:t>
            </w:r>
          </w:p>
        </w:tc>
        <w:tc>
          <w:tcPr>
            <w:tcW w:w="1452" w:type="dxa"/>
            <w:tcBorders>
              <w:top w:val="nil"/>
              <w:left w:val="nil"/>
              <w:bottom w:val="nil"/>
              <w:right w:val="nil"/>
            </w:tcBorders>
            <w:vAlign w:val="center"/>
          </w:tcPr>
          <w:p w14:paraId="70CA45B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1AE24F8F"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7712EA00"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1BF84D17" w14:textId="77777777" w:rsidTr="00D877B9">
        <w:trPr>
          <w:trHeight w:val="283"/>
        </w:trPr>
        <w:tc>
          <w:tcPr>
            <w:tcW w:w="2055" w:type="dxa"/>
            <w:tcBorders>
              <w:top w:val="nil"/>
              <w:left w:val="single" w:sz="4" w:space="0" w:color="auto"/>
              <w:bottom w:val="nil"/>
              <w:right w:val="nil"/>
            </w:tcBorders>
            <w:vAlign w:val="center"/>
          </w:tcPr>
          <w:p w14:paraId="67FBF01D"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473783DE" w14:textId="77777777" w:rsidR="006501A4" w:rsidRPr="00562DA4" w:rsidRDefault="006501A4" w:rsidP="00D877B9">
            <w:pPr>
              <w:spacing w:after="0" w:line="240" w:lineRule="auto"/>
              <w:rPr>
                <w:rFonts w:cstheme="minorHAnsi"/>
                <w:i/>
                <w:sz w:val="20"/>
              </w:rPr>
            </w:pPr>
            <w:r w:rsidRPr="00562DA4">
              <w:rPr>
                <w:rFonts w:cstheme="minorHAnsi"/>
                <w:i/>
                <w:sz w:val="20"/>
              </w:rPr>
              <w:t>Gadopsis marmoratus</w:t>
            </w:r>
          </w:p>
        </w:tc>
        <w:tc>
          <w:tcPr>
            <w:tcW w:w="1452" w:type="dxa"/>
            <w:tcBorders>
              <w:top w:val="nil"/>
              <w:left w:val="nil"/>
              <w:bottom w:val="nil"/>
              <w:right w:val="nil"/>
            </w:tcBorders>
            <w:vAlign w:val="center"/>
          </w:tcPr>
          <w:p w14:paraId="37CAB4B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76848F5F"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567D321C"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1B7BCDFC" w14:textId="77777777" w:rsidTr="00D877B9">
        <w:trPr>
          <w:trHeight w:val="283"/>
        </w:trPr>
        <w:tc>
          <w:tcPr>
            <w:tcW w:w="2055" w:type="dxa"/>
            <w:tcBorders>
              <w:top w:val="nil"/>
              <w:left w:val="single" w:sz="4" w:space="0" w:color="auto"/>
              <w:bottom w:val="nil"/>
              <w:right w:val="nil"/>
            </w:tcBorders>
            <w:vAlign w:val="center"/>
          </w:tcPr>
          <w:p w14:paraId="1FB23AEE"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138B928E" w14:textId="77777777" w:rsidR="006501A4" w:rsidRPr="00562DA4" w:rsidRDefault="006501A4" w:rsidP="00D877B9">
            <w:pPr>
              <w:spacing w:after="0" w:line="240" w:lineRule="auto"/>
              <w:rPr>
                <w:rFonts w:cstheme="minorHAnsi"/>
                <w:i/>
                <w:sz w:val="20"/>
              </w:rPr>
            </w:pPr>
            <w:r w:rsidRPr="00562DA4">
              <w:rPr>
                <w:rFonts w:cstheme="minorHAnsi"/>
                <w:i/>
                <w:sz w:val="20"/>
              </w:rPr>
              <w:t>Gadopsis bispinosus</w:t>
            </w:r>
          </w:p>
        </w:tc>
        <w:tc>
          <w:tcPr>
            <w:tcW w:w="1452" w:type="dxa"/>
            <w:tcBorders>
              <w:top w:val="nil"/>
              <w:left w:val="nil"/>
              <w:bottom w:val="nil"/>
              <w:right w:val="nil"/>
            </w:tcBorders>
            <w:vAlign w:val="center"/>
          </w:tcPr>
          <w:p w14:paraId="6C82201C"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5716B9CC"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nil"/>
              <w:left w:val="nil"/>
              <w:bottom w:val="nil"/>
              <w:right w:val="single" w:sz="4" w:space="0" w:color="auto"/>
            </w:tcBorders>
            <w:vAlign w:val="center"/>
          </w:tcPr>
          <w:p w14:paraId="1DE2A90B"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4C4F5209" w14:textId="77777777" w:rsidTr="00D877B9">
        <w:trPr>
          <w:trHeight w:val="283"/>
        </w:trPr>
        <w:tc>
          <w:tcPr>
            <w:tcW w:w="2055" w:type="dxa"/>
            <w:tcBorders>
              <w:top w:val="nil"/>
              <w:left w:val="single" w:sz="4" w:space="0" w:color="auto"/>
              <w:bottom w:val="nil"/>
              <w:right w:val="nil"/>
            </w:tcBorders>
            <w:vAlign w:val="center"/>
          </w:tcPr>
          <w:p w14:paraId="7799FEDB"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69D30E3E" w14:textId="77777777" w:rsidR="006501A4" w:rsidRPr="00562DA4" w:rsidRDefault="006501A4" w:rsidP="00D877B9">
            <w:pPr>
              <w:spacing w:after="0" w:line="240" w:lineRule="auto"/>
              <w:rPr>
                <w:rFonts w:cstheme="minorHAnsi"/>
                <w:i/>
                <w:sz w:val="20"/>
              </w:rPr>
            </w:pPr>
            <w:r w:rsidRPr="00562DA4">
              <w:rPr>
                <w:rFonts w:cstheme="minorHAnsi"/>
                <w:i/>
                <w:sz w:val="20"/>
              </w:rPr>
              <w:t>Nannoperca australis</w:t>
            </w:r>
          </w:p>
        </w:tc>
        <w:tc>
          <w:tcPr>
            <w:tcW w:w="1452" w:type="dxa"/>
            <w:tcBorders>
              <w:top w:val="nil"/>
              <w:left w:val="nil"/>
              <w:bottom w:val="nil"/>
              <w:right w:val="nil"/>
            </w:tcBorders>
            <w:vAlign w:val="center"/>
          </w:tcPr>
          <w:p w14:paraId="60D655EF"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19ABA3DE"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68BA40A8"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3214FB0A" w14:textId="77777777" w:rsidTr="00D877B9">
        <w:trPr>
          <w:trHeight w:val="283"/>
        </w:trPr>
        <w:tc>
          <w:tcPr>
            <w:tcW w:w="2055" w:type="dxa"/>
            <w:tcBorders>
              <w:top w:val="nil"/>
              <w:left w:val="single" w:sz="4" w:space="0" w:color="auto"/>
              <w:bottom w:val="nil"/>
              <w:right w:val="nil"/>
            </w:tcBorders>
            <w:vAlign w:val="center"/>
          </w:tcPr>
          <w:p w14:paraId="1A0AF76B"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31C276AC" w14:textId="77777777" w:rsidR="006501A4" w:rsidRPr="00562DA4" w:rsidRDefault="006501A4" w:rsidP="00D877B9">
            <w:pPr>
              <w:spacing w:after="0" w:line="240" w:lineRule="auto"/>
              <w:rPr>
                <w:rFonts w:cstheme="minorHAnsi"/>
                <w:i/>
                <w:sz w:val="20"/>
              </w:rPr>
            </w:pPr>
            <w:r w:rsidRPr="00562DA4">
              <w:rPr>
                <w:rFonts w:cstheme="minorHAnsi"/>
                <w:i/>
                <w:sz w:val="20"/>
              </w:rPr>
              <w:t xml:space="preserve">Maccullochella ikei </w:t>
            </w:r>
          </w:p>
        </w:tc>
        <w:tc>
          <w:tcPr>
            <w:tcW w:w="1452" w:type="dxa"/>
            <w:tcBorders>
              <w:top w:val="nil"/>
              <w:left w:val="nil"/>
              <w:bottom w:val="nil"/>
              <w:right w:val="nil"/>
            </w:tcBorders>
            <w:vAlign w:val="center"/>
          </w:tcPr>
          <w:p w14:paraId="0C4F842C"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618E3DBC"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28E34684"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77B99848" w14:textId="77777777" w:rsidTr="00D877B9">
        <w:trPr>
          <w:trHeight w:val="283"/>
        </w:trPr>
        <w:tc>
          <w:tcPr>
            <w:tcW w:w="2055" w:type="dxa"/>
            <w:tcBorders>
              <w:top w:val="nil"/>
              <w:left w:val="single" w:sz="4" w:space="0" w:color="auto"/>
              <w:bottom w:val="nil"/>
              <w:right w:val="nil"/>
            </w:tcBorders>
            <w:vAlign w:val="center"/>
          </w:tcPr>
          <w:p w14:paraId="69EF743D"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224B3E8D" w14:textId="77777777" w:rsidR="006501A4" w:rsidRPr="00562DA4" w:rsidRDefault="006501A4" w:rsidP="00D877B9">
            <w:pPr>
              <w:spacing w:after="0" w:line="240" w:lineRule="auto"/>
              <w:rPr>
                <w:rFonts w:cstheme="minorHAnsi"/>
                <w:i/>
                <w:sz w:val="20"/>
              </w:rPr>
            </w:pPr>
            <w:r w:rsidRPr="00562DA4">
              <w:rPr>
                <w:rFonts w:cstheme="minorHAnsi"/>
                <w:i/>
                <w:sz w:val="20"/>
              </w:rPr>
              <w:t>Maccullochella mariensis</w:t>
            </w:r>
          </w:p>
        </w:tc>
        <w:tc>
          <w:tcPr>
            <w:tcW w:w="1452" w:type="dxa"/>
            <w:tcBorders>
              <w:top w:val="nil"/>
              <w:left w:val="nil"/>
              <w:bottom w:val="nil"/>
              <w:right w:val="nil"/>
            </w:tcBorders>
            <w:vAlign w:val="center"/>
          </w:tcPr>
          <w:p w14:paraId="3BAB5A66"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37B7D738"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22C842DB"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32DDE7DC" w14:textId="77777777" w:rsidTr="00D877B9">
        <w:trPr>
          <w:trHeight w:val="283"/>
        </w:trPr>
        <w:tc>
          <w:tcPr>
            <w:tcW w:w="2055" w:type="dxa"/>
            <w:tcBorders>
              <w:top w:val="single" w:sz="4" w:space="0" w:color="auto"/>
              <w:left w:val="single" w:sz="4" w:space="0" w:color="auto"/>
              <w:bottom w:val="nil"/>
              <w:right w:val="nil"/>
            </w:tcBorders>
            <w:vAlign w:val="center"/>
          </w:tcPr>
          <w:p w14:paraId="77E44622" w14:textId="77777777" w:rsidR="006501A4" w:rsidRPr="00562DA4" w:rsidRDefault="006501A4" w:rsidP="00D877B9">
            <w:pPr>
              <w:spacing w:after="0" w:line="240" w:lineRule="auto"/>
              <w:rPr>
                <w:rFonts w:cstheme="minorHAnsi"/>
                <w:sz w:val="20"/>
              </w:rPr>
            </w:pPr>
            <w:r w:rsidRPr="00562DA4">
              <w:rPr>
                <w:rFonts w:cstheme="minorHAnsi"/>
                <w:sz w:val="20"/>
              </w:rPr>
              <w:t>Silver perch</w:t>
            </w:r>
            <w:r>
              <w:rPr>
                <w:rFonts w:cstheme="minorHAnsi"/>
                <w:sz w:val="20"/>
              </w:rPr>
              <w:t xml:space="preserve"> (</w:t>
            </w:r>
            <w:r w:rsidRPr="00C51065">
              <w:rPr>
                <w:rFonts w:cstheme="minorHAnsi"/>
                <w:i/>
                <w:iCs/>
                <w:sz w:val="20"/>
              </w:rPr>
              <w:t>Bidyanus bidyanus</w:t>
            </w:r>
            <w:r>
              <w:rPr>
                <w:rFonts w:cstheme="minorHAnsi"/>
                <w:sz w:val="20"/>
              </w:rPr>
              <w:t>)</w:t>
            </w:r>
          </w:p>
        </w:tc>
        <w:tc>
          <w:tcPr>
            <w:tcW w:w="2712" w:type="dxa"/>
            <w:tcBorders>
              <w:top w:val="single" w:sz="4" w:space="0" w:color="auto"/>
              <w:left w:val="nil"/>
              <w:bottom w:val="nil"/>
              <w:right w:val="nil"/>
            </w:tcBorders>
            <w:vAlign w:val="center"/>
          </w:tcPr>
          <w:p w14:paraId="0B63831C" w14:textId="77777777" w:rsidR="006501A4" w:rsidRPr="00562DA4" w:rsidRDefault="006501A4" w:rsidP="00D877B9">
            <w:pPr>
              <w:spacing w:after="0" w:line="240" w:lineRule="auto"/>
              <w:rPr>
                <w:rFonts w:cstheme="minorHAnsi"/>
                <w:i/>
                <w:sz w:val="20"/>
              </w:rPr>
            </w:pPr>
            <w:r w:rsidRPr="00562DA4">
              <w:rPr>
                <w:rFonts w:cstheme="minorHAnsi"/>
                <w:i/>
                <w:sz w:val="20"/>
              </w:rPr>
              <w:t>Leiopotherapon unicolor</w:t>
            </w:r>
          </w:p>
        </w:tc>
        <w:tc>
          <w:tcPr>
            <w:tcW w:w="1452" w:type="dxa"/>
            <w:tcBorders>
              <w:top w:val="single" w:sz="4" w:space="0" w:color="auto"/>
              <w:left w:val="nil"/>
              <w:bottom w:val="nil"/>
              <w:right w:val="nil"/>
            </w:tcBorders>
            <w:vAlign w:val="center"/>
          </w:tcPr>
          <w:p w14:paraId="03A98D49"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single" w:sz="4" w:space="0" w:color="auto"/>
              <w:left w:val="nil"/>
              <w:bottom w:val="nil"/>
              <w:right w:val="nil"/>
            </w:tcBorders>
            <w:vAlign w:val="center"/>
          </w:tcPr>
          <w:p w14:paraId="1A9DE145"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single" w:sz="4" w:space="0" w:color="auto"/>
              <w:left w:val="nil"/>
              <w:bottom w:val="nil"/>
              <w:right w:val="single" w:sz="4" w:space="0" w:color="auto"/>
            </w:tcBorders>
            <w:vAlign w:val="center"/>
          </w:tcPr>
          <w:p w14:paraId="35D7CCF0"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141273E5" w14:textId="77777777" w:rsidTr="00D877B9">
        <w:trPr>
          <w:trHeight w:val="283"/>
        </w:trPr>
        <w:tc>
          <w:tcPr>
            <w:tcW w:w="2055" w:type="dxa"/>
            <w:tcBorders>
              <w:top w:val="single" w:sz="4" w:space="0" w:color="auto"/>
              <w:left w:val="single" w:sz="4" w:space="0" w:color="auto"/>
              <w:bottom w:val="nil"/>
              <w:right w:val="nil"/>
            </w:tcBorders>
            <w:vAlign w:val="center"/>
          </w:tcPr>
          <w:p w14:paraId="6D02A495" w14:textId="77777777" w:rsidR="006501A4" w:rsidRPr="00562DA4" w:rsidRDefault="006501A4" w:rsidP="00D877B9">
            <w:pPr>
              <w:spacing w:after="0" w:line="240" w:lineRule="auto"/>
              <w:jc w:val="left"/>
              <w:rPr>
                <w:rFonts w:cstheme="minorHAnsi"/>
                <w:sz w:val="20"/>
              </w:rPr>
            </w:pPr>
            <w:r w:rsidRPr="00562DA4">
              <w:rPr>
                <w:rFonts w:cstheme="minorHAnsi"/>
                <w:sz w:val="20"/>
              </w:rPr>
              <w:t>Freshwater catfish</w:t>
            </w:r>
            <w:r>
              <w:rPr>
                <w:rFonts w:cstheme="minorHAnsi"/>
                <w:sz w:val="20"/>
              </w:rPr>
              <w:t xml:space="preserve"> (</w:t>
            </w:r>
            <w:r w:rsidRPr="00C51065">
              <w:rPr>
                <w:rFonts w:cstheme="minorHAnsi"/>
                <w:i/>
                <w:iCs/>
                <w:sz w:val="20"/>
              </w:rPr>
              <w:t>Tandanus tandanus</w:t>
            </w:r>
            <w:r>
              <w:rPr>
                <w:rFonts w:cstheme="minorHAnsi"/>
                <w:sz w:val="20"/>
              </w:rPr>
              <w:t>)</w:t>
            </w:r>
          </w:p>
        </w:tc>
        <w:tc>
          <w:tcPr>
            <w:tcW w:w="2712" w:type="dxa"/>
            <w:tcBorders>
              <w:top w:val="single" w:sz="4" w:space="0" w:color="auto"/>
              <w:left w:val="nil"/>
              <w:bottom w:val="nil"/>
              <w:right w:val="nil"/>
            </w:tcBorders>
            <w:vAlign w:val="center"/>
          </w:tcPr>
          <w:p w14:paraId="1970CA37" w14:textId="77777777" w:rsidR="006501A4" w:rsidRPr="00562DA4" w:rsidRDefault="006501A4" w:rsidP="00D877B9">
            <w:pPr>
              <w:spacing w:after="0" w:line="240" w:lineRule="auto"/>
              <w:rPr>
                <w:rFonts w:cstheme="minorHAnsi"/>
                <w:i/>
                <w:sz w:val="20"/>
              </w:rPr>
            </w:pPr>
            <w:r w:rsidRPr="00562DA4">
              <w:rPr>
                <w:rFonts w:cstheme="minorHAnsi"/>
                <w:i/>
                <w:sz w:val="20"/>
              </w:rPr>
              <w:t>Neosilurus hyrtlii</w:t>
            </w:r>
          </w:p>
        </w:tc>
        <w:tc>
          <w:tcPr>
            <w:tcW w:w="1452" w:type="dxa"/>
            <w:tcBorders>
              <w:top w:val="single" w:sz="4" w:space="0" w:color="auto"/>
              <w:left w:val="nil"/>
              <w:bottom w:val="nil"/>
              <w:right w:val="nil"/>
            </w:tcBorders>
            <w:vAlign w:val="center"/>
          </w:tcPr>
          <w:p w14:paraId="170A5901"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single" w:sz="4" w:space="0" w:color="auto"/>
              <w:left w:val="nil"/>
              <w:bottom w:val="nil"/>
              <w:right w:val="nil"/>
            </w:tcBorders>
            <w:vAlign w:val="center"/>
          </w:tcPr>
          <w:p w14:paraId="0305379C"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single" w:sz="4" w:space="0" w:color="auto"/>
              <w:left w:val="nil"/>
              <w:bottom w:val="nil"/>
              <w:right w:val="single" w:sz="4" w:space="0" w:color="auto"/>
            </w:tcBorders>
            <w:vAlign w:val="center"/>
          </w:tcPr>
          <w:p w14:paraId="7A3310A5"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430F272B" w14:textId="77777777" w:rsidTr="00D877B9">
        <w:trPr>
          <w:trHeight w:val="283"/>
        </w:trPr>
        <w:tc>
          <w:tcPr>
            <w:tcW w:w="2055" w:type="dxa"/>
            <w:tcBorders>
              <w:top w:val="nil"/>
              <w:left w:val="single" w:sz="4" w:space="0" w:color="auto"/>
              <w:bottom w:val="nil"/>
              <w:right w:val="nil"/>
            </w:tcBorders>
            <w:vAlign w:val="center"/>
          </w:tcPr>
          <w:p w14:paraId="22F4DC9A"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26BFD391" w14:textId="77777777" w:rsidR="006501A4" w:rsidRPr="00562DA4" w:rsidRDefault="006501A4" w:rsidP="00D877B9">
            <w:pPr>
              <w:spacing w:after="0" w:line="240" w:lineRule="auto"/>
              <w:rPr>
                <w:rFonts w:cstheme="minorHAnsi"/>
                <w:i/>
                <w:sz w:val="20"/>
              </w:rPr>
            </w:pPr>
            <w:r w:rsidRPr="00562DA4">
              <w:rPr>
                <w:rFonts w:cstheme="minorHAnsi"/>
                <w:i/>
                <w:sz w:val="20"/>
              </w:rPr>
              <w:t>Tandanus bellingerensis</w:t>
            </w:r>
            <w:r w:rsidRPr="00562DA4">
              <w:rPr>
                <w:rFonts w:cstheme="minorHAnsi"/>
                <w:sz w:val="20"/>
                <w:vertAlign w:val="superscript"/>
              </w:rPr>
              <w:t>†</w:t>
            </w:r>
          </w:p>
        </w:tc>
        <w:tc>
          <w:tcPr>
            <w:tcW w:w="1452" w:type="dxa"/>
            <w:tcBorders>
              <w:top w:val="nil"/>
              <w:left w:val="nil"/>
              <w:bottom w:val="nil"/>
              <w:right w:val="nil"/>
            </w:tcBorders>
            <w:vAlign w:val="center"/>
          </w:tcPr>
          <w:p w14:paraId="2824306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0F629BC5"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52" w:type="dxa"/>
            <w:tcBorders>
              <w:top w:val="nil"/>
              <w:left w:val="nil"/>
              <w:bottom w:val="nil"/>
              <w:right w:val="single" w:sz="4" w:space="0" w:color="auto"/>
            </w:tcBorders>
            <w:vAlign w:val="center"/>
          </w:tcPr>
          <w:p w14:paraId="54FE83B2"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Yes</w:t>
            </w:r>
          </w:p>
        </w:tc>
      </w:tr>
      <w:tr w:rsidR="006501A4" w:rsidRPr="008678EE" w14:paraId="25BF8DC5" w14:textId="77777777" w:rsidTr="00D877B9">
        <w:trPr>
          <w:trHeight w:val="283"/>
        </w:trPr>
        <w:tc>
          <w:tcPr>
            <w:tcW w:w="2055" w:type="dxa"/>
            <w:tcBorders>
              <w:top w:val="nil"/>
              <w:left w:val="single" w:sz="4" w:space="0" w:color="auto"/>
              <w:bottom w:val="nil"/>
              <w:right w:val="nil"/>
            </w:tcBorders>
            <w:vAlign w:val="center"/>
          </w:tcPr>
          <w:p w14:paraId="375E7EDA"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3F35500E" w14:textId="77777777" w:rsidR="006501A4" w:rsidRPr="00562DA4" w:rsidRDefault="006501A4" w:rsidP="00D877B9">
            <w:pPr>
              <w:spacing w:after="0" w:line="240" w:lineRule="auto"/>
              <w:rPr>
                <w:rFonts w:cstheme="minorHAnsi"/>
                <w:i/>
                <w:sz w:val="20"/>
              </w:rPr>
            </w:pPr>
            <w:r w:rsidRPr="00562DA4">
              <w:rPr>
                <w:rFonts w:cstheme="minorHAnsi"/>
                <w:i/>
                <w:sz w:val="20"/>
              </w:rPr>
              <w:t>Tandanus bostocki</w:t>
            </w:r>
            <w:r w:rsidRPr="00562DA4">
              <w:rPr>
                <w:rFonts w:cstheme="minorHAnsi"/>
                <w:sz w:val="20"/>
                <w:vertAlign w:val="superscript"/>
              </w:rPr>
              <w:t>†</w:t>
            </w:r>
          </w:p>
        </w:tc>
        <w:tc>
          <w:tcPr>
            <w:tcW w:w="1452" w:type="dxa"/>
            <w:tcBorders>
              <w:top w:val="nil"/>
              <w:left w:val="nil"/>
              <w:bottom w:val="nil"/>
              <w:right w:val="nil"/>
            </w:tcBorders>
            <w:vAlign w:val="center"/>
          </w:tcPr>
          <w:p w14:paraId="7B4D0146"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nil"/>
              <w:left w:val="nil"/>
              <w:bottom w:val="nil"/>
              <w:right w:val="nil"/>
            </w:tcBorders>
            <w:vAlign w:val="center"/>
          </w:tcPr>
          <w:p w14:paraId="5436D29D"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52" w:type="dxa"/>
            <w:tcBorders>
              <w:top w:val="nil"/>
              <w:left w:val="nil"/>
              <w:bottom w:val="nil"/>
              <w:right w:val="single" w:sz="4" w:space="0" w:color="auto"/>
            </w:tcBorders>
            <w:vAlign w:val="center"/>
          </w:tcPr>
          <w:p w14:paraId="563AB85C"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Yes</w:t>
            </w:r>
          </w:p>
        </w:tc>
      </w:tr>
      <w:tr w:rsidR="006501A4" w:rsidRPr="008678EE" w14:paraId="3E8D7E4E" w14:textId="77777777" w:rsidTr="00D877B9">
        <w:trPr>
          <w:trHeight w:val="283"/>
        </w:trPr>
        <w:tc>
          <w:tcPr>
            <w:tcW w:w="2055" w:type="dxa"/>
            <w:tcBorders>
              <w:top w:val="single" w:sz="4" w:space="0" w:color="auto"/>
              <w:left w:val="single" w:sz="4" w:space="0" w:color="auto"/>
              <w:bottom w:val="nil"/>
              <w:right w:val="nil"/>
            </w:tcBorders>
            <w:vAlign w:val="center"/>
          </w:tcPr>
          <w:p w14:paraId="10BFCB58" w14:textId="77777777" w:rsidR="006501A4" w:rsidRPr="00C51065" w:rsidRDefault="006501A4" w:rsidP="00D877B9">
            <w:pPr>
              <w:spacing w:after="0" w:line="240" w:lineRule="auto"/>
              <w:jc w:val="left"/>
              <w:rPr>
                <w:rFonts w:cstheme="minorHAnsi"/>
                <w:i/>
                <w:iCs/>
                <w:sz w:val="20"/>
              </w:rPr>
            </w:pPr>
            <w:r w:rsidRPr="00562DA4">
              <w:rPr>
                <w:rFonts w:cstheme="minorHAnsi"/>
                <w:sz w:val="20"/>
              </w:rPr>
              <w:t>Dwarf flathead gudgeon</w:t>
            </w:r>
            <w:r w:rsidRPr="00562DA4">
              <w:rPr>
                <w:rFonts w:cstheme="minorHAnsi"/>
                <w:sz w:val="20"/>
                <w:vertAlign w:val="superscript"/>
              </w:rPr>
              <w:t>†</w:t>
            </w:r>
            <w:r>
              <w:rPr>
                <w:rFonts w:cstheme="minorHAnsi"/>
                <w:sz w:val="20"/>
              </w:rPr>
              <w:t>(</w:t>
            </w:r>
            <w:r w:rsidRPr="00EF7AE8">
              <w:rPr>
                <w:rFonts w:cstheme="minorHAnsi"/>
                <w:i/>
                <w:iCs/>
                <w:sz w:val="20"/>
              </w:rPr>
              <w:t>Phylipnodon marcrostomus</w:t>
            </w:r>
            <w:r>
              <w:rPr>
                <w:rFonts w:cstheme="minorHAnsi"/>
                <w:sz w:val="20"/>
              </w:rPr>
              <w:t>)</w:t>
            </w:r>
          </w:p>
        </w:tc>
        <w:tc>
          <w:tcPr>
            <w:tcW w:w="2712" w:type="dxa"/>
            <w:tcBorders>
              <w:top w:val="single" w:sz="4" w:space="0" w:color="auto"/>
              <w:left w:val="nil"/>
              <w:bottom w:val="nil"/>
              <w:right w:val="nil"/>
            </w:tcBorders>
            <w:vAlign w:val="center"/>
          </w:tcPr>
          <w:p w14:paraId="28E8B7E0" w14:textId="77777777" w:rsidR="006501A4" w:rsidRPr="00562DA4" w:rsidRDefault="006501A4" w:rsidP="00D877B9">
            <w:pPr>
              <w:spacing w:after="0" w:line="240" w:lineRule="auto"/>
              <w:rPr>
                <w:rFonts w:cstheme="minorHAnsi"/>
                <w:i/>
                <w:sz w:val="20"/>
              </w:rPr>
            </w:pPr>
            <w:r w:rsidRPr="00562DA4">
              <w:rPr>
                <w:rFonts w:cstheme="minorHAnsi"/>
                <w:i/>
                <w:sz w:val="20"/>
              </w:rPr>
              <w:t>Philypnodon grandiceps</w:t>
            </w:r>
          </w:p>
        </w:tc>
        <w:tc>
          <w:tcPr>
            <w:tcW w:w="1452" w:type="dxa"/>
            <w:tcBorders>
              <w:top w:val="single" w:sz="4" w:space="0" w:color="auto"/>
              <w:left w:val="nil"/>
              <w:bottom w:val="nil"/>
              <w:right w:val="nil"/>
            </w:tcBorders>
            <w:vAlign w:val="center"/>
          </w:tcPr>
          <w:p w14:paraId="02E2DC1A" w14:textId="77777777" w:rsidR="006501A4" w:rsidRPr="00562DA4" w:rsidRDefault="006501A4" w:rsidP="00D877B9">
            <w:pPr>
              <w:spacing w:after="0" w:line="240" w:lineRule="auto"/>
              <w:jc w:val="center"/>
              <w:rPr>
                <w:rFonts w:cstheme="minorHAnsi"/>
                <w:sz w:val="20"/>
              </w:rPr>
            </w:pPr>
            <w:r w:rsidRPr="00562DA4">
              <w:rPr>
                <w:rFonts w:cstheme="minorHAnsi"/>
                <w:sz w:val="20"/>
              </w:rPr>
              <w:t>Yes</w:t>
            </w:r>
          </w:p>
        </w:tc>
        <w:tc>
          <w:tcPr>
            <w:tcW w:w="1401" w:type="dxa"/>
            <w:tcBorders>
              <w:top w:val="single" w:sz="4" w:space="0" w:color="auto"/>
              <w:left w:val="nil"/>
              <w:bottom w:val="nil"/>
              <w:right w:val="nil"/>
            </w:tcBorders>
            <w:vAlign w:val="center"/>
          </w:tcPr>
          <w:p w14:paraId="54228F1C"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52" w:type="dxa"/>
            <w:tcBorders>
              <w:top w:val="single" w:sz="4" w:space="0" w:color="auto"/>
              <w:left w:val="nil"/>
              <w:bottom w:val="nil"/>
              <w:right w:val="single" w:sz="4" w:space="0" w:color="auto"/>
            </w:tcBorders>
            <w:vAlign w:val="center"/>
          </w:tcPr>
          <w:p w14:paraId="4CD911D2"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4D3000C5" w14:textId="77777777" w:rsidTr="00D877B9">
        <w:trPr>
          <w:trHeight w:val="283"/>
        </w:trPr>
        <w:tc>
          <w:tcPr>
            <w:tcW w:w="2055" w:type="dxa"/>
            <w:tcBorders>
              <w:top w:val="nil"/>
              <w:left w:val="single" w:sz="4" w:space="0" w:color="auto"/>
              <w:bottom w:val="nil"/>
              <w:right w:val="nil"/>
            </w:tcBorders>
            <w:vAlign w:val="center"/>
          </w:tcPr>
          <w:p w14:paraId="55334815"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2B612DFD" w14:textId="77777777" w:rsidR="006501A4" w:rsidRPr="00562DA4" w:rsidRDefault="006501A4" w:rsidP="00D877B9">
            <w:pPr>
              <w:spacing w:after="0" w:line="240" w:lineRule="auto"/>
              <w:rPr>
                <w:rFonts w:cstheme="minorHAnsi"/>
                <w:i/>
                <w:sz w:val="20"/>
              </w:rPr>
            </w:pPr>
            <w:r w:rsidRPr="00562DA4">
              <w:rPr>
                <w:rFonts w:cstheme="minorHAnsi"/>
                <w:i/>
                <w:sz w:val="20"/>
              </w:rPr>
              <w:t>Hypseleotris klunzingeri</w:t>
            </w:r>
          </w:p>
        </w:tc>
        <w:tc>
          <w:tcPr>
            <w:tcW w:w="1452" w:type="dxa"/>
            <w:tcBorders>
              <w:top w:val="nil"/>
              <w:left w:val="nil"/>
              <w:bottom w:val="nil"/>
              <w:right w:val="nil"/>
            </w:tcBorders>
            <w:vAlign w:val="center"/>
          </w:tcPr>
          <w:p w14:paraId="4A2E0D04"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63B61E94"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5CC00295"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69A6A296" w14:textId="77777777" w:rsidTr="00D877B9">
        <w:trPr>
          <w:trHeight w:val="283"/>
        </w:trPr>
        <w:tc>
          <w:tcPr>
            <w:tcW w:w="2055" w:type="dxa"/>
            <w:tcBorders>
              <w:top w:val="nil"/>
              <w:left w:val="single" w:sz="4" w:space="0" w:color="auto"/>
              <w:bottom w:val="nil"/>
              <w:right w:val="nil"/>
            </w:tcBorders>
            <w:vAlign w:val="center"/>
          </w:tcPr>
          <w:p w14:paraId="459A5BF5" w14:textId="77777777" w:rsidR="006501A4" w:rsidRPr="00562DA4" w:rsidRDefault="006501A4" w:rsidP="00D877B9">
            <w:pPr>
              <w:spacing w:after="0" w:line="240" w:lineRule="auto"/>
              <w:rPr>
                <w:rFonts w:cstheme="minorHAnsi"/>
                <w:i/>
                <w:iCs/>
                <w:sz w:val="20"/>
              </w:rPr>
            </w:pPr>
          </w:p>
        </w:tc>
        <w:tc>
          <w:tcPr>
            <w:tcW w:w="2712" w:type="dxa"/>
            <w:tcBorders>
              <w:top w:val="nil"/>
              <w:left w:val="nil"/>
              <w:bottom w:val="nil"/>
              <w:right w:val="nil"/>
            </w:tcBorders>
            <w:vAlign w:val="center"/>
          </w:tcPr>
          <w:p w14:paraId="4DC6B067" w14:textId="77777777" w:rsidR="006501A4" w:rsidRPr="00562DA4" w:rsidRDefault="006501A4" w:rsidP="00D877B9">
            <w:pPr>
              <w:spacing w:after="0" w:line="240" w:lineRule="auto"/>
              <w:rPr>
                <w:rFonts w:cstheme="minorHAnsi"/>
                <w:i/>
                <w:sz w:val="20"/>
              </w:rPr>
            </w:pPr>
            <w:r w:rsidRPr="00562DA4">
              <w:rPr>
                <w:rFonts w:cstheme="minorHAnsi"/>
                <w:i/>
                <w:sz w:val="20"/>
              </w:rPr>
              <w:t>Mogurnda adspersa</w:t>
            </w:r>
          </w:p>
        </w:tc>
        <w:tc>
          <w:tcPr>
            <w:tcW w:w="1452" w:type="dxa"/>
            <w:tcBorders>
              <w:top w:val="nil"/>
              <w:left w:val="nil"/>
              <w:bottom w:val="nil"/>
              <w:right w:val="nil"/>
            </w:tcBorders>
            <w:vAlign w:val="center"/>
          </w:tcPr>
          <w:p w14:paraId="5A6A368F"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nil"/>
              <w:left w:val="nil"/>
              <w:bottom w:val="nil"/>
              <w:right w:val="nil"/>
            </w:tcBorders>
            <w:vAlign w:val="center"/>
          </w:tcPr>
          <w:p w14:paraId="37BBEF4E"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nil"/>
              <w:left w:val="nil"/>
              <w:bottom w:val="nil"/>
              <w:right w:val="single" w:sz="4" w:space="0" w:color="auto"/>
            </w:tcBorders>
            <w:vAlign w:val="center"/>
          </w:tcPr>
          <w:p w14:paraId="3FD857A1"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191C2480" w14:textId="77777777" w:rsidTr="00D877B9">
        <w:trPr>
          <w:trHeight w:val="283"/>
        </w:trPr>
        <w:tc>
          <w:tcPr>
            <w:tcW w:w="2055" w:type="dxa"/>
            <w:tcBorders>
              <w:top w:val="single" w:sz="4" w:space="0" w:color="auto"/>
              <w:left w:val="single" w:sz="4" w:space="0" w:color="auto"/>
              <w:bottom w:val="nil"/>
              <w:right w:val="nil"/>
            </w:tcBorders>
            <w:vAlign w:val="center"/>
          </w:tcPr>
          <w:p w14:paraId="7085E8AF" w14:textId="77777777" w:rsidR="006501A4" w:rsidRPr="00562DA4" w:rsidRDefault="006501A4" w:rsidP="0011303A">
            <w:pPr>
              <w:spacing w:after="0" w:line="240" w:lineRule="auto"/>
              <w:jc w:val="left"/>
              <w:rPr>
                <w:rFonts w:cstheme="minorHAnsi"/>
                <w:sz w:val="20"/>
              </w:rPr>
            </w:pPr>
            <w:r w:rsidRPr="00562DA4">
              <w:rPr>
                <w:rFonts w:cstheme="minorHAnsi"/>
                <w:sz w:val="20"/>
              </w:rPr>
              <w:t>Murray cray</w:t>
            </w:r>
            <w:r>
              <w:rPr>
                <w:rFonts w:cstheme="minorHAnsi"/>
                <w:sz w:val="20"/>
              </w:rPr>
              <w:t xml:space="preserve"> (</w:t>
            </w:r>
            <w:r w:rsidRPr="00A955BF">
              <w:rPr>
                <w:rFonts w:cstheme="minorHAnsi"/>
                <w:i/>
                <w:iCs/>
                <w:sz w:val="20"/>
              </w:rPr>
              <w:t>Euastacus armatus</w:t>
            </w:r>
            <w:r w:rsidRPr="00A955BF">
              <w:rPr>
                <w:rFonts w:cstheme="minorHAnsi"/>
                <w:sz w:val="20"/>
              </w:rPr>
              <w:t>)</w:t>
            </w:r>
          </w:p>
        </w:tc>
        <w:tc>
          <w:tcPr>
            <w:tcW w:w="2712" w:type="dxa"/>
            <w:tcBorders>
              <w:top w:val="single" w:sz="4" w:space="0" w:color="auto"/>
              <w:left w:val="nil"/>
              <w:bottom w:val="nil"/>
              <w:right w:val="nil"/>
            </w:tcBorders>
            <w:vAlign w:val="center"/>
          </w:tcPr>
          <w:p w14:paraId="5C3C708B" w14:textId="77777777" w:rsidR="006501A4" w:rsidRPr="00562DA4" w:rsidRDefault="006501A4" w:rsidP="00D877B9">
            <w:pPr>
              <w:spacing w:after="0" w:line="240" w:lineRule="auto"/>
              <w:rPr>
                <w:rFonts w:cstheme="minorHAnsi"/>
                <w:i/>
                <w:sz w:val="20"/>
              </w:rPr>
            </w:pPr>
            <w:r w:rsidRPr="00562DA4">
              <w:rPr>
                <w:rFonts w:cstheme="minorHAnsi"/>
                <w:i/>
                <w:sz w:val="20"/>
              </w:rPr>
              <w:t>Cherax destructor</w:t>
            </w:r>
          </w:p>
        </w:tc>
        <w:tc>
          <w:tcPr>
            <w:tcW w:w="1452" w:type="dxa"/>
            <w:tcBorders>
              <w:top w:val="single" w:sz="4" w:space="0" w:color="auto"/>
              <w:left w:val="nil"/>
              <w:bottom w:val="nil"/>
              <w:right w:val="nil"/>
            </w:tcBorders>
            <w:vAlign w:val="center"/>
          </w:tcPr>
          <w:p w14:paraId="15B65ECA" w14:textId="77777777" w:rsidR="006501A4" w:rsidRPr="00562DA4" w:rsidRDefault="006501A4" w:rsidP="00D877B9">
            <w:pPr>
              <w:spacing w:after="0" w:line="240" w:lineRule="auto"/>
              <w:jc w:val="center"/>
              <w:rPr>
                <w:rFonts w:cstheme="minorHAnsi"/>
                <w:sz w:val="20"/>
              </w:rPr>
            </w:pPr>
            <w:r w:rsidRPr="00562DA4">
              <w:rPr>
                <w:rFonts w:cstheme="minorHAnsi"/>
                <w:sz w:val="20"/>
              </w:rPr>
              <w:t>No</w:t>
            </w:r>
          </w:p>
        </w:tc>
        <w:tc>
          <w:tcPr>
            <w:tcW w:w="1401" w:type="dxa"/>
            <w:tcBorders>
              <w:top w:val="single" w:sz="4" w:space="0" w:color="auto"/>
              <w:left w:val="nil"/>
              <w:bottom w:val="nil"/>
              <w:right w:val="nil"/>
            </w:tcBorders>
            <w:vAlign w:val="center"/>
          </w:tcPr>
          <w:p w14:paraId="105F1A24" w14:textId="77777777" w:rsidR="006501A4" w:rsidRPr="00562DA4" w:rsidRDefault="006501A4" w:rsidP="00D877B9">
            <w:pPr>
              <w:spacing w:after="0" w:line="240" w:lineRule="auto"/>
              <w:jc w:val="center"/>
              <w:rPr>
                <w:rFonts w:cstheme="minorHAnsi"/>
                <w:sz w:val="20"/>
              </w:rPr>
            </w:pPr>
            <w:r w:rsidRPr="00562DA4">
              <w:rPr>
                <w:rFonts w:cstheme="minorHAnsi"/>
                <w:sz w:val="20"/>
              </w:rPr>
              <w:t>-</w:t>
            </w:r>
          </w:p>
        </w:tc>
        <w:tc>
          <w:tcPr>
            <w:tcW w:w="1452" w:type="dxa"/>
            <w:tcBorders>
              <w:top w:val="single" w:sz="4" w:space="0" w:color="auto"/>
              <w:left w:val="nil"/>
              <w:bottom w:val="nil"/>
              <w:right w:val="single" w:sz="4" w:space="0" w:color="auto"/>
            </w:tcBorders>
            <w:vAlign w:val="center"/>
          </w:tcPr>
          <w:p w14:paraId="2B7A97BE" w14:textId="77777777" w:rsidR="006501A4" w:rsidRPr="00562DA4" w:rsidRDefault="006501A4" w:rsidP="00D877B9">
            <w:pPr>
              <w:spacing w:after="0" w:line="240" w:lineRule="auto"/>
              <w:jc w:val="center"/>
              <w:rPr>
                <w:rFonts w:cstheme="minorHAnsi"/>
                <w:b/>
                <w:sz w:val="20"/>
              </w:rPr>
            </w:pPr>
            <w:r w:rsidRPr="00562DA4">
              <w:rPr>
                <w:rFonts w:cstheme="minorHAnsi"/>
                <w:b/>
                <w:bCs/>
                <w:sz w:val="20"/>
              </w:rPr>
              <w:t>No</w:t>
            </w:r>
          </w:p>
        </w:tc>
      </w:tr>
      <w:tr w:rsidR="006501A4" w:rsidRPr="008678EE" w14:paraId="4EEEDFAF" w14:textId="77777777" w:rsidTr="0095397F">
        <w:trPr>
          <w:trHeight w:val="397"/>
        </w:trPr>
        <w:tc>
          <w:tcPr>
            <w:tcW w:w="9072" w:type="dxa"/>
            <w:gridSpan w:val="5"/>
            <w:tcBorders>
              <w:top w:val="single" w:sz="4" w:space="0" w:color="auto"/>
            </w:tcBorders>
          </w:tcPr>
          <w:p w14:paraId="483FB426" w14:textId="77777777" w:rsidR="006501A4" w:rsidRPr="008678EE" w:rsidRDefault="006501A4" w:rsidP="007D4752">
            <w:pPr>
              <w:pStyle w:val="xmsonormal"/>
              <w:shd w:val="clear" w:color="auto" w:fill="FFFFFF"/>
              <w:spacing w:before="0" w:beforeAutospacing="0" w:after="120" w:afterAutospacing="0"/>
              <w:textAlignment w:val="baseline"/>
              <w:rPr>
                <w:rFonts w:cstheme="minorHAnsi"/>
              </w:rPr>
            </w:pPr>
            <w:r w:rsidRPr="00800080">
              <w:rPr>
                <w:rFonts w:asciiTheme="minorHAnsi" w:hAnsiTheme="minorHAnsi" w:cs="Calibri"/>
                <w:color w:val="201F1E"/>
                <w:sz w:val="20"/>
                <w:szCs w:val="20"/>
                <w:bdr w:val="none" w:sz="0" w:space="0" w:color="auto" w:frame="1"/>
              </w:rPr>
              <w:t xml:space="preserve">† </w:t>
            </w:r>
            <w:r w:rsidRPr="00C51065">
              <w:rPr>
                <w:rFonts w:asciiTheme="minorHAnsi" w:hAnsiTheme="minorHAnsi" w:cs="Calibri"/>
                <w:i/>
                <w:iCs/>
                <w:color w:val="201F1E"/>
                <w:sz w:val="20"/>
                <w:szCs w:val="20"/>
                <w:bdr w:val="none" w:sz="0" w:space="0" w:color="auto" w:frame="1"/>
              </w:rPr>
              <w:t>Maccullochella ikei</w:t>
            </w:r>
            <w:r w:rsidRPr="00800080">
              <w:rPr>
                <w:rFonts w:asciiTheme="minorHAnsi" w:hAnsiTheme="minorHAnsi" w:cs="Calibri"/>
                <w:color w:val="201F1E"/>
                <w:sz w:val="20"/>
                <w:szCs w:val="20"/>
                <w:bdr w:val="none" w:sz="0" w:space="0" w:color="auto" w:frame="1"/>
              </w:rPr>
              <w:t xml:space="preserve"> and </w:t>
            </w:r>
            <w:r w:rsidRPr="00A955BF">
              <w:rPr>
                <w:rFonts w:asciiTheme="minorHAnsi" w:hAnsiTheme="minorHAnsi" w:cs="Calibri"/>
                <w:i/>
                <w:iCs/>
                <w:color w:val="201F1E"/>
                <w:sz w:val="20"/>
                <w:szCs w:val="20"/>
                <w:bdr w:val="none" w:sz="0" w:space="0" w:color="auto" w:frame="1"/>
              </w:rPr>
              <w:t>Maccullochella mariensis</w:t>
            </w:r>
            <w:r w:rsidRPr="00800080">
              <w:rPr>
                <w:rFonts w:asciiTheme="minorHAnsi" w:hAnsiTheme="minorHAnsi" w:cs="Calibri"/>
                <w:color w:val="201F1E"/>
                <w:sz w:val="20"/>
                <w:szCs w:val="20"/>
                <w:bdr w:val="none" w:sz="0" w:space="0" w:color="auto" w:frame="1"/>
              </w:rPr>
              <w:t xml:space="preserve"> both amplified using the </w:t>
            </w:r>
            <w:r w:rsidRPr="00A955BF">
              <w:rPr>
                <w:rFonts w:asciiTheme="minorHAnsi" w:hAnsiTheme="minorHAnsi" w:cs="Calibri"/>
                <w:i/>
                <w:iCs/>
                <w:color w:val="201F1E"/>
                <w:sz w:val="20"/>
                <w:szCs w:val="20"/>
                <w:bdr w:val="none" w:sz="0" w:space="0" w:color="auto" w:frame="1"/>
              </w:rPr>
              <w:t>M. peelii</w:t>
            </w:r>
            <w:r w:rsidRPr="00800080">
              <w:rPr>
                <w:rFonts w:asciiTheme="minorHAnsi" w:hAnsiTheme="minorHAnsi" w:cs="Calibri"/>
                <w:color w:val="201F1E"/>
                <w:sz w:val="20"/>
                <w:szCs w:val="20"/>
                <w:bdr w:val="none" w:sz="0" w:space="0" w:color="auto" w:frame="1"/>
              </w:rPr>
              <w:t xml:space="preserve"> assay, however both species have geographically distinct distributions to </w:t>
            </w:r>
            <w:r w:rsidRPr="00A955BF">
              <w:rPr>
                <w:rFonts w:asciiTheme="minorHAnsi" w:hAnsiTheme="minorHAnsi" w:cs="Calibri"/>
                <w:i/>
                <w:iCs/>
                <w:color w:val="201F1E"/>
                <w:sz w:val="20"/>
                <w:szCs w:val="20"/>
                <w:bdr w:val="none" w:sz="0" w:space="0" w:color="auto" w:frame="1"/>
              </w:rPr>
              <w:t>M. peeli</w:t>
            </w:r>
            <w:r w:rsidRPr="00F6247A">
              <w:rPr>
                <w:rFonts w:asciiTheme="minorHAnsi" w:hAnsiTheme="minorHAnsi" w:cs="Calibri"/>
                <w:i/>
                <w:iCs/>
                <w:color w:val="201F1E"/>
                <w:sz w:val="20"/>
                <w:szCs w:val="20"/>
                <w:bdr w:val="none" w:sz="0" w:space="0" w:color="auto" w:frame="1"/>
              </w:rPr>
              <w:t>i</w:t>
            </w:r>
            <w:r w:rsidRPr="00800080">
              <w:rPr>
                <w:rFonts w:asciiTheme="minorHAnsi" w:hAnsiTheme="minorHAnsi" w:cs="Calibri"/>
                <w:color w:val="201F1E"/>
                <w:sz w:val="20"/>
                <w:szCs w:val="20"/>
                <w:bdr w:val="none" w:sz="0" w:space="0" w:color="auto" w:frame="1"/>
              </w:rPr>
              <w:t xml:space="preserve">. </w:t>
            </w:r>
            <w:r w:rsidRPr="00F6247A">
              <w:rPr>
                <w:rFonts w:asciiTheme="minorHAnsi" w:hAnsiTheme="minorHAnsi" w:cs="Calibri"/>
                <w:i/>
                <w:iCs/>
                <w:color w:val="201F1E"/>
                <w:sz w:val="20"/>
                <w:szCs w:val="20"/>
                <w:bdr w:val="none" w:sz="0" w:space="0" w:color="auto" w:frame="1"/>
              </w:rPr>
              <w:t>Tandanus bellingerensis</w:t>
            </w:r>
            <w:r w:rsidRPr="00800080">
              <w:rPr>
                <w:rFonts w:asciiTheme="minorHAnsi" w:hAnsiTheme="minorHAnsi" w:cs="Calibri"/>
                <w:color w:val="201F1E"/>
                <w:sz w:val="20"/>
                <w:szCs w:val="20"/>
                <w:bdr w:val="none" w:sz="0" w:space="0" w:color="auto" w:frame="1"/>
              </w:rPr>
              <w:t xml:space="preserve"> and </w:t>
            </w:r>
            <w:r w:rsidRPr="00F6247A">
              <w:rPr>
                <w:rFonts w:asciiTheme="minorHAnsi" w:hAnsiTheme="minorHAnsi" w:cs="Calibri"/>
                <w:i/>
                <w:iCs/>
                <w:color w:val="201F1E"/>
                <w:sz w:val="20"/>
                <w:szCs w:val="20"/>
                <w:bdr w:val="none" w:sz="0" w:space="0" w:color="auto" w:frame="1"/>
              </w:rPr>
              <w:t>Tandanus bostocki</w:t>
            </w:r>
            <w:r w:rsidRPr="00800080">
              <w:rPr>
                <w:rFonts w:asciiTheme="minorHAnsi" w:hAnsiTheme="minorHAnsi" w:cs="Calibri"/>
                <w:color w:val="201F1E"/>
                <w:sz w:val="20"/>
                <w:szCs w:val="20"/>
                <w:bdr w:val="none" w:sz="0" w:space="0" w:color="auto" w:frame="1"/>
              </w:rPr>
              <w:t xml:space="preserve"> both amplified using the </w:t>
            </w:r>
            <w:r w:rsidRPr="00800080">
              <w:rPr>
                <w:rFonts w:asciiTheme="minorHAnsi" w:hAnsiTheme="minorHAnsi" w:cs="Calibri"/>
                <w:i/>
                <w:iCs/>
                <w:color w:val="201F1E"/>
                <w:sz w:val="20"/>
                <w:szCs w:val="20"/>
                <w:bdr w:val="none" w:sz="0" w:space="0" w:color="auto" w:frame="1"/>
              </w:rPr>
              <w:t>T. tandanus</w:t>
            </w:r>
            <w:r w:rsidRPr="00800080">
              <w:rPr>
                <w:rFonts w:asciiTheme="minorHAnsi" w:hAnsiTheme="minorHAnsi" w:cs="Calibri"/>
                <w:color w:val="201F1E"/>
                <w:sz w:val="20"/>
                <w:szCs w:val="20"/>
                <w:bdr w:val="none" w:sz="0" w:space="0" w:color="auto" w:frame="1"/>
              </w:rPr>
              <w:t xml:space="preserve"> assay, however, both have geographically distinct distributions to </w:t>
            </w:r>
            <w:r w:rsidRPr="00F6247A">
              <w:rPr>
                <w:rFonts w:asciiTheme="minorHAnsi" w:hAnsiTheme="minorHAnsi" w:cs="Calibri"/>
                <w:i/>
                <w:iCs/>
                <w:color w:val="201F1E"/>
                <w:sz w:val="20"/>
                <w:szCs w:val="20"/>
                <w:bdr w:val="none" w:sz="0" w:space="0" w:color="auto" w:frame="1"/>
              </w:rPr>
              <w:t>T.tandanus</w:t>
            </w:r>
            <w:r w:rsidRPr="00800080">
              <w:rPr>
                <w:rFonts w:asciiTheme="minorHAnsi" w:hAnsiTheme="minorHAnsi" w:cs="Calibri"/>
                <w:color w:val="201F1E"/>
                <w:sz w:val="20"/>
                <w:szCs w:val="20"/>
                <w:bdr w:val="none" w:sz="0" w:space="0" w:color="auto" w:frame="1"/>
              </w:rPr>
              <w:t xml:space="preserve"> and thus the </w:t>
            </w:r>
            <w:r w:rsidRPr="00F6247A">
              <w:rPr>
                <w:rFonts w:asciiTheme="minorHAnsi" w:hAnsiTheme="minorHAnsi" w:cs="Calibri"/>
                <w:i/>
                <w:iCs/>
                <w:color w:val="201F1E"/>
                <w:sz w:val="20"/>
                <w:szCs w:val="20"/>
                <w:bdr w:val="none" w:sz="0" w:space="0" w:color="auto" w:frame="1"/>
              </w:rPr>
              <w:t>T. tandanus</w:t>
            </w:r>
            <w:r w:rsidRPr="00800080">
              <w:rPr>
                <w:rFonts w:asciiTheme="minorHAnsi" w:hAnsiTheme="minorHAnsi" w:cs="Calibri"/>
                <w:color w:val="201F1E"/>
                <w:sz w:val="20"/>
                <w:szCs w:val="20"/>
                <w:bdr w:val="none" w:sz="0" w:space="0" w:color="auto" w:frame="1"/>
              </w:rPr>
              <w:t xml:space="preserve"> assay is suitable for application in the Murray-Darling Basin. </w:t>
            </w:r>
            <w:r w:rsidRPr="00F6247A">
              <w:rPr>
                <w:rFonts w:asciiTheme="minorHAnsi" w:hAnsiTheme="minorHAnsi" w:cs="Calibri"/>
                <w:i/>
                <w:iCs/>
                <w:color w:val="201F1E"/>
                <w:sz w:val="20"/>
                <w:szCs w:val="20"/>
                <w:bdr w:val="none" w:sz="0" w:space="0" w:color="auto" w:frame="1"/>
              </w:rPr>
              <w:t>P. macrostomus</w:t>
            </w:r>
            <w:r w:rsidRPr="00800080">
              <w:rPr>
                <w:rFonts w:asciiTheme="minorHAnsi" w:hAnsiTheme="minorHAnsi" w:cs="Calibri"/>
                <w:color w:val="201F1E"/>
                <w:sz w:val="20"/>
                <w:szCs w:val="20"/>
                <w:bdr w:val="none" w:sz="0" w:space="0" w:color="auto" w:frame="1"/>
              </w:rPr>
              <w:t xml:space="preserve"> is comprised of a number of distinct genetic lineages </w:t>
            </w:r>
            <w:r w:rsidRPr="00800080">
              <w:rPr>
                <w:rFonts w:asciiTheme="minorHAnsi" w:hAnsiTheme="minorHAnsi" w:cs="Calibri"/>
                <w:color w:val="201F1E"/>
                <w:sz w:val="20"/>
                <w:szCs w:val="20"/>
                <w:bdr w:val="none" w:sz="0" w:space="0" w:color="auto" w:frame="1"/>
              </w:rPr>
              <w:fldChar w:fldCharType="begin"/>
            </w:r>
            <w:r w:rsidRPr="00800080">
              <w:rPr>
                <w:rFonts w:asciiTheme="minorHAnsi" w:hAnsiTheme="minorHAnsi" w:cs="Calibri"/>
                <w:color w:val="201F1E"/>
                <w:sz w:val="20"/>
                <w:szCs w:val="20"/>
                <w:bdr w:val="none" w:sz="0" w:space="0" w:color="auto" w:frame="1"/>
              </w:rPr>
              <w:instrText xml:space="preserve"> ADDIN EN.CITE &lt;EndNote&gt;&lt;Cite&gt;&lt;Author&gt;Hammer&lt;/Author&gt;&lt;Year&gt;2019&lt;/Year&gt;&lt;RecNum&gt;2452&lt;/RecNum&gt;&lt;DisplayText&gt;(Hammer&lt;style face="italic"&gt; et al.&lt;/style&gt;, 2019)&lt;/DisplayText&gt;&lt;record&gt;&lt;rec-number&gt;2452&lt;/rec-number&gt;&lt;foreign-keys&gt;&lt;key app="EN" db-id="e0dt5ads0f5edteap9hv95toswsre9f2wed5" timestamp="1600145031"&gt;2452&lt;/key&gt;&lt;/foreign-keys&gt;&lt;ref-type name="Journal Article"&gt;17&lt;/ref-type&gt;&lt;contributors&gt;&lt;authors&gt;&lt;author&gt;Hammer, Michael P.&lt;/author&gt;&lt;author&gt;Adams, Mark&lt;/author&gt;&lt;author&gt;Thacker, Christine E.&lt;/author&gt;&lt;author&gt;Johnson, Jerald B.&lt;/author&gt;&lt;author&gt;Unmack, Peter J.&lt;/author&gt;&lt;/authors&gt;&lt;/contributors&gt;&lt;titles&gt;&lt;title&gt;Comparison of genetic structure in co-occurring freshwater eleotrids (Actinopterygii: Philypnodon) reveals cryptic species, likely translocation and regional conservation hotspots&lt;/title&gt;&lt;secondary-title&gt;Molecular Phylogenetics and Evolution&lt;/secondary-title&gt;&lt;/titles&gt;&lt;pages&gt;106556&lt;/pages&gt;&lt;volume&gt;139&lt;/volume&gt;&lt;dates&gt;&lt;year&gt;2019&lt;/year&gt;&lt;pub-dates&gt;&lt;date&gt;2019/10/01/&lt;/date&gt;&lt;/pub-dates&gt;&lt;/dates&gt;&lt;isbn&gt;1055-7903&lt;/isbn&gt;&lt;urls&gt;&lt;related-urls&gt;&lt;url&gt;http://www.sciencedirect.com/science/article/pii/S1055790318304779&lt;/url&gt;&lt;/related-urls&gt;&lt;/urls&gt;&lt;electronic-resource-num&gt;https://doi.org/10.1016/j.ympev.2019.106556&lt;/electronic-resource-num&gt;&lt;/record&gt;&lt;/Cite&gt;&lt;/EndNote&gt;</w:instrText>
            </w:r>
            <w:r w:rsidRPr="00800080">
              <w:rPr>
                <w:rFonts w:asciiTheme="minorHAnsi" w:hAnsiTheme="minorHAnsi" w:cs="Calibri"/>
                <w:color w:val="201F1E"/>
                <w:sz w:val="20"/>
                <w:szCs w:val="20"/>
                <w:bdr w:val="none" w:sz="0" w:space="0" w:color="auto" w:frame="1"/>
              </w:rPr>
              <w:fldChar w:fldCharType="separate"/>
            </w:r>
            <w:r w:rsidRPr="00800080">
              <w:rPr>
                <w:rFonts w:asciiTheme="minorHAnsi" w:hAnsiTheme="minorHAnsi" w:cs="Calibri"/>
                <w:color w:val="201F1E"/>
                <w:sz w:val="20"/>
                <w:szCs w:val="20"/>
                <w:bdr w:val="none" w:sz="0" w:space="0" w:color="auto" w:frame="1"/>
              </w:rPr>
              <w:t>(Hammer et al., 2019)</w:t>
            </w:r>
            <w:r w:rsidRPr="00800080">
              <w:rPr>
                <w:rFonts w:asciiTheme="minorHAnsi" w:hAnsiTheme="minorHAnsi" w:cs="Calibri"/>
                <w:color w:val="201F1E"/>
                <w:sz w:val="20"/>
                <w:szCs w:val="20"/>
                <w:bdr w:val="none" w:sz="0" w:space="0" w:color="auto" w:frame="1"/>
              </w:rPr>
              <w:fldChar w:fldCharType="end"/>
            </w:r>
            <w:r w:rsidRPr="00800080">
              <w:rPr>
                <w:rFonts w:asciiTheme="minorHAnsi" w:hAnsiTheme="minorHAnsi" w:cs="Calibri"/>
                <w:color w:val="201F1E"/>
                <w:sz w:val="20"/>
                <w:szCs w:val="20"/>
                <w:bdr w:val="none" w:sz="0" w:space="0" w:color="auto" w:frame="1"/>
              </w:rPr>
              <w:t>. This assay has not been tested on individuals belonging to lineages outside of the MDB. Thus, this assay is only applicable for use in the MDB.</w:t>
            </w:r>
            <w:r w:rsidRPr="00364C60">
              <w:rPr>
                <w:rFonts w:cstheme="minorHAnsi"/>
                <w:iCs/>
              </w:rPr>
              <w:t xml:space="preserve"> </w:t>
            </w:r>
          </w:p>
        </w:tc>
      </w:tr>
    </w:tbl>
    <w:p w14:paraId="3D081A29" w14:textId="77777777" w:rsidR="006501A4"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sectPr w:rsidR="006501A4">
          <w:pgSz w:w="11906" w:h="16838"/>
          <w:pgMar w:top="1440" w:right="1440" w:bottom="1440" w:left="1440" w:header="708" w:footer="708" w:gutter="0"/>
          <w:cols w:space="708"/>
          <w:docGrid w:linePitch="360"/>
        </w:sectPr>
      </w:pPr>
    </w:p>
    <w:p w14:paraId="7AE06BB6" w14:textId="77777777" w:rsidR="006501A4" w:rsidRDefault="006501A4" w:rsidP="00D877B9">
      <w:pPr>
        <w:pStyle w:val="xmsonormal"/>
        <w:shd w:val="clear" w:color="auto" w:fill="FFFFFF"/>
        <w:spacing w:before="0" w:beforeAutospacing="0" w:after="0" w:afterAutospacing="0"/>
        <w:textAlignment w:val="baseline"/>
        <w:rPr>
          <w:rFonts w:asciiTheme="minorHAnsi" w:hAnsiTheme="minorHAnsi"/>
          <w:color w:val="201F1E"/>
          <w:sz w:val="20"/>
          <w:szCs w:val="20"/>
          <w:bdr w:val="none" w:sz="0" w:space="0" w:color="auto" w:frame="1"/>
        </w:rPr>
      </w:pPr>
      <w:r w:rsidRPr="002E7C63">
        <w:rPr>
          <w:rFonts w:asciiTheme="minorHAnsi" w:hAnsiTheme="minorHAnsi"/>
          <w:b/>
          <w:color w:val="201F1E"/>
          <w:sz w:val="20"/>
          <w:szCs w:val="20"/>
          <w:bdr w:val="none" w:sz="0" w:space="0" w:color="auto" w:frame="1"/>
        </w:rPr>
        <w:t xml:space="preserve">Appendix </w:t>
      </w:r>
      <w:r w:rsidRPr="002E7C63">
        <w:rPr>
          <w:rFonts w:asciiTheme="minorHAnsi" w:hAnsiTheme="minorHAnsi"/>
          <w:b/>
          <w:bCs/>
          <w:color w:val="201F1E"/>
          <w:sz w:val="20"/>
          <w:szCs w:val="20"/>
          <w:bdr w:val="none" w:sz="0" w:space="0" w:color="auto" w:frame="1"/>
        </w:rPr>
        <w:t>12.</w:t>
      </w:r>
      <w:r>
        <w:rPr>
          <w:rFonts w:asciiTheme="minorHAnsi" w:hAnsiTheme="minorHAnsi"/>
          <w:b/>
          <w:bCs/>
          <w:color w:val="201F1E"/>
          <w:sz w:val="20"/>
          <w:szCs w:val="20"/>
          <w:bdr w:val="none" w:sz="0" w:space="0" w:color="auto" w:frame="1"/>
        </w:rPr>
        <w:t>4</w:t>
      </w:r>
      <w:r w:rsidRPr="002E7C63">
        <w:rPr>
          <w:rFonts w:asciiTheme="minorHAnsi" w:hAnsiTheme="minorHAnsi"/>
          <w:color w:val="201F1E"/>
          <w:sz w:val="20"/>
          <w:szCs w:val="20"/>
          <w:bdr w:val="none" w:sz="0" w:space="0" w:color="auto" w:frame="1"/>
        </w:rPr>
        <w:t xml:space="preserve"> Positive detections of</w:t>
      </w:r>
      <w:r w:rsidRPr="002967FF">
        <w:rPr>
          <w:rFonts w:asciiTheme="minorHAnsi" w:hAnsiTheme="minorHAnsi"/>
          <w:color w:val="201F1E"/>
          <w:sz w:val="20"/>
          <w:szCs w:val="20"/>
          <w:bdr w:val="none" w:sz="0" w:space="0" w:color="auto" w:frame="1"/>
        </w:rPr>
        <w:t xml:space="preserve"> Murray cod</w:t>
      </w:r>
      <w:r w:rsidRPr="002E7C63">
        <w:rPr>
          <w:rFonts w:asciiTheme="minorHAnsi" w:hAnsiTheme="minorHAnsi"/>
          <w:color w:val="201F1E"/>
          <w:sz w:val="20"/>
          <w:szCs w:val="20"/>
          <w:bdr w:val="none" w:sz="0" w:space="0" w:color="auto" w:frame="1"/>
        </w:rPr>
        <w:t xml:space="preserve"> at the ten sampling locations.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 No amplification was detected in equipment controls, negative extraction controls and negative PCR controls.</w:t>
      </w:r>
    </w:p>
    <w:tbl>
      <w:tblPr>
        <w:tblW w:w="9600" w:type="dxa"/>
        <w:tblLook w:val="04A0" w:firstRow="1" w:lastRow="0" w:firstColumn="1" w:lastColumn="0" w:noHBand="0" w:noVBand="1"/>
      </w:tblPr>
      <w:tblGrid>
        <w:gridCol w:w="2980"/>
        <w:gridCol w:w="2200"/>
        <w:gridCol w:w="1486"/>
        <w:gridCol w:w="489"/>
        <w:gridCol w:w="489"/>
        <w:gridCol w:w="489"/>
        <w:gridCol w:w="489"/>
        <w:gridCol w:w="489"/>
        <w:gridCol w:w="489"/>
      </w:tblGrid>
      <w:tr w:rsidR="006501A4" w:rsidRPr="0072062E" w14:paraId="069A0881" w14:textId="77777777" w:rsidTr="0095397F">
        <w:trPr>
          <w:trHeight w:val="300"/>
        </w:trPr>
        <w:tc>
          <w:tcPr>
            <w:tcW w:w="2980" w:type="dxa"/>
            <w:tcBorders>
              <w:top w:val="nil"/>
              <w:left w:val="nil"/>
              <w:bottom w:val="nil"/>
              <w:right w:val="nil"/>
            </w:tcBorders>
            <w:shd w:val="clear" w:color="auto" w:fill="92CDDC"/>
            <w:noWrap/>
            <w:vAlign w:val="bottom"/>
            <w:hideMark/>
          </w:tcPr>
          <w:p w14:paraId="0E9116A3" w14:textId="77777777" w:rsidR="006501A4" w:rsidRPr="0072062E" w:rsidRDefault="006501A4" w:rsidP="0011303A">
            <w:pPr>
              <w:spacing w:after="0" w:line="240" w:lineRule="auto"/>
              <w:rPr>
                <w:rFonts w:ascii="Times New Roman" w:eastAsia="Times New Roman" w:hAnsi="Times New Roman"/>
                <w:sz w:val="24"/>
                <w:szCs w:val="24"/>
                <w:lang w:eastAsia="en-AU"/>
              </w:rPr>
            </w:pPr>
          </w:p>
        </w:tc>
        <w:tc>
          <w:tcPr>
            <w:tcW w:w="2200" w:type="dxa"/>
            <w:tcBorders>
              <w:top w:val="nil"/>
              <w:left w:val="nil"/>
              <w:bottom w:val="nil"/>
              <w:right w:val="nil"/>
            </w:tcBorders>
            <w:shd w:val="clear" w:color="auto" w:fill="92CDDC"/>
            <w:noWrap/>
            <w:vAlign w:val="bottom"/>
            <w:hideMark/>
          </w:tcPr>
          <w:p w14:paraId="6F1E25E2" w14:textId="77777777" w:rsidR="006501A4" w:rsidRPr="0072062E" w:rsidRDefault="006501A4" w:rsidP="0011303A">
            <w:pPr>
              <w:spacing w:after="0" w:line="240" w:lineRule="auto"/>
              <w:rPr>
                <w:rFonts w:ascii="Times New Roman" w:eastAsia="Times New Roman" w:hAnsi="Times New Roman"/>
                <w:sz w:val="20"/>
                <w:lang w:eastAsia="en-AU"/>
              </w:rPr>
            </w:pPr>
          </w:p>
        </w:tc>
        <w:tc>
          <w:tcPr>
            <w:tcW w:w="4420" w:type="dxa"/>
            <w:gridSpan w:val="7"/>
            <w:tcBorders>
              <w:top w:val="nil"/>
              <w:left w:val="nil"/>
              <w:bottom w:val="nil"/>
              <w:right w:val="nil"/>
            </w:tcBorders>
            <w:shd w:val="clear" w:color="auto" w:fill="92CDDC"/>
            <w:noWrap/>
            <w:vAlign w:val="bottom"/>
            <w:hideMark/>
          </w:tcPr>
          <w:p w14:paraId="72A0318E" w14:textId="5286B7E4" w:rsidR="006501A4" w:rsidRPr="0072062E" w:rsidRDefault="007D4752" w:rsidP="0011303A">
            <w:pPr>
              <w:spacing w:after="0" w:line="240" w:lineRule="auto"/>
              <w:jc w:val="center"/>
              <w:rPr>
                <w:rFonts w:eastAsia="Times New Roman" w:cs="Calibri"/>
                <w:color w:val="000000"/>
                <w:lang w:eastAsia="en-AU"/>
              </w:rPr>
            </w:pPr>
            <w:r>
              <w:rPr>
                <w:rFonts w:eastAsia="Times New Roman" w:cs="Calibri"/>
                <w:color w:val="000000"/>
                <w:lang w:eastAsia="en-AU"/>
              </w:rPr>
              <w:t xml:space="preserve">                   </w:t>
            </w:r>
            <w:r w:rsidR="006501A4">
              <w:rPr>
                <w:rFonts w:eastAsia="Times New Roman" w:cs="Calibri"/>
                <w:color w:val="000000"/>
                <w:lang w:eastAsia="en-AU"/>
              </w:rPr>
              <w:t>Technical replicates</w:t>
            </w:r>
          </w:p>
        </w:tc>
      </w:tr>
      <w:tr w:rsidR="006501A4" w:rsidRPr="0072062E" w14:paraId="1878573C" w14:textId="77777777" w:rsidTr="0095397F">
        <w:trPr>
          <w:trHeight w:val="315"/>
        </w:trPr>
        <w:tc>
          <w:tcPr>
            <w:tcW w:w="2980" w:type="dxa"/>
            <w:tcBorders>
              <w:top w:val="nil"/>
              <w:left w:val="nil"/>
              <w:bottom w:val="single" w:sz="8" w:space="0" w:color="auto"/>
              <w:right w:val="nil"/>
            </w:tcBorders>
            <w:shd w:val="clear" w:color="auto" w:fill="92CDDC"/>
            <w:noWrap/>
            <w:vAlign w:val="bottom"/>
            <w:hideMark/>
          </w:tcPr>
          <w:p w14:paraId="5E44F056" w14:textId="77777777" w:rsidR="006501A4" w:rsidRPr="0072062E" w:rsidRDefault="006501A4" w:rsidP="0011303A">
            <w:pPr>
              <w:spacing w:after="0" w:line="240" w:lineRule="auto"/>
              <w:rPr>
                <w:rFonts w:eastAsia="Times New Roman" w:cs="Calibri"/>
                <w:color w:val="000000"/>
                <w:lang w:eastAsia="en-AU"/>
              </w:rPr>
            </w:pPr>
            <w:r w:rsidRPr="0072062E">
              <w:rPr>
                <w:rFonts w:eastAsia="Times New Roman" w:cs="Calibri"/>
                <w:color w:val="000000"/>
                <w:lang w:eastAsia="en-AU"/>
              </w:rPr>
              <w:t>Sample ID</w:t>
            </w:r>
          </w:p>
        </w:tc>
        <w:tc>
          <w:tcPr>
            <w:tcW w:w="2200" w:type="dxa"/>
            <w:tcBorders>
              <w:top w:val="nil"/>
              <w:left w:val="nil"/>
              <w:bottom w:val="single" w:sz="8" w:space="0" w:color="auto"/>
              <w:right w:val="nil"/>
            </w:tcBorders>
            <w:shd w:val="clear" w:color="auto" w:fill="92CDDC"/>
            <w:noWrap/>
            <w:vAlign w:val="bottom"/>
            <w:hideMark/>
          </w:tcPr>
          <w:p w14:paraId="15C50B48" w14:textId="77777777" w:rsidR="006501A4" w:rsidRPr="0072062E" w:rsidRDefault="006501A4" w:rsidP="0011303A">
            <w:pPr>
              <w:spacing w:after="0" w:line="240" w:lineRule="auto"/>
              <w:rPr>
                <w:rFonts w:eastAsia="Times New Roman" w:cs="Calibri"/>
                <w:color w:val="000000"/>
                <w:lang w:eastAsia="en-AU"/>
              </w:rPr>
            </w:pPr>
            <w:r w:rsidRPr="0072062E">
              <w:rPr>
                <w:rFonts w:eastAsia="Times New Roman" w:cs="Calibri"/>
                <w:color w:val="000000"/>
                <w:lang w:eastAsia="en-AU"/>
              </w:rPr>
              <w:t>Waterway</w:t>
            </w:r>
          </w:p>
        </w:tc>
        <w:tc>
          <w:tcPr>
            <w:tcW w:w="1486" w:type="dxa"/>
            <w:tcBorders>
              <w:top w:val="nil"/>
              <w:left w:val="nil"/>
              <w:bottom w:val="single" w:sz="8" w:space="0" w:color="auto"/>
              <w:right w:val="nil"/>
            </w:tcBorders>
            <w:shd w:val="clear" w:color="auto" w:fill="92CDDC"/>
            <w:noWrap/>
            <w:vAlign w:val="bottom"/>
            <w:hideMark/>
          </w:tcPr>
          <w:p w14:paraId="434E7C2F"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Pos reps</w:t>
            </w:r>
          </w:p>
        </w:tc>
        <w:tc>
          <w:tcPr>
            <w:tcW w:w="489" w:type="dxa"/>
            <w:tcBorders>
              <w:top w:val="nil"/>
              <w:left w:val="nil"/>
              <w:bottom w:val="single" w:sz="8" w:space="0" w:color="auto"/>
              <w:right w:val="nil"/>
            </w:tcBorders>
            <w:shd w:val="clear" w:color="auto" w:fill="92CDDC"/>
            <w:noWrap/>
            <w:vAlign w:val="bottom"/>
            <w:hideMark/>
          </w:tcPr>
          <w:p w14:paraId="34FEE54D"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n1</w:t>
            </w:r>
          </w:p>
        </w:tc>
        <w:tc>
          <w:tcPr>
            <w:tcW w:w="489" w:type="dxa"/>
            <w:tcBorders>
              <w:top w:val="nil"/>
              <w:left w:val="nil"/>
              <w:bottom w:val="single" w:sz="8" w:space="0" w:color="auto"/>
              <w:right w:val="nil"/>
            </w:tcBorders>
            <w:shd w:val="clear" w:color="auto" w:fill="92CDDC"/>
            <w:noWrap/>
            <w:vAlign w:val="bottom"/>
            <w:hideMark/>
          </w:tcPr>
          <w:p w14:paraId="31AF86BA"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n2</w:t>
            </w:r>
          </w:p>
        </w:tc>
        <w:tc>
          <w:tcPr>
            <w:tcW w:w="489" w:type="dxa"/>
            <w:tcBorders>
              <w:top w:val="nil"/>
              <w:left w:val="nil"/>
              <w:bottom w:val="single" w:sz="8" w:space="0" w:color="auto"/>
              <w:right w:val="nil"/>
            </w:tcBorders>
            <w:shd w:val="clear" w:color="auto" w:fill="92CDDC"/>
            <w:noWrap/>
            <w:vAlign w:val="bottom"/>
            <w:hideMark/>
          </w:tcPr>
          <w:p w14:paraId="35D0598C"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n3</w:t>
            </w:r>
          </w:p>
        </w:tc>
        <w:tc>
          <w:tcPr>
            <w:tcW w:w="489" w:type="dxa"/>
            <w:tcBorders>
              <w:top w:val="nil"/>
              <w:left w:val="nil"/>
              <w:bottom w:val="single" w:sz="8" w:space="0" w:color="auto"/>
              <w:right w:val="nil"/>
            </w:tcBorders>
            <w:shd w:val="clear" w:color="auto" w:fill="92CDDC"/>
            <w:noWrap/>
            <w:vAlign w:val="bottom"/>
            <w:hideMark/>
          </w:tcPr>
          <w:p w14:paraId="150830BF"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n4</w:t>
            </w:r>
          </w:p>
        </w:tc>
        <w:tc>
          <w:tcPr>
            <w:tcW w:w="489" w:type="dxa"/>
            <w:tcBorders>
              <w:top w:val="nil"/>
              <w:left w:val="nil"/>
              <w:bottom w:val="single" w:sz="8" w:space="0" w:color="auto"/>
              <w:right w:val="nil"/>
            </w:tcBorders>
            <w:shd w:val="clear" w:color="auto" w:fill="92CDDC"/>
            <w:noWrap/>
            <w:vAlign w:val="bottom"/>
            <w:hideMark/>
          </w:tcPr>
          <w:p w14:paraId="7642BD8A"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n5</w:t>
            </w:r>
          </w:p>
        </w:tc>
        <w:tc>
          <w:tcPr>
            <w:tcW w:w="489" w:type="dxa"/>
            <w:tcBorders>
              <w:top w:val="nil"/>
              <w:left w:val="nil"/>
              <w:bottom w:val="single" w:sz="8" w:space="0" w:color="auto"/>
              <w:right w:val="nil"/>
            </w:tcBorders>
            <w:shd w:val="clear" w:color="auto" w:fill="92CDDC"/>
            <w:noWrap/>
            <w:vAlign w:val="bottom"/>
            <w:hideMark/>
          </w:tcPr>
          <w:p w14:paraId="796E5323" w14:textId="77777777" w:rsidR="006501A4" w:rsidRPr="0072062E" w:rsidRDefault="006501A4" w:rsidP="0011303A">
            <w:pPr>
              <w:spacing w:after="0" w:line="240" w:lineRule="auto"/>
              <w:jc w:val="center"/>
              <w:rPr>
                <w:rFonts w:eastAsia="Times New Roman" w:cs="Calibri"/>
                <w:color w:val="000000"/>
                <w:lang w:eastAsia="en-AU"/>
              </w:rPr>
            </w:pPr>
            <w:r w:rsidRPr="0072062E">
              <w:rPr>
                <w:rFonts w:eastAsia="Times New Roman" w:cs="Calibri"/>
                <w:color w:val="000000"/>
                <w:lang w:eastAsia="en-AU"/>
              </w:rPr>
              <w:t>n6</w:t>
            </w:r>
          </w:p>
        </w:tc>
      </w:tr>
      <w:tr w:rsidR="006501A4" w:rsidRPr="0072062E" w14:paraId="566F70F9" w14:textId="77777777" w:rsidTr="0095397F">
        <w:trPr>
          <w:trHeight w:val="300"/>
        </w:trPr>
        <w:tc>
          <w:tcPr>
            <w:tcW w:w="2980" w:type="dxa"/>
            <w:tcBorders>
              <w:top w:val="nil"/>
              <w:left w:val="nil"/>
              <w:bottom w:val="nil"/>
              <w:right w:val="nil"/>
            </w:tcBorders>
            <w:shd w:val="clear" w:color="auto" w:fill="auto"/>
            <w:noWrap/>
            <w:vAlign w:val="bottom"/>
            <w:hideMark/>
          </w:tcPr>
          <w:p w14:paraId="5BB7537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1</w:t>
            </w:r>
          </w:p>
        </w:tc>
        <w:tc>
          <w:tcPr>
            <w:tcW w:w="2200" w:type="dxa"/>
            <w:tcBorders>
              <w:top w:val="nil"/>
              <w:left w:val="nil"/>
              <w:bottom w:val="nil"/>
              <w:right w:val="nil"/>
            </w:tcBorders>
            <w:shd w:val="clear" w:color="auto" w:fill="auto"/>
            <w:noWrap/>
            <w:vAlign w:val="bottom"/>
            <w:hideMark/>
          </w:tcPr>
          <w:p w14:paraId="2309DEB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4CB0D357"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36A87C6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8BA814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5FE10D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ED86A1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F69A18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265CCD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EA4D363" w14:textId="77777777" w:rsidTr="0095397F">
        <w:trPr>
          <w:trHeight w:val="300"/>
        </w:trPr>
        <w:tc>
          <w:tcPr>
            <w:tcW w:w="2980" w:type="dxa"/>
            <w:tcBorders>
              <w:top w:val="nil"/>
              <w:left w:val="nil"/>
              <w:bottom w:val="nil"/>
              <w:right w:val="nil"/>
            </w:tcBorders>
            <w:shd w:val="clear" w:color="auto" w:fill="auto"/>
            <w:noWrap/>
            <w:vAlign w:val="bottom"/>
            <w:hideMark/>
          </w:tcPr>
          <w:p w14:paraId="0C4DF4C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2</w:t>
            </w:r>
          </w:p>
        </w:tc>
        <w:tc>
          <w:tcPr>
            <w:tcW w:w="2200" w:type="dxa"/>
            <w:tcBorders>
              <w:top w:val="nil"/>
              <w:left w:val="nil"/>
              <w:bottom w:val="nil"/>
              <w:right w:val="nil"/>
            </w:tcBorders>
            <w:shd w:val="clear" w:color="auto" w:fill="auto"/>
            <w:noWrap/>
            <w:vAlign w:val="bottom"/>
            <w:hideMark/>
          </w:tcPr>
          <w:p w14:paraId="25B319A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62EB11F3"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6F1C76A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201140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E691F5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1E4103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54DFBA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BBBCC9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CA3FF06" w14:textId="77777777" w:rsidTr="0095397F">
        <w:trPr>
          <w:trHeight w:val="300"/>
        </w:trPr>
        <w:tc>
          <w:tcPr>
            <w:tcW w:w="2980" w:type="dxa"/>
            <w:tcBorders>
              <w:top w:val="nil"/>
              <w:left w:val="nil"/>
              <w:bottom w:val="nil"/>
              <w:right w:val="nil"/>
            </w:tcBorders>
            <w:shd w:val="clear" w:color="auto" w:fill="auto"/>
            <w:noWrap/>
            <w:vAlign w:val="bottom"/>
            <w:hideMark/>
          </w:tcPr>
          <w:p w14:paraId="544E539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3</w:t>
            </w:r>
          </w:p>
        </w:tc>
        <w:tc>
          <w:tcPr>
            <w:tcW w:w="2200" w:type="dxa"/>
            <w:tcBorders>
              <w:top w:val="nil"/>
              <w:left w:val="nil"/>
              <w:bottom w:val="nil"/>
              <w:right w:val="nil"/>
            </w:tcBorders>
            <w:shd w:val="clear" w:color="auto" w:fill="auto"/>
            <w:noWrap/>
            <w:vAlign w:val="bottom"/>
            <w:hideMark/>
          </w:tcPr>
          <w:p w14:paraId="5BE9541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214B015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557E64E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CF1E20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6785CB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228A9BC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A87B27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2D6FC9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72481275" w14:textId="77777777" w:rsidTr="0095397F">
        <w:trPr>
          <w:trHeight w:val="300"/>
        </w:trPr>
        <w:tc>
          <w:tcPr>
            <w:tcW w:w="2980" w:type="dxa"/>
            <w:tcBorders>
              <w:top w:val="nil"/>
              <w:left w:val="nil"/>
              <w:bottom w:val="nil"/>
              <w:right w:val="nil"/>
            </w:tcBorders>
            <w:shd w:val="clear" w:color="auto" w:fill="auto"/>
            <w:noWrap/>
            <w:vAlign w:val="bottom"/>
            <w:hideMark/>
          </w:tcPr>
          <w:p w14:paraId="0A7B537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4</w:t>
            </w:r>
          </w:p>
        </w:tc>
        <w:tc>
          <w:tcPr>
            <w:tcW w:w="2200" w:type="dxa"/>
            <w:tcBorders>
              <w:top w:val="nil"/>
              <w:left w:val="nil"/>
              <w:bottom w:val="nil"/>
              <w:right w:val="nil"/>
            </w:tcBorders>
            <w:shd w:val="clear" w:color="auto" w:fill="auto"/>
            <w:noWrap/>
            <w:vAlign w:val="bottom"/>
            <w:hideMark/>
          </w:tcPr>
          <w:p w14:paraId="383CBA6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0CC70FDC"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FFC7CE"/>
            <w:noWrap/>
            <w:vAlign w:val="bottom"/>
            <w:hideMark/>
          </w:tcPr>
          <w:p w14:paraId="4BB817B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0732C3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D74E8B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590FA18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7B54A2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0E9BEC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1B1C16CB" w14:textId="77777777" w:rsidTr="0095397F">
        <w:trPr>
          <w:trHeight w:val="300"/>
        </w:trPr>
        <w:tc>
          <w:tcPr>
            <w:tcW w:w="2980" w:type="dxa"/>
            <w:tcBorders>
              <w:top w:val="nil"/>
              <w:left w:val="nil"/>
              <w:bottom w:val="nil"/>
              <w:right w:val="nil"/>
            </w:tcBorders>
            <w:shd w:val="clear" w:color="auto" w:fill="auto"/>
            <w:noWrap/>
            <w:vAlign w:val="bottom"/>
            <w:hideMark/>
          </w:tcPr>
          <w:p w14:paraId="51F9079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5</w:t>
            </w:r>
          </w:p>
        </w:tc>
        <w:tc>
          <w:tcPr>
            <w:tcW w:w="2200" w:type="dxa"/>
            <w:tcBorders>
              <w:top w:val="nil"/>
              <w:left w:val="nil"/>
              <w:bottom w:val="nil"/>
              <w:right w:val="nil"/>
            </w:tcBorders>
            <w:shd w:val="clear" w:color="auto" w:fill="auto"/>
            <w:noWrap/>
            <w:vAlign w:val="bottom"/>
            <w:hideMark/>
          </w:tcPr>
          <w:p w14:paraId="59A60EA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528C860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73FF0D0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AA3351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2375BC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20C917F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5DA958C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44C02A1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60D6B5B" w14:textId="77777777" w:rsidTr="0095397F">
        <w:trPr>
          <w:trHeight w:val="300"/>
        </w:trPr>
        <w:tc>
          <w:tcPr>
            <w:tcW w:w="2980" w:type="dxa"/>
            <w:tcBorders>
              <w:top w:val="nil"/>
              <w:left w:val="nil"/>
              <w:bottom w:val="nil"/>
              <w:right w:val="nil"/>
            </w:tcBorders>
            <w:shd w:val="clear" w:color="auto" w:fill="auto"/>
            <w:noWrap/>
            <w:vAlign w:val="bottom"/>
            <w:hideMark/>
          </w:tcPr>
          <w:p w14:paraId="1FA31A1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6</w:t>
            </w:r>
          </w:p>
        </w:tc>
        <w:tc>
          <w:tcPr>
            <w:tcW w:w="2200" w:type="dxa"/>
            <w:tcBorders>
              <w:top w:val="nil"/>
              <w:left w:val="nil"/>
              <w:bottom w:val="nil"/>
              <w:right w:val="nil"/>
            </w:tcBorders>
            <w:shd w:val="clear" w:color="auto" w:fill="auto"/>
            <w:noWrap/>
            <w:vAlign w:val="bottom"/>
            <w:hideMark/>
          </w:tcPr>
          <w:p w14:paraId="4F2C2AC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6C733438"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1AA72D3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A7DC3E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65D0A47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041801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3BDC6BB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21D388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1B67F6C" w14:textId="77777777" w:rsidTr="0095397F">
        <w:trPr>
          <w:trHeight w:val="300"/>
        </w:trPr>
        <w:tc>
          <w:tcPr>
            <w:tcW w:w="2980" w:type="dxa"/>
            <w:tcBorders>
              <w:top w:val="nil"/>
              <w:left w:val="nil"/>
              <w:bottom w:val="nil"/>
              <w:right w:val="nil"/>
            </w:tcBorders>
            <w:shd w:val="clear" w:color="auto" w:fill="auto"/>
            <w:noWrap/>
            <w:vAlign w:val="bottom"/>
            <w:hideMark/>
          </w:tcPr>
          <w:p w14:paraId="4BDC484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7</w:t>
            </w:r>
          </w:p>
        </w:tc>
        <w:tc>
          <w:tcPr>
            <w:tcW w:w="2200" w:type="dxa"/>
            <w:tcBorders>
              <w:top w:val="nil"/>
              <w:left w:val="nil"/>
              <w:bottom w:val="nil"/>
              <w:right w:val="nil"/>
            </w:tcBorders>
            <w:shd w:val="clear" w:color="auto" w:fill="auto"/>
            <w:noWrap/>
            <w:vAlign w:val="bottom"/>
            <w:hideMark/>
          </w:tcPr>
          <w:p w14:paraId="5CCD3A1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483B231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C6EFCE"/>
            <w:noWrap/>
            <w:vAlign w:val="bottom"/>
            <w:hideMark/>
          </w:tcPr>
          <w:p w14:paraId="1FBEA1F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F5874C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F85777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E44393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A54B76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F0D710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A427661"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0143369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Four Posts 8</w:t>
            </w:r>
          </w:p>
        </w:tc>
        <w:tc>
          <w:tcPr>
            <w:tcW w:w="2200" w:type="dxa"/>
            <w:tcBorders>
              <w:top w:val="nil"/>
              <w:left w:val="nil"/>
              <w:bottom w:val="single" w:sz="8" w:space="0" w:color="auto"/>
              <w:right w:val="nil"/>
            </w:tcBorders>
            <w:shd w:val="clear" w:color="auto" w:fill="auto"/>
            <w:noWrap/>
            <w:vAlign w:val="bottom"/>
            <w:hideMark/>
          </w:tcPr>
          <w:p w14:paraId="0A91148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single" w:sz="8" w:space="0" w:color="auto"/>
              <w:right w:val="nil"/>
            </w:tcBorders>
            <w:shd w:val="clear" w:color="auto" w:fill="auto"/>
            <w:noWrap/>
            <w:vAlign w:val="bottom"/>
            <w:hideMark/>
          </w:tcPr>
          <w:p w14:paraId="7ACDF75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single" w:sz="8" w:space="0" w:color="auto"/>
              <w:right w:val="nil"/>
            </w:tcBorders>
            <w:shd w:val="clear" w:color="000000" w:fill="C6EFCE"/>
            <w:noWrap/>
            <w:vAlign w:val="bottom"/>
            <w:hideMark/>
          </w:tcPr>
          <w:p w14:paraId="4A9741C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27C2435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629DF2E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607BD49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099794C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17343E3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1D318EC2" w14:textId="77777777" w:rsidTr="0095397F">
        <w:trPr>
          <w:trHeight w:val="300"/>
        </w:trPr>
        <w:tc>
          <w:tcPr>
            <w:tcW w:w="2980" w:type="dxa"/>
            <w:tcBorders>
              <w:top w:val="nil"/>
              <w:left w:val="nil"/>
              <w:bottom w:val="nil"/>
              <w:right w:val="nil"/>
            </w:tcBorders>
            <w:shd w:val="clear" w:color="auto" w:fill="auto"/>
            <w:noWrap/>
            <w:vAlign w:val="bottom"/>
            <w:hideMark/>
          </w:tcPr>
          <w:p w14:paraId="72C430E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1</w:t>
            </w:r>
          </w:p>
        </w:tc>
        <w:tc>
          <w:tcPr>
            <w:tcW w:w="2200" w:type="dxa"/>
            <w:tcBorders>
              <w:top w:val="nil"/>
              <w:left w:val="nil"/>
              <w:bottom w:val="nil"/>
              <w:right w:val="nil"/>
            </w:tcBorders>
            <w:shd w:val="clear" w:color="auto" w:fill="auto"/>
            <w:noWrap/>
            <w:vAlign w:val="bottom"/>
            <w:hideMark/>
          </w:tcPr>
          <w:p w14:paraId="6B9489D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C7A1158"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C6EFCE"/>
            <w:noWrap/>
            <w:vAlign w:val="bottom"/>
            <w:hideMark/>
          </w:tcPr>
          <w:p w14:paraId="31F8350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A1677F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B057B0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C4D80C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45225D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E8270E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F705515" w14:textId="77777777" w:rsidTr="0095397F">
        <w:trPr>
          <w:trHeight w:val="300"/>
        </w:trPr>
        <w:tc>
          <w:tcPr>
            <w:tcW w:w="2980" w:type="dxa"/>
            <w:tcBorders>
              <w:top w:val="nil"/>
              <w:left w:val="nil"/>
              <w:bottom w:val="nil"/>
              <w:right w:val="nil"/>
            </w:tcBorders>
            <w:shd w:val="clear" w:color="auto" w:fill="auto"/>
            <w:noWrap/>
            <w:vAlign w:val="bottom"/>
            <w:hideMark/>
          </w:tcPr>
          <w:p w14:paraId="113E574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2</w:t>
            </w:r>
          </w:p>
        </w:tc>
        <w:tc>
          <w:tcPr>
            <w:tcW w:w="2200" w:type="dxa"/>
            <w:tcBorders>
              <w:top w:val="nil"/>
              <w:left w:val="nil"/>
              <w:bottom w:val="nil"/>
              <w:right w:val="nil"/>
            </w:tcBorders>
            <w:shd w:val="clear" w:color="auto" w:fill="auto"/>
            <w:noWrap/>
            <w:vAlign w:val="bottom"/>
            <w:hideMark/>
          </w:tcPr>
          <w:p w14:paraId="1FA8395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13AC3E3C"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51DC3AC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8C8640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AB211B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C5DB97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2A2233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12CD19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0FE53C8" w14:textId="77777777" w:rsidTr="0095397F">
        <w:trPr>
          <w:trHeight w:val="300"/>
        </w:trPr>
        <w:tc>
          <w:tcPr>
            <w:tcW w:w="2980" w:type="dxa"/>
            <w:tcBorders>
              <w:top w:val="nil"/>
              <w:left w:val="nil"/>
              <w:bottom w:val="nil"/>
              <w:right w:val="nil"/>
            </w:tcBorders>
            <w:shd w:val="clear" w:color="auto" w:fill="auto"/>
            <w:noWrap/>
            <w:vAlign w:val="bottom"/>
            <w:hideMark/>
          </w:tcPr>
          <w:p w14:paraId="037CE35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3</w:t>
            </w:r>
          </w:p>
        </w:tc>
        <w:tc>
          <w:tcPr>
            <w:tcW w:w="2200" w:type="dxa"/>
            <w:tcBorders>
              <w:top w:val="nil"/>
              <w:left w:val="nil"/>
              <w:bottom w:val="nil"/>
              <w:right w:val="nil"/>
            </w:tcBorders>
            <w:shd w:val="clear" w:color="auto" w:fill="auto"/>
            <w:noWrap/>
            <w:vAlign w:val="bottom"/>
            <w:hideMark/>
          </w:tcPr>
          <w:p w14:paraId="692973D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764E571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FFC7CE"/>
            <w:noWrap/>
            <w:vAlign w:val="bottom"/>
            <w:hideMark/>
          </w:tcPr>
          <w:p w14:paraId="366FC3E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8BB57B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6222AA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7CA403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50EAD7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6F21712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3F4E6AA" w14:textId="77777777" w:rsidTr="0095397F">
        <w:trPr>
          <w:trHeight w:val="300"/>
        </w:trPr>
        <w:tc>
          <w:tcPr>
            <w:tcW w:w="2980" w:type="dxa"/>
            <w:tcBorders>
              <w:top w:val="nil"/>
              <w:left w:val="nil"/>
              <w:bottom w:val="nil"/>
              <w:right w:val="nil"/>
            </w:tcBorders>
            <w:shd w:val="clear" w:color="auto" w:fill="auto"/>
            <w:noWrap/>
            <w:vAlign w:val="bottom"/>
            <w:hideMark/>
          </w:tcPr>
          <w:p w14:paraId="67E11A7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4</w:t>
            </w:r>
          </w:p>
        </w:tc>
        <w:tc>
          <w:tcPr>
            <w:tcW w:w="2200" w:type="dxa"/>
            <w:tcBorders>
              <w:top w:val="nil"/>
              <w:left w:val="nil"/>
              <w:bottom w:val="nil"/>
              <w:right w:val="nil"/>
            </w:tcBorders>
            <w:shd w:val="clear" w:color="auto" w:fill="auto"/>
            <w:noWrap/>
            <w:vAlign w:val="bottom"/>
            <w:hideMark/>
          </w:tcPr>
          <w:p w14:paraId="41C115F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2775145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519A963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28092F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099209C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28E1C8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60E8CC2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DEC794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61C60AE3" w14:textId="77777777" w:rsidTr="0095397F">
        <w:trPr>
          <w:trHeight w:val="300"/>
        </w:trPr>
        <w:tc>
          <w:tcPr>
            <w:tcW w:w="2980" w:type="dxa"/>
            <w:tcBorders>
              <w:top w:val="nil"/>
              <w:left w:val="nil"/>
              <w:bottom w:val="nil"/>
              <w:right w:val="nil"/>
            </w:tcBorders>
            <w:shd w:val="clear" w:color="auto" w:fill="auto"/>
            <w:noWrap/>
            <w:vAlign w:val="bottom"/>
            <w:hideMark/>
          </w:tcPr>
          <w:p w14:paraId="7541F41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5</w:t>
            </w:r>
          </w:p>
        </w:tc>
        <w:tc>
          <w:tcPr>
            <w:tcW w:w="2200" w:type="dxa"/>
            <w:tcBorders>
              <w:top w:val="nil"/>
              <w:left w:val="nil"/>
              <w:bottom w:val="nil"/>
              <w:right w:val="nil"/>
            </w:tcBorders>
            <w:shd w:val="clear" w:color="auto" w:fill="auto"/>
            <w:noWrap/>
            <w:vAlign w:val="bottom"/>
            <w:hideMark/>
          </w:tcPr>
          <w:p w14:paraId="7E3E7C4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E33CE1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C6EFCE"/>
            <w:noWrap/>
            <w:vAlign w:val="bottom"/>
            <w:hideMark/>
          </w:tcPr>
          <w:p w14:paraId="64756D9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7FB218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484173A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1FDEDE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59CD83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D2078C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26FAE91" w14:textId="77777777" w:rsidTr="0095397F">
        <w:trPr>
          <w:trHeight w:val="300"/>
        </w:trPr>
        <w:tc>
          <w:tcPr>
            <w:tcW w:w="2980" w:type="dxa"/>
            <w:tcBorders>
              <w:top w:val="nil"/>
              <w:left w:val="nil"/>
              <w:bottom w:val="nil"/>
              <w:right w:val="nil"/>
            </w:tcBorders>
            <w:shd w:val="clear" w:color="auto" w:fill="auto"/>
            <w:noWrap/>
            <w:vAlign w:val="bottom"/>
            <w:hideMark/>
          </w:tcPr>
          <w:p w14:paraId="059C80E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6</w:t>
            </w:r>
          </w:p>
        </w:tc>
        <w:tc>
          <w:tcPr>
            <w:tcW w:w="2200" w:type="dxa"/>
            <w:tcBorders>
              <w:top w:val="nil"/>
              <w:left w:val="nil"/>
              <w:bottom w:val="nil"/>
              <w:right w:val="nil"/>
            </w:tcBorders>
            <w:shd w:val="clear" w:color="auto" w:fill="auto"/>
            <w:noWrap/>
            <w:vAlign w:val="bottom"/>
            <w:hideMark/>
          </w:tcPr>
          <w:p w14:paraId="600A00F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7AD42F3D"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39252EB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27F2B5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3AE1C7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986F11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8DC2D3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1BE73D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290389C" w14:textId="77777777" w:rsidTr="0095397F">
        <w:trPr>
          <w:trHeight w:val="300"/>
        </w:trPr>
        <w:tc>
          <w:tcPr>
            <w:tcW w:w="2980" w:type="dxa"/>
            <w:tcBorders>
              <w:top w:val="nil"/>
              <w:left w:val="nil"/>
              <w:bottom w:val="nil"/>
              <w:right w:val="nil"/>
            </w:tcBorders>
            <w:shd w:val="clear" w:color="auto" w:fill="auto"/>
            <w:noWrap/>
            <w:vAlign w:val="bottom"/>
            <w:hideMark/>
          </w:tcPr>
          <w:p w14:paraId="6188BCE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7</w:t>
            </w:r>
          </w:p>
        </w:tc>
        <w:tc>
          <w:tcPr>
            <w:tcW w:w="2200" w:type="dxa"/>
            <w:tcBorders>
              <w:top w:val="nil"/>
              <w:left w:val="nil"/>
              <w:bottom w:val="nil"/>
              <w:right w:val="nil"/>
            </w:tcBorders>
            <w:shd w:val="clear" w:color="auto" w:fill="auto"/>
            <w:noWrap/>
            <w:vAlign w:val="bottom"/>
            <w:hideMark/>
          </w:tcPr>
          <w:p w14:paraId="55C2D32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2E2BBA6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5E9B4B4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6A3A34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EBCD03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C8D730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982963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1CA223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65E6CBB"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71D85FD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Eastman Bridge 8</w:t>
            </w:r>
          </w:p>
        </w:tc>
        <w:tc>
          <w:tcPr>
            <w:tcW w:w="2200" w:type="dxa"/>
            <w:tcBorders>
              <w:top w:val="nil"/>
              <w:left w:val="nil"/>
              <w:bottom w:val="single" w:sz="8" w:space="0" w:color="auto"/>
              <w:right w:val="nil"/>
            </w:tcBorders>
            <w:shd w:val="clear" w:color="auto" w:fill="auto"/>
            <w:noWrap/>
            <w:vAlign w:val="bottom"/>
            <w:hideMark/>
          </w:tcPr>
          <w:p w14:paraId="14E254B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single" w:sz="8" w:space="0" w:color="auto"/>
              <w:right w:val="nil"/>
            </w:tcBorders>
            <w:shd w:val="clear" w:color="auto" w:fill="auto"/>
            <w:noWrap/>
            <w:vAlign w:val="bottom"/>
            <w:hideMark/>
          </w:tcPr>
          <w:p w14:paraId="49D7C5B8"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single" w:sz="8" w:space="0" w:color="auto"/>
              <w:right w:val="nil"/>
            </w:tcBorders>
            <w:shd w:val="clear" w:color="000000" w:fill="FFC7CE"/>
            <w:noWrap/>
            <w:vAlign w:val="bottom"/>
            <w:hideMark/>
          </w:tcPr>
          <w:p w14:paraId="75C8FF4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3AF5518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70459E0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39CD5C2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FFC7CE"/>
            <w:noWrap/>
            <w:vAlign w:val="bottom"/>
            <w:hideMark/>
          </w:tcPr>
          <w:p w14:paraId="1654E85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5262E0F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7DCEEC36" w14:textId="77777777" w:rsidTr="0095397F">
        <w:trPr>
          <w:trHeight w:val="300"/>
        </w:trPr>
        <w:tc>
          <w:tcPr>
            <w:tcW w:w="2980" w:type="dxa"/>
            <w:tcBorders>
              <w:top w:val="nil"/>
              <w:left w:val="nil"/>
              <w:bottom w:val="nil"/>
              <w:right w:val="nil"/>
            </w:tcBorders>
            <w:shd w:val="clear" w:color="auto" w:fill="auto"/>
            <w:noWrap/>
            <w:vAlign w:val="bottom"/>
            <w:hideMark/>
          </w:tcPr>
          <w:p w14:paraId="5F7E107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1</w:t>
            </w:r>
          </w:p>
        </w:tc>
        <w:tc>
          <w:tcPr>
            <w:tcW w:w="2200" w:type="dxa"/>
            <w:tcBorders>
              <w:top w:val="nil"/>
              <w:left w:val="nil"/>
              <w:bottom w:val="nil"/>
              <w:right w:val="nil"/>
            </w:tcBorders>
            <w:shd w:val="clear" w:color="auto" w:fill="auto"/>
            <w:noWrap/>
            <w:vAlign w:val="bottom"/>
            <w:hideMark/>
          </w:tcPr>
          <w:p w14:paraId="024A402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758B13D7"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738527D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656B3A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73614C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0C9239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F66276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D0256F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4675670" w14:textId="77777777" w:rsidTr="0095397F">
        <w:trPr>
          <w:trHeight w:val="300"/>
        </w:trPr>
        <w:tc>
          <w:tcPr>
            <w:tcW w:w="2980" w:type="dxa"/>
            <w:tcBorders>
              <w:top w:val="nil"/>
              <w:left w:val="nil"/>
              <w:bottom w:val="nil"/>
              <w:right w:val="nil"/>
            </w:tcBorders>
            <w:shd w:val="clear" w:color="auto" w:fill="auto"/>
            <w:noWrap/>
            <w:vAlign w:val="bottom"/>
            <w:hideMark/>
          </w:tcPr>
          <w:p w14:paraId="0648D37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2</w:t>
            </w:r>
          </w:p>
        </w:tc>
        <w:tc>
          <w:tcPr>
            <w:tcW w:w="2200" w:type="dxa"/>
            <w:tcBorders>
              <w:top w:val="nil"/>
              <w:left w:val="nil"/>
              <w:bottom w:val="nil"/>
              <w:right w:val="nil"/>
            </w:tcBorders>
            <w:shd w:val="clear" w:color="auto" w:fill="auto"/>
            <w:noWrap/>
            <w:vAlign w:val="bottom"/>
            <w:hideMark/>
          </w:tcPr>
          <w:p w14:paraId="32E491C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05B8950C"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153AB17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7B726B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854A6A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2891CC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1227B5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2E2085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4237E600" w14:textId="77777777" w:rsidTr="0095397F">
        <w:trPr>
          <w:trHeight w:val="300"/>
        </w:trPr>
        <w:tc>
          <w:tcPr>
            <w:tcW w:w="2980" w:type="dxa"/>
            <w:tcBorders>
              <w:top w:val="nil"/>
              <w:left w:val="nil"/>
              <w:bottom w:val="nil"/>
              <w:right w:val="nil"/>
            </w:tcBorders>
            <w:shd w:val="clear" w:color="auto" w:fill="auto"/>
            <w:noWrap/>
            <w:vAlign w:val="bottom"/>
            <w:hideMark/>
          </w:tcPr>
          <w:p w14:paraId="7B6BD62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3</w:t>
            </w:r>
          </w:p>
        </w:tc>
        <w:tc>
          <w:tcPr>
            <w:tcW w:w="2200" w:type="dxa"/>
            <w:tcBorders>
              <w:top w:val="nil"/>
              <w:left w:val="nil"/>
              <w:bottom w:val="nil"/>
              <w:right w:val="nil"/>
            </w:tcBorders>
            <w:shd w:val="clear" w:color="auto" w:fill="auto"/>
            <w:noWrap/>
            <w:vAlign w:val="bottom"/>
            <w:hideMark/>
          </w:tcPr>
          <w:p w14:paraId="7304D59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1B81E55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FFC7CE"/>
            <w:noWrap/>
            <w:vAlign w:val="bottom"/>
            <w:hideMark/>
          </w:tcPr>
          <w:p w14:paraId="6147B6A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7364D0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934E54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D4C73F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90993C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F7763A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C06E241" w14:textId="77777777" w:rsidTr="0095397F">
        <w:trPr>
          <w:trHeight w:val="300"/>
        </w:trPr>
        <w:tc>
          <w:tcPr>
            <w:tcW w:w="2980" w:type="dxa"/>
            <w:tcBorders>
              <w:top w:val="nil"/>
              <w:left w:val="nil"/>
              <w:bottom w:val="nil"/>
              <w:right w:val="nil"/>
            </w:tcBorders>
            <w:shd w:val="clear" w:color="auto" w:fill="auto"/>
            <w:noWrap/>
            <w:vAlign w:val="bottom"/>
            <w:hideMark/>
          </w:tcPr>
          <w:p w14:paraId="757F550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4</w:t>
            </w:r>
          </w:p>
        </w:tc>
        <w:tc>
          <w:tcPr>
            <w:tcW w:w="2200" w:type="dxa"/>
            <w:tcBorders>
              <w:top w:val="nil"/>
              <w:left w:val="nil"/>
              <w:bottom w:val="nil"/>
              <w:right w:val="nil"/>
            </w:tcBorders>
            <w:shd w:val="clear" w:color="auto" w:fill="auto"/>
            <w:noWrap/>
            <w:vAlign w:val="bottom"/>
            <w:hideMark/>
          </w:tcPr>
          <w:p w14:paraId="30EDF53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3E5FD3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C6EFCE"/>
            <w:noWrap/>
            <w:vAlign w:val="bottom"/>
            <w:hideMark/>
          </w:tcPr>
          <w:p w14:paraId="192F77C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D12D67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66BBB1B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99E4CD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8F6C24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D86EB8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67227473" w14:textId="77777777" w:rsidTr="0095397F">
        <w:trPr>
          <w:trHeight w:val="300"/>
        </w:trPr>
        <w:tc>
          <w:tcPr>
            <w:tcW w:w="2980" w:type="dxa"/>
            <w:tcBorders>
              <w:top w:val="nil"/>
              <w:left w:val="nil"/>
              <w:bottom w:val="nil"/>
              <w:right w:val="nil"/>
            </w:tcBorders>
            <w:shd w:val="clear" w:color="auto" w:fill="auto"/>
            <w:noWrap/>
            <w:vAlign w:val="bottom"/>
            <w:hideMark/>
          </w:tcPr>
          <w:p w14:paraId="7F22984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5</w:t>
            </w:r>
          </w:p>
        </w:tc>
        <w:tc>
          <w:tcPr>
            <w:tcW w:w="2200" w:type="dxa"/>
            <w:tcBorders>
              <w:top w:val="nil"/>
              <w:left w:val="nil"/>
              <w:bottom w:val="nil"/>
              <w:right w:val="nil"/>
            </w:tcBorders>
            <w:shd w:val="clear" w:color="auto" w:fill="auto"/>
            <w:noWrap/>
            <w:vAlign w:val="bottom"/>
            <w:hideMark/>
          </w:tcPr>
          <w:p w14:paraId="6D38AC4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23589D7"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C6EFCE"/>
            <w:noWrap/>
            <w:vAlign w:val="bottom"/>
            <w:hideMark/>
          </w:tcPr>
          <w:p w14:paraId="4AF5CE8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5301E21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0A4AA72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CFA679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D65EEF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A8C659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893C5CE" w14:textId="77777777" w:rsidTr="0095397F">
        <w:trPr>
          <w:trHeight w:val="300"/>
        </w:trPr>
        <w:tc>
          <w:tcPr>
            <w:tcW w:w="2980" w:type="dxa"/>
            <w:tcBorders>
              <w:top w:val="nil"/>
              <w:left w:val="nil"/>
              <w:bottom w:val="nil"/>
              <w:right w:val="nil"/>
            </w:tcBorders>
            <w:shd w:val="clear" w:color="auto" w:fill="auto"/>
            <w:noWrap/>
            <w:vAlign w:val="bottom"/>
            <w:hideMark/>
          </w:tcPr>
          <w:p w14:paraId="2FDA3FC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6</w:t>
            </w:r>
          </w:p>
        </w:tc>
        <w:tc>
          <w:tcPr>
            <w:tcW w:w="2200" w:type="dxa"/>
            <w:tcBorders>
              <w:top w:val="nil"/>
              <w:left w:val="nil"/>
              <w:bottom w:val="nil"/>
              <w:right w:val="nil"/>
            </w:tcBorders>
            <w:shd w:val="clear" w:color="auto" w:fill="auto"/>
            <w:noWrap/>
            <w:vAlign w:val="bottom"/>
            <w:hideMark/>
          </w:tcPr>
          <w:p w14:paraId="62CCE97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6A255AF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361F7C5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0F0E6F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4D8C29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AAE955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6A40D1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E95EC3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F2CB3D1" w14:textId="77777777" w:rsidTr="0095397F">
        <w:trPr>
          <w:trHeight w:val="300"/>
        </w:trPr>
        <w:tc>
          <w:tcPr>
            <w:tcW w:w="2980" w:type="dxa"/>
            <w:tcBorders>
              <w:top w:val="nil"/>
              <w:left w:val="nil"/>
              <w:bottom w:val="nil"/>
              <w:right w:val="nil"/>
            </w:tcBorders>
            <w:shd w:val="clear" w:color="auto" w:fill="auto"/>
            <w:noWrap/>
            <w:vAlign w:val="bottom"/>
            <w:hideMark/>
          </w:tcPr>
          <w:p w14:paraId="5818692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7</w:t>
            </w:r>
          </w:p>
        </w:tc>
        <w:tc>
          <w:tcPr>
            <w:tcW w:w="2200" w:type="dxa"/>
            <w:tcBorders>
              <w:top w:val="nil"/>
              <w:left w:val="nil"/>
              <w:bottom w:val="nil"/>
              <w:right w:val="nil"/>
            </w:tcBorders>
            <w:shd w:val="clear" w:color="auto" w:fill="auto"/>
            <w:noWrap/>
            <w:vAlign w:val="bottom"/>
            <w:hideMark/>
          </w:tcPr>
          <w:p w14:paraId="3B868D4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3E6B8A8"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FFC7CE"/>
            <w:noWrap/>
            <w:vAlign w:val="bottom"/>
            <w:hideMark/>
          </w:tcPr>
          <w:p w14:paraId="3546D30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91AB71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0EFD23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B614DF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EF9EF5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55F2C2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2BA3C97C"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70FB643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Balpool 8</w:t>
            </w:r>
          </w:p>
        </w:tc>
        <w:tc>
          <w:tcPr>
            <w:tcW w:w="2200" w:type="dxa"/>
            <w:tcBorders>
              <w:top w:val="nil"/>
              <w:left w:val="nil"/>
              <w:bottom w:val="single" w:sz="8" w:space="0" w:color="auto"/>
              <w:right w:val="nil"/>
            </w:tcBorders>
            <w:shd w:val="clear" w:color="auto" w:fill="auto"/>
            <w:noWrap/>
            <w:vAlign w:val="bottom"/>
            <w:hideMark/>
          </w:tcPr>
          <w:p w14:paraId="7740859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single" w:sz="8" w:space="0" w:color="auto"/>
              <w:right w:val="nil"/>
            </w:tcBorders>
            <w:shd w:val="clear" w:color="auto" w:fill="auto"/>
            <w:noWrap/>
            <w:vAlign w:val="bottom"/>
            <w:hideMark/>
          </w:tcPr>
          <w:p w14:paraId="0151FC8D"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single" w:sz="8" w:space="0" w:color="auto"/>
              <w:right w:val="nil"/>
            </w:tcBorders>
            <w:shd w:val="clear" w:color="000000" w:fill="FFC7CE"/>
            <w:noWrap/>
            <w:vAlign w:val="bottom"/>
            <w:hideMark/>
          </w:tcPr>
          <w:p w14:paraId="4152691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1196763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5441FFA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02F8DA0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1FD0C87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27A6234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64F7880" w14:textId="77777777" w:rsidTr="0095397F">
        <w:trPr>
          <w:trHeight w:val="300"/>
        </w:trPr>
        <w:tc>
          <w:tcPr>
            <w:tcW w:w="2980" w:type="dxa"/>
            <w:tcBorders>
              <w:top w:val="nil"/>
              <w:left w:val="nil"/>
              <w:bottom w:val="nil"/>
              <w:right w:val="nil"/>
            </w:tcBorders>
            <w:shd w:val="clear" w:color="auto" w:fill="auto"/>
            <w:noWrap/>
            <w:vAlign w:val="bottom"/>
            <w:hideMark/>
          </w:tcPr>
          <w:p w14:paraId="4575757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1</w:t>
            </w:r>
          </w:p>
        </w:tc>
        <w:tc>
          <w:tcPr>
            <w:tcW w:w="2200" w:type="dxa"/>
            <w:tcBorders>
              <w:top w:val="nil"/>
              <w:left w:val="nil"/>
              <w:bottom w:val="nil"/>
              <w:right w:val="nil"/>
            </w:tcBorders>
            <w:shd w:val="clear" w:color="auto" w:fill="auto"/>
            <w:noWrap/>
            <w:vAlign w:val="bottom"/>
            <w:hideMark/>
          </w:tcPr>
          <w:p w14:paraId="4627FA6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06BED0D0"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FFC7CE"/>
            <w:noWrap/>
            <w:vAlign w:val="bottom"/>
            <w:hideMark/>
          </w:tcPr>
          <w:p w14:paraId="615D6B4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7E9EAC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3E06F3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4168CA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401EEB6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D3A07F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76770E2" w14:textId="77777777" w:rsidTr="0095397F">
        <w:trPr>
          <w:trHeight w:val="300"/>
        </w:trPr>
        <w:tc>
          <w:tcPr>
            <w:tcW w:w="2980" w:type="dxa"/>
            <w:tcBorders>
              <w:top w:val="nil"/>
              <w:left w:val="nil"/>
              <w:bottom w:val="nil"/>
              <w:right w:val="nil"/>
            </w:tcBorders>
            <w:shd w:val="clear" w:color="auto" w:fill="auto"/>
            <w:noWrap/>
            <w:vAlign w:val="bottom"/>
            <w:hideMark/>
          </w:tcPr>
          <w:p w14:paraId="21CE992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2</w:t>
            </w:r>
          </w:p>
        </w:tc>
        <w:tc>
          <w:tcPr>
            <w:tcW w:w="2200" w:type="dxa"/>
            <w:tcBorders>
              <w:top w:val="nil"/>
              <w:left w:val="nil"/>
              <w:bottom w:val="nil"/>
              <w:right w:val="nil"/>
            </w:tcBorders>
            <w:shd w:val="clear" w:color="auto" w:fill="auto"/>
            <w:noWrap/>
            <w:vAlign w:val="bottom"/>
            <w:hideMark/>
          </w:tcPr>
          <w:p w14:paraId="0DD607B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66F1F6AD"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FFC7CE"/>
            <w:noWrap/>
            <w:vAlign w:val="bottom"/>
            <w:hideMark/>
          </w:tcPr>
          <w:p w14:paraId="6B9141D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E97734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532F329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54B531C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643BED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FFC26C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BB6AD49" w14:textId="77777777" w:rsidTr="0095397F">
        <w:trPr>
          <w:trHeight w:val="300"/>
        </w:trPr>
        <w:tc>
          <w:tcPr>
            <w:tcW w:w="2980" w:type="dxa"/>
            <w:tcBorders>
              <w:top w:val="nil"/>
              <w:left w:val="nil"/>
              <w:bottom w:val="nil"/>
              <w:right w:val="nil"/>
            </w:tcBorders>
            <w:shd w:val="clear" w:color="auto" w:fill="auto"/>
            <w:noWrap/>
            <w:vAlign w:val="bottom"/>
            <w:hideMark/>
          </w:tcPr>
          <w:p w14:paraId="566285D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3</w:t>
            </w:r>
          </w:p>
        </w:tc>
        <w:tc>
          <w:tcPr>
            <w:tcW w:w="2200" w:type="dxa"/>
            <w:tcBorders>
              <w:top w:val="nil"/>
              <w:left w:val="nil"/>
              <w:bottom w:val="nil"/>
              <w:right w:val="nil"/>
            </w:tcBorders>
            <w:shd w:val="clear" w:color="auto" w:fill="auto"/>
            <w:noWrap/>
            <w:vAlign w:val="bottom"/>
            <w:hideMark/>
          </w:tcPr>
          <w:p w14:paraId="1CB546C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7168E03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C6EFCE"/>
            <w:noWrap/>
            <w:vAlign w:val="bottom"/>
            <w:hideMark/>
          </w:tcPr>
          <w:p w14:paraId="5F6E5FF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28656E2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640016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0826C1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567A680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0F4D5B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9268C0D" w14:textId="77777777" w:rsidTr="0095397F">
        <w:trPr>
          <w:trHeight w:val="300"/>
        </w:trPr>
        <w:tc>
          <w:tcPr>
            <w:tcW w:w="2980" w:type="dxa"/>
            <w:tcBorders>
              <w:top w:val="nil"/>
              <w:left w:val="nil"/>
              <w:bottom w:val="nil"/>
              <w:right w:val="nil"/>
            </w:tcBorders>
            <w:shd w:val="clear" w:color="auto" w:fill="auto"/>
            <w:noWrap/>
            <w:vAlign w:val="bottom"/>
            <w:hideMark/>
          </w:tcPr>
          <w:p w14:paraId="6A22960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4</w:t>
            </w:r>
          </w:p>
        </w:tc>
        <w:tc>
          <w:tcPr>
            <w:tcW w:w="2200" w:type="dxa"/>
            <w:tcBorders>
              <w:top w:val="nil"/>
              <w:left w:val="nil"/>
              <w:bottom w:val="nil"/>
              <w:right w:val="nil"/>
            </w:tcBorders>
            <w:shd w:val="clear" w:color="auto" w:fill="auto"/>
            <w:noWrap/>
            <w:vAlign w:val="bottom"/>
            <w:hideMark/>
          </w:tcPr>
          <w:p w14:paraId="4BE2291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3E501B9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FFC7CE"/>
            <w:noWrap/>
            <w:vAlign w:val="bottom"/>
            <w:hideMark/>
          </w:tcPr>
          <w:p w14:paraId="223E884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53FFF12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CD23BD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84E20B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84ABBA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60D594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6BDF17F" w14:textId="77777777" w:rsidTr="0095397F">
        <w:trPr>
          <w:trHeight w:val="300"/>
        </w:trPr>
        <w:tc>
          <w:tcPr>
            <w:tcW w:w="2980" w:type="dxa"/>
            <w:tcBorders>
              <w:top w:val="nil"/>
              <w:left w:val="nil"/>
              <w:bottom w:val="nil"/>
              <w:right w:val="nil"/>
            </w:tcBorders>
            <w:shd w:val="clear" w:color="auto" w:fill="auto"/>
            <w:noWrap/>
            <w:vAlign w:val="bottom"/>
            <w:hideMark/>
          </w:tcPr>
          <w:p w14:paraId="46D79C5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5</w:t>
            </w:r>
          </w:p>
        </w:tc>
        <w:tc>
          <w:tcPr>
            <w:tcW w:w="2200" w:type="dxa"/>
            <w:tcBorders>
              <w:top w:val="nil"/>
              <w:left w:val="nil"/>
              <w:bottom w:val="nil"/>
              <w:right w:val="nil"/>
            </w:tcBorders>
            <w:shd w:val="clear" w:color="auto" w:fill="auto"/>
            <w:noWrap/>
            <w:vAlign w:val="bottom"/>
            <w:hideMark/>
          </w:tcPr>
          <w:p w14:paraId="5895E31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0934C9C3"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492CF55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CCDBB1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B90289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471252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3AA56C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8CEF5F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1590EB2" w14:textId="77777777" w:rsidTr="0095397F">
        <w:trPr>
          <w:trHeight w:val="300"/>
        </w:trPr>
        <w:tc>
          <w:tcPr>
            <w:tcW w:w="2980" w:type="dxa"/>
            <w:tcBorders>
              <w:top w:val="nil"/>
              <w:left w:val="nil"/>
              <w:bottom w:val="nil"/>
              <w:right w:val="nil"/>
            </w:tcBorders>
            <w:shd w:val="clear" w:color="auto" w:fill="auto"/>
            <w:noWrap/>
            <w:vAlign w:val="bottom"/>
            <w:hideMark/>
          </w:tcPr>
          <w:p w14:paraId="2FE671F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6</w:t>
            </w:r>
          </w:p>
        </w:tc>
        <w:tc>
          <w:tcPr>
            <w:tcW w:w="2200" w:type="dxa"/>
            <w:tcBorders>
              <w:top w:val="nil"/>
              <w:left w:val="nil"/>
              <w:bottom w:val="nil"/>
              <w:right w:val="nil"/>
            </w:tcBorders>
            <w:shd w:val="clear" w:color="auto" w:fill="auto"/>
            <w:noWrap/>
            <w:vAlign w:val="bottom"/>
            <w:hideMark/>
          </w:tcPr>
          <w:p w14:paraId="36AF395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7B36CCC9"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C6EFCE"/>
            <w:noWrap/>
            <w:vAlign w:val="bottom"/>
            <w:hideMark/>
          </w:tcPr>
          <w:p w14:paraId="005B3E9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77D258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716BEB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E9F133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7B15A0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9D6D29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5AC29BE" w14:textId="77777777" w:rsidTr="0095397F">
        <w:trPr>
          <w:trHeight w:val="300"/>
        </w:trPr>
        <w:tc>
          <w:tcPr>
            <w:tcW w:w="2980" w:type="dxa"/>
            <w:tcBorders>
              <w:top w:val="nil"/>
              <w:left w:val="nil"/>
              <w:bottom w:val="nil"/>
              <w:right w:val="nil"/>
            </w:tcBorders>
            <w:shd w:val="clear" w:color="auto" w:fill="auto"/>
            <w:noWrap/>
            <w:vAlign w:val="bottom"/>
            <w:hideMark/>
          </w:tcPr>
          <w:p w14:paraId="70958C7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7</w:t>
            </w:r>
          </w:p>
        </w:tc>
        <w:tc>
          <w:tcPr>
            <w:tcW w:w="2200" w:type="dxa"/>
            <w:tcBorders>
              <w:top w:val="nil"/>
              <w:left w:val="nil"/>
              <w:bottom w:val="nil"/>
              <w:right w:val="nil"/>
            </w:tcBorders>
            <w:shd w:val="clear" w:color="auto" w:fill="auto"/>
            <w:noWrap/>
            <w:vAlign w:val="bottom"/>
            <w:hideMark/>
          </w:tcPr>
          <w:p w14:paraId="343AAE3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nil"/>
              <w:right w:val="nil"/>
            </w:tcBorders>
            <w:shd w:val="clear" w:color="auto" w:fill="auto"/>
            <w:noWrap/>
            <w:vAlign w:val="bottom"/>
            <w:hideMark/>
          </w:tcPr>
          <w:p w14:paraId="4A3A268F"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FFC7CE"/>
            <w:noWrap/>
            <w:vAlign w:val="bottom"/>
            <w:hideMark/>
          </w:tcPr>
          <w:p w14:paraId="33E606B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A9CF20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1FEA67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1447FC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BE7457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25FF0F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1312C07"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48CA3B1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Kyalite State Forest 8</w:t>
            </w:r>
          </w:p>
        </w:tc>
        <w:tc>
          <w:tcPr>
            <w:tcW w:w="2200" w:type="dxa"/>
            <w:tcBorders>
              <w:top w:val="nil"/>
              <w:left w:val="nil"/>
              <w:bottom w:val="single" w:sz="8" w:space="0" w:color="auto"/>
              <w:right w:val="nil"/>
            </w:tcBorders>
            <w:shd w:val="clear" w:color="auto" w:fill="auto"/>
            <w:noWrap/>
            <w:vAlign w:val="bottom"/>
            <w:hideMark/>
          </w:tcPr>
          <w:p w14:paraId="1149856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Edward/Kolety River</w:t>
            </w:r>
          </w:p>
        </w:tc>
        <w:tc>
          <w:tcPr>
            <w:tcW w:w="1486" w:type="dxa"/>
            <w:tcBorders>
              <w:top w:val="nil"/>
              <w:left w:val="nil"/>
              <w:bottom w:val="single" w:sz="8" w:space="0" w:color="auto"/>
              <w:right w:val="nil"/>
            </w:tcBorders>
            <w:shd w:val="clear" w:color="auto" w:fill="auto"/>
            <w:noWrap/>
            <w:vAlign w:val="bottom"/>
            <w:hideMark/>
          </w:tcPr>
          <w:p w14:paraId="4C8F5BB1"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single" w:sz="8" w:space="0" w:color="auto"/>
              <w:right w:val="nil"/>
            </w:tcBorders>
            <w:shd w:val="clear" w:color="000000" w:fill="FFC7CE"/>
            <w:noWrap/>
            <w:vAlign w:val="bottom"/>
            <w:hideMark/>
          </w:tcPr>
          <w:p w14:paraId="32BD73A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290A01F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FFC7CE"/>
            <w:noWrap/>
            <w:vAlign w:val="bottom"/>
            <w:hideMark/>
          </w:tcPr>
          <w:p w14:paraId="7FFB359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6343537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28E6013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1AC9F7B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3B165B7" w14:textId="77777777" w:rsidTr="0095397F">
        <w:trPr>
          <w:trHeight w:val="300"/>
        </w:trPr>
        <w:tc>
          <w:tcPr>
            <w:tcW w:w="2980" w:type="dxa"/>
            <w:tcBorders>
              <w:top w:val="nil"/>
              <w:left w:val="nil"/>
              <w:bottom w:val="nil"/>
              <w:right w:val="nil"/>
            </w:tcBorders>
            <w:shd w:val="clear" w:color="auto" w:fill="auto"/>
            <w:noWrap/>
            <w:vAlign w:val="bottom"/>
            <w:hideMark/>
          </w:tcPr>
          <w:p w14:paraId="6672EEB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1</w:t>
            </w:r>
          </w:p>
        </w:tc>
        <w:tc>
          <w:tcPr>
            <w:tcW w:w="2200" w:type="dxa"/>
            <w:tcBorders>
              <w:top w:val="nil"/>
              <w:left w:val="nil"/>
              <w:bottom w:val="nil"/>
              <w:right w:val="nil"/>
            </w:tcBorders>
            <w:shd w:val="clear" w:color="auto" w:fill="auto"/>
            <w:noWrap/>
            <w:vAlign w:val="bottom"/>
            <w:hideMark/>
          </w:tcPr>
          <w:p w14:paraId="623DE5E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7BAAE5C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663DE8F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01F5EA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E7F812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C8B073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C9FC20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7E3A80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203DCBB4" w14:textId="77777777" w:rsidTr="0095397F">
        <w:trPr>
          <w:trHeight w:val="300"/>
        </w:trPr>
        <w:tc>
          <w:tcPr>
            <w:tcW w:w="2980" w:type="dxa"/>
            <w:tcBorders>
              <w:top w:val="nil"/>
              <w:left w:val="nil"/>
              <w:bottom w:val="nil"/>
              <w:right w:val="nil"/>
            </w:tcBorders>
            <w:shd w:val="clear" w:color="auto" w:fill="auto"/>
            <w:noWrap/>
            <w:vAlign w:val="bottom"/>
            <w:hideMark/>
          </w:tcPr>
          <w:p w14:paraId="1797E32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2</w:t>
            </w:r>
          </w:p>
        </w:tc>
        <w:tc>
          <w:tcPr>
            <w:tcW w:w="2200" w:type="dxa"/>
            <w:tcBorders>
              <w:top w:val="nil"/>
              <w:left w:val="nil"/>
              <w:bottom w:val="nil"/>
              <w:right w:val="nil"/>
            </w:tcBorders>
            <w:shd w:val="clear" w:color="auto" w:fill="auto"/>
            <w:noWrap/>
            <w:vAlign w:val="bottom"/>
            <w:hideMark/>
          </w:tcPr>
          <w:p w14:paraId="38F2994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4DEE01A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3EC2D9A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424E86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6F3D61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368E5B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A4110D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D2F077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7185102C" w14:textId="77777777" w:rsidTr="0095397F">
        <w:trPr>
          <w:trHeight w:val="300"/>
        </w:trPr>
        <w:tc>
          <w:tcPr>
            <w:tcW w:w="2980" w:type="dxa"/>
            <w:tcBorders>
              <w:top w:val="nil"/>
              <w:left w:val="nil"/>
              <w:bottom w:val="nil"/>
              <w:right w:val="nil"/>
            </w:tcBorders>
            <w:shd w:val="clear" w:color="auto" w:fill="auto"/>
            <w:noWrap/>
            <w:vAlign w:val="bottom"/>
            <w:hideMark/>
          </w:tcPr>
          <w:p w14:paraId="7DBC74B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3</w:t>
            </w:r>
          </w:p>
        </w:tc>
        <w:tc>
          <w:tcPr>
            <w:tcW w:w="2200" w:type="dxa"/>
            <w:tcBorders>
              <w:top w:val="nil"/>
              <w:left w:val="nil"/>
              <w:bottom w:val="nil"/>
              <w:right w:val="nil"/>
            </w:tcBorders>
            <w:shd w:val="clear" w:color="auto" w:fill="auto"/>
            <w:noWrap/>
            <w:vAlign w:val="bottom"/>
            <w:hideMark/>
          </w:tcPr>
          <w:p w14:paraId="41D6260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4F7EF347"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5447BED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F71F67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209B07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8C4832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5E83D8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98DD73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6EEB7F2" w14:textId="77777777" w:rsidTr="0095397F">
        <w:trPr>
          <w:trHeight w:val="300"/>
        </w:trPr>
        <w:tc>
          <w:tcPr>
            <w:tcW w:w="2980" w:type="dxa"/>
            <w:tcBorders>
              <w:top w:val="nil"/>
              <w:left w:val="nil"/>
              <w:bottom w:val="nil"/>
              <w:right w:val="nil"/>
            </w:tcBorders>
            <w:shd w:val="clear" w:color="auto" w:fill="auto"/>
            <w:noWrap/>
            <w:vAlign w:val="bottom"/>
            <w:hideMark/>
          </w:tcPr>
          <w:p w14:paraId="18CA499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4</w:t>
            </w:r>
          </w:p>
        </w:tc>
        <w:tc>
          <w:tcPr>
            <w:tcW w:w="2200" w:type="dxa"/>
            <w:tcBorders>
              <w:top w:val="nil"/>
              <w:left w:val="nil"/>
              <w:bottom w:val="nil"/>
              <w:right w:val="nil"/>
            </w:tcBorders>
            <w:shd w:val="clear" w:color="auto" w:fill="auto"/>
            <w:noWrap/>
            <w:vAlign w:val="bottom"/>
            <w:hideMark/>
          </w:tcPr>
          <w:p w14:paraId="2376FFF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2745E70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3FBD5BB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E73BF8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987DEF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C8238D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ACAB0D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CF03A0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5D2CDCAC" w14:textId="77777777" w:rsidTr="0095397F">
        <w:trPr>
          <w:trHeight w:val="300"/>
        </w:trPr>
        <w:tc>
          <w:tcPr>
            <w:tcW w:w="2980" w:type="dxa"/>
            <w:tcBorders>
              <w:top w:val="nil"/>
              <w:left w:val="nil"/>
              <w:bottom w:val="nil"/>
              <w:right w:val="nil"/>
            </w:tcBorders>
            <w:shd w:val="clear" w:color="auto" w:fill="auto"/>
            <w:noWrap/>
            <w:vAlign w:val="bottom"/>
            <w:hideMark/>
          </w:tcPr>
          <w:p w14:paraId="7F13887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5</w:t>
            </w:r>
          </w:p>
        </w:tc>
        <w:tc>
          <w:tcPr>
            <w:tcW w:w="2200" w:type="dxa"/>
            <w:tcBorders>
              <w:top w:val="nil"/>
              <w:left w:val="nil"/>
              <w:bottom w:val="nil"/>
              <w:right w:val="nil"/>
            </w:tcBorders>
            <w:shd w:val="clear" w:color="auto" w:fill="auto"/>
            <w:noWrap/>
            <w:vAlign w:val="bottom"/>
            <w:hideMark/>
          </w:tcPr>
          <w:p w14:paraId="2B6831D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574D373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484BE33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259861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F79B52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B28B8F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44BF2D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0AFA3D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194E8639" w14:textId="77777777" w:rsidTr="0095397F">
        <w:trPr>
          <w:trHeight w:val="300"/>
        </w:trPr>
        <w:tc>
          <w:tcPr>
            <w:tcW w:w="2980" w:type="dxa"/>
            <w:tcBorders>
              <w:top w:val="nil"/>
              <w:left w:val="nil"/>
              <w:bottom w:val="nil"/>
              <w:right w:val="nil"/>
            </w:tcBorders>
            <w:shd w:val="clear" w:color="auto" w:fill="auto"/>
            <w:noWrap/>
            <w:vAlign w:val="bottom"/>
            <w:hideMark/>
          </w:tcPr>
          <w:p w14:paraId="1D1A987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6</w:t>
            </w:r>
          </w:p>
        </w:tc>
        <w:tc>
          <w:tcPr>
            <w:tcW w:w="2200" w:type="dxa"/>
            <w:tcBorders>
              <w:top w:val="nil"/>
              <w:left w:val="nil"/>
              <w:bottom w:val="nil"/>
              <w:right w:val="nil"/>
            </w:tcBorders>
            <w:shd w:val="clear" w:color="auto" w:fill="auto"/>
            <w:noWrap/>
            <w:vAlign w:val="bottom"/>
            <w:hideMark/>
          </w:tcPr>
          <w:p w14:paraId="2057C8E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62C2035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4806921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F1E8D3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21D28B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3AEC56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2D6BAC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2C777D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15E530A6" w14:textId="77777777" w:rsidTr="0095397F">
        <w:trPr>
          <w:trHeight w:val="300"/>
        </w:trPr>
        <w:tc>
          <w:tcPr>
            <w:tcW w:w="2980" w:type="dxa"/>
            <w:tcBorders>
              <w:top w:val="nil"/>
              <w:left w:val="nil"/>
              <w:bottom w:val="nil"/>
              <w:right w:val="nil"/>
            </w:tcBorders>
            <w:shd w:val="clear" w:color="auto" w:fill="auto"/>
            <w:noWrap/>
            <w:vAlign w:val="bottom"/>
            <w:hideMark/>
          </w:tcPr>
          <w:p w14:paraId="747FF4D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7</w:t>
            </w:r>
          </w:p>
        </w:tc>
        <w:tc>
          <w:tcPr>
            <w:tcW w:w="2200" w:type="dxa"/>
            <w:tcBorders>
              <w:top w:val="nil"/>
              <w:left w:val="nil"/>
              <w:bottom w:val="nil"/>
              <w:right w:val="nil"/>
            </w:tcBorders>
            <w:shd w:val="clear" w:color="auto" w:fill="auto"/>
            <w:noWrap/>
            <w:vAlign w:val="bottom"/>
            <w:hideMark/>
          </w:tcPr>
          <w:p w14:paraId="6BE209B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599CAC3E"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C6EFCE"/>
            <w:noWrap/>
            <w:vAlign w:val="bottom"/>
            <w:hideMark/>
          </w:tcPr>
          <w:p w14:paraId="6A88A7D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79C548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3637BF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7A9759B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B58C68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7C4D9D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20DB91E5"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1487FE3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Widgee 8</w:t>
            </w:r>
          </w:p>
        </w:tc>
        <w:tc>
          <w:tcPr>
            <w:tcW w:w="2200" w:type="dxa"/>
            <w:tcBorders>
              <w:top w:val="nil"/>
              <w:left w:val="nil"/>
              <w:bottom w:val="single" w:sz="8" w:space="0" w:color="auto"/>
              <w:right w:val="nil"/>
            </w:tcBorders>
            <w:shd w:val="clear" w:color="auto" w:fill="auto"/>
            <w:noWrap/>
            <w:vAlign w:val="bottom"/>
            <w:hideMark/>
          </w:tcPr>
          <w:p w14:paraId="40312AE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single" w:sz="8" w:space="0" w:color="auto"/>
              <w:right w:val="nil"/>
            </w:tcBorders>
            <w:shd w:val="clear" w:color="auto" w:fill="auto"/>
            <w:noWrap/>
            <w:vAlign w:val="bottom"/>
            <w:hideMark/>
          </w:tcPr>
          <w:p w14:paraId="394790FF"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single" w:sz="8" w:space="0" w:color="auto"/>
              <w:right w:val="nil"/>
            </w:tcBorders>
            <w:shd w:val="clear" w:color="000000" w:fill="C6EFCE"/>
            <w:noWrap/>
            <w:vAlign w:val="bottom"/>
            <w:hideMark/>
          </w:tcPr>
          <w:p w14:paraId="09925F8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4F669BA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2E6EFE1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73165B5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3BBB388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1873785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1DBC6A74" w14:textId="77777777" w:rsidTr="0095397F">
        <w:trPr>
          <w:trHeight w:val="300"/>
        </w:trPr>
        <w:tc>
          <w:tcPr>
            <w:tcW w:w="2980" w:type="dxa"/>
            <w:tcBorders>
              <w:top w:val="nil"/>
              <w:left w:val="nil"/>
              <w:bottom w:val="nil"/>
              <w:right w:val="nil"/>
            </w:tcBorders>
            <w:shd w:val="clear" w:color="auto" w:fill="auto"/>
            <w:noWrap/>
            <w:vAlign w:val="bottom"/>
            <w:hideMark/>
          </w:tcPr>
          <w:p w14:paraId="2278C93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1</w:t>
            </w:r>
          </w:p>
        </w:tc>
        <w:tc>
          <w:tcPr>
            <w:tcW w:w="2200" w:type="dxa"/>
            <w:tcBorders>
              <w:top w:val="nil"/>
              <w:left w:val="nil"/>
              <w:bottom w:val="nil"/>
              <w:right w:val="nil"/>
            </w:tcBorders>
            <w:shd w:val="clear" w:color="auto" w:fill="auto"/>
            <w:noWrap/>
            <w:vAlign w:val="bottom"/>
            <w:hideMark/>
          </w:tcPr>
          <w:p w14:paraId="0ECB563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29B62CCE"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4CE1AB9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881522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43A14E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342027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6649F4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D3FA57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75C2E2B" w14:textId="77777777" w:rsidTr="0095397F">
        <w:trPr>
          <w:trHeight w:val="300"/>
        </w:trPr>
        <w:tc>
          <w:tcPr>
            <w:tcW w:w="2980" w:type="dxa"/>
            <w:tcBorders>
              <w:top w:val="nil"/>
              <w:left w:val="nil"/>
              <w:bottom w:val="nil"/>
              <w:right w:val="nil"/>
            </w:tcBorders>
            <w:shd w:val="clear" w:color="auto" w:fill="auto"/>
            <w:noWrap/>
            <w:vAlign w:val="bottom"/>
            <w:hideMark/>
          </w:tcPr>
          <w:p w14:paraId="604CA6E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2</w:t>
            </w:r>
          </w:p>
        </w:tc>
        <w:tc>
          <w:tcPr>
            <w:tcW w:w="2200" w:type="dxa"/>
            <w:tcBorders>
              <w:top w:val="nil"/>
              <w:left w:val="nil"/>
              <w:bottom w:val="nil"/>
              <w:right w:val="nil"/>
            </w:tcBorders>
            <w:shd w:val="clear" w:color="auto" w:fill="auto"/>
            <w:noWrap/>
            <w:vAlign w:val="bottom"/>
            <w:hideMark/>
          </w:tcPr>
          <w:p w14:paraId="77ABBFA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12E59FA0"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0E298B2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ACB27D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EC4151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369A67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723E2E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6C53A5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767D359C" w14:textId="77777777" w:rsidTr="0095397F">
        <w:trPr>
          <w:trHeight w:val="300"/>
        </w:trPr>
        <w:tc>
          <w:tcPr>
            <w:tcW w:w="2980" w:type="dxa"/>
            <w:tcBorders>
              <w:top w:val="nil"/>
              <w:left w:val="nil"/>
              <w:bottom w:val="nil"/>
              <w:right w:val="nil"/>
            </w:tcBorders>
            <w:shd w:val="clear" w:color="auto" w:fill="auto"/>
            <w:noWrap/>
            <w:vAlign w:val="bottom"/>
            <w:hideMark/>
          </w:tcPr>
          <w:p w14:paraId="1663E63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3</w:t>
            </w:r>
          </w:p>
        </w:tc>
        <w:tc>
          <w:tcPr>
            <w:tcW w:w="2200" w:type="dxa"/>
            <w:tcBorders>
              <w:top w:val="nil"/>
              <w:left w:val="nil"/>
              <w:bottom w:val="nil"/>
              <w:right w:val="nil"/>
            </w:tcBorders>
            <w:shd w:val="clear" w:color="auto" w:fill="auto"/>
            <w:noWrap/>
            <w:vAlign w:val="bottom"/>
            <w:hideMark/>
          </w:tcPr>
          <w:p w14:paraId="11828C9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5859405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7305691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19DBFB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BD0D56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596B46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1943FF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F66D16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E93C24E" w14:textId="77777777" w:rsidTr="0095397F">
        <w:trPr>
          <w:trHeight w:val="300"/>
        </w:trPr>
        <w:tc>
          <w:tcPr>
            <w:tcW w:w="2980" w:type="dxa"/>
            <w:tcBorders>
              <w:top w:val="nil"/>
              <w:left w:val="nil"/>
              <w:bottom w:val="nil"/>
              <w:right w:val="nil"/>
            </w:tcBorders>
            <w:shd w:val="clear" w:color="auto" w:fill="auto"/>
            <w:noWrap/>
            <w:vAlign w:val="bottom"/>
            <w:hideMark/>
          </w:tcPr>
          <w:p w14:paraId="3C7E9AE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4</w:t>
            </w:r>
          </w:p>
        </w:tc>
        <w:tc>
          <w:tcPr>
            <w:tcW w:w="2200" w:type="dxa"/>
            <w:tcBorders>
              <w:top w:val="nil"/>
              <w:left w:val="nil"/>
              <w:bottom w:val="nil"/>
              <w:right w:val="nil"/>
            </w:tcBorders>
            <w:shd w:val="clear" w:color="auto" w:fill="auto"/>
            <w:noWrap/>
            <w:vAlign w:val="bottom"/>
            <w:hideMark/>
          </w:tcPr>
          <w:p w14:paraId="60098C3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69554DA8"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089115E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101F9A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3D3B1D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B598E9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5BF433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583710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B276902" w14:textId="77777777" w:rsidTr="0095397F">
        <w:trPr>
          <w:trHeight w:val="300"/>
        </w:trPr>
        <w:tc>
          <w:tcPr>
            <w:tcW w:w="2980" w:type="dxa"/>
            <w:tcBorders>
              <w:top w:val="nil"/>
              <w:left w:val="nil"/>
              <w:bottom w:val="nil"/>
              <w:right w:val="nil"/>
            </w:tcBorders>
            <w:shd w:val="clear" w:color="auto" w:fill="auto"/>
            <w:noWrap/>
            <w:vAlign w:val="bottom"/>
            <w:hideMark/>
          </w:tcPr>
          <w:p w14:paraId="1591FCF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5</w:t>
            </w:r>
          </w:p>
        </w:tc>
        <w:tc>
          <w:tcPr>
            <w:tcW w:w="2200" w:type="dxa"/>
            <w:tcBorders>
              <w:top w:val="nil"/>
              <w:left w:val="nil"/>
              <w:bottom w:val="nil"/>
              <w:right w:val="nil"/>
            </w:tcBorders>
            <w:shd w:val="clear" w:color="auto" w:fill="auto"/>
            <w:noWrap/>
            <w:vAlign w:val="bottom"/>
            <w:hideMark/>
          </w:tcPr>
          <w:p w14:paraId="1CA3107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36BA57B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25C3650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4070F0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DD7C7A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A12F1D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3D38F7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634302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D0F5072" w14:textId="77777777" w:rsidTr="0095397F">
        <w:trPr>
          <w:trHeight w:val="300"/>
        </w:trPr>
        <w:tc>
          <w:tcPr>
            <w:tcW w:w="2980" w:type="dxa"/>
            <w:tcBorders>
              <w:top w:val="nil"/>
              <w:left w:val="nil"/>
              <w:bottom w:val="nil"/>
              <w:right w:val="nil"/>
            </w:tcBorders>
            <w:shd w:val="clear" w:color="auto" w:fill="auto"/>
            <w:noWrap/>
            <w:vAlign w:val="bottom"/>
            <w:hideMark/>
          </w:tcPr>
          <w:p w14:paraId="41F457D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6</w:t>
            </w:r>
          </w:p>
        </w:tc>
        <w:tc>
          <w:tcPr>
            <w:tcW w:w="2200" w:type="dxa"/>
            <w:tcBorders>
              <w:top w:val="nil"/>
              <w:left w:val="nil"/>
              <w:bottom w:val="nil"/>
              <w:right w:val="nil"/>
            </w:tcBorders>
            <w:shd w:val="clear" w:color="auto" w:fill="auto"/>
            <w:noWrap/>
            <w:vAlign w:val="bottom"/>
            <w:hideMark/>
          </w:tcPr>
          <w:p w14:paraId="55DB362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55B8C4C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2C625EB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4D74F9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31542E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1B452B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DD6E6B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85CD97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C38FFFB" w14:textId="77777777" w:rsidTr="0095397F">
        <w:trPr>
          <w:trHeight w:val="300"/>
        </w:trPr>
        <w:tc>
          <w:tcPr>
            <w:tcW w:w="2980" w:type="dxa"/>
            <w:tcBorders>
              <w:top w:val="nil"/>
              <w:left w:val="nil"/>
              <w:bottom w:val="nil"/>
              <w:right w:val="nil"/>
            </w:tcBorders>
            <w:shd w:val="clear" w:color="auto" w:fill="auto"/>
            <w:noWrap/>
            <w:vAlign w:val="bottom"/>
            <w:hideMark/>
          </w:tcPr>
          <w:p w14:paraId="6F8DF17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7</w:t>
            </w:r>
          </w:p>
        </w:tc>
        <w:tc>
          <w:tcPr>
            <w:tcW w:w="2200" w:type="dxa"/>
            <w:tcBorders>
              <w:top w:val="nil"/>
              <w:left w:val="nil"/>
              <w:bottom w:val="nil"/>
              <w:right w:val="nil"/>
            </w:tcBorders>
            <w:shd w:val="clear" w:color="auto" w:fill="auto"/>
            <w:noWrap/>
            <w:vAlign w:val="bottom"/>
            <w:hideMark/>
          </w:tcPr>
          <w:p w14:paraId="33754A1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35A7D82E"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031D1A4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E86E1A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78B89C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F326EE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CD5E0F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EB9C"/>
            <w:noWrap/>
            <w:vAlign w:val="bottom"/>
            <w:hideMark/>
          </w:tcPr>
          <w:p w14:paraId="34257652" w14:textId="77777777" w:rsidR="006501A4" w:rsidRPr="0072062E" w:rsidRDefault="006501A4" w:rsidP="0095397F">
            <w:pPr>
              <w:spacing w:after="0" w:line="240" w:lineRule="auto"/>
              <w:jc w:val="center"/>
              <w:rPr>
                <w:rFonts w:ascii="Wingdings" w:eastAsia="Times New Roman" w:hAnsi="Wingdings" w:cs="Calibri"/>
                <w:color w:val="9C5700"/>
                <w:lang w:eastAsia="en-AU"/>
              </w:rPr>
            </w:pPr>
            <w:r w:rsidRPr="0072062E">
              <w:rPr>
                <w:rFonts w:ascii="Wingdings" w:eastAsia="Times New Roman" w:hAnsi="Wingdings" w:cs="Calibri"/>
                <w:color w:val="9C5700"/>
                <w:lang w:eastAsia="en-AU"/>
              </w:rPr>
              <w:t></w:t>
            </w:r>
          </w:p>
        </w:tc>
      </w:tr>
      <w:tr w:rsidR="006501A4" w:rsidRPr="0072062E" w14:paraId="32EB82EB"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51C1120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Gee Gee 8</w:t>
            </w:r>
          </w:p>
        </w:tc>
        <w:tc>
          <w:tcPr>
            <w:tcW w:w="2200" w:type="dxa"/>
            <w:tcBorders>
              <w:top w:val="nil"/>
              <w:left w:val="nil"/>
              <w:bottom w:val="single" w:sz="8" w:space="0" w:color="auto"/>
              <w:right w:val="nil"/>
            </w:tcBorders>
            <w:shd w:val="clear" w:color="auto" w:fill="auto"/>
            <w:noWrap/>
            <w:vAlign w:val="bottom"/>
            <w:hideMark/>
          </w:tcPr>
          <w:p w14:paraId="76DC97B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single" w:sz="8" w:space="0" w:color="auto"/>
              <w:right w:val="nil"/>
            </w:tcBorders>
            <w:shd w:val="clear" w:color="auto" w:fill="auto"/>
            <w:noWrap/>
            <w:vAlign w:val="bottom"/>
            <w:hideMark/>
          </w:tcPr>
          <w:p w14:paraId="07B4274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single" w:sz="8" w:space="0" w:color="auto"/>
              <w:right w:val="nil"/>
            </w:tcBorders>
            <w:shd w:val="clear" w:color="000000" w:fill="FFC7CE"/>
            <w:noWrap/>
            <w:vAlign w:val="bottom"/>
            <w:hideMark/>
          </w:tcPr>
          <w:p w14:paraId="2553E82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1EFEB2D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2C20515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6EDDC2B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4C8391D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6E7FABB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6135E00" w14:textId="77777777" w:rsidTr="0095397F">
        <w:trPr>
          <w:trHeight w:val="300"/>
        </w:trPr>
        <w:tc>
          <w:tcPr>
            <w:tcW w:w="2980" w:type="dxa"/>
            <w:tcBorders>
              <w:top w:val="nil"/>
              <w:left w:val="nil"/>
              <w:bottom w:val="nil"/>
              <w:right w:val="nil"/>
            </w:tcBorders>
            <w:shd w:val="clear" w:color="auto" w:fill="auto"/>
            <w:noWrap/>
            <w:vAlign w:val="bottom"/>
            <w:hideMark/>
          </w:tcPr>
          <w:p w14:paraId="100A398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1</w:t>
            </w:r>
          </w:p>
        </w:tc>
        <w:tc>
          <w:tcPr>
            <w:tcW w:w="2200" w:type="dxa"/>
            <w:tcBorders>
              <w:top w:val="nil"/>
              <w:left w:val="nil"/>
              <w:bottom w:val="nil"/>
              <w:right w:val="nil"/>
            </w:tcBorders>
            <w:shd w:val="clear" w:color="auto" w:fill="auto"/>
            <w:noWrap/>
            <w:vAlign w:val="bottom"/>
            <w:hideMark/>
          </w:tcPr>
          <w:p w14:paraId="734DC6C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09D0DA1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2C4AF3E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27AC49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AD3F9F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1296C4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D2B705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6820C0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02C9D051" w14:textId="77777777" w:rsidTr="0095397F">
        <w:trPr>
          <w:trHeight w:val="300"/>
        </w:trPr>
        <w:tc>
          <w:tcPr>
            <w:tcW w:w="2980" w:type="dxa"/>
            <w:tcBorders>
              <w:top w:val="nil"/>
              <w:left w:val="nil"/>
              <w:bottom w:val="nil"/>
              <w:right w:val="nil"/>
            </w:tcBorders>
            <w:shd w:val="clear" w:color="auto" w:fill="auto"/>
            <w:noWrap/>
            <w:vAlign w:val="bottom"/>
            <w:hideMark/>
          </w:tcPr>
          <w:p w14:paraId="200A057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2</w:t>
            </w:r>
          </w:p>
        </w:tc>
        <w:tc>
          <w:tcPr>
            <w:tcW w:w="2200" w:type="dxa"/>
            <w:tcBorders>
              <w:top w:val="nil"/>
              <w:left w:val="nil"/>
              <w:bottom w:val="nil"/>
              <w:right w:val="nil"/>
            </w:tcBorders>
            <w:shd w:val="clear" w:color="auto" w:fill="auto"/>
            <w:noWrap/>
            <w:vAlign w:val="bottom"/>
            <w:hideMark/>
          </w:tcPr>
          <w:p w14:paraId="3B80431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429A2D7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2FCFB20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DECC6E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F974D0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A72FFD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8CD2C4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228657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6320FBB" w14:textId="77777777" w:rsidTr="0095397F">
        <w:trPr>
          <w:trHeight w:val="300"/>
        </w:trPr>
        <w:tc>
          <w:tcPr>
            <w:tcW w:w="2980" w:type="dxa"/>
            <w:tcBorders>
              <w:top w:val="nil"/>
              <w:left w:val="nil"/>
              <w:bottom w:val="nil"/>
              <w:right w:val="nil"/>
            </w:tcBorders>
            <w:shd w:val="clear" w:color="auto" w:fill="auto"/>
            <w:noWrap/>
            <w:vAlign w:val="bottom"/>
            <w:hideMark/>
          </w:tcPr>
          <w:p w14:paraId="1349627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3</w:t>
            </w:r>
          </w:p>
        </w:tc>
        <w:tc>
          <w:tcPr>
            <w:tcW w:w="2200" w:type="dxa"/>
            <w:tcBorders>
              <w:top w:val="nil"/>
              <w:left w:val="nil"/>
              <w:bottom w:val="nil"/>
              <w:right w:val="nil"/>
            </w:tcBorders>
            <w:shd w:val="clear" w:color="auto" w:fill="auto"/>
            <w:noWrap/>
            <w:vAlign w:val="bottom"/>
            <w:hideMark/>
          </w:tcPr>
          <w:p w14:paraId="0153E53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0A8D92B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7441B27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767A77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E8FDBE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FF38FF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EB9C"/>
            <w:noWrap/>
            <w:vAlign w:val="bottom"/>
            <w:hideMark/>
          </w:tcPr>
          <w:p w14:paraId="6DE7FF47" w14:textId="77777777" w:rsidR="006501A4" w:rsidRPr="0072062E" w:rsidRDefault="006501A4" w:rsidP="0095397F">
            <w:pPr>
              <w:spacing w:after="0" w:line="240" w:lineRule="auto"/>
              <w:jc w:val="center"/>
              <w:rPr>
                <w:rFonts w:ascii="Wingdings" w:eastAsia="Times New Roman" w:hAnsi="Wingdings" w:cs="Calibri"/>
                <w:color w:val="9C5700"/>
                <w:lang w:eastAsia="en-AU"/>
              </w:rPr>
            </w:pPr>
            <w:r w:rsidRPr="0072062E">
              <w:rPr>
                <w:rFonts w:ascii="Wingdings" w:eastAsia="Times New Roman" w:hAnsi="Wingdings" w:cs="Calibri"/>
                <w:color w:val="9C5700"/>
                <w:lang w:eastAsia="en-AU"/>
              </w:rPr>
              <w:t></w:t>
            </w:r>
          </w:p>
        </w:tc>
        <w:tc>
          <w:tcPr>
            <w:tcW w:w="489" w:type="dxa"/>
            <w:tcBorders>
              <w:top w:val="nil"/>
              <w:left w:val="nil"/>
              <w:bottom w:val="nil"/>
              <w:right w:val="nil"/>
            </w:tcBorders>
            <w:shd w:val="clear" w:color="000000" w:fill="FFC7CE"/>
            <w:noWrap/>
            <w:vAlign w:val="bottom"/>
            <w:hideMark/>
          </w:tcPr>
          <w:p w14:paraId="7839384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450F681" w14:textId="77777777" w:rsidTr="0095397F">
        <w:trPr>
          <w:trHeight w:val="300"/>
        </w:trPr>
        <w:tc>
          <w:tcPr>
            <w:tcW w:w="2980" w:type="dxa"/>
            <w:tcBorders>
              <w:top w:val="nil"/>
              <w:left w:val="nil"/>
              <w:bottom w:val="nil"/>
              <w:right w:val="nil"/>
            </w:tcBorders>
            <w:shd w:val="clear" w:color="auto" w:fill="auto"/>
            <w:noWrap/>
            <w:vAlign w:val="bottom"/>
            <w:hideMark/>
          </w:tcPr>
          <w:p w14:paraId="09925B7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4</w:t>
            </w:r>
          </w:p>
        </w:tc>
        <w:tc>
          <w:tcPr>
            <w:tcW w:w="2200" w:type="dxa"/>
            <w:tcBorders>
              <w:top w:val="nil"/>
              <w:left w:val="nil"/>
              <w:bottom w:val="nil"/>
              <w:right w:val="nil"/>
            </w:tcBorders>
            <w:shd w:val="clear" w:color="auto" w:fill="auto"/>
            <w:noWrap/>
            <w:vAlign w:val="bottom"/>
            <w:hideMark/>
          </w:tcPr>
          <w:p w14:paraId="4ECBB89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7875B3A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5679E0F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CB9232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5864F7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CA30F8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6966CB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3D6037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B05FDEA" w14:textId="77777777" w:rsidTr="0095397F">
        <w:trPr>
          <w:trHeight w:val="300"/>
        </w:trPr>
        <w:tc>
          <w:tcPr>
            <w:tcW w:w="2980" w:type="dxa"/>
            <w:tcBorders>
              <w:top w:val="nil"/>
              <w:left w:val="nil"/>
              <w:bottom w:val="nil"/>
              <w:right w:val="nil"/>
            </w:tcBorders>
            <w:shd w:val="clear" w:color="auto" w:fill="auto"/>
            <w:noWrap/>
            <w:vAlign w:val="bottom"/>
            <w:hideMark/>
          </w:tcPr>
          <w:p w14:paraId="210D84C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5</w:t>
            </w:r>
          </w:p>
        </w:tc>
        <w:tc>
          <w:tcPr>
            <w:tcW w:w="2200" w:type="dxa"/>
            <w:tcBorders>
              <w:top w:val="nil"/>
              <w:left w:val="nil"/>
              <w:bottom w:val="nil"/>
              <w:right w:val="nil"/>
            </w:tcBorders>
            <w:shd w:val="clear" w:color="auto" w:fill="auto"/>
            <w:noWrap/>
            <w:vAlign w:val="bottom"/>
            <w:hideMark/>
          </w:tcPr>
          <w:p w14:paraId="1EAAF4C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1F7D11C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1C2065A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1E76C8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63BB39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B64757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7FAAA5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664FB3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3F661FF" w14:textId="77777777" w:rsidTr="0095397F">
        <w:trPr>
          <w:trHeight w:val="300"/>
        </w:trPr>
        <w:tc>
          <w:tcPr>
            <w:tcW w:w="2980" w:type="dxa"/>
            <w:tcBorders>
              <w:top w:val="nil"/>
              <w:left w:val="nil"/>
              <w:bottom w:val="nil"/>
              <w:right w:val="nil"/>
            </w:tcBorders>
            <w:shd w:val="clear" w:color="auto" w:fill="auto"/>
            <w:noWrap/>
            <w:vAlign w:val="bottom"/>
            <w:hideMark/>
          </w:tcPr>
          <w:p w14:paraId="1FEAD5C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6</w:t>
            </w:r>
          </w:p>
        </w:tc>
        <w:tc>
          <w:tcPr>
            <w:tcW w:w="2200" w:type="dxa"/>
            <w:tcBorders>
              <w:top w:val="nil"/>
              <w:left w:val="nil"/>
              <w:bottom w:val="nil"/>
              <w:right w:val="nil"/>
            </w:tcBorders>
            <w:shd w:val="clear" w:color="auto" w:fill="auto"/>
            <w:noWrap/>
            <w:vAlign w:val="bottom"/>
            <w:hideMark/>
          </w:tcPr>
          <w:p w14:paraId="0F18BA2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42A9D869"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08E00C1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63D717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E363C7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1BA8C7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CAB153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A596EA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F61A804" w14:textId="77777777" w:rsidTr="0095397F">
        <w:trPr>
          <w:trHeight w:val="300"/>
        </w:trPr>
        <w:tc>
          <w:tcPr>
            <w:tcW w:w="2980" w:type="dxa"/>
            <w:tcBorders>
              <w:top w:val="nil"/>
              <w:left w:val="nil"/>
              <w:bottom w:val="nil"/>
              <w:right w:val="nil"/>
            </w:tcBorders>
            <w:shd w:val="clear" w:color="auto" w:fill="auto"/>
            <w:noWrap/>
            <w:vAlign w:val="bottom"/>
            <w:hideMark/>
          </w:tcPr>
          <w:p w14:paraId="3E1A340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7</w:t>
            </w:r>
          </w:p>
        </w:tc>
        <w:tc>
          <w:tcPr>
            <w:tcW w:w="2200" w:type="dxa"/>
            <w:tcBorders>
              <w:top w:val="nil"/>
              <w:left w:val="nil"/>
              <w:bottom w:val="nil"/>
              <w:right w:val="nil"/>
            </w:tcBorders>
            <w:shd w:val="clear" w:color="auto" w:fill="auto"/>
            <w:noWrap/>
            <w:vAlign w:val="bottom"/>
            <w:hideMark/>
          </w:tcPr>
          <w:p w14:paraId="0E49BEF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nil"/>
              <w:right w:val="nil"/>
            </w:tcBorders>
            <w:shd w:val="clear" w:color="auto" w:fill="auto"/>
            <w:noWrap/>
            <w:vAlign w:val="bottom"/>
            <w:hideMark/>
          </w:tcPr>
          <w:p w14:paraId="3E2FD0D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4B6B8A0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79B9BD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EB9C"/>
            <w:noWrap/>
            <w:vAlign w:val="bottom"/>
            <w:hideMark/>
          </w:tcPr>
          <w:p w14:paraId="27B66AC3" w14:textId="77777777" w:rsidR="006501A4" w:rsidRPr="0072062E" w:rsidRDefault="006501A4" w:rsidP="0095397F">
            <w:pPr>
              <w:spacing w:after="0" w:line="240" w:lineRule="auto"/>
              <w:jc w:val="center"/>
              <w:rPr>
                <w:rFonts w:ascii="Wingdings" w:eastAsia="Times New Roman" w:hAnsi="Wingdings" w:cs="Calibri"/>
                <w:color w:val="9C5700"/>
                <w:lang w:eastAsia="en-AU"/>
              </w:rPr>
            </w:pPr>
            <w:r w:rsidRPr="0072062E">
              <w:rPr>
                <w:rFonts w:ascii="Wingdings" w:eastAsia="Times New Roman" w:hAnsi="Wingdings" w:cs="Calibri"/>
                <w:color w:val="9C5700"/>
                <w:lang w:eastAsia="en-AU"/>
              </w:rPr>
              <w:t></w:t>
            </w:r>
          </w:p>
        </w:tc>
        <w:tc>
          <w:tcPr>
            <w:tcW w:w="489" w:type="dxa"/>
            <w:tcBorders>
              <w:top w:val="nil"/>
              <w:left w:val="nil"/>
              <w:bottom w:val="nil"/>
              <w:right w:val="nil"/>
            </w:tcBorders>
            <w:shd w:val="clear" w:color="000000" w:fill="FFC7CE"/>
            <w:noWrap/>
            <w:vAlign w:val="bottom"/>
            <w:hideMark/>
          </w:tcPr>
          <w:p w14:paraId="1C2A84C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635444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48A0EA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0F005852"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0077588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Stoney Creek Crossing 8</w:t>
            </w:r>
          </w:p>
        </w:tc>
        <w:tc>
          <w:tcPr>
            <w:tcW w:w="2200" w:type="dxa"/>
            <w:tcBorders>
              <w:top w:val="nil"/>
              <w:left w:val="nil"/>
              <w:bottom w:val="single" w:sz="8" w:space="0" w:color="auto"/>
              <w:right w:val="nil"/>
            </w:tcBorders>
            <w:shd w:val="clear" w:color="auto" w:fill="auto"/>
            <w:noWrap/>
            <w:vAlign w:val="bottom"/>
            <w:hideMark/>
          </w:tcPr>
          <w:p w14:paraId="7D8BF9E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Wakool River</w:t>
            </w:r>
          </w:p>
        </w:tc>
        <w:tc>
          <w:tcPr>
            <w:tcW w:w="1486" w:type="dxa"/>
            <w:tcBorders>
              <w:top w:val="nil"/>
              <w:left w:val="nil"/>
              <w:bottom w:val="single" w:sz="8" w:space="0" w:color="auto"/>
              <w:right w:val="nil"/>
            </w:tcBorders>
            <w:shd w:val="clear" w:color="auto" w:fill="auto"/>
            <w:noWrap/>
            <w:vAlign w:val="bottom"/>
            <w:hideMark/>
          </w:tcPr>
          <w:p w14:paraId="7DFFCC7E"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single" w:sz="8" w:space="0" w:color="auto"/>
              <w:right w:val="nil"/>
            </w:tcBorders>
            <w:shd w:val="clear" w:color="000000" w:fill="FFC7CE"/>
            <w:noWrap/>
            <w:vAlign w:val="bottom"/>
            <w:hideMark/>
          </w:tcPr>
          <w:p w14:paraId="5954E99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299254B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6DC9E5C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7580B43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658EB9B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2F774E3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2CEBA93" w14:textId="77777777" w:rsidTr="0095397F">
        <w:trPr>
          <w:trHeight w:val="300"/>
        </w:trPr>
        <w:tc>
          <w:tcPr>
            <w:tcW w:w="2980" w:type="dxa"/>
            <w:tcBorders>
              <w:top w:val="nil"/>
              <w:left w:val="nil"/>
              <w:bottom w:val="nil"/>
              <w:right w:val="nil"/>
            </w:tcBorders>
            <w:shd w:val="clear" w:color="auto" w:fill="auto"/>
            <w:noWrap/>
            <w:vAlign w:val="bottom"/>
            <w:hideMark/>
          </w:tcPr>
          <w:p w14:paraId="1B48E81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1</w:t>
            </w:r>
          </w:p>
        </w:tc>
        <w:tc>
          <w:tcPr>
            <w:tcW w:w="2200" w:type="dxa"/>
            <w:tcBorders>
              <w:top w:val="nil"/>
              <w:left w:val="nil"/>
              <w:bottom w:val="nil"/>
              <w:right w:val="nil"/>
            </w:tcBorders>
            <w:shd w:val="clear" w:color="auto" w:fill="auto"/>
            <w:noWrap/>
            <w:vAlign w:val="bottom"/>
            <w:hideMark/>
          </w:tcPr>
          <w:p w14:paraId="56FC1A2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20838683"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FFC7CE"/>
            <w:noWrap/>
            <w:vAlign w:val="bottom"/>
            <w:hideMark/>
          </w:tcPr>
          <w:p w14:paraId="70CC023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D7ED64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65EEF57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B4D009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41BCF6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9F0B7F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70630440" w14:textId="77777777" w:rsidTr="0095397F">
        <w:trPr>
          <w:trHeight w:val="300"/>
        </w:trPr>
        <w:tc>
          <w:tcPr>
            <w:tcW w:w="2980" w:type="dxa"/>
            <w:tcBorders>
              <w:top w:val="nil"/>
              <w:left w:val="nil"/>
              <w:bottom w:val="nil"/>
              <w:right w:val="nil"/>
            </w:tcBorders>
            <w:shd w:val="clear" w:color="auto" w:fill="auto"/>
            <w:noWrap/>
            <w:vAlign w:val="bottom"/>
            <w:hideMark/>
          </w:tcPr>
          <w:p w14:paraId="5FD8818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2</w:t>
            </w:r>
          </w:p>
        </w:tc>
        <w:tc>
          <w:tcPr>
            <w:tcW w:w="2200" w:type="dxa"/>
            <w:tcBorders>
              <w:top w:val="nil"/>
              <w:left w:val="nil"/>
              <w:bottom w:val="nil"/>
              <w:right w:val="nil"/>
            </w:tcBorders>
            <w:shd w:val="clear" w:color="auto" w:fill="auto"/>
            <w:noWrap/>
            <w:vAlign w:val="bottom"/>
            <w:hideMark/>
          </w:tcPr>
          <w:p w14:paraId="0FEEEA7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5BA6CFAB"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C6EFCE"/>
            <w:noWrap/>
            <w:vAlign w:val="bottom"/>
            <w:hideMark/>
          </w:tcPr>
          <w:p w14:paraId="2979C28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F2905C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3D0188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14A06C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FF3C7C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64501C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0564EFB" w14:textId="77777777" w:rsidTr="0095397F">
        <w:trPr>
          <w:trHeight w:val="300"/>
        </w:trPr>
        <w:tc>
          <w:tcPr>
            <w:tcW w:w="2980" w:type="dxa"/>
            <w:tcBorders>
              <w:top w:val="nil"/>
              <w:left w:val="nil"/>
              <w:bottom w:val="nil"/>
              <w:right w:val="nil"/>
            </w:tcBorders>
            <w:shd w:val="clear" w:color="auto" w:fill="auto"/>
            <w:noWrap/>
            <w:vAlign w:val="bottom"/>
            <w:hideMark/>
          </w:tcPr>
          <w:p w14:paraId="21A70D97"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3</w:t>
            </w:r>
          </w:p>
        </w:tc>
        <w:tc>
          <w:tcPr>
            <w:tcW w:w="2200" w:type="dxa"/>
            <w:tcBorders>
              <w:top w:val="nil"/>
              <w:left w:val="nil"/>
              <w:bottom w:val="nil"/>
              <w:right w:val="nil"/>
            </w:tcBorders>
            <w:shd w:val="clear" w:color="auto" w:fill="auto"/>
            <w:noWrap/>
            <w:vAlign w:val="bottom"/>
            <w:hideMark/>
          </w:tcPr>
          <w:p w14:paraId="20C11F2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2BD568C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nil"/>
              <w:right w:val="nil"/>
            </w:tcBorders>
            <w:shd w:val="clear" w:color="000000" w:fill="C6EFCE"/>
            <w:noWrap/>
            <w:vAlign w:val="bottom"/>
            <w:hideMark/>
          </w:tcPr>
          <w:p w14:paraId="3521379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65E768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00F59DE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9B7EC6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4FF60A4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2CF64F8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DBD629B" w14:textId="77777777" w:rsidTr="0095397F">
        <w:trPr>
          <w:trHeight w:val="300"/>
        </w:trPr>
        <w:tc>
          <w:tcPr>
            <w:tcW w:w="2980" w:type="dxa"/>
            <w:tcBorders>
              <w:top w:val="nil"/>
              <w:left w:val="nil"/>
              <w:bottom w:val="nil"/>
              <w:right w:val="nil"/>
            </w:tcBorders>
            <w:shd w:val="clear" w:color="auto" w:fill="auto"/>
            <w:noWrap/>
            <w:vAlign w:val="bottom"/>
            <w:hideMark/>
          </w:tcPr>
          <w:p w14:paraId="0A20B19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4</w:t>
            </w:r>
          </w:p>
        </w:tc>
        <w:tc>
          <w:tcPr>
            <w:tcW w:w="2200" w:type="dxa"/>
            <w:tcBorders>
              <w:top w:val="nil"/>
              <w:left w:val="nil"/>
              <w:bottom w:val="nil"/>
              <w:right w:val="nil"/>
            </w:tcBorders>
            <w:shd w:val="clear" w:color="auto" w:fill="auto"/>
            <w:noWrap/>
            <w:vAlign w:val="bottom"/>
            <w:hideMark/>
          </w:tcPr>
          <w:p w14:paraId="234A203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6DC19EF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37FCCDB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86C2B6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68CA3DB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1AFCA1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FE897F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919CC3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786B2460" w14:textId="77777777" w:rsidTr="0095397F">
        <w:trPr>
          <w:trHeight w:val="300"/>
        </w:trPr>
        <w:tc>
          <w:tcPr>
            <w:tcW w:w="2980" w:type="dxa"/>
            <w:tcBorders>
              <w:top w:val="nil"/>
              <w:left w:val="nil"/>
              <w:bottom w:val="nil"/>
              <w:right w:val="nil"/>
            </w:tcBorders>
            <w:shd w:val="clear" w:color="auto" w:fill="auto"/>
            <w:noWrap/>
            <w:vAlign w:val="bottom"/>
            <w:hideMark/>
          </w:tcPr>
          <w:p w14:paraId="757CA65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5</w:t>
            </w:r>
          </w:p>
        </w:tc>
        <w:tc>
          <w:tcPr>
            <w:tcW w:w="2200" w:type="dxa"/>
            <w:tcBorders>
              <w:top w:val="nil"/>
              <w:left w:val="nil"/>
              <w:bottom w:val="nil"/>
              <w:right w:val="nil"/>
            </w:tcBorders>
            <w:shd w:val="clear" w:color="auto" w:fill="auto"/>
            <w:noWrap/>
            <w:vAlign w:val="bottom"/>
            <w:hideMark/>
          </w:tcPr>
          <w:p w14:paraId="4A06C6E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010A523C"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nil"/>
              <w:right w:val="nil"/>
            </w:tcBorders>
            <w:shd w:val="clear" w:color="000000" w:fill="FFC7CE"/>
            <w:noWrap/>
            <w:vAlign w:val="bottom"/>
            <w:hideMark/>
          </w:tcPr>
          <w:p w14:paraId="04017D0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48251B2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28E93D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2C996D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AAB73E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E89D2D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046DF887" w14:textId="77777777" w:rsidTr="0095397F">
        <w:trPr>
          <w:trHeight w:val="300"/>
        </w:trPr>
        <w:tc>
          <w:tcPr>
            <w:tcW w:w="2980" w:type="dxa"/>
            <w:tcBorders>
              <w:top w:val="nil"/>
              <w:left w:val="nil"/>
              <w:bottom w:val="nil"/>
              <w:right w:val="nil"/>
            </w:tcBorders>
            <w:shd w:val="clear" w:color="auto" w:fill="auto"/>
            <w:noWrap/>
            <w:vAlign w:val="bottom"/>
            <w:hideMark/>
          </w:tcPr>
          <w:p w14:paraId="415F6AA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6</w:t>
            </w:r>
          </w:p>
        </w:tc>
        <w:tc>
          <w:tcPr>
            <w:tcW w:w="2200" w:type="dxa"/>
            <w:tcBorders>
              <w:top w:val="nil"/>
              <w:left w:val="nil"/>
              <w:bottom w:val="nil"/>
              <w:right w:val="nil"/>
            </w:tcBorders>
            <w:shd w:val="clear" w:color="auto" w:fill="auto"/>
            <w:noWrap/>
            <w:vAlign w:val="bottom"/>
            <w:hideMark/>
          </w:tcPr>
          <w:p w14:paraId="048AE17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5EF90599"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1258973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BAE3AF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619576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653B928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39719CD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569A9C60"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4E97CF31" w14:textId="77777777" w:rsidTr="0095397F">
        <w:trPr>
          <w:trHeight w:val="300"/>
        </w:trPr>
        <w:tc>
          <w:tcPr>
            <w:tcW w:w="2980" w:type="dxa"/>
            <w:tcBorders>
              <w:top w:val="nil"/>
              <w:left w:val="nil"/>
              <w:bottom w:val="nil"/>
              <w:right w:val="nil"/>
            </w:tcBorders>
            <w:shd w:val="clear" w:color="auto" w:fill="auto"/>
            <w:noWrap/>
            <w:vAlign w:val="bottom"/>
            <w:hideMark/>
          </w:tcPr>
          <w:p w14:paraId="09E40AD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7</w:t>
            </w:r>
          </w:p>
        </w:tc>
        <w:tc>
          <w:tcPr>
            <w:tcW w:w="2200" w:type="dxa"/>
            <w:tcBorders>
              <w:top w:val="nil"/>
              <w:left w:val="nil"/>
              <w:bottom w:val="nil"/>
              <w:right w:val="nil"/>
            </w:tcBorders>
            <w:shd w:val="clear" w:color="auto" w:fill="auto"/>
            <w:noWrap/>
            <w:vAlign w:val="bottom"/>
            <w:hideMark/>
          </w:tcPr>
          <w:p w14:paraId="0C81A67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64DCD9F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FFC7CE"/>
            <w:noWrap/>
            <w:vAlign w:val="bottom"/>
            <w:hideMark/>
          </w:tcPr>
          <w:p w14:paraId="07A26FF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DADEFA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4D0D2B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2A30443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8B4EED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03C265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CC33734"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30F460B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Calimo 8</w:t>
            </w:r>
          </w:p>
        </w:tc>
        <w:tc>
          <w:tcPr>
            <w:tcW w:w="2200" w:type="dxa"/>
            <w:tcBorders>
              <w:top w:val="nil"/>
              <w:left w:val="nil"/>
              <w:bottom w:val="single" w:sz="8" w:space="0" w:color="auto"/>
              <w:right w:val="nil"/>
            </w:tcBorders>
            <w:shd w:val="clear" w:color="auto" w:fill="auto"/>
            <w:noWrap/>
            <w:vAlign w:val="bottom"/>
            <w:hideMark/>
          </w:tcPr>
          <w:p w14:paraId="2A303FF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single" w:sz="8" w:space="0" w:color="auto"/>
              <w:right w:val="nil"/>
            </w:tcBorders>
            <w:shd w:val="clear" w:color="auto" w:fill="auto"/>
            <w:noWrap/>
            <w:vAlign w:val="bottom"/>
            <w:hideMark/>
          </w:tcPr>
          <w:p w14:paraId="1813235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single" w:sz="8" w:space="0" w:color="auto"/>
              <w:right w:val="nil"/>
            </w:tcBorders>
            <w:shd w:val="clear" w:color="000000" w:fill="FFC7CE"/>
            <w:noWrap/>
            <w:vAlign w:val="bottom"/>
            <w:hideMark/>
          </w:tcPr>
          <w:p w14:paraId="313F084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5A2CB56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0037F9B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7E73143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FFC7CE"/>
            <w:noWrap/>
            <w:vAlign w:val="bottom"/>
            <w:hideMark/>
          </w:tcPr>
          <w:p w14:paraId="1FDBEADD"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52CDD07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5A36BDA6" w14:textId="77777777" w:rsidTr="0095397F">
        <w:trPr>
          <w:trHeight w:val="300"/>
        </w:trPr>
        <w:tc>
          <w:tcPr>
            <w:tcW w:w="2980" w:type="dxa"/>
            <w:tcBorders>
              <w:top w:val="nil"/>
              <w:left w:val="nil"/>
              <w:bottom w:val="nil"/>
              <w:right w:val="nil"/>
            </w:tcBorders>
            <w:shd w:val="clear" w:color="auto" w:fill="auto"/>
            <w:noWrap/>
            <w:vAlign w:val="bottom"/>
            <w:hideMark/>
          </w:tcPr>
          <w:p w14:paraId="282994CB"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1</w:t>
            </w:r>
          </w:p>
        </w:tc>
        <w:tc>
          <w:tcPr>
            <w:tcW w:w="2200" w:type="dxa"/>
            <w:tcBorders>
              <w:top w:val="nil"/>
              <w:left w:val="nil"/>
              <w:bottom w:val="nil"/>
              <w:right w:val="nil"/>
            </w:tcBorders>
            <w:shd w:val="clear" w:color="auto" w:fill="auto"/>
            <w:noWrap/>
            <w:vAlign w:val="bottom"/>
            <w:hideMark/>
          </w:tcPr>
          <w:p w14:paraId="5E3DED7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08CCA1AA"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2/6</w:t>
            </w:r>
          </w:p>
        </w:tc>
        <w:tc>
          <w:tcPr>
            <w:tcW w:w="489" w:type="dxa"/>
            <w:tcBorders>
              <w:top w:val="nil"/>
              <w:left w:val="nil"/>
              <w:bottom w:val="nil"/>
              <w:right w:val="nil"/>
            </w:tcBorders>
            <w:shd w:val="clear" w:color="000000" w:fill="C6EFCE"/>
            <w:noWrap/>
            <w:vAlign w:val="bottom"/>
            <w:hideMark/>
          </w:tcPr>
          <w:p w14:paraId="2D62B4A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EB91F7E"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EFA00C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7FCFAF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F345DF8"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705F28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6DFB64DF" w14:textId="77777777" w:rsidTr="0095397F">
        <w:trPr>
          <w:trHeight w:val="300"/>
        </w:trPr>
        <w:tc>
          <w:tcPr>
            <w:tcW w:w="2980" w:type="dxa"/>
            <w:tcBorders>
              <w:top w:val="nil"/>
              <w:left w:val="nil"/>
              <w:bottom w:val="nil"/>
              <w:right w:val="nil"/>
            </w:tcBorders>
            <w:shd w:val="clear" w:color="auto" w:fill="auto"/>
            <w:noWrap/>
            <w:vAlign w:val="bottom"/>
            <w:hideMark/>
          </w:tcPr>
          <w:p w14:paraId="01166C8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2</w:t>
            </w:r>
          </w:p>
        </w:tc>
        <w:tc>
          <w:tcPr>
            <w:tcW w:w="2200" w:type="dxa"/>
            <w:tcBorders>
              <w:top w:val="nil"/>
              <w:left w:val="nil"/>
              <w:bottom w:val="nil"/>
              <w:right w:val="nil"/>
            </w:tcBorders>
            <w:shd w:val="clear" w:color="auto" w:fill="auto"/>
            <w:noWrap/>
            <w:vAlign w:val="bottom"/>
            <w:hideMark/>
          </w:tcPr>
          <w:p w14:paraId="544DA3F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41976A4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68D4482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2E0183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A0EDED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787893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5A6E14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E1D881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651FE23" w14:textId="77777777" w:rsidTr="0095397F">
        <w:trPr>
          <w:trHeight w:val="300"/>
        </w:trPr>
        <w:tc>
          <w:tcPr>
            <w:tcW w:w="2980" w:type="dxa"/>
            <w:tcBorders>
              <w:top w:val="nil"/>
              <w:left w:val="nil"/>
              <w:bottom w:val="nil"/>
              <w:right w:val="nil"/>
            </w:tcBorders>
            <w:shd w:val="clear" w:color="auto" w:fill="auto"/>
            <w:noWrap/>
            <w:vAlign w:val="bottom"/>
            <w:hideMark/>
          </w:tcPr>
          <w:p w14:paraId="6059C2E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3</w:t>
            </w:r>
          </w:p>
        </w:tc>
        <w:tc>
          <w:tcPr>
            <w:tcW w:w="2200" w:type="dxa"/>
            <w:tcBorders>
              <w:top w:val="nil"/>
              <w:left w:val="nil"/>
              <w:bottom w:val="nil"/>
              <w:right w:val="nil"/>
            </w:tcBorders>
            <w:shd w:val="clear" w:color="auto" w:fill="auto"/>
            <w:noWrap/>
            <w:vAlign w:val="bottom"/>
            <w:hideMark/>
          </w:tcPr>
          <w:p w14:paraId="6E964C5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16FA8EB4"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nil"/>
              <w:right w:val="nil"/>
            </w:tcBorders>
            <w:shd w:val="clear" w:color="000000" w:fill="FFC7CE"/>
            <w:noWrap/>
            <w:vAlign w:val="bottom"/>
            <w:hideMark/>
          </w:tcPr>
          <w:p w14:paraId="254149C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4B7846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F60011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117CC9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9109DE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D85EFE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5CA8303" w14:textId="77777777" w:rsidTr="0095397F">
        <w:trPr>
          <w:trHeight w:val="300"/>
        </w:trPr>
        <w:tc>
          <w:tcPr>
            <w:tcW w:w="2980" w:type="dxa"/>
            <w:tcBorders>
              <w:top w:val="nil"/>
              <w:left w:val="nil"/>
              <w:bottom w:val="nil"/>
              <w:right w:val="nil"/>
            </w:tcBorders>
            <w:shd w:val="clear" w:color="auto" w:fill="auto"/>
            <w:noWrap/>
            <w:vAlign w:val="bottom"/>
            <w:hideMark/>
          </w:tcPr>
          <w:p w14:paraId="028F508C"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4</w:t>
            </w:r>
          </w:p>
        </w:tc>
        <w:tc>
          <w:tcPr>
            <w:tcW w:w="2200" w:type="dxa"/>
            <w:tcBorders>
              <w:top w:val="nil"/>
              <w:left w:val="nil"/>
              <w:bottom w:val="nil"/>
              <w:right w:val="nil"/>
            </w:tcBorders>
            <w:shd w:val="clear" w:color="auto" w:fill="auto"/>
            <w:noWrap/>
            <w:vAlign w:val="bottom"/>
            <w:hideMark/>
          </w:tcPr>
          <w:p w14:paraId="4F11B771"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75B746D0"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nil"/>
              <w:right w:val="nil"/>
            </w:tcBorders>
            <w:shd w:val="clear" w:color="000000" w:fill="FFC7CE"/>
            <w:noWrap/>
            <w:vAlign w:val="bottom"/>
            <w:hideMark/>
          </w:tcPr>
          <w:p w14:paraId="13248576"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B20C8E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3C8E36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CC875A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155767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76AE3F9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2FA6579F" w14:textId="77777777" w:rsidTr="0095397F">
        <w:trPr>
          <w:trHeight w:val="300"/>
        </w:trPr>
        <w:tc>
          <w:tcPr>
            <w:tcW w:w="2980" w:type="dxa"/>
            <w:tcBorders>
              <w:top w:val="nil"/>
              <w:left w:val="nil"/>
              <w:bottom w:val="nil"/>
              <w:right w:val="nil"/>
            </w:tcBorders>
            <w:shd w:val="clear" w:color="auto" w:fill="auto"/>
            <w:noWrap/>
            <w:vAlign w:val="bottom"/>
            <w:hideMark/>
          </w:tcPr>
          <w:p w14:paraId="1510C70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5</w:t>
            </w:r>
          </w:p>
        </w:tc>
        <w:tc>
          <w:tcPr>
            <w:tcW w:w="2200" w:type="dxa"/>
            <w:tcBorders>
              <w:top w:val="nil"/>
              <w:left w:val="nil"/>
              <w:bottom w:val="nil"/>
              <w:right w:val="nil"/>
            </w:tcBorders>
            <w:shd w:val="clear" w:color="auto" w:fill="auto"/>
            <w:noWrap/>
            <w:vAlign w:val="bottom"/>
            <w:hideMark/>
          </w:tcPr>
          <w:p w14:paraId="3FAF650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46C48EF2"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1/6</w:t>
            </w:r>
          </w:p>
        </w:tc>
        <w:tc>
          <w:tcPr>
            <w:tcW w:w="489" w:type="dxa"/>
            <w:tcBorders>
              <w:top w:val="nil"/>
              <w:left w:val="nil"/>
              <w:bottom w:val="nil"/>
              <w:right w:val="nil"/>
            </w:tcBorders>
            <w:shd w:val="clear" w:color="000000" w:fill="C6EFCE"/>
            <w:noWrap/>
            <w:vAlign w:val="bottom"/>
            <w:hideMark/>
          </w:tcPr>
          <w:p w14:paraId="7DACB0F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650E699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4F4DE8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109CEBC"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04CFF8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44F2BF6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301BCF4" w14:textId="77777777" w:rsidTr="0095397F">
        <w:trPr>
          <w:trHeight w:val="300"/>
        </w:trPr>
        <w:tc>
          <w:tcPr>
            <w:tcW w:w="2980" w:type="dxa"/>
            <w:tcBorders>
              <w:top w:val="nil"/>
              <w:left w:val="nil"/>
              <w:bottom w:val="nil"/>
              <w:right w:val="nil"/>
            </w:tcBorders>
            <w:shd w:val="clear" w:color="auto" w:fill="auto"/>
            <w:noWrap/>
            <w:vAlign w:val="bottom"/>
            <w:hideMark/>
          </w:tcPr>
          <w:p w14:paraId="1B7C29E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6</w:t>
            </w:r>
          </w:p>
        </w:tc>
        <w:tc>
          <w:tcPr>
            <w:tcW w:w="2200" w:type="dxa"/>
            <w:tcBorders>
              <w:top w:val="nil"/>
              <w:left w:val="nil"/>
              <w:bottom w:val="nil"/>
              <w:right w:val="nil"/>
            </w:tcBorders>
            <w:shd w:val="clear" w:color="auto" w:fill="auto"/>
            <w:noWrap/>
            <w:vAlign w:val="bottom"/>
            <w:hideMark/>
          </w:tcPr>
          <w:p w14:paraId="055F82A5"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3C23A89E"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nil"/>
              <w:right w:val="nil"/>
            </w:tcBorders>
            <w:shd w:val="clear" w:color="000000" w:fill="C6EFCE"/>
            <w:noWrap/>
            <w:vAlign w:val="bottom"/>
            <w:hideMark/>
          </w:tcPr>
          <w:p w14:paraId="3F08837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44A89D23"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13A11BF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6B97FF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356EB59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338542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C773B08" w14:textId="77777777" w:rsidTr="0095397F">
        <w:trPr>
          <w:trHeight w:val="300"/>
        </w:trPr>
        <w:tc>
          <w:tcPr>
            <w:tcW w:w="2980" w:type="dxa"/>
            <w:tcBorders>
              <w:top w:val="nil"/>
              <w:left w:val="nil"/>
              <w:bottom w:val="nil"/>
              <w:right w:val="nil"/>
            </w:tcBorders>
            <w:shd w:val="clear" w:color="auto" w:fill="auto"/>
            <w:noWrap/>
            <w:vAlign w:val="bottom"/>
            <w:hideMark/>
          </w:tcPr>
          <w:p w14:paraId="04BAB37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7</w:t>
            </w:r>
          </w:p>
        </w:tc>
        <w:tc>
          <w:tcPr>
            <w:tcW w:w="2200" w:type="dxa"/>
            <w:tcBorders>
              <w:top w:val="nil"/>
              <w:left w:val="nil"/>
              <w:bottom w:val="nil"/>
              <w:right w:val="nil"/>
            </w:tcBorders>
            <w:shd w:val="clear" w:color="auto" w:fill="auto"/>
            <w:noWrap/>
            <w:vAlign w:val="bottom"/>
            <w:hideMark/>
          </w:tcPr>
          <w:p w14:paraId="0984638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nil"/>
              <w:right w:val="nil"/>
            </w:tcBorders>
            <w:shd w:val="clear" w:color="auto" w:fill="auto"/>
            <w:noWrap/>
            <w:vAlign w:val="bottom"/>
            <w:hideMark/>
          </w:tcPr>
          <w:p w14:paraId="36EB16D3"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C6EFCE"/>
            <w:noWrap/>
            <w:vAlign w:val="bottom"/>
            <w:hideMark/>
          </w:tcPr>
          <w:p w14:paraId="73D75BE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7ED1F5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ED8C4B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CFEA3F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FE47F7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7BFAB824"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1DBF2018"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652088C8"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Mallan School 8</w:t>
            </w:r>
          </w:p>
        </w:tc>
        <w:tc>
          <w:tcPr>
            <w:tcW w:w="2200" w:type="dxa"/>
            <w:tcBorders>
              <w:top w:val="nil"/>
              <w:left w:val="nil"/>
              <w:bottom w:val="single" w:sz="8" w:space="0" w:color="auto"/>
              <w:right w:val="nil"/>
            </w:tcBorders>
            <w:shd w:val="clear" w:color="auto" w:fill="auto"/>
            <w:noWrap/>
            <w:vAlign w:val="bottom"/>
            <w:hideMark/>
          </w:tcPr>
          <w:p w14:paraId="2C2C498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Colligen-Neimur River</w:t>
            </w:r>
          </w:p>
        </w:tc>
        <w:tc>
          <w:tcPr>
            <w:tcW w:w="1486" w:type="dxa"/>
            <w:tcBorders>
              <w:top w:val="nil"/>
              <w:left w:val="nil"/>
              <w:bottom w:val="single" w:sz="8" w:space="0" w:color="auto"/>
              <w:right w:val="nil"/>
            </w:tcBorders>
            <w:shd w:val="clear" w:color="auto" w:fill="auto"/>
            <w:noWrap/>
            <w:vAlign w:val="bottom"/>
            <w:hideMark/>
          </w:tcPr>
          <w:p w14:paraId="3A0EB1D1"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3/6</w:t>
            </w:r>
          </w:p>
        </w:tc>
        <w:tc>
          <w:tcPr>
            <w:tcW w:w="489" w:type="dxa"/>
            <w:tcBorders>
              <w:top w:val="nil"/>
              <w:left w:val="nil"/>
              <w:bottom w:val="single" w:sz="8" w:space="0" w:color="auto"/>
              <w:right w:val="nil"/>
            </w:tcBorders>
            <w:shd w:val="clear" w:color="000000" w:fill="C6EFCE"/>
            <w:noWrap/>
            <w:vAlign w:val="bottom"/>
            <w:hideMark/>
          </w:tcPr>
          <w:p w14:paraId="60C8619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FFC7CE"/>
            <w:noWrap/>
            <w:vAlign w:val="bottom"/>
            <w:hideMark/>
          </w:tcPr>
          <w:p w14:paraId="025590D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27A2428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FFC7CE"/>
            <w:noWrap/>
            <w:vAlign w:val="bottom"/>
            <w:hideMark/>
          </w:tcPr>
          <w:p w14:paraId="16DFE8C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single" w:sz="8" w:space="0" w:color="auto"/>
              <w:right w:val="nil"/>
            </w:tcBorders>
            <w:shd w:val="clear" w:color="000000" w:fill="C6EFCE"/>
            <w:noWrap/>
            <w:vAlign w:val="bottom"/>
            <w:hideMark/>
          </w:tcPr>
          <w:p w14:paraId="26F1E4B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FFC7CE"/>
            <w:noWrap/>
            <w:vAlign w:val="bottom"/>
            <w:hideMark/>
          </w:tcPr>
          <w:p w14:paraId="28DF68AB"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52E7367A" w14:textId="77777777" w:rsidTr="0095397F">
        <w:trPr>
          <w:trHeight w:val="300"/>
        </w:trPr>
        <w:tc>
          <w:tcPr>
            <w:tcW w:w="2980" w:type="dxa"/>
            <w:tcBorders>
              <w:top w:val="nil"/>
              <w:left w:val="nil"/>
              <w:bottom w:val="nil"/>
              <w:right w:val="nil"/>
            </w:tcBorders>
            <w:shd w:val="clear" w:color="auto" w:fill="auto"/>
            <w:noWrap/>
            <w:vAlign w:val="bottom"/>
            <w:hideMark/>
          </w:tcPr>
          <w:p w14:paraId="483F067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1</w:t>
            </w:r>
          </w:p>
        </w:tc>
        <w:tc>
          <w:tcPr>
            <w:tcW w:w="2200" w:type="dxa"/>
            <w:tcBorders>
              <w:top w:val="nil"/>
              <w:left w:val="nil"/>
              <w:bottom w:val="nil"/>
              <w:right w:val="nil"/>
            </w:tcBorders>
            <w:shd w:val="clear" w:color="auto" w:fill="auto"/>
            <w:noWrap/>
            <w:vAlign w:val="bottom"/>
            <w:hideMark/>
          </w:tcPr>
          <w:p w14:paraId="34E8FE72"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697619C1"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72C6DFB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2828C0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543139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953EF1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407E773"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E46F30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0F899FBA" w14:textId="77777777" w:rsidTr="0095397F">
        <w:trPr>
          <w:trHeight w:val="300"/>
        </w:trPr>
        <w:tc>
          <w:tcPr>
            <w:tcW w:w="2980" w:type="dxa"/>
            <w:tcBorders>
              <w:top w:val="nil"/>
              <w:left w:val="nil"/>
              <w:bottom w:val="nil"/>
              <w:right w:val="nil"/>
            </w:tcBorders>
            <w:shd w:val="clear" w:color="auto" w:fill="auto"/>
            <w:noWrap/>
            <w:vAlign w:val="bottom"/>
            <w:hideMark/>
          </w:tcPr>
          <w:p w14:paraId="0B21D0B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2</w:t>
            </w:r>
          </w:p>
        </w:tc>
        <w:tc>
          <w:tcPr>
            <w:tcW w:w="2200" w:type="dxa"/>
            <w:tcBorders>
              <w:top w:val="nil"/>
              <w:left w:val="nil"/>
              <w:bottom w:val="nil"/>
              <w:right w:val="nil"/>
            </w:tcBorders>
            <w:shd w:val="clear" w:color="auto" w:fill="auto"/>
            <w:noWrap/>
            <w:vAlign w:val="bottom"/>
            <w:hideMark/>
          </w:tcPr>
          <w:p w14:paraId="2B50F9F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5C931BE6"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12A2413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5AC9BB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9DEB94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076FE7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00CBFB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423E15E"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6A5D4A69" w14:textId="77777777" w:rsidTr="0095397F">
        <w:trPr>
          <w:trHeight w:val="300"/>
        </w:trPr>
        <w:tc>
          <w:tcPr>
            <w:tcW w:w="2980" w:type="dxa"/>
            <w:tcBorders>
              <w:top w:val="nil"/>
              <w:left w:val="nil"/>
              <w:bottom w:val="nil"/>
              <w:right w:val="nil"/>
            </w:tcBorders>
            <w:shd w:val="clear" w:color="auto" w:fill="auto"/>
            <w:noWrap/>
            <w:vAlign w:val="bottom"/>
            <w:hideMark/>
          </w:tcPr>
          <w:p w14:paraId="2DC16E79"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3</w:t>
            </w:r>
          </w:p>
        </w:tc>
        <w:tc>
          <w:tcPr>
            <w:tcW w:w="2200" w:type="dxa"/>
            <w:tcBorders>
              <w:top w:val="nil"/>
              <w:left w:val="nil"/>
              <w:bottom w:val="nil"/>
              <w:right w:val="nil"/>
            </w:tcBorders>
            <w:shd w:val="clear" w:color="auto" w:fill="auto"/>
            <w:noWrap/>
            <w:vAlign w:val="bottom"/>
            <w:hideMark/>
          </w:tcPr>
          <w:p w14:paraId="70B7F1DE"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5BC6D0A7"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0/6</w:t>
            </w:r>
          </w:p>
        </w:tc>
        <w:tc>
          <w:tcPr>
            <w:tcW w:w="489" w:type="dxa"/>
            <w:tcBorders>
              <w:top w:val="nil"/>
              <w:left w:val="nil"/>
              <w:bottom w:val="nil"/>
              <w:right w:val="nil"/>
            </w:tcBorders>
            <w:shd w:val="clear" w:color="000000" w:fill="FFC7CE"/>
            <w:noWrap/>
            <w:vAlign w:val="bottom"/>
            <w:hideMark/>
          </w:tcPr>
          <w:p w14:paraId="753F6C0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1D1F84A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5D310BA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3D98F1B7"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2F7DD07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8B38761"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93F3106" w14:textId="77777777" w:rsidTr="0095397F">
        <w:trPr>
          <w:trHeight w:val="300"/>
        </w:trPr>
        <w:tc>
          <w:tcPr>
            <w:tcW w:w="2980" w:type="dxa"/>
            <w:tcBorders>
              <w:top w:val="nil"/>
              <w:left w:val="nil"/>
              <w:bottom w:val="nil"/>
              <w:right w:val="nil"/>
            </w:tcBorders>
            <w:shd w:val="clear" w:color="auto" w:fill="auto"/>
            <w:noWrap/>
            <w:vAlign w:val="bottom"/>
            <w:hideMark/>
          </w:tcPr>
          <w:p w14:paraId="17FC848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4</w:t>
            </w:r>
          </w:p>
        </w:tc>
        <w:tc>
          <w:tcPr>
            <w:tcW w:w="2200" w:type="dxa"/>
            <w:tcBorders>
              <w:top w:val="nil"/>
              <w:left w:val="nil"/>
              <w:bottom w:val="nil"/>
              <w:right w:val="nil"/>
            </w:tcBorders>
            <w:shd w:val="clear" w:color="auto" w:fill="auto"/>
            <w:noWrap/>
            <w:vAlign w:val="bottom"/>
            <w:hideMark/>
          </w:tcPr>
          <w:p w14:paraId="4D73DA9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7096E179"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nil"/>
              <w:right w:val="nil"/>
            </w:tcBorders>
            <w:shd w:val="clear" w:color="000000" w:fill="C6EFCE"/>
            <w:noWrap/>
            <w:vAlign w:val="bottom"/>
            <w:hideMark/>
          </w:tcPr>
          <w:p w14:paraId="6754C56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A25262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E349E8C"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3B3438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F32E771"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2EE5998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33A9AFA0" w14:textId="77777777" w:rsidTr="0095397F">
        <w:trPr>
          <w:trHeight w:val="300"/>
        </w:trPr>
        <w:tc>
          <w:tcPr>
            <w:tcW w:w="2980" w:type="dxa"/>
            <w:tcBorders>
              <w:top w:val="nil"/>
              <w:left w:val="nil"/>
              <w:bottom w:val="nil"/>
              <w:right w:val="nil"/>
            </w:tcBorders>
            <w:shd w:val="clear" w:color="auto" w:fill="auto"/>
            <w:noWrap/>
            <w:vAlign w:val="bottom"/>
            <w:hideMark/>
          </w:tcPr>
          <w:p w14:paraId="48488560"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5</w:t>
            </w:r>
          </w:p>
        </w:tc>
        <w:tc>
          <w:tcPr>
            <w:tcW w:w="2200" w:type="dxa"/>
            <w:tcBorders>
              <w:top w:val="nil"/>
              <w:left w:val="nil"/>
              <w:bottom w:val="nil"/>
              <w:right w:val="nil"/>
            </w:tcBorders>
            <w:shd w:val="clear" w:color="auto" w:fill="auto"/>
            <w:noWrap/>
            <w:vAlign w:val="bottom"/>
            <w:hideMark/>
          </w:tcPr>
          <w:p w14:paraId="213197AF"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0694C5F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147AF005"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B56A32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5BD862D"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62D14DF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2A963AA"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07611D32"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344E6833" w14:textId="77777777" w:rsidTr="0095397F">
        <w:trPr>
          <w:trHeight w:val="300"/>
        </w:trPr>
        <w:tc>
          <w:tcPr>
            <w:tcW w:w="2980" w:type="dxa"/>
            <w:tcBorders>
              <w:top w:val="nil"/>
              <w:left w:val="nil"/>
              <w:bottom w:val="nil"/>
              <w:right w:val="nil"/>
            </w:tcBorders>
            <w:shd w:val="clear" w:color="auto" w:fill="auto"/>
            <w:noWrap/>
            <w:vAlign w:val="bottom"/>
            <w:hideMark/>
          </w:tcPr>
          <w:p w14:paraId="0FC36A44"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6</w:t>
            </w:r>
          </w:p>
        </w:tc>
        <w:tc>
          <w:tcPr>
            <w:tcW w:w="2200" w:type="dxa"/>
            <w:tcBorders>
              <w:top w:val="nil"/>
              <w:left w:val="nil"/>
              <w:bottom w:val="nil"/>
              <w:right w:val="nil"/>
            </w:tcBorders>
            <w:shd w:val="clear" w:color="auto" w:fill="auto"/>
            <w:noWrap/>
            <w:vAlign w:val="bottom"/>
            <w:hideMark/>
          </w:tcPr>
          <w:p w14:paraId="56D05DB6"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12A7F300"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4/6</w:t>
            </w:r>
          </w:p>
        </w:tc>
        <w:tc>
          <w:tcPr>
            <w:tcW w:w="489" w:type="dxa"/>
            <w:tcBorders>
              <w:top w:val="nil"/>
              <w:left w:val="nil"/>
              <w:bottom w:val="nil"/>
              <w:right w:val="nil"/>
            </w:tcBorders>
            <w:shd w:val="clear" w:color="000000" w:fill="C6EFCE"/>
            <w:noWrap/>
            <w:vAlign w:val="bottom"/>
            <w:hideMark/>
          </w:tcPr>
          <w:p w14:paraId="5021FF5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434DC39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19552B8F"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FFC7CE"/>
            <w:noWrap/>
            <w:vAlign w:val="bottom"/>
            <w:hideMark/>
          </w:tcPr>
          <w:p w14:paraId="7374CD29"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c>
          <w:tcPr>
            <w:tcW w:w="489" w:type="dxa"/>
            <w:tcBorders>
              <w:top w:val="nil"/>
              <w:left w:val="nil"/>
              <w:bottom w:val="nil"/>
              <w:right w:val="nil"/>
            </w:tcBorders>
            <w:shd w:val="clear" w:color="000000" w:fill="C6EFCE"/>
            <w:noWrap/>
            <w:vAlign w:val="bottom"/>
            <w:hideMark/>
          </w:tcPr>
          <w:p w14:paraId="62EF9148"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1BA56CDF"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r w:rsidR="006501A4" w:rsidRPr="0072062E" w14:paraId="4B97AF4E" w14:textId="77777777" w:rsidTr="0095397F">
        <w:trPr>
          <w:trHeight w:val="300"/>
        </w:trPr>
        <w:tc>
          <w:tcPr>
            <w:tcW w:w="2980" w:type="dxa"/>
            <w:tcBorders>
              <w:top w:val="nil"/>
              <w:left w:val="nil"/>
              <w:bottom w:val="nil"/>
              <w:right w:val="nil"/>
            </w:tcBorders>
            <w:shd w:val="clear" w:color="auto" w:fill="auto"/>
            <w:noWrap/>
            <w:vAlign w:val="bottom"/>
            <w:hideMark/>
          </w:tcPr>
          <w:p w14:paraId="3F00476A"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7</w:t>
            </w:r>
          </w:p>
        </w:tc>
        <w:tc>
          <w:tcPr>
            <w:tcW w:w="2200" w:type="dxa"/>
            <w:tcBorders>
              <w:top w:val="nil"/>
              <w:left w:val="nil"/>
              <w:bottom w:val="nil"/>
              <w:right w:val="nil"/>
            </w:tcBorders>
            <w:shd w:val="clear" w:color="auto" w:fill="auto"/>
            <w:noWrap/>
            <w:vAlign w:val="bottom"/>
            <w:hideMark/>
          </w:tcPr>
          <w:p w14:paraId="08C0940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nil"/>
              <w:right w:val="nil"/>
            </w:tcBorders>
            <w:shd w:val="clear" w:color="auto" w:fill="auto"/>
            <w:noWrap/>
            <w:vAlign w:val="bottom"/>
            <w:hideMark/>
          </w:tcPr>
          <w:p w14:paraId="5EFAFD25"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5/6</w:t>
            </w:r>
          </w:p>
        </w:tc>
        <w:tc>
          <w:tcPr>
            <w:tcW w:w="489" w:type="dxa"/>
            <w:tcBorders>
              <w:top w:val="nil"/>
              <w:left w:val="nil"/>
              <w:bottom w:val="nil"/>
              <w:right w:val="nil"/>
            </w:tcBorders>
            <w:shd w:val="clear" w:color="000000" w:fill="C6EFCE"/>
            <w:noWrap/>
            <w:vAlign w:val="bottom"/>
            <w:hideMark/>
          </w:tcPr>
          <w:p w14:paraId="5DCE6E46"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53695A9B"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0BC5CAB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3DFEC997"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C6EFCE"/>
            <w:noWrap/>
            <w:vAlign w:val="bottom"/>
            <w:hideMark/>
          </w:tcPr>
          <w:p w14:paraId="72886A0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nil"/>
              <w:right w:val="nil"/>
            </w:tcBorders>
            <w:shd w:val="clear" w:color="000000" w:fill="FFC7CE"/>
            <w:noWrap/>
            <w:vAlign w:val="bottom"/>
            <w:hideMark/>
          </w:tcPr>
          <w:p w14:paraId="7658E6B5" w14:textId="77777777" w:rsidR="006501A4" w:rsidRPr="0072062E" w:rsidRDefault="006501A4" w:rsidP="0095397F">
            <w:pPr>
              <w:spacing w:after="0" w:line="240" w:lineRule="auto"/>
              <w:jc w:val="center"/>
              <w:rPr>
                <w:rFonts w:eastAsia="Times New Roman" w:cs="Calibri"/>
                <w:color w:val="9C0006"/>
                <w:lang w:eastAsia="en-AU"/>
              </w:rPr>
            </w:pPr>
            <w:r w:rsidRPr="0072062E">
              <w:rPr>
                <w:rFonts w:eastAsia="Times New Roman" w:cs="Calibri"/>
                <w:color w:val="9C0006"/>
                <w:lang w:eastAsia="en-AU"/>
              </w:rPr>
              <w:t>×</w:t>
            </w:r>
          </w:p>
        </w:tc>
      </w:tr>
      <w:tr w:rsidR="006501A4" w:rsidRPr="0072062E" w14:paraId="24FE0211"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152D1F6D"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Windra Vale2 8</w:t>
            </w:r>
          </w:p>
        </w:tc>
        <w:tc>
          <w:tcPr>
            <w:tcW w:w="2200" w:type="dxa"/>
            <w:tcBorders>
              <w:top w:val="nil"/>
              <w:left w:val="nil"/>
              <w:bottom w:val="single" w:sz="8" w:space="0" w:color="auto"/>
              <w:right w:val="nil"/>
            </w:tcBorders>
            <w:shd w:val="clear" w:color="auto" w:fill="auto"/>
            <w:noWrap/>
            <w:vAlign w:val="bottom"/>
            <w:hideMark/>
          </w:tcPr>
          <w:p w14:paraId="7F1B5523" w14:textId="77777777" w:rsidR="006501A4" w:rsidRPr="0072062E" w:rsidRDefault="006501A4" w:rsidP="0095397F">
            <w:pPr>
              <w:spacing w:after="0" w:line="240" w:lineRule="auto"/>
              <w:rPr>
                <w:rFonts w:eastAsia="Times New Roman" w:cs="Calibri"/>
                <w:color w:val="000000"/>
                <w:lang w:eastAsia="en-AU"/>
              </w:rPr>
            </w:pPr>
            <w:r w:rsidRPr="0072062E">
              <w:rPr>
                <w:rFonts w:eastAsia="Times New Roman" w:cs="Calibri"/>
                <w:color w:val="000000"/>
                <w:lang w:eastAsia="en-AU"/>
              </w:rPr>
              <w:t>Yallakool Creek</w:t>
            </w:r>
          </w:p>
        </w:tc>
        <w:tc>
          <w:tcPr>
            <w:tcW w:w="1486" w:type="dxa"/>
            <w:tcBorders>
              <w:top w:val="nil"/>
              <w:left w:val="nil"/>
              <w:bottom w:val="single" w:sz="8" w:space="0" w:color="auto"/>
              <w:right w:val="nil"/>
            </w:tcBorders>
            <w:shd w:val="clear" w:color="auto" w:fill="auto"/>
            <w:noWrap/>
            <w:vAlign w:val="bottom"/>
            <w:hideMark/>
          </w:tcPr>
          <w:p w14:paraId="569E16ED" w14:textId="77777777" w:rsidR="006501A4" w:rsidRPr="0072062E" w:rsidRDefault="006501A4" w:rsidP="0095397F">
            <w:pPr>
              <w:spacing w:after="0" w:line="240" w:lineRule="auto"/>
              <w:jc w:val="center"/>
              <w:rPr>
                <w:rFonts w:eastAsia="Times New Roman" w:cs="Calibri"/>
                <w:color w:val="000000"/>
                <w:lang w:eastAsia="en-AU"/>
              </w:rPr>
            </w:pPr>
            <w:r w:rsidRPr="0072062E">
              <w:rPr>
                <w:rFonts w:eastAsia="Times New Roman" w:cs="Calibri"/>
                <w:color w:val="000000"/>
                <w:lang w:eastAsia="en-AU"/>
              </w:rPr>
              <w:t>6/6</w:t>
            </w:r>
          </w:p>
        </w:tc>
        <w:tc>
          <w:tcPr>
            <w:tcW w:w="489" w:type="dxa"/>
            <w:tcBorders>
              <w:top w:val="nil"/>
              <w:left w:val="nil"/>
              <w:bottom w:val="single" w:sz="8" w:space="0" w:color="auto"/>
              <w:right w:val="nil"/>
            </w:tcBorders>
            <w:shd w:val="clear" w:color="000000" w:fill="C6EFCE"/>
            <w:noWrap/>
            <w:vAlign w:val="bottom"/>
            <w:hideMark/>
          </w:tcPr>
          <w:p w14:paraId="09E25BA4"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4BE2586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456544C0"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590B467A"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209B9029"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c>
          <w:tcPr>
            <w:tcW w:w="489" w:type="dxa"/>
            <w:tcBorders>
              <w:top w:val="nil"/>
              <w:left w:val="nil"/>
              <w:bottom w:val="single" w:sz="8" w:space="0" w:color="auto"/>
              <w:right w:val="nil"/>
            </w:tcBorders>
            <w:shd w:val="clear" w:color="000000" w:fill="C6EFCE"/>
            <w:noWrap/>
            <w:vAlign w:val="bottom"/>
            <w:hideMark/>
          </w:tcPr>
          <w:p w14:paraId="0AF64692" w14:textId="77777777" w:rsidR="006501A4" w:rsidRPr="0072062E" w:rsidRDefault="006501A4" w:rsidP="0095397F">
            <w:pPr>
              <w:spacing w:after="0" w:line="240" w:lineRule="auto"/>
              <w:jc w:val="center"/>
              <w:rPr>
                <w:rFonts w:ascii="Wingdings" w:eastAsia="Times New Roman" w:hAnsi="Wingdings" w:cs="Calibri"/>
                <w:color w:val="006100"/>
                <w:lang w:eastAsia="en-AU"/>
              </w:rPr>
            </w:pPr>
            <w:r w:rsidRPr="0072062E">
              <w:rPr>
                <w:rFonts w:ascii="Wingdings" w:eastAsia="Times New Roman" w:hAnsi="Wingdings" w:cs="Calibri"/>
                <w:color w:val="006100"/>
                <w:lang w:eastAsia="en-AU"/>
              </w:rPr>
              <w:t></w:t>
            </w:r>
          </w:p>
        </w:tc>
      </w:tr>
    </w:tbl>
    <w:p w14:paraId="3FA21467" w14:textId="77777777" w:rsidR="006501A4" w:rsidRPr="002E7C63"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p>
    <w:p w14:paraId="47F57F2C" w14:textId="77777777" w:rsidR="006501A4" w:rsidRDefault="006501A4" w:rsidP="006501A4">
      <w:pPr>
        <w:rPr>
          <w:rFonts w:eastAsia="Times New Roman"/>
          <w:b/>
          <w:bCs/>
          <w:color w:val="201F1E"/>
          <w:sz w:val="20"/>
          <w:bdr w:val="none" w:sz="0" w:space="0" w:color="auto" w:frame="1"/>
          <w:lang w:eastAsia="en-AU"/>
        </w:rPr>
      </w:pPr>
      <w:r>
        <w:rPr>
          <w:b/>
          <w:bCs/>
          <w:color w:val="201F1E"/>
          <w:sz w:val="20"/>
          <w:bdr w:val="none" w:sz="0" w:space="0" w:color="auto" w:frame="1"/>
        </w:rPr>
        <w:br w:type="page"/>
      </w:r>
    </w:p>
    <w:p w14:paraId="301C86F7" w14:textId="77777777" w:rsidR="006501A4" w:rsidRPr="003D38B6" w:rsidRDefault="006501A4" w:rsidP="0011303A">
      <w:pPr>
        <w:pStyle w:val="xmsonormal"/>
        <w:shd w:val="clear" w:color="auto" w:fill="FFFFFF"/>
        <w:spacing w:before="0" w:beforeAutospacing="0" w:after="0" w:afterAutospacing="0"/>
        <w:ind w:right="-285"/>
        <w:textAlignment w:val="baseline"/>
        <w:rPr>
          <w:rFonts w:asciiTheme="minorHAnsi" w:hAnsiTheme="minorHAnsi"/>
          <w:color w:val="201F1E"/>
          <w:sz w:val="20"/>
          <w:szCs w:val="20"/>
          <w:bdr w:val="none" w:sz="0" w:space="0" w:color="auto" w:frame="1"/>
        </w:rPr>
      </w:pPr>
      <w:r w:rsidRPr="00D01CCD">
        <w:rPr>
          <w:rFonts w:asciiTheme="minorHAnsi" w:hAnsiTheme="minorHAnsi"/>
          <w:b/>
          <w:bCs/>
          <w:color w:val="201F1E"/>
          <w:sz w:val="20"/>
          <w:szCs w:val="20"/>
          <w:bdr w:val="none" w:sz="0" w:space="0" w:color="auto" w:frame="1"/>
        </w:rPr>
        <w:t>Appendix 12.</w:t>
      </w:r>
      <w:r>
        <w:rPr>
          <w:rFonts w:asciiTheme="minorHAnsi" w:hAnsiTheme="minorHAnsi"/>
          <w:b/>
          <w:bCs/>
          <w:color w:val="201F1E"/>
          <w:sz w:val="20"/>
          <w:szCs w:val="20"/>
          <w:bdr w:val="none" w:sz="0" w:space="0" w:color="auto" w:frame="1"/>
        </w:rPr>
        <w:t>5</w:t>
      </w:r>
      <w:r w:rsidRPr="003D38B6">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trout cod</w:t>
      </w:r>
      <w:r w:rsidRPr="003D38B6">
        <w:rPr>
          <w:rFonts w:asciiTheme="minorHAnsi" w:hAnsiTheme="minorHAnsi"/>
          <w:color w:val="201F1E"/>
          <w:sz w:val="20"/>
          <w:szCs w:val="20"/>
          <w:bdr w:val="none" w:sz="0" w:space="0" w:color="auto" w:frame="1"/>
        </w:rPr>
        <w:t xml:space="preserve"> at the ten sampling locations.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 No amplification was detected in equipment controls, negative extraction controls and negative PCR controls.</w:t>
      </w:r>
    </w:p>
    <w:tbl>
      <w:tblPr>
        <w:tblW w:w="9120" w:type="dxa"/>
        <w:tblLook w:val="04A0" w:firstRow="1" w:lastRow="0" w:firstColumn="1" w:lastColumn="0" w:noHBand="0" w:noVBand="1"/>
      </w:tblPr>
      <w:tblGrid>
        <w:gridCol w:w="2980"/>
        <w:gridCol w:w="2123"/>
        <w:gridCol w:w="77"/>
        <w:gridCol w:w="940"/>
        <w:gridCol w:w="500"/>
        <w:gridCol w:w="500"/>
        <w:gridCol w:w="500"/>
        <w:gridCol w:w="500"/>
        <w:gridCol w:w="500"/>
        <w:gridCol w:w="500"/>
      </w:tblGrid>
      <w:tr w:rsidR="006501A4" w:rsidRPr="00324157" w14:paraId="4DA056A7" w14:textId="77777777" w:rsidTr="0095397F">
        <w:trPr>
          <w:trHeight w:val="300"/>
        </w:trPr>
        <w:tc>
          <w:tcPr>
            <w:tcW w:w="2980" w:type="dxa"/>
            <w:tcBorders>
              <w:top w:val="nil"/>
              <w:left w:val="nil"/>
              <w:bottom w:val="nil"/>
              <w:right w:val="nil"/>
            </w:tcBorders>
            <w:shd w:val="clear" w:color="auto" w:fill="92CDDC"/>
            <w:noWrap/>
            <w:vAlign w:val="bottom"/>
          </w:tcPr>
          <w:p w14:paraId="51726C40" w14:textId="77777777" w:rsidR="006501A4" w:rsidRPr="00324157" w:rsidRDefault="006501A4" w:rsidP="0095397F">
            <w:pPr>
              <w:spacing w:after="0" w:line="240" w:lineRule="auto"/>
              <w:rPr>
                <w:rFonts w:eastAsia="Times New Roman" w:cs="Calibri"/>
                <w:color w:val="000000"/>
                <w:lang w:eastAsia="en-AU"/>
              </w:rPr>
            </w:pPr>
          </w:p>
        </w:tc>
        <w:tc>
          <w:tcPr>
            <w:tcW w:w="2200" w:type="dxa"/>
            <w:gridSpan w:val="2"/>
            <w:tcBorders>
              <w:top w:val="nil"/>
              <w:left w:val="nil"/>
              <w:bottom w:val="nil"/>
              <w:right w:val="nil"/>
            </w:tcBorders>
            <w:shd w:val="clear" w:color="auto" w:fill="92CDDC"/>
            <w:noWrap/>
            <w:vAlign w:val="bottom"/>
            <w:hideMark/>
          </w:tcPr>
          <w:p w14:paraId="2DAFA7C5" w14:textId="77777777" w:rsidR="006501A4" w:rsidRPr="00324157" w:rsidRDefault="006501A4" w:rsidP="0095397F">
            <w:pPr>
              <w:spacing w:after="0" w:line="240" w:lineRule="auto"/>
              <w:rPr>
                <w:rFonts w:eastAsia="Times New Roman" w:cs="Calibri"/>
                <w:color w:val="000000"/>
                <w:lang w:eastAsia="en-AU"/>
              </w:rPr>
            </w:pPr>
          </w:p>
        </w:tc>
        <w:tc>
          <w:tcPr>
            <w:tcW w:w="940" w:type="dxa"/>
            <w:tcBorders>
              <w:top w:val="nil"/>
              <w:left w:val="nil"/>
              <w:bottom w:val="nil"/>
              <w:right w:val="nil"/>
            </w:tcBorders>
            <w:shd w:val="clear" w:color="auto" w:fill="92CDDC"/>
            <w:noWrap/>
            <w:vAlign w:val="bottom"/>
            <w:hideMark/>
          </w:tcPr>
          <w:p w14:paraId="46C40636" w14:textId="77777777" w:rsidR="006501A4" w:rsidRPr="00324157" w:rsidRDefault="006501A4" w:rsidP="0095397F">
            <w:pPr>
              <w:spacing w:after="0" w:line="240" w:lineRule="auto"/>
              <w:rPr>
                <w:rFonts w:ascii="Times New Roman" w:eastAsia="Times New Roman" w:hAnsi="Times New Roman"/>
                <w:sz w:val="20"/>
                <w:lang w:eastAsia="en-AU"/>
              </w:rPr>
            </w:pPr>
          </w:p>
        </w:tc>
        <w:tc>
          <w:tcPr>
            <w:tcW w:w="3000" w:type="dxa"/>
            <w:gridSpan w:val="6"/>
            <w:tcBorders>
              <w:top w:val="nil"/>
              <w:left w:val="nil"/>
              <w:bottom w:val="nil"/>
              <w:right w:val="nil"/>
            </w:tcBorders>
            <w:shd w:val="clear" w:color="auto" w:fill="92CDDC"/>
            <w:noWrap/>
            <w:vAlign w:val="bottom"/>
            <w:hideMark/>
          </w:tcPr>
          <w:p w14:paraId="692F10B1" w14:textId="77777777" w:rsidR="006501A4" w:rsidRPr="00AA617F" w:rsidRDefault="006501A4" w:rsidP="0095397F">
            <w:pPr>
              <w:spacing w:after="0" w:line="240" w:lineRule="auto"/>
              <w:jc w:val="center"/>
              <w:rPr>
                <w:rFonts w:eastAsia="Times New Roman" w:cs="Calibri"/>
                <w:color w:val="000000"/>
                <w:sz w:val="20"/>
                <w:lang w:eastAsia="en-AU"/>
              </w:rPr>
            </w:pPr>
            <w:r w:rsidRPr="00AA617F">
              <w:rPr>
                <w:rFonts w:eastAsia="Times New Roman" w:cs="Calibri"/>
                <w:color w:val="000000"/>
                <w:sz w:val="20"/>
                <w:lang w:eastAsia="en-AU"/>
              </w:rPr>
              <w:t>Technical replicates</w:t>
            </w:r>
          </w:p>
        </w:tc>
      </w:tr>
      <w:tr w:rsidR="006501A4" w:rsidRPr="00324157" w14:paraId="0FE82DBE" w14:textId="77777777" w:rsidTr="0095397F">
        <w:trPr>
          <w:trHeight w:val="315"/>
        </w:trPr>
        <w:tc>
          <w:tcPr>
            <w:tcW w:w="2980" w:type="dxa"/>
            <w:tcBorders>
              <w:top w:val="nil"/>
              <w:left w:val="nil"/>
              <w:bottom w:val="single" w:sz="8" w:space="0" w:color="auto"/>
              <w:right w:val="nil"/>
            </w:tcBorders>
            <w:shd w:val="clear" w:color="auto" w:fill="92CDDC"/>
            <w:noWrap/>
            <w:vAlign w:val="bottom"/>
          </w:tcPr>
          <w:p w14:paraId="1B292447" w14:textId="77777777" w:rsidR="006501A4" w:rsidRPr="00324157" w:rsidRDefault="006501A4" w:rsidP="0095397F">
            <w:pPr>
              <w:spacing w:after="0" w:line="240" w:lineRule="auto"/>
              <w:rPr>
                <w:rFonts w:eastAsia="Times New Roman" w:cs="Calibri"/>
                <w:color w:val="000000"/>
                <w:lang w:eastAsia="en-AU"/>
              </w:rPr>
            </w:pPr>
          </w:p>
        </w:tc>
        <w:tc>
          <w:tcPr>
            <w:tcW w:w="2123" w:type="dxa"/>
            <w:tcBorders>
              <w:top w:val="nil"/>
              <w:left w:val="nil"/>
              <w:bottom w:val="single" w:sz="8" w:space="0" w:color="auto"/>
              <w:right w:val="nil"/>
            </w:tcBorders>
            <w:shd w:val="clear" w:color="auto" w:fill="92CDDC"/>
            <w:noWrap/>
            <w:vAlign w:val="bottom"/>
            <w:hideMark/>
          </w:tcPr>
          <w:p w14:paraId="146188F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Waterway</w:t>
            </w:r>
          </w:p>
        </w:tc>
        <w:tc>
          <w:tcPr>
            <w:tcW w:w="1017" w:type="dxa"/>
            <w:gridSpan w:val="2"/>
            <w:tcBorders>
              <w:top w:val="nil"/>
              <w:left w:val="nil"/>
              <w:bottom w:val="single" w:sz="8" w:space="0" w:color="auto"/>
              <w:right w:val="nil"/>
            </w:tcBorders>
            <w:shd w:val="clear" w:color="auto" w:fill="92CDDC"/>
            <w:noWrap/>
            <w:vAlign w:val="bottom"/>
            <w:hideMark/>
          </w:tcPr>
          <w:p w14:paraId="7CCF548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Pos reps</w:t>
            </w:r>
          </w:p>
        </w:tc>
        <w:tc>
          <w:tcPr>
            <w:tcW w:w="500" w:type="dxa"/>
            <w:tcBorders>
              <w:top w:val="nil"/>
              <w:left w:val="nil"/>
              <w:bottom w:val="single" w:sz="8" w:space="0" w:color="auto"/>
              <w:right w:val="nil"/>
            </w:tcBorders>
            <w:shd w:val="clear" w:color="auto" w:fill="92CDDC"/>
            <w:noWrap/>
            <w:vAlign w:val="bottom"/>
            <w:hideMark/>
          </w:tcPr>
          <w:p w14:paraId="38EA83C1"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n1</w:t>
            </w:r>
          </w:p>
        </w:tc>
        <w:tc>
          <w:tcPr>
            <w:tcW w:w="500" w:type="dxa"/>
            <w:tcBorders>
              <w:top w:val="nil"/>
              <w:left w:val="nil"/>
              <w:bottom w:val="single" w:sz="8" w:space="0" w:color="auto"/>
              <w:right w:val="nil"/>
            </w:tcBorders>
            <w:shd w:val="clear" w:color="auto" w:fill="92CDDC"/>
            <w:noWrap/>
            <w:vAlign w:val="bottom"/>
            <w:hideMark/>
          </w:tcPr>
          <w:p w14:paraId="17CD4C52"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n2</w:t>
            </w:r>
          </w:p>
        </w:tc>
        <w:tc>
          <w:tcPr>
            <w:tcW w:w="500" w:type="dxa"/>
            <w:tcBorders>
              <w:top w:val="nil"/>
              <w:left w:val="nil"/>
              <w:bottom w:val="single" w:sz="8" w:space="0" w:color="auto"/>
              <w:right w:val="nil"/>
            </w:tcBorders>
            <w:shd w:val="clear" w:color="auto" w:fill="92CDDC"/>
            <w:noWrap/>
            <w:vAlign w:val="bottom"/>
            <w:hideMark/>
          </w:tcPr>
          <w:p w14:paraId="39F5AB0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n3</w:t>
            </w:r>
          </w:p>
        </w:tc>
        <w:tc>
          <w:tcPr>
            <w:tcW w:w="500" w:type="dxa"/>
            <w:tcBorders>
              <w:top w:val="nil"/>
              <w:left w:val="nil"/>
              <w:bottom w:val="single" w:sz="8" w:space="0" w:color="auto"/>
              <w:right w:val="nil"/>
            </w:tcBorders>
            <w:shd w:val="clear" w:color="auto" w:fill="92CDDC"/>
            <w:noWrap/>
            <w:vAlign w:val="bottom"/>
            <w:hideMark/>
          </w:tcPr>
          <w:p w14:paraId="20AED8BA"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n4</w:t>
            </w:r>
          </w:p>
        </w:tc>
        <w:tc>
          <w:tcPr>
            <w:tcW w:w="500" w:type="dxa"/>
            <w:tcBorders>
              <w:top w:val="nil"/>
              <w:left w:val="nil"/>
              <w:bottom w:val="single" w:sz="8" w:space="0" w:color="auto"/>
              <w:right w:val="nil"/>
            </w:tcBorders>
            <w:shd w:val="clear" w:color="auto" w:fill="92CDDC"/>
            <w:noWrap/>
            <w:vAlign w:val="bottom"/>
            <w:hideMark/>
          </w:tcPr>
          <w:p w14:paraId="6EBD1F5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n5</w:t>
            </w:r>
          </w:p>
        </w:tc>
        <w:tc>
          <w:tcPr>
            <w:tcW w:w="500" w:type="dxa"/>
            <w:tcBorders>
              <w:top w:val="nil"/>
              <w:left w:val="nil"/>
              <w:bottom w:val="single" w:sz="8" w:space="0" w:color="auto"/>
              <w:right w:val="nil"/>
            </w:tcBorders>
            <w:shd w:val="clear" w:color="auto" w:fill="92CDDC"/>
            <w:noWrap/>
            <w:vAlign w:val="bottom"/>
            <w:hideMark/>
          </w:tcPr>
          <w:p w14:paraId="686899F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n6</w:t>
            </w:r>
          </w:p>
        </w:tc>
      </w:tr>
      <w:tr w:rsidR="006501A4" w:rsidRPr="00324157" w14:paraId="4472A30B" w14:textId="77777777" w:rsidTr="0095397F">
        <w:trPr>
          <w:trHeight w:val="300"/>
        </w:trPr>
        <w:tc>
          <w:tcPr>
            <w:tcW w:w="2980" w:type="dxa"/>
            <w:tcBorders>
              <w:top w:val="nil"/>
              <w:left w:val="nil"/>
              <w:bottom w:val="nil"/>
              <w:right w:val="nil"/>
            </w:tcBorders>
            <w:shd w:val="clear" w:color="auto" w:fill="auto"/>
            <w:noWrap/>
            <w:vAlign w:val="bottom"/>
            <w:hideMark/>
          </w:tcPr>
          <w:p w14:paraId="592F99A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1</w:t>
            </w:r>
          </w:p>
        </w:tc>
        <w:tc>
          <w:tcPr>
            <w:tcW w:w="2200" w:type="dxa"/>
            <w:gridSpan w:val="2"/>
            <w:tcBorders>
              <w:top w:val="nil"/>
              <w:left w:val="nil"/>
              <w:bottom w:val="nil"/>
              <w:right w:val="nil"/>
            </w:tcBorders>
            <w:shd w:val="clear" w:color="auto" w:fill="auto"/>
            <w:noWrap/>
            <w:vAlign w:val="bottom"/>
            <w:hideMark/>
          </w:tcPr>
          <w:p w14:paraId="12268E6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6C3122F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E2EFDA"/>
            <w:noWrap/>
            <w:vAlign w:val="bottom"/>
            <w:hideMark/>
          </w:tcPr>
          <w:p w14:paraId="34171DA5"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75D91A8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DBBA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83653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CDA56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5008E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6CF9BD8" w14:textId="77777777" w:rsidTr="0095397F">
        <w:trPr>
          <w:trHeight w:val="300"/>
        </w:trPr>
        <w:tc>
          <w:tcPr>
            <w:tcW w:w="2980" w:type="dxa"/>
            <w:tcBorders>
              <w:top w:val="nil"/>
              <w:left w:val="nil"/>
              <w:bottom w:val="nil"/>
              <w:right w:val="nil"/>
            </w:tcBorders>
            <w:shd w:val="clear" w:color="auto" w:fill="auto"/>
            <w:noWrap/>
            <w:vAlign w:val="bottom"/>
            <w:hideMark/>
          </w:tcPr>
          <w:p w14:paraId="7CE5B30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2</w:t>
            </w:r>
          </w:p>
        </w:tc>
        <w:tc>
          <w:tcPr>
            <w:tcW w:w="2200" w:type="dxa"/>
            <w:gridSpan w:val="2"/>
            <w:tcBorders>
              <w:top w:val="nil"/>
              <w:left w:val="nil"/>
              <w:bottom w:val="nil"/>
              <w:right w:val="nil"/>
            </w:tcBorders>
            <w:shd w:val="clear" w:color="auto" w:fill="auto"/>
            <w:noWrap/>
            <w:vAlign w:val="bottom"/>
            <w:hideMark/>
          </w:tcPr>
          <w:p w14:paraId="1311680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1DD0008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4FB1E34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766A2F7A"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62AC5D1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7C52A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7B06C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7C0497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7AFD4C5" w14:textId="77777777" w:rsidTr="0095397F">
        <w:trPr>
          <w:trHeight w:val="300"/>
        </w:trPr>
        <w:tc>
          <w:tcPr>
            <w:tcW w:w="2980" w:type="dxa"/>
            <w:tcBorders>
              <w:top w:val="nil"/>
              <w:left w:val="nil"/>
              <w:bottom w:val="nil"/>
              <w:right w:val="nil"/>
            </w:tcBorders>
            <w:shd w:val="clear" w:color="auto" w:fill="auto"/>
            <w:noWrap/>
            <w:vAlign w:val="bottom"/>
            <w:hideMark/>
          </w:tcPr>
          <w:p w14:paraId="759AA08E"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3</w:t>
            </w:r>
          </w:p>
        </w:tc>
        <w:tc>
          <w:tcPr>
            <w:tcW w:w="2200" w:type="dxa"/>
            <w:gridSpan w:val="2"/>
            <w:tcBorders>
              <w:top w:val="nil"/>
              <w:left w:val="nil"/>
              <w:bottom w:val="nil"/>
              <w:right w:val="nil"/>
            </w:tcBorders>
            <w:shd w:val="clear" w:color="auto" w:fill="auto"/>
            <w:noWrap/>
            <w:vAlign w:val="bottom"/>
            <w:hideMark/>
          </w:tcPr>
          <w:p w14:paraId="480E67C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6BB08221"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6D7D0C5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14F7C9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16B60A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F66EE1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0AC9780D"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6E0F2FF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10E66CF" w14:textId="77777777" w:rsidTr="0095397F">
        <w:trPr>
          <w:trHeight w:val="300"/>
        </w:trPr>
        <w:tc>
          <w:tcPr>
            <w:tcW w:w="2980" w:type="dxa"/>
            <w:tcBorders>
              <w:top w:val="nil"/>
              <w:left w:val="nil"/>
              <w:bottom w:val="nil"/>
              <w:right w:val="nil"/>
            </w:tcBorders>
            <w:shd w:val="clear" w:color="auto" w:fill="auto"/>
            <w:noWrap/>
            <w:vAlign w:val="bottom"/>
            <w:hideMark/>
          </w:tcPr>
          <w:p w14:paraId="0F8272B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4</w:t>
            </w:r>
          </w:p>
        </w:tc>
        <w:tc>
          <w:tcPr>
            <w:tcW w:w="2200" w:type="dxa"/>
            <w:gridSpan w:val="2"/>
            <w:tcBorders>
              <w:top w:val="nil"/>
              <w:left w:val="nil"/>
              <w:bottom w:val="nil"/>
              <w:right w:val="nil"/>
            </w:tcBorders>
            <w:shd w:val="clear" w:color="auto" w:fill="auto"/>
            <w:noWrap/>
            <w:vAlign w:val="bottom"/>
            <w:hideMark/>
          </w:tcPr>
          <w:p w14:paraId="1A76C41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594CC33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3/6</w:t>
            </w:r>
          </w:p>
        </w:tc>
        <w:tc>
          <w:tcPr>
            <w:tcW w:w="500" w:type="dxa"/>
            <w:tcBorders>
              <w:top w:val="nil"/>
              <w:left w:val="nil"/>
              <w:bottom w:val="nil"/>
              <w:right w:val="nil"/>
            </w:tcBorders>
            <w:shd w:val="clear" w:color="000000" w:fill="FFC7CE"/>
            <w:noWrap/>
            <w:vAlign w:val="bottom"/>
            <w:hideMark/>
          </w:tcPr>
          <w:p w14:paraId="70EA55F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68F1EDE1"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243FAD4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39E73CC8"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7713A32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476677CA"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39012073" w14:textId="77777777" w:rsidTr="0095397F">
        <w:trPr>
          <w:trHeight w:val="300"/>
        </w:trPr>
        <w:tc>
          <w:tcPr>
            <w:tcW w:w="2980" w:type="dxa"/>
            <w:tcBorders>
              <w:top w:val="nil"/>
              <w:left w:val="nil"/>
              <w:bottom w:val="nil"/>
              <w:right w:val="nil"/>
            </w:tcBorders>
            <w:shd w:val="clear" w:color="auto" w:fill="auto"/>
            <w:noWrap/>
            <w:vAlign w:val="bottom"/>
            <w:hideMark/>
          </w:tcPr>
          <w:p w14:paraId="608AF8A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5</w:t>
            </w:r>
          </w:p>
        </w:tc>
        <w:tc>
          <w:tcPr>
            <w:tcW w:w="2200" w:type="dxa"/>
            <w:gridSpan w:val="2"/>
            <w:tcBorders>
              <w:top w:val="nil"/>
              <w:left w:val="nil"/>
              <w:bottom w:val="nil"/>
              <w:right w:val="nil"/>
            </w:tcBorders>
            <w:shd w:val="clear" w:color="auto" w:fill="auto"/>
            <w:noWrap/>
            <w:vAlign w:val="bottom"/>
            <w:hideMark/>
          </w:tcPr>
          <w:p w14:paraId="4E71F64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50128C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18863C3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70C1400E"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40C341C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BEA63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FC482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69D44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75E0B0E" w14:textId="77777777" w:rsidTr="0095397F">
        <w:trPr>
          <w:trHeight w:val="300"/>
        </w:trPr>
        <w:tc>
          <w:tcPr>
            <w:tcW w:w="2980" w:type="dxa"/>
            <w:tcBorders>
              <w:top w:val="nil"/>
              <w:left w:val="nil"/>
              <w:bottom w:val="nil"/>
              <w:right w:val="nil"/>
            </w:tcBorders>
            <w:shd w:val="clear" w:color="auto" w:fill="auto"/>
            <w:noWrap/>
            <w:vAlign w:val="bottom"/>
            <w:hideMark/>
          </w:tcPr>
          <w:p w14:paraId="7B46BD4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6</w:t>
            </w:r>
          </w:p>
        </w:tc>
        <w:tc>
          <w:tcPr>
            <w:tcW w:w="2200" w:type="dxa"/>
            <w:gridSpan w:val="2"/>
            <w:tcBorders>
              <w:top w:val="nil"/>
              <w:left w:val="nil"/>
              <w:bottom w:val="nil"/>
              <w:right w:val="nil"/>
            </w:tcBorders>
            <w:shd w:val="clear" w:color="auto" w:fill="auto"/>
            <w:noWrap/>
            <w:vAlign w:val="bottom"/>
            <w:hideMark/>
          </w:tcPr>
          <w:p w14:paraId="63D772E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5B5EFCC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5/6</w:t>
            </w:r>
          </w:p>
        </w:tc>
        <w:tc>
          <w:tcPr>
            <w:tcW w:w="500" w:type="dxa"/>
            <w:tcBorders>
              <w:top w:val="nil"/>
              <w:left w:val="nil"/>
              <w:bottom w:val="nil"/>
              <w:right w:val="nil"/>
            </w:tcBorders>
            <w:shd w:val="clear" w:color="000000" w:fill="E2EFDA"/>
            <w:noWrap/>
            <w:vAlign w:val="bottom"/>
            <w:hideMark/>
          </w:tcPr>
          <w:p w14:paraId="66142C5E"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E2EFDA"/>
            <w:noWrap/>
            <w:vAlign w:val="bottom"/>
            <w:hideMark/>
          </w:tcPr>
          <w:p w14:paraId="2EF6F654"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5354C8B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76A5B46D"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E2EFDA"/>
            <w:noWrap/>
            <w:vAlign w:val="bottom"/>
            <w:hideMark/>
          </w:tcPr>
          <w:p w14:paraId="4E07BB86"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E2EFDA"/>
            <w:noWrap/>
            <w:vAlign w:val="bottom"/>
            <w:hideMark/>
          </w:tcPr>
          <w:p w14:paraId="19B1DC53"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02695180" w14:textId="77777777" w:rsidTr="0095397F">
        <w:trPr>
          <w:trHeight w:val="300"/>
        </w:trPr>
        <w:tc>
          <w:tcPr>
            <w:tcW w:w="2980" w:type="dxa"/>
            <w:tcBorders>
              <w:top w:val="nil"/>
              <w:left w:val="nil"/>
              <w:bottom w:val="nil"/>
              <w:right w:val="nil"/>
            </w:tcBorders>
            <w:shd w:val="clear" w:color="auto" w:fill="auto"/>
            <w:noWrap/>
            <w:vAlign w:val="bottom"/>
            <w:hideMark/>
          </w:tcPr>
          <w:p w14:paraId="4DDB0D0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7</w:t>
            </w:r>
          </w:p>
        </w:tc>
        <w:tc>
          <w:tcPr>
            <w:tcW w:w="2200" w:type="dxa"/>
            <w:gridSpan w:val="2"/>
            <w:tcBorders>
              <w:top w:val="nil"/>
              <w:left w:val="nil"/>
              <w:bottom w:val="nil"/>
              <w:right w:val="nil"/>
            </w:tcBorders>
            <w:shd w:val="clear" w:color="auto" w:fill="auto"/>
            <w:noWrap/>
            <w:vAlign w:val="bottom"/>
            <w:hideMark/>
          </w:tcPr>
          <w:p w14:paraId="679073F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2BBD3561"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14B586A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2FAB7C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68958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23DF04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D38AF0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629ED54A"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2572BF17"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1D68584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Four Posts 8</w:t>
            </w:r>
          </w:p>
        </w:tc>
        <w:tc>
          <w:tcPr>
            <w:tcW w:w="2200" w:type="dxa"/>
            <w:gridSpan w:val="2"/>
            <w:tcBorders>
              <w:top w:val="nil"/>
              <w:left w:val="nil"/>
              <w:bottom w:val="single" w:sz="8" w:space="0" w:color="auto"/>
              <w:right w:val="nil"/>
            </w:tcBorders>
            <w:shd w:val="clear" w:color="auto" w:fill="auto"/>
            <w:noWrap/>
            <w:vAlign w:val="bottom"/>
            <w:hideMark/>
          </w:tcPr>
          <w:p w14:paraId="470F0E7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single" w:sz="8" w:space="0" w:color="auto"/>
              <w:right w:val="nil"/>
            </w:tcBorders>
            <w:shd w:val="clear" w:color="auto" w:fill="auto"/>
            <w:noWrap/>
            <w:vAlign w:val="bottom"/>
            <w:hideMark/>
          </w:tcPr>
          <w:p w14:paraId="27AA829C"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single" w:sz="8" w:space="0" w:color="auto"/>
              <w:right w:val="nil"/>
            </w:tcBorders>
            <w:shd w:val="clear" w:color="000000" w:fill="E2EFDA"/>
            <w:noWrap/>
            <w:vAlign w:val="bottom"/>
            <w:hideMark/>
          </w:tcPr>
          <w:p w14:paraId="536167EC"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single" w:sz="8" w:space="0" w:color="auto"/>
              <w:right w:val="nil"/>
            </w:tcBorders>
            <w:shd w:val="clear" w:color="000000" w:fill="FFC7CE"/>
            <w:noWrap/>
            <w:vAlign w:val="bottom"/>
            <w:hideMark/>
          </w:tcPr>
          <w:p w14:paraId="5ADCACF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EE5411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BFF381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917CCA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1131E0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EE96579" w14:textId="77777777" w:rsidTr="0095397F">
        <w:trPr>
          <w:trHeight w:val="300"/>
        </w:trPr>
        <w:tc>
          <w:tcPr>
            <w:tcW w:w="2980" w:type="dxa"/>
            <w:tcBorders>
              <w:top w:val="nil"/>
              <w:left w:val="nil"/>
              <w:bottom w:val="nil"/>
              <w:right w:val="nil"/>
            </w:tcBorders>
            <w:shd w:val="clear" w:color="auto" w:fill="auto"/>
            <w:noWrap/>
            <w:vAlign w:val="bottom"/>
            <w:hideMark/>
          </w:tcPr>
          <w:p w14:paraId="3E19AE1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1</w:t>
            </w:r>
          </w:p>
        </w:tc>
        <w:tc>
          <w:tcPr>
            <w:tcW w:w="2200" w:type="dxa"/>
            <w:gridSpan w:val="2"/>
            <w:tcBorders>
              <w:top w:val="nil"/>
              <w:left w:val="nil"/>
              <w:bottom w:val="nil"/>
              <w:right w:val="nil"/>
            </w:tcBorders>
            <w:shd w:val="clear" w:color="auto" w:fill="auto"/>
            <w:noWrap/>
            <w:vAlign w:val="bottom"/>
            <w:hideMark/>
          </w:tcPr>
          <w:p w14:paraId="7A37C4C6"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4884D0C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2/6</w:t>
            </w:r>
          </w:p>
        </w:tc>
        <w:tc>
          <w:tcPr>
            <w:tcW w:w="500" w:type="dxa"/>
            <w:tcBorders>
              <w:top w:val="nil"/>
              <w:left w:val="nil"/>
              <w:bottom w:val="nil"/>
              <w:right w:val="nil"/>
            </w:tcBorders>
            <w:shd w:val="clear" w:color="000000" w:fill="E2EFDA"/>
            <w:noWrap/>
            <w:vAlign w:val="bottom"/>
            <w:hideMark/>
          </w:tcPr>
          <w:p w14:paraId="2A4A04B0"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74A295B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56C67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4809224B"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2175674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079B9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2A6F4D6" w14:textId="77777777" w:rsidTr="0095397F">
        <w:trPr>
          <w:trHeight w:val="300"/>
        </w:trPr>
        <w:tc>
          <w:tcPr>
            <w:tcW w:w="2980" w:type="dxa"/>
            <w:tcBorders>
              <w:top w:val="nil"/>
              <w:left w:val="nil"/>
              <w:bottom w:val="nil"/>
              <w:right w:val="nil"/>
            </w:tcBorders>
            <w:shd w:val="clear" w:color="auto" w:fill="auto"/>
            <w:noWrap/>
            <w:vAlign w:val="bottom"/>
            <w:hideMark/>
          </w:tcPr>
          <w:p w14:paraId="4AE6967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2</w:t>
            </w:r>
          </w:p>
        </w:tc>
        <w:tc>
          <w:tcPr>
            <w:tcW w:w="2200" w:type="dxa"/>
            <w:gridSpan w:val="2"/>
            <w:tcBorders>
              <w:top w:val="nil"/>
              <w:left w:val="nil"/>
              <w:bottom w:val="nil"/>
              <w:right w:val="nil"/>
            </w:tcBorders>
            <w:shd w:val="clear" w:color="auto" w:fill="auto"/>
            <w:noWrap/>
            <w:vAlign w:val="bottom"/>
            <w:hideMark/>
          </w:tcPr>
          <w:p w14:paraId="0B27465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7CC191A0"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3/6</w:t>
            </w:r>
          </w:p>
        </w:tc>
        <w:tc>
          <w:tcPr>
            <w:tcW w:w="500" w:type="dxa"/>
            <w:tcBorders>
              <w:top w:val="nil"/>
              <w:left w:val="nil"/>
              <w:bottom w:val="nil"/>
              <w:right w:val="nil"/>
            </w:tcBorders>
            <w:shd w:val="clear" w:color="000000" w:fill="E2EFDA"/>
            <w:noWrap/>
            <w:vAlign w:val="bottom"/>
            <w:hideMark/>
          </w:tcPr>
          <w:p w14:paraId="28FC9F29"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E2EFDA"/>
            <w:noWrap/>
            <w:vAlign w:val="bottom"/>
            <w:hideMark/>
          </w:tcPr>
          <w:p w14:paraId="7E72C16E"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13739B7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520CE1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8E633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7F80937C"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2824B126" w14:textId="77777777" w:rsidTr="0095397F">
        <w:trPr>
          <w:trHeight w:val="300"/>
        </w:trPr>
        <w:tc>
          <w:tcPr>
            <w:tcW w:w="2980" w:type="dxa"/>
            <w:tcBorders>
              <w:top w:val="nil"/>
              <w:left w:val="nil"/>
              <w:bottom w:val="nil"/>
              <w:right w:val="nil"/>
            </w:tcBorders>
            <w:shd w:val="clear" w:color="auto" w:fill="auto"/>
            <w:noWrap/>
            <w:vAlign w:val="bottom"/>
            <w:hideMark/>
          </w:tcPr>
          <w:p w14:paraId="5A0B61B9"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3</w:t>
            </w:r>
          </w:p>
        </w:tc>
        <w:tc>
          <w:tcPr>
            <w:tcW w:w="2200" w:type="dxa"/>
            <w:gridSpan w:val="2"/>
            <w:tcBorders>
              <w:top w:val="nil"/>
              <w:left w:val="nil"/>
              <w:bottom w:val="nil"/>
              <w:right w:val="nil"/>
            </w:tcBorders>
            <w:shd w:val="clear" w:color="auto" w:fill="auto"/>
            <w:noWrap/>
            <w:vAlign w:val="bottom"/>
            <w:hideMark/>
          </w:tcPr>
          <w:p w14:paraId="01B0E7F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7ABF3BC7"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5652DB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597AFF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74601C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3BE01F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5EF53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4F2229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ACD3BC5" w14:textId="77777777" w:rsidTr="0095397F">
        <w:trPr>
          <w:trHeight w:val="300"/>
        </w:trPr>
        <w:tc>
          <w:tcPr>
            <w:tcW w:w="2980" w:type="dxa"/>
            <w:tcBorders>
              <w:top w:val="nil"/>
              <w:left w:val="nil"/>
              <w:bottom w:val="nil"/>
              <w:right w:val="nil"/>
            </w:tcBorders>
            <w:shd w:val="clear" w:color="auto" w:fill="auto"/>
            <w:noWrap/>
            <w:vAlign w:val="bottom"/>
            <w:hideMark/>
          </w:tcPr>
          <w:p w14:paraId="22ACD98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4</w:t>
            </w:r>
          </w:p>
        </w:tc>
        <w:tc>
          <w:tcPr>
            <w:tcW w:w="2200" w:type="dxa"/>
            <w:gridSpan w:val="2"/>
            <w:tcBorders>
              <w:top w:val="nil"/>
              <w:left w:val="nil"/>
              <w:bottom w:val="nil"/>
              <w:right w:val="nil"/>
            </w:tcBorders>
            <w:shd w:val="clear" w:color="auto" w:fill="auto"/>
            <w:noWrap/>
            <w:vAlign w:val="bottom"/>
            <w:hideMark/>
          </w:tcPr>
          <w:p w14:paraId="5C22820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32E46E1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061214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45A8D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6AD4A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D6C509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F5CE04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9144CA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6013CB9" w14:textId="77777777" w:rsidTr="0095397F">
        <w:trPr>
          <w:trHeight w:val="300"/>
        </w:trPr>
        <w:tc>
          <w:tcPr>
            <w:tcW w:w="2980" w:type="dxa"/>
            <w:tcBorders>
              <w:top w:val="nil"/>
              <w:left w:val="nil"/>
              <w:bottom w:val="nil"/>
              <w:right w:val="nil"/>
            </w:tcBorders>
            <w:shd w:val="clear" w:color="auto" w:fill="auto"/>
            <w:noWrap/>
            <w:vAlign w:val="bottom"/>
            <w:hideMark/>
          </w:tcPr>
          <w:p w14:paraId="0E7AC8A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5</w:t>
            </w:r>
          </w:p>
        </w:tc>
        <w:tc>
          <w:tcPr>
            <w:tcW w:w="2200" w:type="dxa"/>
            <w:gridSpan w:val="2"/>
            <w:tcBorders>
              <w:top w:val="nil"/>
              <w:left w:val="nil"/>
              <w:bottom w:val="nil"/>
              <w:right w:val="nil"/>
            </w:tcBorders>
            <w:shd w:val="clear" w:color="auto" w:fill="auto"/>
            <w:noWrap/>
            <w:vAlign w:val="bottom"/>
            <w:hideMark/>
          </w:tcPr>
          <w:p w14:paraId="176FE76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3B0D8AF3"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198640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41E23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8F4B7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44FE48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FE30D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A5357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5CD453E" w14:textId="77777777" w:rsidTr="0095397F">
        <w:trPr>
          <w:trHeight w:val="300"/>
        </w:trPr>
        <w:tc>
          <w:tcPr>
            <w:tcW w:w="2980" w:type="dxa"/>
            <w:tcBorders>
              <w:top w:val="nil"/>
              <w:left w:val="nil"/>
              <w:bottom w:val="nil"/>
              <w:right w:val="nil"/>
            </w:tcBorders>
            <w:shd w:val="clear" w:color="auto" w:fill="auto"/>
            <w:noWrap/>
            <w:vAlign w:val="bottom"/>
            <w:hideMark/>
          </w:tcPr>
          <w:p w14:paraId="68834FE9"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6</w:t>
            </w:r>
          </w:p>
        </w:tc>
        <w:tc>
          <w:tcPr>
            <w:tcW w:w="2200" w:type="dxa"/>
            <w:gridSpan w:val="2"/>
            <w:tcBorders>
              <w:top w:val="nil"/>
              <w:left w:val="nil"/>
              <w:bottom w:val="nil"/>
              <w:right w:val="nil"/>
            </w:tcBorders>
            <w:shd w:val="clear" w:color="auto" w:fill="auto"/>
            <w:noWrap/>
            <w:vAlign w:val="bottom"/>
            <w:hideMark/>
          </w:tcPr>
          <w:p w14:paraId="109D7B29"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48A7B63"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FAC2DE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68CAF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3EF80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BD713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AD3AE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BA57F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004114F" w14:textId="77777777" w:rsidTr="0095397F">
        <w:trPr>
          <w:trHeight w:val="300"/>
        </w:trPr>
        <w:tc>
          <w:tcPr>
            <w:tcW w:w="2980" w:type="dxa"/>
            <w:tcBorders>
              <w:top w:val="nil"/>
              <w:left w:val="nil"/>
              <w:bottom w:val="nil"/>
              <w:right w:val="nil"/>
            </w:tcBorders>
            <w:shd w:val="clear" w:color="auto" w:fill="auto"/>
            <w:noWrap/>
            <w:vAlign w:val="bottom"/>
            <w:hideMark/>
          </w:tcPr>
          <w:p w14:paraId="5EE6434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7</w:t>
            </w:r>
          </w:p>
        </w:tc>
        <w:tc>
          <w:tcPr>
            <w:tcW w:w="2200" w:type="dxa"/>
            <w:gridSpan w:val="2"/>
            <w:tcBorders>
              <w:top w:val="nil"/>
              <w:left w:val="nil"/>
              <w:bottom w:val="nil"/>
              <w:right w:val="nil"/>
            </w:tcBorders>
            <w:shd w:val="clear" w:color="auto" w:fill="auto"/>
            <w:noWrap/>
            <w:vAlign w:val="bottom"/>
            <w:hideMark/>
          </w:tcPr>
          <w:p w14:paraId="42B0AA7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E88EB6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5BC9E0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007157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ACF1C1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674ADF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42A4E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8BC6F3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35AD066"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1718EC9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Eastman Bridge 8</w:t>
            </w:r>
          </w:p>
        </w:tc>
        <w:tc>
          <w:tcPr>
            <w:tcW w:w="2200" w:type="dxa"/>
            <w:gridSpan w:val="2"/>
            <w:tcBorders>
              <w:top w:val="nil"/>
              <w:left w:val="nil"/>
              <w:bottom w:val="single" w:sz="8" w:space="0" w:color="auto"/>
              <w:right w:val="nil"/>
            </w:tcBorders>
            <w:shd w:val="clear" w:color="auto" w:fill="auto"/>
            <w:noWrap/>
            <w:vAlign w:val="bottom"/>
            <w:hideMark/>
          </w:tcPr>
          <w:p w14:paraId="32398ED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single" w:sz="8" w:space="0" w:color="auto"/>
              <w:right w:val="nil"/>
            </w:tcBorders>
            <w:shd w:val="clear" w:color="auto" w:fill="auto"/>
            <w:noWrap/>
            <w:vAlign w:val="bottom"/>
            <w:hideMark/>
          </w:tcPr>
          <w:p w14:paraId="6528843F"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single" w:sz="8" w:space="0" w:color="auto"/>
              <w:right w:val="nil"/>
            </w:tcBorders>
            <w:shd w:val="clear" w:color="000000" w:fill="FFC7CE"/>
            <w:noWrap/>
            <w:vAlign w:val="bottom"/>
            <w:hideMark/>
          </w:tcPr>
          <w:p w14:paraId="5E66580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74CCB8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828EDF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53DA9C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9A6B56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E2EFDA"/>
            <w:noWrap/>
            <w:vAlign w:val="bottom"/>
            <w:hideMark/>
          </w:tcPr>
          <w:p w14:paraId="4B8AB551"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6D6FB136" w14:textId="77777777" w:rsidTr="0095397F">
        <w:trPr>
          <w:trHeight w:val="300"/>
        </w:trPr>
        <w:tc>
          <w:tcPr>
            <w:tcW w:w="2980" w:type="dxa"/>
            <w:tcBorders>
              <w:top w:val="nil"/>
              <w:left w:val="nil"/>
              <w:bottom w:val="nil"/>
              <w:right w:val="nil"/>
            </w:tcBorders>
            <w:shd w:val="clear" w:color="auto" w:fill="auto"/>
            <w:noWrap/>
            <w:vAlign w:val="bottom"/>
            <w:hideMark/>
          </w:tcPr>
          <w:p w14:paraId="6DF9A91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1</w:t>
            </w:r>
          </w:p>
        </w:tc>
        <w:tc>
          <w:tcPr>
            <w:tcW w:w="2200" w:type="dxa"/>
            <w:gridSpan w:val="2"/>
            <w:tcBorders>
              <w:top w:val="nil"/>
              <w:left w:val="nil"/>
              <w:bottom w:val="nil"/>
              <w:right w:val="nil"/>
            </w:tcBorders>
            <w:shd w:val="clear" w:color="auto" w:fill="auto"/>
            <w:noWrap/>
            <w:vAlign w:val="bottom"/>
            <w:hideMark/>
          </w:tcPr>
          <w:p w14:paraId="1DD83DC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BC7E41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E85776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41B33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84D27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28B13B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C814B2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2DA71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ACD0121" w14:textId="77777777" w:rsidTr="0095397F">
        <w:trPr>
          <w:trHeight w:val="300"/>
        </w:trPr>
        <w:tc>
          <w:tcPr>
            <w:tcW w:w="2980" w:type="dxa"/>
            <w:tcBorders>
              <w:top w:val="nil"/>
              <w:left w:val="nil"/>
              <w:bottom w:val="nil"/>
              <w:right w:val="nil"/>
            </w:tcBorders>
            <w:shd w:val="clear" w:color="auto" w:fill="auto"/>
            <w:noWrap/>
            <w:vAlign w:val="bottom"/>
            <w:hideMark/>
          </w:tcPr>
          <w:p w14:paraId="70EE43A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2</w:t>
            </w:r>
          </w:p>
        </w:tc>
        <w:tc>
          <w:tcPr>
            <w:tcW w:w="2200" w:type="dxa"/>
            <w:gridSpan w:val="2"/>
            <w:tcBorders>
              <w:top w:val="nil"/>
              <w:left w:val="nil"/>
              <w:bottom w:val="nil"/>
              <w:right w:val="nil"/>
            </w:tcBorders>
            <w:shd w:val="clear" w:color="auto" w:fill="auto"/>
            <w:noWrap/>
            <w:vAlign w:val="bottom"/>
            <w:hideMark/>
          </w:tcPr>
          <w:p w14:paraId="7FA5374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045824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5A359D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B9B57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72845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4B812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4A5972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A43D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18CAFC1" w14:textId="77777777" w:rsidTr="0095397F">
        <w:trPr>
          <w:trHeight w:val="300"/>
        </w:trPr>
        <w:tc>
          <w:tcPr>
            <w:tcW w:w="2980" w:type="dxa"/>
            <w:tcBorders>
              <w:top w:val="nil"/>
              <w:left w:val="nil"/>
              <w:bottom w:val="nil"/>
              <w:right w:val="nil"/>
            </w:tcBorders>
            <w:shd w:val="clear" w:color="auto" w:fill="auto"/>
            <w:noWrap/>
            <w:vAlign w:val="bottom"/>
            <w:hideMark/>
          </w:tcPr>
          <w:p w14:paraId="25B137E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3</w:t>
            </w:r>
          </w:p>
        </w:tc>
        <w:tc>
          <w:tcPr>
            <w:tcW w:w="2200" w:type="dxa"/>
            <w:gridSpan w:val="2"/>
            <w:tcBorders>
              <w:top w:val="nil"/>
              <w:left w:val="nil"/>
              <w:bottom w:val="nil"/>
              <w:right w:val="nil"/>
            </w:tcBorders>
            <w:shd w:val="clear" w:color="auto" w:fill="auto"/>
            <w:noWrap/>
            <w:vAlign w:val="bottom"/>
            <w:hideMark/>
          </w:tcPr>
          <w:p w14:paraId="1AB9E4B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6887435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82FA08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2D08F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8BCF97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4BB23F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A60B85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8CBF1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3ADB85D" w14:textId="77777777" w:rsidTr="0095397F">
        <w:trPr>
          <w:trHeight w:val="300"/>
        </w:trPr>
        <w:tc>
          <w:tcPr>
            <w:tcW w:w="2980" w:type="dxa"/>
            <w:tcBorders>
              <w:top w:val="nil"/>
              <w:left w:val="nil"/>
              <w:bottom w:val="nil"/>
              <w:right w:val="nil"/>
            </w:tcBorders>
            <w:shd w:val="clear" w:color="auto" w:fill="auto"/>
            <w:noWrap/>
            <w:vAlign w:val="bottom"/>
            <w:hideMark/>
          </w:tcPr>
          <w:p w14:paraId="0D3F280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4</w:t>
            </w:r>
          </w:p>
        </w:tc>
        <w:tc>
          <w:tcPr>
            <w:tcW w:w="2200" w:type="dxa"/>
            <w:gridSpan w:val="2"/>
            <w:tcBorders>
              <w:top w:val="nil"/>
              <w:left w:val="nil"/>
              <w:bottom w:val="nil"/>
              <w:right w:val="nil"/>
            </w:tcBorders>
            <w:shd w:val="clear" w:color="auto" w:fill="auto"/>
            <w:noWrap/>
            <w:vAlign w:val="bottom"/>
            <w:hideMark/>
          </w:tcPr>
          <w:p w14:paraId="4AEF4EC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59AD795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F15401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47CC3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72B73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9ECAE1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7E0CAF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D7D25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05CBDFB" w14:textId="77777777" w:rsidTr="0095397F">
        <w:trPr>
          <w:trHeight w:val="300"/>
        </w:trPr>
        <w:tc>
          <w:tcPr>
            <w:tcW w:w="2980" w:type="dxa"/>
            <w:tcBorders>
              <w:top w:val="nil"/>
              <w:left w:val="nil"/>
              <w:bottom w:val="nil"/>
              <w:right w:val="nil"/>
            </w:tcBorders>
            <w:shd w:val="clear" w:color="auto" w:fill="auto"/>
            <w:noWrap/>
            <w:vAlign w:val="bottom"/>
            <w:hideMark/>
          </w:tcPr>
          <w:p w14:paraId="2A86905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5</w:t>
            </w:r>
          </w:p>
        </w:tc>
        <w:tc>
          <w:tcPr>
            <w:tcW w:w="2200" w:type="dxa"/>
            <w:gridSpan w:val="2"/>
            <w:tcBorders>
              <w:top w:val="nil"/>
              <w:left w:val="nil"/>
              <w:bottom w:val="nil"/>
              <w:right w:val="nil"/>
            </w:tcBorders>
            <w:shd w:val="clear" w:color="auto" w:fill="auto"/>
            <w:noWrap/>
            <w:vAlign w:val="bottom"/>
            <w:hideMark/>
          </w:tcPr>
          <w:p w14:paraId="075B46A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53B306C1"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61704E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234C1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2AB6B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B16D3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B6C64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9E20EC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C270B75" w14:textId="77777777" w:rsidTr="0095397F">
        <w:trPr>
          <w:trHeight w:val="300"/>
        </w:trPr>
        <w:tc>
          <w:tcPr>
            <w:tcW w:w="2980" w:type="dxa"/>
            <w:tcBorders>
              <w:top w:val="nil"/>
              <w:left w:val="nil"/>
              <w:bottom w:val="nil"/>
              <w:right w:val="nil"/>
            </w:tcBorders>
            <w:shd w:val="clear" w:color="auto" w:fill="auto"/>
            <w:noWrap/>
            <w:vAlign w:val="bottom"/>
            <w:hideMark/>
          </w:tcPr>
          <w:p w14:paraId="10F1250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6</w:t>
            </w:r>
          </w:p>
        </w:tc>
        <w:tc>
          <w:tcPr>
            <w:tcW w:w="2200" w:type="dxa"/>
            <w:gridSpan w:val="2"/>
            <w:tcBorders>
              <w:top w:val="nil"/>
              <w:left w:val="nil"/>
              <w:bottom w:val="nil"/>
              <w:right w:val="nil"/>
            </w:tcBorders>
            <w:shd w:val="clear" w:color="auto" w:fill="auto"/>
            <w:noWrap/>
            <w:vAlign w:val="bottom"/>
            <w:hideMark/>
          </w:tcPr>
          <w:p w14:paraId="0E26EF3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6B2D643"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5D2894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8EA3B5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F2854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F0532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4B3E9B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1B1CA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FE7F412" w14:textId="77777777" w:rsidTr="0095397F">
        <w:trPr>
          <w:trHeight w:val="300"/>
        </w:trPr>
        <w:tc>
          <w:tcPr>
            <w:tcW w:w="2980" w:type="dxa"/>
            <w:tcBorders>
              <w:top w:val="nil"/>
              <w:left w:val="nil"/>
              <w:bottom w:val="nil"/>
              <w:right w:val="nil"/>
            </w:tcBorders>
            <w:shd w:val="clear" w:color="auto" w:fill="auto"/>
            <w:noWrap/>
            <w:vAlign w:val="bottom"/>
            <w:hideMark/>
          </w:tcPr>
          <w:p w14:paraId="40EF6AB6"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7</w:t>
            </w:r>
          </w:p>
        </w:tc>
        <w:tc>
          <w:tcPr>
            <w:tcW w:w="2200" w:type="dxa"/>
            <w:gridSpan w:val="2"/>
            <w:tcBorders>
              <w:top w:val="nil"/>
              <w:left w:val="nil"/>
              <w:bottom w:val="nil"/>
              <w:right w:val="nil"/>
            </w:tcBorders>
            <w:shd w:val="clear" w:color="auto" w:fill="auto"/>
            <w:noWrap/>
            <w:vAlign w:val="bottom"/>
            <w:hideMark/>
          </w:tcPr>
          <w:p w14:paraId="3BDD8E7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3DAFA74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6B20BA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77658A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345EC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E24DD2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44C10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3AD718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EB221AA"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108B35B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Balpool 8</w:t>
            </w:r>
          </w:p>
        </w:tc>
        <w:tc>
          <w:tcPr>
            <w:tcW w:w="2200" w:type="dxa"/>
            <w:gridSpan w:val="2"/>
            <w:tcBorders>
              <w:top w:val="nil"/>
              <w:left w:val="nil"/>
              <w:bottom w:val="single" w:sz="8" w:space="0" w:color="auto"/>
              <w:right w:val="nil"/>
            </w:tcBorders>
            <w:shd w:val="clear" w:color="auto" w:fill="auto"/>
            <w:noWrap/>
            <w:vAlign w:val="bottom"/>
            <w:hideMark/>
          </w:tcPr>
          <w:p w14:paraId="4797E1B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single" w:sz="8" w:space="0" w:color="auto"/>
              <w:right w:val="nil"/>
            </w:tcBorders>
            <w:shd w:val="clear" w:color="auto" w:fill="auto"/>
            <w:noWrap/>
            <w:vAlign w:val="bottom"/>
            <w:hideMark/>
          </w:tcPr>
          <w:p w14:paraId="28BB844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3CCE33E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DA9901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D09892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1DFDCA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42209E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8E2C52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C49F4EC" w14:textId="77777777" w:rsidTr="0095397F">
        <w:trPr>
          <w:trHeight w:val="300"/>
        </w:trPr>
        <w:tc>
          <w:tcPr>
            <w:tcW w:w="2980" w:type="dxa"/>
            <w:tcBorders>
              <w:top w:val="nil"/>
              <w:left w:val="nil"/>
              <w:bottom w:val="nil"/>
              <w:right w:val="nil"/>
            </w:tcBorders>
            <w:shd w:val="clear" w:color="auto" w:fill="auto"/>
            <w:noWrap/>
            <w:vAlign w:val="bottom"/>
            <w:hideMark/>
          </w:tcPr>
          <w:p w14:paraId="22C24EF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1</w:t>
            </w:r>
          </w:p>
        </w:tc>
        <w:tc>
          <w:tcPr>
            <w:tcW w:w="2200" w:type="dxa"/>
            <w:gridSpan w:val="2"/>
            <w:tcBorders>
              <w:top w:val="nil"/>
              <w:left w:val="nil"/>
              <w:bottom w:val="nil"/>
              <w:right w:val="nil"/>
            </w:tcBorders>
            <w:shd w:val="clear" w:color="auto" w:fill="auto"/>
            <w:noWrap/>
            <w:vAlign w:val="bottom"/>
            <w:hideMark/>
          </w:tcPr>
          <w:p w14:paraId="135B921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3B00B06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47C722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533287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6A52EB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FDB3C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4E724A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275CD1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EF4ADFB" w14:textId="77777777" w:rsidTr="0095397F">
        <w:trPr>
          <w:trHeight w:val="300"/>
        </w:trPr>
        <w:tc>
          <w:tcPr>
            <w:tcW w:w="2980" w:type="dxa"/>
            <w:tcBorders>
              <w:top w:val="nil"/>
              <w:left w:val="nil"/>
              <w:bottom w:val="nil"/>
              <w:right w:val="nil"/>
            </w:tcBorders>
            <w:shd w:val="clear" w:color="auto" w:fill="auto"/>
            <w:noWrap/>
            <w:vAlign w:val="bottom"/>
            <w:hideMark/>
          </w:tcPr>
          <w:p w14:paraId="6C45EE7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2</w:t>
            </w:r>
          </w:p>
        </w:tc>
        <w:tc>
          <w:tcPr>
            <w:tcW w:w="2200" w:type="dxa"/>
            <w:gridSpan w:val="2"/>
            <w:tcBorders>
              <w:top w:val="nil"/>
              <w:left w:val="nil"/>
              <w:bottom w:val="nil"/>
              <w:right w:val="nil"/>
            </w:tcBorders>
            <w:shd w:val="clear" w:color="auto" w:fill="auto"/>
            <w:noWrap/>
            <w:vAlign w:val="bottom"/>
            <w:hideMark/>
          </w:tcPr>
          <w:p w14:paraId="51D9C78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2AC996B0"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2A69A5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7B71C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C9341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FE02AC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D6C92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EF860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8CDBA4C" w14:textId="77777777" w:rsidTr="0095397F">
        <w:trPr>
          <w:trHeight w:val="300"/>
        </w:trPr>
        <w:tc>
          <w:tcPr>
            <w:tcW w:w="2980" w:type="dxa"/>
            <w:tcBorders>
              <w:top w:val="nil"/>
              <w:left w:val="nil"/>
              <w:bottom w:val="nil"/>
              <w:right w:val="nil"/>
            </w:tcBorders>
            <w:shd w:val="clear" w:color="auto" w:fill="auto"/>
            <w:noWrap/>
            <w:vAlign w:val="bottom"/>
            <w:hideMark/>
          </w:tcPr>
          <w:p w14:paraId="5BC332F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3</w:t>
            </w:r>
          </w:p>
        </w:tc>
        <w:tc>
          <w:tcPr>
            <w:tcW w:w="2200" w:type="dxa"/>
            <w:gridSpan w:val="2"/>
            <w:tcBorders>
              <w:top w:val="nil"/>
              <w:left w:val="nil"/>
              <w:bottom w:val="nil"/>
              <w:right w:val="nil"/>
            </w:tcBorders>
            <w:shd w:val="clear" w:color="auto" w:fill="auto"/>
            <w:noWrap/>
            <w:vAlign w:val="bottom"/>
            <w:hideMark/>
          </w:tcPr>
          <w:p w14:paraId="6A867A0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44045202"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4CAED0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F4A26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080AE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985CC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A2BEBC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200EE9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238497B" w14:textId="77777777" w:rsidTr="0095397F">
        <w:trPr>
          <w:trHeight w:val="300"/>
        </w:trPr>
        <w:tc>
          <w:tcPr>
            <w:tcW w:w="2980" w:type="dxa"/>
            <w:tcBorders>
              <w:top w:val="nil"/>
              <w:left w:val="nil"/>
              <w:bottom w:val="nil"/>
              <w:right w:val="nil"/>
            </w:tcBorders>
            <w:shd w:val="clear" w:color="auto" w:fill="auto"/>
            <w:noWrap/>
            <w:vAlign w:val="bottom"/>
            <w:hideMark/>
          </w:tcPr>
          <w:p w14:paraId="1770CC3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4</w:t>
            </w:r>
          </w:p>
        </w:tc>
        <w:tc>
          <w:tcPr>
            <w:tcW w:w="2200" w:type="dxa"/>
            <w:gridSpan w:val="2"/>
            <w:tcBorders>
              <w:top w:val="nil"/>
              <w:left w:val="nil"/>
              <w:bottom w:val="nil"/>
              <w:right w:val="nil"/>
            </w:tcBorders>
            <w:shd w:val="clear" w:color="auto" w:fill="auto"/>
            <w:noWrap/>
            <w:vAlign w:val="bottom"/>
            <w:hideMark/>
          </w:tcPr>
          <w:p w14:paraId="5D57A60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06888BDF"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F6AA82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9C0C3B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321397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A773E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16831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DAFF43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A3749A5" w14:textId="77777777" w:rsidTr="0095397F">
        <w:trPr>
          <w:trHeight w:val="300"/>
        </w:trPr>
        <w:tc>
          <w:tcPr>
            <w:tcW w:w="2980" w:type="dxa"/>
            <w:tcBorders>
              <w:top w:val="nil"/>
              <w:left w:val="nil"/>
              <w:bottom w:val="nil"/>
              <w:right w:val="nil"/>
            </w:tcBorders>
            <w:shd w:val="clear" w:color="auto" w:fill="auto"/>
            <w:noWrap/>
            <w:vAlign w:val="bottom"/>
            <w:hideMark/>
          </w:tcPr>
          <w:p w14:paraId="6467BE4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5</w:t>
            </w:r>
          </w:p>
        </w:tc>
        <w:tc>
          <w:tcPr>
            <w:tcW w:w="2200" w:type="dxa"/>
            <w:gridSpan w:val="2"/>
            <w:tcBorders>
              <w:top w:val="nil"/>
              <w:left w:val="nil"/>
              <w:bottom w:val="nil"/>
              <w:right w:val="nil"/>
            </w:tcBorders>
            <w:shd w:val="clear" w:color="auto" w:fill="auto"/>
            <w:noWrap/>
            <w:vAlign w:val="bottom"/>
            <w:hideMark/>
          </w:tcPr>
          <w:p w14:paraId="7AFCD99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5134E14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4B3563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FEFAE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6ED67F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CBAFB2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C40C68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1C0D02F6"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r>
      <w:tr w:rsidR="006501A4" w:rsidRPr="00324157" w14:paraId="700EC2A8" w14:textId="77777777" w:rsidTr="0095397F">
        <w:trPr>
          <w:trHeight w:val="300"/>
        </w:trPr>
        <w:tc>
          <w:tcPr>
            <w:tcW w:w="2980" w:type="dxa"/>
            <w:tcBorders>
              <w:top w:val="nil"/>
              <w:left w:val="nil"/>
              <w:bottom w:val="nil"/>
              <w:right w:val="nil"/>
            </w:tcBorders>
            <w:shd w:val="clear" w:color="auto" w:fill="auto"/>
            <w:noWrap/>
            <w:vAlign w:val="bottom"/>
            <w:hideMark/>
          </w:tcPr>
          <w:p w14:paraId="7611143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6</w:t>
            </w:r>
          </w:p>
        </w:tc>
        <w:tc>
          <w:tcPr>
            <w:tcW w:w="2200" w:type="dxa"/>
            <w:gridSpan w:val="2"/>
            <w:tcBorders>
              <w:top w:val="nil"/>
              <w:left w:val="nil"/>
              <w:bottom w:val="nil"/>
              <w:right w:val="nil"/>
            </w:tcBorders>
            <w:shd w:val="clear" w:color="auto" w:fill="auto"/>
            <w:noWrap/>
            <w:vAlign w:val="bottom"/>
            <w:hideMark/>
          </w:tcPr>
          <w:p w14:paraId="08412A3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46FD6EA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38ABB0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351A5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41251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A3801E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1ACBC2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ABAEC7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CE8FEA5" w14:textId="77777777" w:rsidTr="0095397F">
        <w:trPr>
          <w:trHeight w:val="300"/>
        </w:trPr>
        <w:tc>
          <w:tcPr>
            <w:tcW w:w="2980" w:type="dxa"/>
            <w:tcBorders>
              <w:top w:val="nil"/>
              <w:left w:val="nil"/>
              <w:bottom w:val="nil"/>
              <w:right w:val="nil"/>
            </w:tcBorders>
            <w:shd w:val="clear" w:color="auto" w:fill="auto"/>
            <w:noWrap/>
            <w:vAlign w:val="bottom"/>
            <w:hideMark/>
          </w:tcPr>
          <w:p w14:paraId="014EAC0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7</w:t>
            </w:r>
          </w:p>
        </w:tc>
        <w:tc>
          <w:tcPr>
            <w:tcW w:w="2200" w:type="dxa"/>
            <w:gridSpan w:val="2"/>
            <w:tcBorders>
              <w:top w:val="nil"/>
              <w:left w:val="nil"/>
              <w:bottom w:val="nil"/>
              <w:right w:val="nil"/>
            </w:tcBorders>
            <w:shd w:val="clear" w:color="auto" w:fill="auto"/>
            <w:noWrap/>
            <w:vAlign w:val="bottom"/>
            <w:hideMark/>
          </w:tcPr>
          <w:p w14:paraId="422A724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nil"/>
              <w:right w:val="nil"/>
            </w:tcBorders>
            <w:shd w:val="clear" w:color="auto" w:fill="auto"/>
            <w:noWrap/>
            <w:vAlign w:val="bottom"/>
            <w:hideMark/>
          </w:tcPr>
          <w:p w14:paraId="716E7FD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72BE21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8DEED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1171F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94D2CB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B8BC6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215C9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977D353"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017DBCD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Kyalite State Forest 8</w:t>
            </w:r>
          </w:p>
        </w:tc>
        <w:tc>
          <w:tcPr>
            <w:tcW w:w="2200" w:type="dxa"/>
            <w:gridSpan w:val="2"/>
            <w:tcBorders>
              <w:top w:val="nil"/>
              <w:left w:val="nil"/>
              <w:bottom w:val="single" w:sz="8" w:space="0" w:color="auto"/>
              <w:right w:val="nil"/>
            </w:tcBorders>
            <w:shd w:val="clear" w:color="auto" w:fill="auto"/>
            <w:noWrap/>
            <w:vAlign w:val="bottom"/>
            <w:hideMark/>
          </w:tcPr>
          <w:p w14:paraId="4FC3113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Edward/Kolety River</w:t>
            </w:r>
          </w:p>
        </w:tc>
        <w:tc>
          <w:tcPr>
            <w:tcW w:w="940" w:type="dxa"/>
            <w:tcBorders>
              <w:top w:val="nil"/>
              <w:left w:val="nil"/>
              <w:bottom w:val="single" w:sz="8" w:space="0" w:color="auto"/>
              <w:right w:val="nil"/>
            </w:tcBorders>
            <w:shd w:val="clear" w:color="auto" w:fill="auto"/>
            <w:noWrap/>
            <w:vAlign w:val="bottom"/>
            <w:hideMark/>
          </w:tcPr>
          <w:p w14:paraId="0979891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168DD9B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AE5A2C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6A1DA8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A4A002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3F5BDF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584FA0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16C0369" w14:textId="77777777" w:rsidTr="0095397F">
        <w:trPr>
          <w:trHeight w:val="300"/>
        </w:trPr>
        <w:tc>
          <w:tcPr>
            <w:tcW w:w="2980" w:type="dxa"/>
            <w:tcBorders>
              <w:top w:val="nil"/>
              <w:left w:val="nil"/>
              <w:bottom w:val="nil"/>
              <w:right w:val="nil"/>
            </w:tcBorders>
            <w:shd w:val="clear" w:color="auto" w:fill="auto"/>
            <w:noWrap/>
            <w:vAlign w:val="bottom"/>
            <w:hideMark/>
          </w:tcPr>
          <w:p w14:paraId="64F3049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1</w:t>
            </w:r>
          </w:p>
        </w:tc>
        <w:tc>
          <w:tcPr>
            <w:tcW w:w="2200" w:type="dxa"/>
            <w:gridSpan w:val="2"/>
            <w:tcBorders>
              <w:top w:val="nil"/>
              <w:left w:val="nil"/>
              <w:bottom w:val="nil"/>
              <w:right w:val="nil"/>
            </w:tcBorders>
            <w:shd w:val="clear" w:color="auto" w:fill="auto"/>
            <w:noWrap/>
            <w:vAlign w:val="bottom"/>
            <w:hideMark/>
          </w:tcPr>
          <w:p w14:paraId="5A05301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1411A9A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4A675B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0FDAAB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8C11A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8D998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947599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1450F6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8AD7E31" w14:textId="77777777" w:rsidTr="0095397F">
        <w:trPr>
          <w:trHeight w:val="300"/>
        </w:trPr>
        <w:tc>
          <w:tcPr>
            <w:tcW w:w="2980" w:type="dxa"/>
            <w:tcBorders>
              <w:top w:val="nil"/>
              <w:left w:val="nil"/>
              <w:bottom w:val="nil"/>
              <w:right w:val="nil"/>
            </w:tcBorders>
            <w:shd w:val="clear" w:color="auto" w:fill="auto"/>
            <w:noWrap/>
            <w:vAlign w:val="bottom"/>
            <w:hideMark/>
          </w:tcPr>
          <w:p w14:paraId="17CBA0B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2</w:t>
            </w:r>
          </w:p>
        </w:tc>
        <w:tc>
          <w:tcPr>
            <w:tcW w:w="2200" w:type="dxa"/>
            <w:gridSpan w:val="2"/>
            <w:tcBorders>
              <w:top w:val="nil"/>
              <w:left w:val="nil"/>
              <w:bottom w:val="nil"/>
              <w:right w:val="nil"/>
            </w:tcBorders>
            <w:shd w:val="clear" w:color="auto" w:fill="auto"/>
            <w:noWrap/>
            <w:vAlign w:val="bottom"/>
            <w:hideMark/>
          </w:tcPr>
          <w:p w14:paraId="79E0A66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3A5D94AA"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31D1B5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AED3C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3FFB78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430E3C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2A011E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DCA4D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3C74ED6" w14:textId="77777777" w:rsidTr="0095397F">
        <w:trPr>
          <w:trHeight w:val="300"/>
        </w:trPr>
        <w:tc>
          <w:tcPr>
            <w:tcW w:w="2980" w:type="dxa"/>
            <w:tcBorders>
              <w:top w:val="nil"/>
              <w:left w:val="nil"/>
              <w:bottom w:val="nil"/>
              <w:right w:val="nil"/>
            </w:tcBorders>
            <w:shd w:val="clear" w:color="auto" w:fill="auto"/>
            <w:noWrap/>
            <w:vAlign w:val="bottom"/>
            <w:hideMark/>
          </w:tcPr>
          <w:p w14:paraId="02CED15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3</w:t>
            </w:r>
          </w:p>
        </w:tc>
        <w:tc>
          <w:tcPr>
            <w:tcW w:w="2200" w:type="dxa"/>
            <w:gridSpan w:val="2"/>
            <w:tcBorders>
              <w:top w:val="nil"/>
              <w:left w:val="nil"/>
              <w:bottom w:val="nil"/>
              <w:right w:val="nil"/>
            </w:tcBorders>
            <w:shd w:val="clear" w:color="auto" w:fill="auto"/>
            <w:noWrap/>
            <w:vAlign w:val="bottom"/>
            <w:hideMark/>
          </w:tcPr>
          <w:p w14:paraId="5342595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3369CED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D30606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3EF0A8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4740FB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38CF46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8890A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F21EE7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5E043A1" w14:textId="77777777" w:rsidTr="0095397F">
        <w:trPr>
          <w:trHeight w:val="300"/>
        </w:trPr>
        <w:tc>
          <w:tcPr>
            <w:tcW w:w="2980" w:type="dxa"/>
            <w:tcBorders>
              <w:top w:val="nil"/>
              <w:left w:val="nil"/>
              <w:bottom w:val="nil"/>
              <w:right w:val="nil"/>
            </w:tcBorders>
            <w:shd w:val="clear" w:color="auto" w:fill="auto"/>
            <w:noWrap/>
            <w:vAlign w:val="bottom"/>
            <w:hideMark/>
          </w:tcPr>
          <w:p w14:paraId="5028334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4</w:t>
            </w:r>
          </w:p>
        </w:tc>
        <w:tc>
          <w:tcPr>
            <w:tcW w:w="2200" w:type="dxa"/>
            <w:gridSpan w:val="2"/>
            <w:tcBorders>
              <w:top w:val="nil"/>
              <w:left w:val="nil"/>
              <w:bottom w:val="nil"/>
              <w:right w:val="nil"/>
            </w:tcBorders>
            <w:shd w:val="clear" w:color="auto" w:fill="auto"/>
            <w:noWrap/>
            <w:vAlign w:val="bottom"/>
            <w:hideMark/>
          </w:tcPr>
          <w:p w14:paraId="3143BB8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0E7D0AC0"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E1214C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46B41CDD"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06C42CD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F8224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048855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92F47B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2CBBEA2" w14:textId="77777777" w:rsidTr="0095397F">
        <w:trPr>
          <w:trHeight w:val="300"/>
        </w:trPr>
        <w:tc>
          <w:tcPr>
            <w:tcW w:w="2980" w:type="dxa"/>
            <w:tcBorders>
              <w:top w:val="nil"/>
              <w:left w:val="nil"/>
              <w:bottom w:val="nil"/>
              <w:right w:val="nil"/>
            </w:tcBorders>
            <w:shd w:val="clear" w:color="auto" w:fill="auto"/>
            <w:noWrap/>
            <w:vAlign w:val="bottom"/>
            <w:hideMark/>
          </w:tcPr>
          <w:p w14:paraId="278F463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5</w:t>
            </w:r>
          </w:p>
        </w:tc>
        <w:tc>
          <w:tcPr>
            <w:tcW w:w="2200" w:type="dxa"/>
            <w:gridSpan w:val="2"/>
            <w:tcBorders>
              <w:top w:val="nil"/>
              <w:left w:val="nil"/>
              <w:bottom w:val="nil"/>
              <w:right w:val="nil"/>
            </w:tcBorders>
            <w:shd w:val="clear" w:color="auto" w:fill="auto"/>
            <w:noWrap/>
            <w:vAlign w:val="bottom"/>
            <w:hideMark/>
          </w:tcPr>
          <w:p w14:paraId="3E86685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455D3402"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3A1143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91FDA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BD419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38B22B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BC08C7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4DAA3D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4BF46A0" w14:textId="77777777" w:rsidTr="0095397F">
        <w:trPr>
          <w:trHeight w:val="300"/>
        </w:trPr>
        <w:tc>
          <w:tcPr>
            <w:tcW w:w="2980" w:type="dxa"/>
            <w:tcBorders>
              <w:top w:val="nil"/>
              <w:left w:val="nil"/>
              <w:bottom w:val="nil"/>
              <w:right w:val="nil"/>
            </w:tcBorders>
            <w:shd w:val="clear" w:color="auto" w:fill="auto"/>
            <w:noWrap/>
            <w:vAlign w:val="bottom"/>
            <w:hideMark/>
          </w:tcPr>
          <w:p w14:paraId="5D5CEC6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6</w:t>
            </w:r>
          </w:p>
        </w:tc>
        <w:tc>
          <w:tcPr>
            <w:tcW w:w="2200" w:type="dxa"/>
            <w:gridSpan w:val="2"/>
            <w:tcBorders>
              <w:top w:val="nil"/>
              <w:left w:val="nil"/>
              <w:bottom w:val="nil"/>
              <w:right w:val="nil"/>
            </w:tcBorders>
            <w:shd w:val="clear" w:color="auto" w:fill="auto"/>
            <w:noWrap/>
            <w:vAlign w:val="bottom"/>
            <w:hideMark/>
          </w:tcPr>
          <w:p w14:paraId="50E5CA9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1A99E2E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CA2FF9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434938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0D9BE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22EDA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803AF0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5E827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2B8841B" w14:textId="77777777" w:rsidTr="0095397F">
        <w:trPr>
          <w:trHeight w:val="300"/>
        </w:trPr>
        <w:tc>
          <w:tcPr>
            <w:tcW w:w="2980" w:type="dxa"/>
            <w:tcBorders>
              <w:top w:val="nil"/>
              <w:left w:val="nil"/>
              <w:bottom w:val="nil"/>
              <w:right w:val="nil"/>
            </w:tcBorders>
            <w:shd w:val="clear" w:color="auto" w:fill="auto"/>
            <w:noWrap/>
            <w:vAlign w:val="bottom"/>
            <w:hideMark/>
          </w:tcPr>
          <w:p w14:paraId="2905419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7</w:t>
            </w:r>
          </w:p>
        </w:tc>
        <w:tc>
          <w:tcPr>
            <w:tcW w:w="2200" w:type="dxa"/>
            <w:gridSpan w:val="2"/>
            <w:tcBorders>
              <w:top w:val="nil"/>
              <w:left w:val="nil"/>
              <w:bottom w:val="nil"/>
              <w:right w:val="nil"/>
            </w:tcBorders>
            <w:shd w:val="clear" w:color="auto" w:fill="auto"/>
            <w:noWrap/>
            <w:vAlign w:val="bottom"/>
            <w:hideMark/>
          </w:tcPr>
          <w:p w14:paraId="49B2130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4F91A15A"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0E7EC6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65558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8E1C2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DA68A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9EE4EE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5695A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5D01284"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2BB0E8A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Widgee 8</w:t>
            </w:r>
          </w:p>
        </w:tc>
        <w:tc>
          <w:tcPr>
            <w:tcW w:w="2200" w:type="dxa"/>
            <w:gridSpan w:val="2"/>
            <w:tcBorders>
              <w:top w:val="nil"/>
              <w:left w:val="nil"/>
              <w:bottom w:val="single" w:sz="8" w:space="0" w:color="auto"/>
              <w:right w:val="nil"/>
            </w:tcBorders>
            <w:shd w:val="clear" w:color="auto" w:fill="auto"/>
            <w:noWrap/>
            <w:vAlign w:val="bottom"/>
            <w:hideMark/>
          </w:tcPr>
          <w:p w14:paraId="3CD96D3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single" w:sz="8" w:space="0" w:color="auto"/>
              <w:right w:val="nil"/>
            </w:tcBorders>
            <w:shd w:val="clear" w:color="auto" w:fill="auto"/>
            <w:noWrap/>
            <w:vAlign w:val="bottom"/>
            <w:hideMark/>
          </w:tcPr>
          <w:p w14:paraId="7C3E983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08623E4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BFC5B4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B4758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B0FF52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E3C6B0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EE1C1A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140F0A9" w14:textId="77777777" w:rsidTr="0095397F">
        <w:trPr>
          <w:trHeight w:val="300"/>
        </w:trPr>
        <w:tc>
          <w:tcPr>
            <w:tcW w:w="2980" w:type="dxa"/>
            <w:tcBorders>
              <w:top w:val="nil"/>
              <w:left w:val="nil"/>
              <w:bottom w:val="nil"/>
              <w:right w:val="nil"/>
            </w:tcBorders>
            <w:shd w:val="clear" w:color="auto" w:fill="auto"/>
            <w:noWrap/>
            <w:vAlign w:val="bottom"/>
            <w:hideMark/>
          </w:tcPr>
          <w:p w14:paraId="4A6337C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1</w:t>
            </w:r>
          </w:p>
        </w:tc>
        <w:tc>
          <w:tcPr>
            <w:tcW w:w="2200" w:type="dxa"/>
            <w:gridSpan w:val="2"/>
            <w:tcBorders>
              <w:top w:val="nil"/>
              <w:left w:val="nil"/>
              <w:bottom w:val="nil"/>
              <w:right w:val="nil"/>
            </w:tcBorders>
            <w:shd w:val="clear" w:color="auto" w:fill="auto"/>
            <w:noWrap/>
            <w:vAlign w:val="bottom"/>
            <w:hideMark/>
          </w:tcPr>
          <w:p w14:paraId="5B5FC7C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0480DCA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E9D38E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09CA7A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D93C5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CEC9AB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F73DE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0EE3A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4423DB7" w14:textId="77777777" w:rsidTr="0095397F">
        <w:trPr>
          <w:trHeight w:val="300"/>
        </w:trPr>
        <w:tc>
          <w:tcPr>
            <w:tcW w:w="2980" w:type="dxa"/>
            <w:tcBorders>
              <w:top w:val="nil"/>
              <w:left w:val="nil"/>
              <w:bottom w:val="nil"/>
              <w:right w:val="nil"/>
            </w:tcBorders>
            <w:shd w:val="clear" w:color="auto" w:fill="auto"/>
            <w:noWrap/>
            <w:vAlign w:val="bottom"/>
            <w:hideMark/>
          </w:tcPr>
          <w:p w14:paraId="435D5F8E"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2</w:t>
            </w:r>
          </w:p>
        </w:tc>
        <w:tc>
          <w:tcPr>
            <w:tcW w:w="2200" w:type="dxa"/>
            <w:gridSpan w:val="2"/>
            <w:tcBorders>
              <w:top w:val="nil"/>
              <w:left w:val="nil"/>
              <w:bottom w:val="nil"/>
              <w:right w:val="nil"/>
            </w:tcBorders>
            <w:shd w:val="clear" w:color="auto" w:fill="auto"/>
            <w:noWrap/>
            <w:vAlign w:val="bottom"/>
            <w:hideMark/>
          </w:tcPr>
          <w:p w14:paraId="7027B47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3E42DF9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688A40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630AA51F"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2A6D6FA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36127E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4447F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388DAE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FD37174" w14:textId="77777777" w:rsidTr="0095397F">
        <w:trPr>
          <w:trHeight w:val="300"/>
        </w:trPr>
        <w:tc>
          <w:tcPr>
            <w:tcW w:w="2980" w:type="dxa"/>
            <w:tcBorders>
              <w:top w:val="nil"/>
              <w:left w:val="nil"/>
              <w:bottom w:val="nil"/>
              <w:right w:val="nil"/>
            </w:tcBorders>
            <w:shd w:val="clear" w:color="auto" w:fill="auto"/>
            <w:noWrap/>
            <w:vAlign w:val="bottom"/>
            <w:hideMark/>
          </w:tcPr>
          <w:p w14:paraId="1C464F2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3</w:t>
            </w:r>
          </w:p>
        </w:tc>
        <w:tc>
          <w:tcPr>
            <w:tcW w:w="2200" w:type="dxa"/>
            <w:gridSpan w:val="2"/>
            <w:tcBorders>
              <w:top w:val="nil"/>
              <w:left w:val="nil"/>
              <w:bottom w:val="nil"/>
              <w:right w:val="nil"/>
            </w:tcBorders>
            <w:shd w:val="clear" w:color="auto" w:fill="auto"/>
            <w:noWrap/>
            <w:vAlign w:val="bottom"/>
            <w:hideMark/>
          </w:tcPr>
          <w:p w14:paraId="5056D60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2E5CD63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A92E91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0469B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158C6A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5C9FCD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0F492F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B74B6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25A50F0" w14:textId="77777777" w:rsidTr="0095397F">
        <w:trPr>
          <w:trHeight w:val="300"/>
        </w:trPr>
        <w:tc>
          <w:tcPr>
            <w:tcW w:w="2980" w:type="dxa"/>
            <w:tcBorders>
              <w:top w:val="nil"/>
              <w:left w:val="nil"/>
              <w:bottom w:val="nil"/>
              <w:right w:val="nil"/>
            </w:tcBorders>
            <w:shd w:val="clear" w:color="auto" w:fill="auto"/>
            <w:noWrap/>
            <w:vAlign w:val="bottom"/>
            <w:hideMark/>
          </w:tcPr>
          <w:p w14:paraId="5DB42A5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4</w:t>
            </w:r>
          </w:p>
        </w:tc>
        <w:tc>
          <w:tcPr>
            <w:tcW w:w="2200" w:type="dxa"/>
            <w:gridSpan w:val="2"/>
            <w:tcBorders>
              <w:top w:val="nil"/>
              <w:left w:val="nil"/>
              <w:bottom w:val="nil"/>
              <w:right w:val="nil"/>
            </w:tcBorders>
            <w:shd w:val="clear" w:color="auto" w:fill="auto"/>
            <w:noWrap/>
            <w:vAlign w:val="bottom"/>
            <w:hideMark/>
          </w:tcPr>
          <w:p w14:paraId="63C8EBB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2E08FBA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9AB9D9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C8CAB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14F4A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FA199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B4597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D84EF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F0660A1" w14:textId="77777777" w:rsidTr="0095397F">
        <w:trPr>
          <w:trHeight w:val="300"/>
        </w:trPr>
        <w:tc>
          <w:tcPr>
            <w:tcW w:w="2980" w:type="dxa"/>
            <w:tcBorders>
              <w:top w:val="nil"/>
              <w:left w:val="nil"/>
              <w:bottom w:val="nil"/>
              <w:right w:val="nil"/>
            </w:tcBorders>
            <w:shd w:val="clear" w:color="auto" w:fill="auto"/>
            <w:noWrap/>
            <w:vAlign w:val="bottom"/>
            <w:hideMark/>
          </w:tcPr>
          <w:p w14:paraId="0DE0070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5</w:t>
            </w:r>
          </w:p>
        </w:tc>
        <w:tc>
          <w:tcPr>
            <w:tcW w:w="2200" w:type="dxa"/>
            <w:gridSpan w:val="2"/>
            <w:tcBorders>
              <w:top w:val="nil"/>
              <w:left w:val="nil"/>
              <w:bottom w:val="nil"/>
              <w:right w:val="nil"/>
            </w:tcBorders>
            <w:shd w:val="clear" w:color="auto" w:fill="auto"/>
            <w:noWrap/>
            <w:vAlign w:val="bottom"/>
            <w:hideMark/>
          </w:tcPr>
          <w:p w14:paraId="6679F9C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7070DCA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4CEC35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B27FEF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86D7CA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B542FF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C0148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DF7E8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E063392" w14:textId="77777777" w:rsidTr="0095397F">
        <w:trPr>
          <w:trHeight w:val="300"/>
        </w:trPr>
        <w:tc>
          <w:tcPr>
            <w:tcW w:w="2980" w:type="dxa"/>
            <w:tcBorders>
              <w:top w:val="nil"/>
              <w:left w:val="nil"/>
              <w:bottom w:val="nil"/>
              <w:right w:val="nil"/>
            </w:tcBorders>
            <w:shd w:val="clear" w:color="auto" w:fill="auto"/>
            <w:noWrap/>
            <w:vAlign w:val="bottom"/>
            <w:hideMark/>
          </w:tcPr>
          <w:p w14:paraId="12B5DAEE"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6</w:t>
            </w:r>
          </w:p>
        </w:tc>
        <w:tc>
          <w:tcPr>
            <w:tcW w:w="2200" w:type="dxa"/>
            <w:gridSpan w:val="2"/>
            <w:tcBorders>
              <w:top w:val="nil"/>
              <w:left w:val="nil"/>
              <w:bottom w:val="nil"/>
              <w:right w:val="nil"/>
            </w:tcBorders>
            <w:shd w:val="clear" w:color="auto" w:fill="auto"/>
            <w:noWrap/>
            <w:vAlign w:val="bottom"/>
            <w:hideMark/>
          </w:tcPr>
          <w:p w14:paraId="659C992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43AC4BF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3EAA0D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2A143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856DC0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439BA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B869A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8BB21A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103D735" w14:textId="77777777" w:rsidTr="0095397F">
        <w:trPr>
          <w:trHeight w:val="300"/>
        </w:trPr>
        <w:tc>
          <w:tcPr>
            <w:tcW w:w="2980" w:type="dxa"/>
            <w:tcBorders>
              <w:top w:val="nil"/>
              <w:left w:val="nil"/>
              <w:bottom w:val="nil"/>
              <w:right w:val="nil"/>
            </w:tcBorders>
            <w:shd w:val="clear" w:color="auto" w:fill="auto"/>
            <w:noWrap/>
            <w:vAlign w:val="bottom"/>
            <w:hideMark/>
          </w:tcPr>
          <w:p w14:paraId="0EF53B4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7</w:t>
            </w:r>
          </w:p>
        </w:tc>
        <w:tc>
          <w:tcPr>
            <w:tcW w:w="2200" w:type="dxa"/>
            <w:gridSpan w:val="2"/>
            <w:tcBorders>
              <w:top w:val="nil"/>
              <w:left w:val="nil"/>
              <w:bottom w:val="nil"/>
              <w:right w:val="nil"/>
            </w:tcBorders>
            <w:shd w:val="clear" w:color="auto" w:fill="auto"/>
            <w:noWrap/>
            <w:vAlign w:val="bottom"/>
            <w:hideMark/>
          </w:tcPr>
          <w:p w14:paraId="70F031C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49B2FD2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2A6BB3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6975C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D8986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15C89D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20757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471BD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07D7CB8"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0B63C66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Gee Gee 8</w:t>
            </w:r>
          </w:p>
        </w:tc>
        <w:tc>
          <w:tcPr>
            <w:tcW w:w="2200" w:type="dxa"/>
            <w:gridSpan w:val="2"/>
            <w:tcBorders>
              <w:top w:val="nil"/>
              <w:left w:val="nil"/>
              <w:bottom w:val="single" w:sz="8" w:space="0" w:color="auto"/>
              <w:right w:val="nil"/>
            </w:tcBorders>
            <w:shd w:val="clear" w:color="auto" w:fill="auto"/>
            <w:noWrap/>
            <w:vAlign w:val="bottom"/>
            <w:hideMark/>
          </w:tcPr>
          <w:p w14:paraId="0DBF0F1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single" w:sz="8" w:space="0" w:color="auto"/>
              <w:right w:val="nil"/>
            </w:tcBorders>
            <w:shd w:val="clear" w:color="auto" w:fill="auto"/>
            <w:noWrap/>
            <w:vAlign w:val="bottom"/>
            <w:hideMark/>
          </w:tcPr>
          <w:p w14:paraId="75B30177"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6F4C307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8EB718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B6F72C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D94211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6C6BB3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109D00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5CE1391" w14:textId="77777777" w:rsidTr="0095397F">
        <w:trPr>
          <w:trHeight w:val="300"/>
        </w:trPr>
        <w:tc>
          <w:tcPr>
            <w:tcW w:w="2980" w:type="dxa"/>
            <w:tcBorders>
              <w:top w:val="nil"/>
              <w:left w:val="nil"/>
              <w:bottom w:val="nil"/>
              <w:right w:val="nil"/>
            </w:tcBorders>
            <w:shd w:val="clear" w:color="auto" w:fill="auto"/>
            <w:noWrap/>
            <w:vAlign w:val="bottom"/>
            <w:hideMark/>
          </w:tcPr>
          <w:p w14:paraId="79268E2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1</w:t>
            </w:r>
          </w:p>
        </w:tc>
        <w:tc>
          <w:tcPr>
            <w:tcW w:w="2200" w:type="dxa"/>
            <w:gridSpan w:val="2"/>
            <w:tcBorders>
              <w:top w:val="nil"/>
              <w:left w:val="nil"/>
              <w:bottom w:val="nil"/>
              <w:right w:val="nil"/>
            </w:tcBorders>
            <w:shd w:val="clear" w:color="auto" w:fill="auto"/>
            <w:noWrap/>
            <w:vAlign w:val="bottom"/>
            <w:hideMark/>
          </w:tcPr>
          <w:p w14:paraId="57299E2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72A437F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104191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431B5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A7D855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C72450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CF349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621B29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322F855" w14:textId="77777777" w:rsidTr="0095397F">
        <w:trPr>
          <w:trHeight w:val="300"/>
        </w:trPr>
        <w:tc>
          <w:tcPr>
            <w:tcW w:w="2980" w:type="dxa"/>
            <w:tcBorders>
              <w:top w:val="nil"/>
              <w:left w:val="nil"/>
              <w:bottom w:val="nil"/>
              <w:right w:val="nil"/>
            </w:tcBorders>
            <w:shd w:val="clear" w:color="auto" w:fill="auto"/>
            <w:noWrap/>
            <w:vAlign w:val="bottom"/>
            <w:hideMark/>
          </w:tcPr>
          <w:p w14:paraId="5DD1760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2</w:t>
            </w:r>
          </w:p>
        </w:tc>
        <w:tc>
          <w:tcPr>
            <w:tcW w:w="2200" w:type="dxa"/>
            <w:gridSpan w:val="2"/>
            <w:tcBorders>
              <w:top w:val="nil"/>
              <w:left w:val="nil"/>
              <w:bottom w:val="nil"/>
              <w:right w:val="nil"/>
            </w:tcBorders>
            <w:shd w:val="clear" w:color="auto" w:fill="auto"/>
            <w:noWrap/>
            <w:vAlign w:val="bottom"/>
            <w:hideMark/>
          </w:tcPr>
          <w:p w14:paraId="47AA721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70E6C97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2/6</w:t>
            </w:r>
          </w:p>
        </w:tc>
        <w:tc>
          <w:tcPr>
            <w:tcW w:w="500" w:type="dxa"/>
            <w:tcBorders>
              <w:top w:val="nil"/>
              <w:left w:val="nil"/>
              <w:bottom w:val="nil"/>
              <w:right w:val="nil"/>
            </w:tcBorders>
            <w:shd w:val="clear" w:color="000000" w:fill="FFC7CE"/>
            <w:noWrap/>
            <w:vAlign w:val="bottom"/>
            <w:hideMark/>
          </w:tcPr>
          <w:p w14:paraId="60CCE66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2FAED79A"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619209E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92F6C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3110C0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30082292"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180AB69A" w14:textId="77777777" w:rsidTr="0095397F">
        <w:trPr>
          <w:trHeight w:val="300"/>
        </w:trPr>
        <w:tc>
          <w:tcPr>
            <w:tcW w:w="2980" w:type="dxa"/>
            <w:tcBorders>
              <w:top w:val="nil"/>
              <w:left w:val="nil"/>
              <w:bottom w:val="nil"/>
              <w:right w:val="nil"/>
            </w:tcBorders>
            <w:shd w:val="clear" w:color="auto" w:fill="auto"/>
            <w:noWrap/>
            <w:vAlign w:val="bottom"/>
            <w:hideMark/>
          </w:tcPr>
          <w:p w14:paraId="2F9D9EA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3</w:t>
            </w:r>
          </w:p>
        </w:tc>
        <w:tc>
          <w:tcPr>
            <w:tcW w:w="2200" w:type="dxa"/>
            <w:gridSpan w:val="2"/>
            <w:tcBorders>
              <w:top w:val="nil"/>
              <w:left w:val="nil"/>
              <w:bottom w:val="nil"/>
              <w:right w:val="nil"/>
            </w:tcBorders>
            <w:shd w:val="clear" w:color="auto" w:fill="auto"/>
            <w:noWrap/>
            <w:vAlign w:val="bottom"/>
            <w:hideMark/>
          </w:tcPr>
          <w:p w14:paraId="4CDD763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670C0EB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49E59C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9E7F1F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239E75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26DF72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FAFBCF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3F0CD9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DD7736E" w14:textId="77777777" w:rsidTr="0095397F">
        <w:trPr>
          <w:trHeight w:val="300"/>
        </w:trPr>
        <w:tc>
          <w:tcPr>
            <w:tcW w:w="2980" w:type="dxa"/>
            <w:tcBorders>
              <w:top w:val="nil"/>
              <w:left w:val="nil"/>
              <w:bottom w:val="nil"/>
              <w:right w:val="nil"/>
            </w:tcBorders>
            <w:shd w:val="clear" w:color="auto" w:fill="auto"/>
            <w:noWrap/>
            <w:vAlign w:val="bottom"/>
            <w:hideMark/>
          </w:tcPr>
          <w:p w14:paraId="6E0BE8A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4</w:t>
            </w:r>
          </w:p>
        </w:tc>
        <w:tc>
          <w:tcPr>
            <w:tcW w:w="2200" w:type="dxa"/>
            <w:gridSpan w:val="2"/>
            <w:tcBorders>
              <w:top w:val="nil"/>
              <w:left w:val="nil"/>
              <w:bottom w:val="nil"/>
              <w:right w:val="nil"/>
            </w:tcBorders>
            <w:shd w:val="clear" w:color="auto" w:fill="auto"/>
            <w:noWrap/>
            <w:vAlign w:val="bottom"/>
            <w:hideMark/>
          </w:tcPr>
          <w:p w14:paraId="59E8CC5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52F4340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D7D6F4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023A6A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2BC373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A02DA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1050BC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9A0EE0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FAA44EF" w14:textId="77777777" w:rsidTr="0095397F">
        <w:trPr>
          <w:trHeight w:val="300"/>
        </w:trPr>
        <w:tc>
          <w:tcPr>
            <w:tcW w:w="2980" w:type="dxa"/>
            <w:tcBorders>
              <w:top w:val="nil"/>
              <w:left w:val="nil"/>
              <w:bottom w:val="nil"/>
              <w:right w:val="nil"/>
            </w:tcBorders>
            <w:shd w:val="clear" w:color="auto" w:fill="auto"/>
            <w:noWrap/>
            <w:vAlign w:val="bottom"/>
            <w:hideMark/>
          </w:tcPr>
          <w:p w14:paraId="5D741F59"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5</w:t>
            </w:r>
          </w:p>
        </w:tc>
        <w:tc>
          <w:tcPr>
            <w:tcW w:w="2200" w:type="dxa"/>
            <w:gridSpan w:val="2"/>
            <w:tcBorders>
              <w:top w:val="nil"/>
              <w:left w:val="nil"/>
              <w:bottom w:val="nil"/>
              <w:right w:val="nil"/>
            </w:tcBorders>
            <w:shd w:val="clear" w:color="auto" w:fill="auto"/>
            <w:noWrap/>
            <w:vAlign w:val="bottom"/>
            <w:hideMark/>
          </w:tcPr>
          <w:p w14:paraId="4AE371B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128F931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90B9A8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D32E79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EC0D9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ED2ED8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EEC49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EF95E7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7C7FD4D" w14:textId="77777777" w:rsidTr="0095397F">
        <w:trPr>
          <w:trHeight w:val="300"/>
        </w:trPr>
        <w:tc>
          <w:tcPr>
            <w:tcW w:w="2980" w:type="dxa"/>
            <w:tcBorders>
              <w:top w:val="nil"/>
              <w:left w:val="nil"/>
              <w:bottom w:val="nil"/>
              <w:right w:val="nil"/>
            </w:tcBorders>
            <w:shd w:val="clear" w:color="auto" w:fill="auto"/>
            <w:noWrap/>
            <w:vAlign w:val="bottom"/>
            <w:hideMark/>
          </w:tcPr>
          <w:p w14:paraId="4223842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6</w:t>
            </w:r>
          </w:p>
        </w:tc>
        <w:tc>
          <w:tcPr>
            <w:tcW w:w="2200" w:type="dxa"/>
            <w:gridSpan w:val="2"/>
            <w:tcBorders>
              <w:top w:val="nil"/>
              <w:left w:val="nil"/>
              <w:bottom w:val="nil"/>
              <w:right w:val="nil"/>
            </w:tcBorders>
            <w:shd w:val="clear" w:color="auto" w:fill="auto"/>
            <w:noWrap/>
            <w:vAlign w:val="bottom"/>
            <w:hideMark/>
          </w:tcPr>
          <w:p w14:paraId="6790B0D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34DD138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043F43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9FBF22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86F4F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70F6F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5BFE50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DC348A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39D20D39" w14:textId="77777777" w:rsidTr="0095397F">
        <w:trPr>
          <w:trHeight w:val="300"/>
        </w:trPr>
        <w:tc>
          <w:tcPr>
            <w:tcW w:w="2980" w:type="dxa"/>
            <w:tcBorders>
              <w:top w:val="nil"/>
              <w:left w:val="nil"/>
              <w:bottom w:val="nil"/>
              <w:right w:val="nil"/>
            </w:tcBorders>
            <w:shd w:val="clear" w:color="auto" w:fill="auto"/>
            <w:noWrap/>
            <w:vAlign w:val="bottom"/>
            <w:hideMark/>
          </w:tcPr>
          <w:p w14:paraId="1E4D2E6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7</w:t>
            </w:r>
          </w:p>
        </w:tc>
        <w:tc>
          <w:tcPr>
            <w:tcW w:w="2200" w:type="dxa"/>
            <w:gridSpan w:val="2"/>
            <w:tcBorders>
              <w:top w:val="nil"/>
              <w:left w:val="nil"/>
              <w:bottom w:val="nil"/>
              <w:right w:val="nil"/>
            </w:tcBorders>
            <w:shd w:val="clear" w:color="auto" w:fill="auto"/>
            <w:noWrap/>
            <w:vAlign w:val="bottom"/>
            <w:hideMark/>
          </w:tcPr>
          <w:p w14:paraId="11F98DBE"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nil"/>
              <w:right w:val="nil"/>
            </w:tcBorders>
            <w:shd w:val="clear" w:color="auto" w:fill="auto"/>
            <w:noWrap/>
            <w:vAlign w:val="bottom"/>
            <w:hideMark/>
          </w:tcPr>
          <w:p w14:paraId="2DBF7C9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61B095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4224B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286B58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EFC9D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1F6BB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73215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6707348"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4A5213A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Stoney Creek Crossing 8</w:t>
            </w:r>
          </w:p>
        </w:tc>
        <w:tc>
          <w:tcPr>
            <w:tcW w:w="2200" w:type="dxa"/>
            <w:gridSpan w:val="2"/>
            <w:tcBorders>
              <w:top w:val="nil"/>
              <w:left w:val="nil"/>
              <w:bottom w:val="single" w:sz="8" w:space="0" w:color="auto"/>
              <w:right w:val="nil"/>
            </w:tcBorders>
            <w:shd w:val="clear" w:color="auto" w:fill="auto"/>
            <w:noWrap/>
            <w:vAlign w:val="bottom"/>
            <w:hideMark/>
          </w:tcPr>
          <w:p w14:paraId="49C8E69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Wakool River</w:t>
            </w:r>
          </w:p>
        </w:tc>
        <w:tc>
          <w:tcPr>
            <w:tcW w:w="940" w:type="dxa"/>
            <w:tcBorders>
              <w:top w:val="nil"/>
              <w:left w:val="nil"/>
              <w:bottom w:val="single" w:sz="8" w:space="0" w:color="auto"/>
              <w:right w:val="nil"/>
            </w:tcBorders>
            <w:shd w:val="clear" w:color="auto" w:fill="auto"/>
            <w:noWrap/>
            <w:vAlign w:val="bottom"/>
            <w:hideMark/>
          </w:tcPr>
          <w:p w14:paraId="3B43823B"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27E7D49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3D2B54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5819FF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8E2968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7B5A40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62FC2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89B3D10" w14:textId="77777777" w:rsidTr="0095397F">
        <w:trPr>
          <w:trHeight w:val="300"/>
        </w:trPr>
        <w:tc>
          <w:tcPr>
            <w:tcW w:w="2980" w:type="dxa"/>
            <w:tcBorders>
              <w:top w:val="nil"/>
              <w:left w:val="nil"/>
              <w:bottom w:val="nil"/>
              <w:right w:val="nil"/>
            </w:tcBorders>
            <w:shd w:val="clear" w:color="auto" w:fill="auto"/>
            <w:noWrap/>
            <w:vAlign w:val="bottom"/>
            <w:hideMark/>
          </w:tcPr>
          <w:p w14:paraId="3303687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1</w:t>
            </w:r>
          </w:p>
        </w:tc>
        <w:tc>
          <w:tcPr>
            <w:tcW w:w="2200" w:type="dxa"/>
            <w:gridSpan w:val="2"/>
            <w:tcBorders>
              <w:top w:val="nil"/>
              <w:left w:val="nil"/>
              <w:bottom w:val="nil"/>
              <w:right w:val="nil"/>
            </w:tcBorders>
            <w:shd w:val="clear" w:color="auto" w:fill="auto"/>
            <w:noWrap/>
            <w:vAlign w:val="bottom"/>
            <w:hideMark/>
          </w:tcPr>
          <w:p w14:paraId="24CACEB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1368C1CF"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4DFE3B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2EA75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4D6644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FD125E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A7AE0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CCB918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17623CD6" w14:textId="77777777" w:rsidTr="0095397F">
        <w:trPr>
          <w:trHeight w:val="300"/>
        </w:trPr>
        <w:tc>
          <w:tcPr>
            <w:tcW w:w="2980" w:type="dxa"/>
            <w:tcBorders>
              <w:top w:val="nil"/>
              <w:left w:val="nil"/>
              <w:bottom w:val="nil"/>
              <w:right w:val="nil"/>
            </w:tcBorders>
            <w:shd w:val="clear" w:color="auto" w:fill="auto"/>
            <w:noWrap/>
            <w:vAlign w:val="bottom"/>
            <w:hideMark/>
          </w:tcPr>
          <w:p w14:paraId="2682782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2</w:t>
            </w:r>
          </w:p>
        </w:tc>
        <w:tc>
          <w:tcPr>
            <w:tcW w:w="2200" w:type="dxa"/>
            <w:gridSpan w:val="2"/>
            <w:tcBorders>
              <w:top w:val="nil"/>
              <w:left w:val="nil"/>
              <w:bottom w:val="nil"/>
              <w:right w:val="nil"/>
            </w:tcBorders>
            <w:shd w:val="clear" w:color="auto" w:fill="auto"/>
            <w:noWrap/>
            <w:vAlign w:val="bottom"/>
            <w:hideMark/>
          </w:tcPr>
          <w:p w14:paraId="7648A59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5C04A25C"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8D598D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55156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23953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21509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1DFF1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ACEB77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3582CC4" w14:textId="77777777" w:rsidTr="0095397F">
        <w:trPr>
          <w:trHeight w:val="300"/>
        </w:trPr>
        <w:tc>
          <w:tcPr>
            <w:tcW w:w="2980" w:type="dxa"/>
            <w:tcBorders>
              <w:top w:val="nil"/>
              <w:left w:val="nil"/>
              <w:bottom w:val="nil"/>
              <w:right w:val="nil"/>
            </w:tcBorders>
            <w:shd w:val="clear" w:color="auto" w:fill="auto"/>
            <w:noWrap/>
            <w:vAlign w:val="bottom"/>
            <w:hideMark/>
          </w:tcPr>
          <w:p w14:paraId="2EC48C2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3</w:t>
            </w:r>
          </w:p>
        </w:tc>
        <w:tc>
          <w:tcPr>
            <w:tcW w:w="2200" w:type="dxa"/>
            <w:gridSpan w:val="2"/>
            <w:tcBorders>
              <w:top w:val="nil"/>
              <w:left w:val="nil"/>
              <w:bottom w:val="nil"/>
              <w:right w:val="nil"/>
            </w:tcBorders>
            <w:shd w:val="clear" w:color="auto" w:fill="auto"/>
            <w:noWrap/>
            <w:vAlign w:val="bottom"/>
            <w:hideMark/>
          </w:tcPr>
          <w:p w14:paraId="45406BC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5374C947"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25A83E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583305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4E1C0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397AC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B6703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FC4E6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1144EDA" w14:textId="77777777" w:rsidTr="0095397F">
        <w:trPr>
          <w:trHeight w:val="300"/>
        </w:trPr>
        <w:tc>
          <w:tcPr>
            <w:tcW w:w="2980" w:type="dxa"/>
            <w:tcBorders>
              <w:top w:val="nil"/>
              <w:left w:val="nil"/>
              <w:bottom w:val="nil"/>
              <w:right w:val="nil"/>
            </w:tcBorders>
            <w:shd w:val="clear" w:color="auto" w:fill="auto"/>
            <w:noWrap/>
            <w:vAlign w:val="bottom"/>
            <w:hideMark/>
          </w:tcPr>
          <w:p w14:paraId="78BA3E5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4</w:t>
            </w:r>
          </w:p>
        </w:tc>
        <w:tc>
          <w:tcPr>
            <w:tcW w:w="2200" w:type="dxa"/>
            <w:gridSpan w:val="2"/>
            <w:tcBorders>
              <w:top w:val="nil"/>
              <w:left w:val="nil"/>
              <w:bottom w:val="nil"/>
              <w:right w:val="nil"/>
            </w:tcBorders>
            <w:shd w:val="clear" w:color="auto" w:fill="auto"/>
            <w:noWrap/>
            <w:vAlign w:val="bottom"/>
            <w:hideMark/>
          </w:tcPr>
          <w:p w14:paraId="1BF628A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4D819C1A"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EB9C"/>
            <w:noWrap/>
            <w:vAlign w:val="bottom"/>
            <w:hideMark/>
          </w:tcPr>
          <w:p w14:paraId="004E75B4"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5D062F3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4E2CF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20F69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A11BC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B2A29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34C25A6" w14:textId="77777777" w:rsidTr="0095397F">
        <w:trPr>
          <w:trHeight w:val="300"/>
        </w:trPr>
        <w:tc>
          <w:tcPr>
            <w:tcW w:w="2980" w:type="dxa"/>
            <w:tcBorders>
              <w:top w:val="nil"/>
              <w:left w:val="nil"/>
              <w:bottom w:val="nil"/>
              <w:right w:val="nil"/>
            </w:tcBorders>
            <w:shd w:val="clear" w:color="auto" w:fill="auto"/>
            <w:noWrap/>
            <w:vAlign w:val="bottom"/>
            <w:hideMark/>
          </w:tcPr>
          <w:p w14:paraId="2321CC6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5</w:t>
            </w:r>
          </w:p>
        </w:tc>
        <w:tc>
          <w:tcPr>
            <w:tcW w:w="2200" w:type="dxa"/>
            <w:gridSpan w:val="2"/>
            <w:tcBorders>
              <w:top w:val="nil"/>
              <w:left w:val="nil"/>
              <w:bottom w:val="nil"/>
              <w:right w:val="nil"/>
            </w:tcBorders>
            <w:shd w:val="clear" w:color="auto" w:fill="auto"/>
            <w:noWrap/>
            <w:vAlign w:val="bottom"/>
            <w:hideMark/>
          </w:tcPr>
          <w:p w14:paraId="62AC332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0333834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A3F733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34B31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3C7789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69D64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4F309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0740C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B306983" w14:textId="77777777" w:rsidTr="0095397F">
        <w:trPr>
          <w:trHeight w:val="300"/>
        </w:trPr>
        <w:tc>
          <w:tcPr>
            <w:tcW w:w="2980" w:type="dxa"/>
            <w:tcBorders>
              <w:top w:val="nil"/>
              <w:left w:val="nil"/>
              <w:bottom w:val="nil"/>
              <w:right w:val="nil"/>
            </w:tcBorders>
            <w:shd w:val="clear" w:color="auto" w:fill="auto"/>
            <w:noWrap/>
            <w:vAlign w:val="bottom"/>
            <w:hideMark/>
          </w:tcPr>
          <w:p w14:paraId="5B4D1C9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6</w:t>
            </w:r>
          </w:p>
        </w:tc>
        <w:tc>
          <w:tcPr>
            <w:tcW w:w="2200" w:type="dxa"/>
            <w:gridSpan w:val="2"/>
            <w:tcBorders>
              <w:top w:val="nil"/>
              <w:left w:val="nil"/>
              <w:bottom w:val="nil"/>
              <w:right w:val="nil"/>
            </w:tcBorders>
            <w:shd w:val="clear" w:color="auto" w:fill="auto"/>
            <w:noWrap/>
            <w:vAlign w:val="bottom"/>
            <w:hideMark/>
          </w:tcPr>
          <w:p w14:paraId="384F553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56847F23"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40E33F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ED355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A235E6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69E9B0E4"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4534175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A70F9E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86189A3" w14:textId="77777777" w:rsidTr="0095397F">
        <w:trPr>
          <w:trHeight w:val="300"/>
        </w:trPr>
        <w:tc>
          <w:tcPr>
            <w:tcW w:w="2980" w:type="dxa"/>
            <w:tcBorders>
              <w:top w:val="nil"/>
              <w:left w:val="nil"/>
              <w:bottom w:val="nil"/>
              <w:right w:val="nil"/>
            </w:tcBorders>
            <w:shd w:val="clear" w:color="auto" w:fill="auto"/>
            <w:noWrap/>
            <w:vAlign w:val="bottom"/>
            <w:hideMark/>
          </w:tcPr>
          <w:p w14:paraId="6B4CA8D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7</w:t>
            </w:r>
          </w:p>
        </w:tc>
        <w:tc>
          <w:tcPr>
            <w:tcW w:w="2200" w:type="dxa"/>
            <w:gridSpan w:val="2"/>
            <w:tcBorders>
              <w:top w:val="nil"/>
              <w:left w:val="nil"/>
              <w:bottom w:val="nil"/>
              <w:right w:val="nil"/>
            </w:tcBorders>
            <w:shd w:val="clear" w:color="auto" w:fill="auto"/>
            <w:noWrap/>
            <w:vAlign w:val="bottom"/>
            <w:hideMark/>
          </w:tcPr>
          <w:p w14:paraId="76F55F2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3E500D25"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015244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1D777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37D92A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370233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044D0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0AC62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6BCE2CE"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20E9EB2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Calimo 8</w:t>
            </w:r>
          </w:p>
        </w:tc>
        <w:tc>
          <w:tcPr>
            <w:tcW w:w="2200" w:type="dxa"/>
            <w:gridSpan w:val="2"/>
            <w:tcBorders>
              <w:top w:val="nil"/>
              <w:left w:val="nil"/>
              <w:bottom w:val="single" w:sz="8" w:space="0" w:color="auto"/>
              <w:right w:val="nil"/>
            </w:tcBorders>
            <w:shd w:val="clear" w:color="auto" w:fill="auto"/>
            <w:noWrap/>
            <w:vAlign w:val="bottom"/>
            <w:hideMark/>
          </w:tcPr>
          <w:p w14:paraId="48EF5F8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single" w:sz="8" w:space="0" w:color="auto"/>
              <w:right w:val="nil"/>
            </w:tcBorders>
            <w:shd w:val="clear" w:color="auto" w:fill="auto"/>
            <w:noWrap/>
            <w:vAlign w:val="bottom"/>
            <w:hideMark/>
          </w:tcPr>
          <w:p w14:paraId="2230C3D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3D6DED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530752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F0AAA0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72A11C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3F9F35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6F817F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0FEAF98" w14:textId="77777777" w:rsidTr="0095397F">
        <w:trPr>
          <w:trHeight w:val="300"/>
        </w:trPr>
        <w:tc>
          <w:tcPr>
            <w:tcW w:w="2980" w:type="dxa"/>
            <w:tcBorders>
              <w:top w:val="nil"/>
              <w:left w:val="nil"/>
              <w:bottom w:val="nil"/>
              <w:right w:val="nil"/>
            </w:tcBorders>
            <w:shd w:val="clear" w:color="auto" w:fill="auto"/>
            <w:noWrap/>
            <w:vAlign w:val="bottom"/>
            <w:hideMark/>
          </w:tcPr>
          <w:p w14:paraId="7755E4E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1</w:t>
            </w:r>
          </w:p>
        </w:tc>
        <w:tc>
          <w:tcPr>
            <w:tcW w:w="2200" w:type="dxa"/>
            <w:gridSpan w:val="2"/>
            <w:tcBorders>
              <w:top w:val="nil"/>
              <w:left w:val="nil"/>
              <w:bottom w:val="nil"/>
              <w:right w:val="nil"/>
            </w:tcBorders>
            <w:shd w:val="clear" w:color="auto" w:fill="auto"/>
            <w:noWrap/>
            <w:vAlign w:val="bottom"/>
            <w:hideMark/>
          </w:tcPr>
          <w:p w14:paraId="353A891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21AA3337"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97B822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23BC17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97ADDA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995680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3C53FD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2E1C4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55B7DDAE" w14:textId="77777777" w:rsidTr="0095397F">
        <w:trPr>
          <w:trHeight w:val="300"/>
        </w:trPr>
        <w:tc>
          <w:tcPr>
            <w:tcW w:w="2980" w:type="dxa"/>
            <w:tcBorders>
              <w:top w:val="nil"/>
              <w:left w:val="nil"/>
              <w:bottom w:val="nil"/>
              <w:right w:val="nil"/>
            </w:tcBorders>
            <w:shd w:val="clear" w:color="auto" w:fill="auto"/>
            <w:noWrap/>
            <w:vAlign w:val="bottom"/>
            <w:hideMark/>
          </w:tcPr>
          <w:p w14:paraId="55A34D1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2</w:t>
            </w:r>
          </w:p>
        </w:tc>
        <w:tc>
          <w:tcPr>
            <w:tcW w:w="2200" w:type="dxa"/>
            <w:gridSpan w:val="2"/>
            <w:tcBorders>
              <w:top w:val="nil"/>
              <w:left w:val="nil"/>
              <w:bottom w:val="nil"/>
              <w:right w:val="nil"/>
            </w:tcBorders>
            <w:shd w:val="clear" w:color="auto" w:fill="auto"/>
            <w:noWrap/>
            <w:vAlign w:val="bottom"/>
            <w:hideMark/>
          </w:tcPr>
          <w:p w14:paraId="74D109EC"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1276A723"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CF69BB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BFB50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491DFB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B3F113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855B1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004DDA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BE8ED8B" w14:textId="77777777" w:rsidTr="0095397F">
        <w:trPr>
          <w:trHeight w:val="300"/>
        </w:trPr>
        <w:tc>
          <w:tcPr>
            <w:tcW w:w="2980" w:type="dxa"/>
            <w:tcBorders>
              <w:top w:val="nil"/>
              <w:left w:val="nil"/>
              <w:bottom w:val="nil"/>
              <w:right w:val="nil"/>
            </w:tcBorders>
            <w:shd w:val="clear" w:color="auto" w:fill="auto"/>
            <w:noWrap/>
            <w:vAlign w:val="bottom"/>
            <w:hideMark/>
          </w:tcPr>
          <w:p w14:paraId="09C034C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3</w:t>
            </w:r>
          </w:p>
        </w:tc>
        <w:tc>
          <w:tcPr>
            <w:tcW w:w="2200" w:type="dxa"/>
            <w:gridSpan w:val="2"/>
            <w:tcBorders>
              <w:top w:val="nil"/>
              <w:left w:val="nil"/>
              <w:bottom w:val="nil"/>
              <w:right w:val="nil"/>
            </w:tcBorders>
            <w:shd w:val="clear" w:color="auto" w:fill="auto"/>
            <w:noWrap/>
            <w:vAlign w:val="bottom"/>
            <w:hideMark/>
          </w:tcPr>
          <w:p w14:paraId="2DB5927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29C05604"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2B0A42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D97528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146BCE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1C9769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08D7005C" w14:textId="77777777" w:rsidR="006501A4" w:rsidRPr="00324157" w:rsidRDefault="006501A4" w:rsidP="0095397F">
            <w:pPr>
              <w:spacing w:after="0" w:line="240" w:lineRule="auto"/>
              <w:jc w:val="center"/>
              <w:rPr>
                <w:rFonts w:ascii="Wingdings" w:eastAsia="Times New Roman" w:hAnsi="Wingdings" w:cs="Calibri"/>
                <w:color w:val="9C5700"/>
                <w:lang w:eastAsia="en-AU"/>
              </w:rPr>
            </w:pPr>
            <w:r w:rsidRPr="00324157">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3B356ED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11C44A5E" w14:textId="77777777" w:rsidTr="0095397F">
        <w:trPr>
          <w:trHeight w:val="300"/>
        </w:trPr>
        <w:tc>
          <w:tcPr>
            <w:tcW w:w="2980" w:type="dxa"/>
            <w:tcBorders>
              <w:top w:val="nil"/>
              <w:left w:val="nil"/>
              <w:bottom w:val="nil"/>
              <w:right w:val="nil"/>
            </w:tcBorders>
            <w:shd w:val="clear" w:color="auto" w:fill="auto"/>
            <w:noWrap/>
            <w:vAlign w:val="bottom"/>
            <w:hideMark/>
          </w:tcPr>
          <w:p w14:paraId="01EDA80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4</w:t>
            </w:r>
          </w:p>
        </w:tc>
        <w:tc>
          <w:tcPr>
            <w:tcW w:w="2200" w:type="dxa"/>
            <w:gridSpan w:val="2"/>
            <w:tcBorders>
              <w:top w:val="nil"/>
              <w:left w:val="nil"/>
              <w:bottom w:val="nil"/>
              <w:right w:val="nil"/>
            </w:tcBorders>
            <w:shd w:val="clear" w:color="auto" w:fill="auto"/>
            <w:noWrap/>
            <w:vAlign w:val="bottom"/>
            <w:hideMark/>
          </w:tcPr>
          <w:p w14:paraId="155375F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3DE1A71A"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4D4728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3A75F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CC652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51CD5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3EFDE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69EB64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2087B09B" w14:textId="77777777" w:rsidTr="0095397F">
        <w:trPr>
          <w:trHeight w:val="300"/>
        </w:trPr>
        <w:tc>
          <w:tcPr>
            <w:tcW w:w="2980" w:type="dxa"/>
            <w:tcBorders>
              <w:top w:val="nil"/>
              <w:left w:val="nil"/>
              <w:bottom w:val="nil"/>
              <w:right w:val="nil"/>
            </w:tcBorders>
            <w:shd w:val="clear" w:color="auto" w:fill="auto"/>
            <w:noWrap/>
            <w:vAlign w:val="bottom"/>
            <w:hideMark/>
          </w:tcPr>
          <w:p w14:paraId="3265B9F0"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5</w:t>
            </w:r>
          </w:p>
        </w:tc>
        <w:tc>
          <w:tcPr>
            <w:tcW w:w="2200" w:type="dxa"/>
            <w:gridSpan w:val="2"/>
            <w:tcBorders>
              <w:top w:val="nil"/>
              <w:left w:val="nil"/>
              <w:bottom w:val="nil"/>
              <w:right w:val="nil"/>
            </w:tcBorders>
            <w:shd w:val="clear" w:color="auto" w:fill="auto"/>
            <w:noWrap/>
            <w:vAlign w:val="bottom"/>
            <w:hideMark/>
          </w:tcPr>
          <w:p w14:paraId="039AF21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6A466E9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B0E6C7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3637BC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A91434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CE286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CEFA5D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0BA277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6B65B9E" w14:textId="77777777" w:rsidTr="0095397F">
        <w:trPr>
          <w:trHeight w:val="300"/>
        </w:trPr>
        <w:tc>
          <w:tcPr>
            <w:tcW w:w="2980" w:type="dxa"/>
            <w:tcBorders>
              <w:top w:val="nil"/>
              <w:left w:val="nil"/>
              <w:bottom w:val="nil"/>
              <w:right w:val="nil"/>
            </w:tcBorders>
            <w:shd w:val="clear" w:color="auto" w:fill="auto"/>
            <w:noWrap/>
            <w:vAlign w:val="bottom"/>
            <w:hideMark/>
          </w:tcPr>
          <w:p w14:paraId="108EF7A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6</w:t>
            </w:r>
          </w:p>
        </w:tc>
        <w:tc>
          <w:tcPr>
            <w:tcW w:w="2200" w:type="dxa"/>
            <w:gridSpan w:val="2"/>
            <w:tcBorders>
              <w:top w:val="nil"/>
              <w:left w:val="nil"/>
              <w:bottom w:val="nil"/>
              <w:right w:val="nil"/>
            </w:tcBorders>
            <w:shd w:val="clear" w:color="auto" w:fill="auto"/>
            <w:noWrap/>
            <w:vAlign w:val="bottom"/>
            <w:hideMark/>
          </w:tcPr>
          <w:p w14:paraId="57BEED1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5299C8F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0BFAE7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4957D1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ED0EC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5DF62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B9708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1E47D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EB7BA4E" w14:textId="77777777" w:rsidTr="0095397F">
        <w:trPr>
          <w:trHeight w:val="300"/>
        </w:trPr>
        <w:tc>
          <w:tcPr>
            <w:tcW w:w="2980" w:type="dxa"/>
            <w:tcBorders>
              <w:top w:val="nil"/>
              <w:left w:val="nil"/>
              <w:bottom w:val="nil"/>
              <w:right w:val="nil"/>
            </w:tcBorders>
            <w:shd w:val="clear" w:color="auto" w:fill="auto"/>
            <w:noWrap/>
            <w:vAlign w:val="bottom"/>
            <w:hideMark/>
          </w:tcPr>
          <w:p w14:paraId="7CE5A0C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7</w:t>
            </w:r>
          </w:p>
        </w:tc>
        <w:tc>
          <w:tcPr>
            <w:tcW w:w="2200" w:type="dxa"/>
            <w:gridSpan w:val="2"/>
            <w:tcBorders>
              <w:top w:val="nil"/>
              <w:left w:val="nil"/>
              <w:bottom w:val="nil"/>
              <w:right w:val="nil"/>
            </w:tcBorders>
            <w:shd w:val="clear" w:color="auto" w:fill="auto"/>
            <w:noWrap/>
            <w:vAlign w:val="bottom"/>
            <w:hideMark/>
          </w:tcPr>
          <w:p w14:paraId="1056C19A"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nil"/>
              <w:right w:val="nil"/>
            </w:tcBorders>
            <w:shd w:val="clear" w:color="auto" w:fill="auto"/>
            <w:noWrap/>
            <w:vAlign w:val="bottom"/>
            <w:hideMark/>
          </w:tcPr>
          <w:p w14:paraId="6B4DDE6D"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55ADF4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338A9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657C13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9CC52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4374E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2E7B92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76CF12F9"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79731CB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Mallan School 8</w:t>
            </w:r>
          </w:p>
        </w:tc>
        <w:tc>
          <w:tcPr>
            <w:tcW w:w="2200" w:type="dxa"/>
            <w:gridSpan w:val="2"/>
            <w:tcBorders>
              <w:top w:val="nil"/>
              <w:left w:val="nil"/>
              <w:bottom w:val="single" w:sz="8" w:space="0" w:color="auto"/>
              <w:right w:val="nil"/>
            </w:tcBorders>
            <w:shd w:val="clear" w:color="auto" w:fill="auto"/>
            <w:noWrap/>
            <w:vAlign w:val="bottom"/>
            <w:hideMark/>
          </w:tcPr>
          <w:p w14:paraId="5020DB1D"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Colligen-Neimur River</w:t>
            </w:r>
          </w:p>
        </w:tc>
        <w:tc>
          <w:tcPr>
            <w:tcW w:w="940" w:type="dxa"/>
            <w:tcBorders>
              <w:top w:val="nil"/>
              <w:left w:val="nil"/>
              <w:bottom w:val="single" w:sz="8" w:space="0" w:color="auto"/>
              <w:right w:val="nil"/>
            </w:tcBorders>
            <w:shd w:val="clear" w:color="auto" w:fill="auto"/>
            <w:noWrap/>
            <w:vAlign w:val="bottom"/>
            <w:hideMark/>
          </w:tcPr>
          <w:p w14:paraId="1782CA85"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0FA001C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870B7E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74C3B3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288711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7675D76"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3797D7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C5AA06F" w14:textId="77777777" w:rsidTr="0095397F">
        <w:trPr>
          <w:trHeight w:val="300"/>
        </w:trPr>
        <w:tc>
          <w:tcPr>
            <w:tcW w:w="2980" w:type="dxa"/>
            <w:tcBorders>
              <w:top w:val="nil"/>
              <w:left w:val="nil"/>
              <w:bottom w:val="nil"/>
              <w:right w:val="nil"/>
            </w:tcBorders>
            <w:shd w:val="clear" w:color="auto" w:fill="auto"/>
            <w:noWrap/>
            <w:vAlign w:val="bottom"/>
            <w:hideMark/>
          </w:tcPr>
          <w:p w14:paraId="0117C50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1</w:t>
            </w:r>
          </w:p>
        </w:tc>
        <w:tc>
          <w:tcPr>
            <w:tcW w:w="2200" w:type="dxa"/>
            <w:gridSpan w:val="2"/>
            <w:tcBorders>
              <w:top w:val="nil"/>
              <w:left w:val="nil"/>
              <w:bottom w:val="nil"/>
              <w:right w:val="nil"/>
            </w:tcBorders>
            <w:shd w:val="clear" w:color="auto" w:fill="auto"/>
            <w:noWrap/>
            <w:vAlign w:val="bottom"/>
            <w:hideMark/>
          </w:tcPr>
          <w:p w14:paraId="07ED9C9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419D35E8"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3/6</w:t>
            </w:r>
          </w:p>
        </w:tc>
        <w:tc>
          <w:tcPr>
            <w:tcW w:w="500" w:type="dxa"/>
            <w:tcBorders>
              <w:top w:val="nil"/>
              <w:left w:val="nil"/>
              <w:bottom w:val="nil"/>
              <w:right w:val="nil"/>
            </w:tcBorders>
            <w:shd w:val="clear" w:color="000000" w:fill="E2EFDA"/>
            <w:noWrap/>
            <w:vAlign w:val="bottom"/>
            <w:hideMark/>
          </w:tcPr>
          <w:p w14:paraId="4729DD96"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2C268CA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5DED9464"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7E6297F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6DD90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3C2C58E2"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r>
      <w:tr w:rsidR="006501A4" w:rsidRPr="00324157" w14:paraId="7CB0A94D" w14:textId="77777777" w:rsidTr="0095397F">
        <w:trPr>
          <w:trHeight w:val="300"/>
        </w:trPr>
        <w:tc>
          <w:tcPr>
            <w:tcW w:w="2980" w:type="dxa"/>
            <w:tcBorders>
              <w:top w:val="nil"/>
              <w:left w:val="nil"/>
              <w:bottom w:val="nil"/>
              <w:right w:val="nil"/>
            </w:tcBorders>
            <w:shd w:val="clear" w:color="auto" w:fill="auto"/>
            <w:noWrap/>
            <w:vAlign w:val="bottom"/>
            <w:hideMark/>
          </w:tcPr>
          <w:p w14:paraId="0BC97CF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2</w:t>
            </w:r>
          </w:p>
        </w:tc>
        <w:tc>
          <w:tcPr>
            <w:tcW w:w="2200" w:type="dxa"/>
            <w:gridSpan w:val="2"/>
            <w:tcBorders>
              <w:top w:val="nil"/>
              <w:left w:val="nil"/>
              <w:bottom w:val="nil"/>
              <w:right w:val="nil"/>
            </w:tcBorders>
            <w:shd w:val="clear" w:color="auto" w:fill="auto"/>
            <w:noWrap/>
            <w:vAlign w:val="bottom"/>
            <w:hideMark/>
          </w:tcPr>
          <w:p w14:paraId="4BCCFEB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12551956"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5B9C41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A3B97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0FA6C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97F281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31F2EA"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D40DED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0F7B3028" w14:textId="77777777" w:rsidTr="0095397F">
        <w:trPr>
          <w:trHeight w:val="300"/>
        </w:trPr>
        <w:tc>
          <w:tcPr>
            <w:tcW w:w="2980" w:type="dxa"/>
            <w:tcBorders>
              <w:top w:val="nil"/>
              <w:left w:val="nil"/>
              <w:bottom w:val="nil"/>
              <w:right w:val="nil"/>
            </w:tcBorders>
            <w:shd w:val="clear" w:color="auto" w:fill="auto"/>
            <w:noWrap/>
            <w:vAlign w:val="bottom"/>
            <w:hideMark/>
          </w:tcPr>
          <w:p w14:paraId="205BE3B7"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3</w:t>
            </w:r>
          </w:p>
        </w:tc>
        <w:tc>
          <w:tcPr>
            <w:tcW w:w="2200" w:type="dxa"/>
            <w:gridSpan w:val="2"/>
            <w:tcBorders>
              <w:top w:val="nil"/>
              <w:left w:val="nil"/>
              <w:bottom w:val="nil"/>
              <w:right w:val="nil"/>
            </w:tcBorders>
            <w:shd w:val="clear" w:color="auto" w:fill="auto"/>
            <w:noWrap/>
            <w:vAlign w:val="bottom"/>
            <w:hideMark/>
          </w:tcPr>
          <w:p w14:paraId="003B96F6"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091B06AE"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CDBF43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D35A4C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FEAB0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DF3EB6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199DF2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1298C3"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2670208" w14:textId="77777777" w:rsidTr="0095397F">
        <w:trPr>
          <w:trHeight w:val="300"/>
        </w:trPr>
        <w:tc>
          <w:tcPr>
            <w:tcW w:w="2980" w:type="dxa"/>
            <w:tcBorders>
              <w:top w:val="nil"/>
              <w:left w:val="nil"/>
              <w:bottom w:val="nil"/>
              <w:right w:val="nil"/>
            </w:tcBorders>
            <w:shd w:val="clear" w:color="auto" w:fill="auto"/>
            <w:noWrap/>
            <w:vAlign w:val="bottom"/>
            <w:hideMark/>
          </w:tcPr>
          <w:p w14:paraId="03F334AB"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4</w:t>
            </w:r>
          </w:p>
        </w:tc>
        <w:tc>
          <w:tcPr>
            <w:tcW w:w="2200" w:type="dxa"/>
            <w:gridSpan w:val="2"/>
            <w:tcBorders>
              <w:top w:val="nil"/>
              <w:left w:val="nil"/>
              <w:bottom w:val="nil"/>
              <w:right w:val="nil"/>
            </w:tcBorders>
            <w:shd w:val="clear" w:color="auto" w:fill="auto"/>
            <w:noWrap/>
            <w:vAlign w:val="bottom"/>
            <w:hideMark/>
          </w:tcPr>
          <w:p w14:paraId="24383833"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1BD0B939"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315E782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335B3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1D3EFC90"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146BE0E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9FC76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B25B5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1FB39327" w14:textId="77777777" w:rsidTr="0095397F">
        <w:trPr>
          <w:trHeight w:val="300"/>
        </w:trPr>
        <w:tc>
          <w:tcPr>
            <w:tcW w:w="2980" w:type="dxa"/>
            <w:tcBorders>
              <w:top w:val="nil"/>
              <w:left w:val="nil"/>
              <w:bottom w:val="nil"/>
              <w:right w:val="nil"/>
            </w:tcBorders>
            <w:shd w:val="clear" w:color="auto" w:fill="auto"/>
            <w:noWrap/>
            <w:vAlign w:val="bottom"/>
            <w:hideMark/>
          </w:tcPr>
          <w:p w14:paraId="04C5B631"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5</w:t>
            </w:r>
          </w:p>
        </w:tc>
        <w:tc>
          <w:tcPr>
            <w:tcW w:w="2200" w:type="dxa"/>
            <w:gridSpan w:val="2"/>
            <w:tcBorders>
              <w:top w:val="nil"/>
              <w:left w:val="nil"/>
              <w:bottom w:val="nil"/>
              <w:right w:val="nil"/>
            </w:tcBorders>
            <w:shd w:val="clear" w:color="auto" w:fill="auto"/>
            <w:noWrap/>
            <w:vAlign w:val="bottom"/>
            <w:hideMark/>
          </w:tcPr>
          <w:p w14:paraId="2FEB1BA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69903200"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FFC7CE"/>
            <w:noWrap/>
            <w:vAlign w:val="bottom"/>
            <w:hideMark/>
          </w:tcPr>
          <w:p w14:paraId="5BDB188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E2EFDA"/>
            <w:noWrap/>
            <w:vAlign w:val="bottom"/>
            <w:hideMark/>
          </w:tcPr>
          <w:p w14:paraId="7F487D14"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1AF3758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8EFBED7"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7903F0"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D98F31D"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1F2712B" w14:textId="77777777" w:rsidTr="0095397F">
        <w:trPr>
          <w:trHeight w:val="300"/>
        </w:trPr>
        <w:tc>
          <w:tcPr>
            <w:tcW w:w="2980" w:type="dxa"/>
            <w:tcBorders>
              <w:top w:val="nil"/>
              <w:left w:val="nil"/>
              <w:bottom w:val="nil"/>
              <w:right w:val="nil"/>
            </w:tcBorders>
            <w:shd w:val="clear" w:color="auto" w:fill="auto"/>
            <w:noWrap/>
            <w:vAlign w:val="bottom"/>
            <w:hideMark/>
          </w:tcPr>
          <w:p w14:paraId="4720FD2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6</w:t>
            </w:r>
          </w:p>
        </w:tc>
        <w:tc>
          <w:tcPr>
            <w:tcW w:w="2200" w:type="dxa"/>
            <w:gridSpan w:val="2"/>
            <w:tcBorders>
              <w:top w:val="nil"/>
              <w:left w:val="nil"/>
              <w:bottom w:val="nil"/>
              <w:right w:val="nil"/>
            </w:tcBorders>
            <w:shd w:val="clear" w:color="auto" w:fill="auto"/>
            <w:noWrap/>
            <w:vAlign w:val="bottom"/>
            <w:hideMark/>
          </w:tcPr>
          <w:p w14:paraId="579BE382"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1273CA1F"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F1DBD35"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2F0921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2205ABC"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E45BFD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4DDFB1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F5921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4BBE28DE" w14:textId="77777777" w:rsidTr="0095397F">
        <w:trPr>
          <w:trHeight w:val="300"/>
        </w:trPr>
        <w:tc>
          <w:tcPr>
            <w:tcW w:w="2980" w:type="dxa"/>
            <w:tcBorders>
              <w:top w:val="nil"/>
              <w:left w:val="nil"/>
              <w:bottom w:val="nil"/>
              <w:right w:val="nil"/>
            </w:tcBorders>
            <w:shd w:val="clear" w:color="auto" w:fill="auto"/>
            <w:noWrap/>
            <w:vAlign w:val="bottom"/>
            <w:hideMark/>
          </w:tcPr>
          <w:p w14:paraId="0CEC5F48"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7</w:t>
            </w:r>
          </w:p>
        </w:tc>
        <w:tc>
          <w:tcPr>
            <w:tcW w:w="2200" w:type="dxa"/>
            <w:gridSpan w:val="2"/>
            <w:tcBorders>
              <w:top w:val="nil"/>
              <w:left w:val="nil"/>
              <w:bottom w:val="nil"/>
              <w:right w:val="nil"/>
            </w:tcBorders>
            <w:shd w:val="clear" w:color="auto" w:fill="auto"/>
            <w:noWrap/>
            <w:vAlign w:val="bottom"/>
            <w:hideMark/>
          </w:tcPr>
          <w:p w14:paraId="63100CC5"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nil"/>
              <w:right w:val="nil"/>
            </w:tcBorders>
            <w:shd w:val="clear" w:color="auto" w:fill="auto"/>
            <w:noWrap/>
            <w:vAlign w:val="bottom"/>
            <w:hideMark/>
          </w:tcPr>
          <w:p w14:paraId="79C6C392"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1/6</w:t>
            </w:r>
          </w:p>
        </w:tc>
        <w:tc>
          <w:tcPr>
            <w:tcW w:w="500" w:type="dxa"/>
            <w:tcBorders>
              <w:top w:val="nil"/>
              <w:left w:val="nil"/>
              <w:bottom w:val="nil"/>
              <w:right w:val="nil"/>
            </w:tcBorders>
            <w:shd w:val="clear" w:color="000000" w:fill="E2EFDA"/>
            <w:noWrap/>
            <w:vAlign w:val="bottom"/>
            <w:hideMark/>
          </w:tcPr>
          <w:p w14:paraId="5949A85B" w14:textId="77777777" w:rsidR="006501A4" w:rsidRPr="00324157" w:rsidRDefault="006501A4" w:rsidP="0095397F">
            <w:pPr>
              <w:spacing w:after="0" w:line="240" w:lineRule="auto"/>
              <w:jc w:val="center"/>
              <w:rPr>
                <w:rFonts w:ascii="Wingdings" w:eastAsia="Times New Roman" w:hAnsi="Wingdings" w:cs="Calibri"/>
                <w:color w:val="000000"/>
                <w:lang w:eastAsia="en-AU"/>
              </w:rPr>
            </w:pPr>
            <w:r w:rsidRPr="00324157">
              <w:rPr>
                <w:rFonts w:ascii="Wingdings" w:eastAsia="Times New Roman" w:hAnsi="Wingdings" w:cs="Calibri"/>
                <w:color w:val="000000"/>
                <w:lang w:eastAsia="en-AU"/>
              </w:rPr>
              <w:t></w:t>
            </w:r>
          </w:p>
        </w:tc>
        <w:tc>
          <w:tcPr>
            <w:tcW w:w="500" w:type="dxa"/>
            <w:tcBorders>
              <w:top w:val="nil"/>
              <w:left w:val="nil"/>
              <w:bottom w:val="nil"/>
              <w:right w:val="nil"/>
            </w:tcBorders>
            <w:shd w:val="clear" w:color="000000" w:fill="FFC7CE"/>
            <w:noWrap/>
            <w:vAlign w:val="bottom"/>
            <w:hideMark/>
          </w:tcPr>
          <w:p w14:paraId="79CC8FA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B12A9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BC43DE"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B846109"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8B5164"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r w:rsidR="006501A4" w:rsidRPr="00324157" w14:paraId="6D3076AF" w14:textId="77777777" w:rsidTr="0095397F">
        <w:trPr>
          <w:trHeight w:val="315"/>
        </w:trPr>
        <w:tc>
          <w:tcPr>
            <w:tcW w:w="2980" w:type="dxa"/>
            <w:tcBorders>
              <w:top w:val="nil"/>
              <w:left w:val="nil"/>
              <w:bottom w:val="single" w:sz="8" w:space="0" w:color="auto"/>
              <w:right w:val="nil"/>
            </w:tcBorders>
            <w:shd w:val="clear" w:color="auto" w:fill="auto"/>
            <w:noWrap/>
            <w:vAlign w:val="bottom"/>
            <w:hideMark/>
          </w:tcPr>
          <w:p w14:paraId="5932A7AF"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Windra Vale2 8</w:t>
            </w:r>
          </w:p>
        </w:tc>
        <w:tc>
          <w:tcPr>
            <w:tcW w:w="2200" w:type="dxa"/>
            <w:gridSpan w:val="2"/>
            <w:tcBorders>
              <w:top w:val="nil"/>
              <w:left w:val="nil"/>
              <w:bottom w:val="single" w:sz="8" w:space="0" w:color="auto"/>
              <w:right w:val="nil"/>
            </w:tcBorders>
            <w:shd w:val="clear" w:color="auto" w:fill="auto"/>
            <w:noWrap/>
            <w:vAlign w:val="bottom"/>
            <w:hideMark/>
          </w:tcPr>
          <w:p w14:paraId="0757D904" w14:textId="77777777" w:rsidR="006501A4" w:rsidRPr="00324157" w:rsidRDefault="006501A4" w:rsidP="0095397F">
            <w:pPr>
              <w:spacing w:after="0" w:line="240" w:lineRule="auto"/>
              <w:rPr>
                <w:rFonts w:eastAsia="Times New Roman" w:cs="Calibri"/>
                <w:color w:val="000000"/>
                <w:lang w:eastAsia="en-AU"/>
              </w:rPr>
            </w:pPr>
            <w:r w:rsidRPr="00324157">
              <w:rPr>
                <w:rFonts w:eastAsia="Times New Roman" w:cs="Calibri"/>
                <w:color w:val="000000"/>
                <w:lang w:eastAsia="en-AU"/>
              </w:rPr>
              <w:t>Yallakool Creek</w:t>
            </w:r>
          </w:p>
        </w:tc>
        <w:tc>
          <w:tcPr>
            <w:tcW w:w="940" w:type="dxa"/>
            <w:tcBorders>
              <w:top w:val="nil"/>
              <w:left w:val="nil"/>
              <w:bottom w:val="single" w:sz="8" w:space="0" w:color="auto"/>
              <w:right w:val="nil"/>
            </w:tcBorders>
            <w:shd w:val="clear" w:color="auto" w:fill="auto"/>
            <w:noWrap/>
            <w:vAlign w:val="bottom"/>
            <w:hideMark/>
          </w:tcPr>
          <w:p w14:paraId="502D2C45" w14:textId="77777777" w:rsidR="006501A4" w:rsidRPr="00324157" w:rsidRDefault="006501A4" w:rsidP="0095397F">
            <w:pPr>
              <w:spacing w:after="0" w:line="240" w:lineRule="auto"/>
              <w:jc w:val="center"/>
              <w:rPr>
                <w:rFonts w:eastAsia="Times New Roman" w:cs="Calibri"/>
                <w:color w:val="000000"/>
                <w:lang w:eastAsia="en-AU"/>
              </w:rPr>
            </w:pPr>
            <w:r w:rsidRPr="00324157">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7008274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3D7FBA8"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FDE114F"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54ABCCB"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F39A152"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0EE9E01" w14:textId="77777777" w:rsidR="006501A4" w:rsidRPr="00324157" w:rsidRDefault="006501A4" w:rsidP="0095397F">
            <w:pPr>
              <w:spacing w:after="0" w:line="240" w:lineRule="auto"/>
              <w:jc w:val="center"/>
              <w:rPr>
                <w:rFonts w:eastAsia="Times New Roman" w:cs="Calibri"/>
                <w:color w:val="9C0006"/>
                <w:lang w:eastAsia="en-AU"/>
              </w:rPr>
            </w:pPr>
            <w:r w:rsidRPr="00324157">
              <w:rPr>
                <w:rFonts w:eastAsia="Times New Roman" w:cs="Calibri"/>
                <w:color w:val="9C0006"/>
                <w:lang w:eastAsia="en-AU"/>
              </w:rPr>
              <w:t>×</w:t>
            </w:r>
          </w:p>
        </w:tc>
      </w:tr>
    </w:tbl>
    <w:p w14:paraId="77460E1C" w14:textId="77777777" w:rsidR="006501A4"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pPr>
    </w:p>
    <w:p w14:paraId="55982FCC" w14:textId="77777777" w:rsidR="006501A4" w:rsidRDefault="006501A4" w:rsidP="006501A4">
      <w:pPr>
        <w:rPr>
          <w:rFonts w:eastAsia="Times New Roman"/>
          <w:b/>
          <w:color w:val="201F1E"/>
          <w:sz w:val="20"/>
          <w:bdr w:val="none" w:sz="0" w:space="0" w:color="auto" w:frame="1"/>
          <w:lang w:eastAsia="en-AU"/>
        </w:rPr>
      </w:pPr>
      <w:r>
        <w:rPr>
          <w:b/>
          <w:color w:val="201F1E"/>
          <w:sz w:val="20"/>
          <w:bdr w:val="none" w:sz="0" w:space="0" w:color="auto" w:frame="1"/>
        </w:rPr>
        <w:br w:type="page"/>
      </w:r>
    </w:p>
    <w:p w14:paraId="4A6E870A" w14:textId="77777777" w:rsidR="006501A4" w:rsidRDefault="006501A4" w:rsidP="0011303A">
      <w:pPr>
        <w:pStyle w:val="xmsonormal"/>
        <w:shd w:val="clear" w:color="auto" w:fill="FFFFFF"/>
        <w:spacing w:before="0" w:beforeAutospacing="0" w:after="0" w:afterAutospacing="0"/>
        <w:ind w:right="-285"/>
        <w:textAlignment w:val="baseline"/>
        <w:rPr>
          <w:rFonts w:asciiTheme="minorHAnsi" w:hAnsiTheme="minorHAnsi"/>
          <w:color w:val="201F1E"/>
          <w:sz w:val="20"/>
          <w:szCs w:val="20"/>
          <w:bdr w:val="none" w:sz="0" w:space="0" w:color="auto" w:frame="1"/>
        </w:rPr>
      </w:pPr>
      <w:r w:rsidRPr="003361DF">
        <w:rPr>
          <w:rFonts w:asciiTheme="minorHAnsi" w:hAnsiTheme="minorHAnsi"/>
          <w:b/>
          <w:color w:val="201F1E"/>
          <w:sz w:val="20"/>
          <w:szCs w:val="20"/>
          <w:bdr w:val="none" w:sz="0" w:space="0" w:color="auto" w:frame="1"/>
        </w:rPr>
        <w:t xml:space="preserve">Appendix </w:t>
      </w:r>
      <w:r w:rsidRPr="003361DF">
        <w:rPr>
          <w:rFonts w:asciiTheme="minorHAnsi" w:hAnsiTheme="minorHAnsi"/>
          <w:b/>
          <w:bCs/>
          <w:color w:val="201F1E"/>
          <w:sz w:val="20"/>
          <w:szCs w:val="20"/>
          <w:bdr w:val="none" w:sz="0" w:space="0" w:color="auto" w:frame="1"/>
        </w:rPr>
        <w:t>12.</w:t>
      </w:r>
      <w:r>
        <w:rPr>
          <w:rFonts w:asciiTheme="minorHAnsi" w:hAnsiTheme="minorHAnsi"/>
          <w:b/>
          <w:bCs/>
          <w:color w:val="201F1E"/>
          <w:sz w:val="20"/>
          <w:szCs w:val="20"/>
          <w:bdr w:val="none" w:sz="0" w:space="0" w:color="auto" w:frame="1"/>
        </w:rPr>
        <w:t>6</w:t>
      </w:r>
      <w:r w:rsidRPr="002967FF">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silver perch</w:t>
      </w:r>
      <w:r w:rsidRPr="002967FF">
        <w:rPr>
          <w:rFonts w:asciiTheme="minorHAnsi" w:hAnsiTheme="minorHAnsi"/>
          <w:color w:val="201F1E"/>
          <w:sz w:val="20"/>
          <w:szCs w:val="20"/>
          <w:bdr w:val="none" w:sz="0" w:space="0" w:color="auto" w:frame="1"/>
        </w:rPr>
        <w:t xml:space="preserve"> at the ten sampling locations.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 The boxed green tick (Eastman Bridge) was detected in two of the 12 additional qPCR technical replicates and thus is considered a true positive.</w:t>
      </w:r>
      <w:r w:rsidRPr="0091446E">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tbl>
      <w:tblPr>
        <w:tblW w:w="9240" w:type="dxa"/>
        <w:tblLook w:val="04A0" w:firstRow="1" w:lastRow="0" w:firstColumn="1" w:lastColumn="0" w:noHBand="0" w:noVBand="1"/>
      </w:tblPr>
      <w:tblGrid>
        <w:gridCol w:w="2694"/>
        <w:gridCol w:w="2409"/>
        <w:gridCol w:w="1017"/>
        <w:gridCol w:w="520"/>
        <w:gridCol w:w="520"/>
        <w:gridCol w:w="520"/>
        <w:gridCol w:w="520"/>
        <w:gridCol w:w="520"/>
        <w:gridCol w:w="520"/>
      </w:tblGrid>
      <w:tr w:rsidR="006501A4" w:rsidRPr="00472909" w14:paraId="723029DD" w14:textId="77777777" w:rsidTr="0095397F">
        <w:trPr>
          <w:trHeight w:val="300"/>
        </w:trPr>
        <w:tc>
          <w:tcPr>
            <w:tcW w:w="2694" w:type="dxa"/>
            <w:tcBorders>
              <w:top w:val="nil"/>
              <w:left w:val="nil"/>
              <w:bottom w:val="nil"/>
              <w:right w:val="nil"/>
            </w:tcBorders>
            <w:shd w:val="clear" w:color="auto" w:fill="92CDDC"/>
            <w:noWrap/>
            <w:vAlign w:val="bottom"/>
            <w:hideMark/>
          </w:tcPr>
          <w:p w14:paraId="0D3F73FC" w14:textId="77777777" w:rsidR="006501A4" w:rsidRPr="00472909" w:rsidRDefault="006501A4" w:rsidP="0011303A">
            <w:pPr>
              <w:spacing w:after="0" w:line="240" w:lineRule="auto"/>
              <w:rPr>
                <w:rFonts w:eastAsia="Times New Roman" w:cs="Calibri"/>
                <w:color w:val="000000"/>
                <w:lang w:eastAsia="en-AU"/>
              </w:rPr>
            </w:pPr>
          </w:p>
        </w:tc>
        <w:tc>
          <w:tcPr>
            <w:tcW w:w="2409" w:type="dxa"/>
            <w:tcBorders>
              <w:top w:val="nil"/>
              <w:left w:val="nil"/>
              <w:bottom w:val="nil"/>
              <w:right w:val="nil"/>
            </w:tcBorders>
            <w:shd w:val="clear" w:color="auto" w:fill="92CDDC"/>
            <w:noWrap/>
            <w:vAlign w:val="bottom"/>
            <w:hideMark/>
          </w:tcPr>
          <w:p w14:paraId="56514CDB" w14:textId="77777777" w:rsidR="006501A4" w:rsidRPr="00472909" w:rsidRDefault="006501A4" w:rsidP="0011303A">
            <w:pPr>
              <w:spacing w:after="0" w:line="240" w:lineRule="auto"/>
              <w:rPr>
                <w:rFonts w:eastAsia="Times New Roman" w:cs="Calibri"/>
                <w:color w:val="000000"/>
                <w:lang w:eastAsia="en-AU"/>
              </w:rPr>
            </w:pPr>
          </w:p>
        </w:tc>
        <w:tc>
          <w:tcPr>
            <w:tcW w:w="1017" w:type="dxa"/>
            <w:tcBorders>
              <w:top w:val="nil"/>
              <w:left w:val="nil"/>
              <w:bottom w:val="nil"/>
              <w:right w:val="nil"/>
            </w:tcBorders>
            <w:shd w:val="clear" w:color="auto" w:fill="92CDDC"/>
            <w:noWrap/>
            <w:vAlign w:val="bottom"/>
            <w:hideMark/>
          </w:tcPr>
          <w:p w14:paraId="07FE6440" w14:textId="77777777" w:rsidR="006501A4" w:rsidRPr="00472909" w:rsidRDefault="006501A4" w:rsidP="0011303A">
            <w:pPr>
              <w:spacing w:after="0" w:line="240" w:lineRule="auto"/>
              <w:rPr>
                <w:rFonts w:ascii="Times New Roman" w:eastAsia="Times New Roman" w:hAnsi="Times New Roman"/>
                <w:sz w:val="20"/>
                <w:lang w:eastAsia="en-AU"/>
              </w:rPr>
            </w:pPr>
          </w:p>
        </w:tc>
        <w:tc>
          <w:tcPr>
            <w:tcW w:w="3120" w:type="dxa"/>
            <w:gridSpan w:val="6"/>
            <w:tcBorders>
              <w:top w:val="nil"/>
              <w:left w:val="nil"/>
              <w:bottom w:val="nil"/>
              <w:right w:val="nil"/>
            </w:tcBorders>
            <w:shd w:val="clear" w:color="auto" w:fill="92CDDC"/>
            <w:noWrap/>
            <w:vAlign w:val="bottom"/>
            <w:hideMark/>
          </w:tcPr>
          <w:p w14:paraId="455893F0" w14:textId="77777777" w:rsidR="006501A4" w:rsidRPr="00AA617F" w:rsidRDefault="006501A4" w:rsidP="0011303A">
            <w:pPr>
              <w:spacing w:after="0" w:line="240" w:lineRule="auto"/>
              <w:jc w:val="center"/>
              <w:rPr>
                <w:rFonts w:eastAsia="Times New Roman" w:cs="Calibri"/>
                <w:color w:val="000000"/>
                <w:sz w:val="20"/>
                <w:lang w:eastAsia="en-AU"/>
              </w:rPr>
            </w:pPr>
            <w:r w:rsidRPr="00AA617F">
              <w:rPr>
                <w:rFonts w:eastAsia="Times New Roman" w:cs="Calibri"/>
                <w:color w:val="000000"/>
                <w:sz w:val="20"/>
                <w:lang w:eastAsia="en-AU"/>
              </w:rPr>
              <w:t>Technical replicates</w:t>
            </w:r>
          </w:p>
        </w:tc>
      </w:tr>
      <w:tr w:rsidR="006501A4" w:rsidRPr="00472909" w14:paraId="7176C914" w14:textId="77777777" w:rsidTr="0095397F">
        <w:trPr>
          <w:trHeight w:val="315"/>
        </w:trPr>
        <w:tc>
          <w:tcPr>
            <w:tcW w:w="2694" w:type="dxa"/>
            <w:tcBorders>
              <w:top w:val="nil"/>
              <w:left w:val="nil"/>
              <w:bottom w:val="single" w:sz="8" w:space="0" w:color="auto"/>
              <w:right w:val="nil"/>
            </w:tcBorders>
            <w:shd w:val="clear" w:color="auto" w:fill="92CDDC"/>
            <w:noWrap/>
            <w:vAlign w:val="bottom"/>
            <w:hideMark/>
          </w:tcPr>
          <w:p w14:paraId="3CC2EEA8" w14:textId="77777777" w:rsidR="006501A4" w:rsidRPr="00472909" w:rsidRDefault="006501A4" w:rsidP="0011303A">
            <w:pPr>
              <w:spacing w:after="0" w:line="240" w:lineRule="auto"/>
              <w:rPr>
                <w:rFonts w:eastAsia="Times New Roman" w:cs="Calibri"/>
                <w:color w:val="000000"/>
                <w:lang w:eastAsia="en-AU"/>
              </w:rPr>
            </w:pPr>
            <w:r w:rsidRPr="00472909">
              <w:rPr>
                <w:rFonts w:eastAsia="Times New Roman" w:cs="Calibri"/>
                <w:color w:val="000000"/>
                <w:lang w:eastAsia="en-AU"/>
              </w:rPr>
              <w:t> </w:t>
            </w:r>
          </w:p>
        </w:tc>
        <w:tc>
          <w:tcPr>
            <w:tcW w:w="2409" w:type="dxa"/>
            <w:tcBorders>
              <w:top w:val="nil"/>
              <w:left w:val="nil"/>
              <w:bottom w:val="single" w:sz="8" w:space="0" w:color="auto"/>
              <w:right w:val="nil"/>
            </w:tcBorders>
            <w:shd w:val="clear" w:color="auto" w:fill="92CDDC"/>
            <w:noWrap/>
            <w:vAlign w:val="bottom"/>
            <w:hideMark/>
          </w:tcPr>
          <w:p w14:paraId="1D4A881D" w14:textId="77777777" w:rsidR="006501A4" w:rsidRPr="00472909" w:rsidRDefault="006501A4" w:rsidP="0011303A">
            <w:pPr>
              <w:spacing w:after="0" w:line="240" w:lineRule="auto"/>
              <w:rPr>
                <w:rFonts w:eastAsia="Times New Roman" w:cs="Calibri"/>
                <w:color w:val="000000"/>
                <w:lang w:eastAsia="en-AU"/>
              </w:rPr>
            </w:pPr>
            <w:r w:rsidRPr="00472909">
              <w:rPr>
                <w:rFonts w:eastAsia="Times New Roman" w:cs="Calibri"/>
                <w:color w:val="000000"/>
                <w:lang w:eastAsia="en-AU"/>
              </w:rPr>
              <w:t>Waterway</w:t>
            </w:r>
          </w:p>
        </w:tc>
        <w:tc>
          <w:tcPr>
            <w:tcW w:w="1017" w:type="dxa"/>
            <w:tcBorders>
              <w:top w:val="nil"/>
              <w:left w:val="nil"/>
              <w:bottom w:val="single" w:sz="8" w:space="0" w:color="auto"/>
              <w:right w:val="nil"/>
            </w:tcBorders>
            <w:shd w:val="clear" w:color="auto" w:fill="92CDDC"/>
            <w:noWrap/>
            <w:vAlign w:val="bottom"/>
            <w:hideMark/>
          </w:tcPr>
          <w:p w14:paraId="4F547549"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Pos reps</w:t>
            </w:r>
          </w:p>
        </w:tc>
        <w:tc>
          <w:tcPr>
            <w:tcW w:w="520" w:type="dxa"/>
            <w:tcBorders>
              <w:top w:val="nil"/>
              <w:left w:val="nil"/>
              <w:bottom w:val="single" w:sz="8" w:space="0" w:color="auto"/>
              <w:right w:val="nil"/>
            </w:tcBorders>
            <w:shd w:val="clear" w:color="auto" w:fill="92CDDC"/>
            <w:noWrap/>
            <w:vAlign w:val="bottom"/>
            <w:hideMark/>
          </w:tcPr>
          <w:p w14:paraId="7624468F"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n1</w:t>
            </w:r>
          </w:p>
        </w:tc>
        <w:tc>
          <w:tcPr>
            <w:tcW w:w="520" w:type="dxa"/>
            <w:tcBorders>
              <w:top w:val="nil"/>
              <w:left w:val="nil"/>
              <w:bottom w:val="single" w:sz="8" w:space="0" w:color="auto"/>
              <w:right w:val="nil"/>
            </w:tcBorders>
            <w:shd w:val="clear" w:color="auto" w:fill="92CDDC"/>
            <w:noWrap/>
            <w:vAlign w:val="bottom"/>
            <w:hideMark/>
          </w:tcPr>
          <w:p w14:paraId="68B3E25E"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n2</w:t>
            </w:r>
          </w:p>
        </w:tc>
        <w:tc>
          <w:tcPr>
            <w:tcW w:w="520" w:type="dxa"/>
            <w:tcBorders>
              <w:top w:val="nil"/>
              <w:left w:val="nil"/>
              <w:bottom w:val="single" w:sz="8" w:space="0" w:color="auto"/>
              <w:right w:val="nil"/>
            </w:tcBorders>
            <w:shd w:val="clear" w:color="auto" w:fill="92CDDC"/>
            <w:noWrap/>
            <w:vAlign w:val="bottom"/>
            <w:hideMark/>
          </w:tcPr>
          <w:p w14:paraId="58002B41"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n3</w:t>
            </w:r>
          </w:p>
        </w:tc>
        <w:tc>
          <w:tcPr>
            <w:tcW w:w="520" w:type="dxa"/>
            <w:tcBorders>
              <w:top w:val="nil"/>
              <w:left w:val="nil"/>
              <w:bottom w:val="single" w:sz="8" w:space="0" w:color="auto"/>
              <w:right w:val="nil"/>
            </w:tcBorders>
            <w:shd w:val="clear" w:color="auto" w:fill="92CDDC"/>
            <w:noWrap/>
            <w:vAlign w:val="bottom"/>
            <w:hideMark/>
          </w:tcPr>
          <w:p w14:paraId="1988472A"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n4</w:t>
            </w:r>
          </w:p>
        </w:tc>
        <w:tc>
          <w:tcPr>
            <w:tcW w:w="520" w:type="dxa"/>
            <w:tcBorders>
              <w:top w:val="nil"/>
              <w:left w:val="nil"/>
              <w:bottom w:val="single" w:sz="8" w:space="0" w:color="auto"/>
              <w:right w:val="nil"/>
            </w:tcBorders>
            <w:shd w:val="clear" w:color="auto" w:fill="92CDDC"/>
            <w:noWrap/>
            <w:vAlign w:val="bottom"/>
            <w:hideMark/>
          </w:tcPr>
          <w:p w14:paraId="1C1ED4FA"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n5</w:t>
            </w:r>
          </w:p>
        </w:tc>
        <w:tc>
          <w:tcPr>
            <w:tcW w:w="520" w:type="dxa"/>
            <w:tcBorders>
              <w:top w:val="nil"/>
              <w:left w:val="nil"/>
              <w:bottom w:val="single" w:sz="8" w:space="0" w:color="auto"/>
              <w:right w:val="nil"/>
            </w:tcBorders>
            <w:shd w:val="clear" w:color="auto" w:fill="92CDDC"/>
            <w:noWrap/>
            <w:vAlign w:val="bottom"/>
            <w:hideMark/>
          </w:tcPr>
          <w:p w14:paraId="65DD2F91" w14:textId="77777777" w:rsidR="006501A4" w:rsidRPr="00472909" w:rsidRDefault="006501A4" w:rsidP="0011303A">
            <w:pPr>
              <w:spacing w:after="0" w:line="240" w:lineRule="auto"/>
              <w:jc w:val="center"/>
              <w:rPr>
                <w:rFonts w:eastAsia="Times New Roman" w:cs="Calibri"/>
                <w:color w:val="000000"/>
                <w:lang w:eastAsia="en-AU"/>
              </w:rPr>
            </w:pPr>
            <w:r w:rsidRPr="00472909">
              <w:rPr>
                <w:rFonts w:eastAsia="Times New Roman" w:cs="Calibri"/>
                <w:color w:val="000000"/>
                <w:lang w:eastAsia="en-AU"/>
              </w:rPr>
              <w:t>n6</w:t>
            </w:r>
          </w:p>
        </w:tc>
      </w:tr>
      <w:tr w:rsidR="006501A4" w:rsidRPr="00472909" w14:paraId="6F55873F" w14:textId="77777777" w:rsidTr="0095397F">
        <w:trPr>
          <w:trHeight w:val="300"/>
        </w:trPr>
        <w:tc>
          <w:tcPr>
            <w:tcW w:w="2694" w:type="dxa"/>
            <w:tcBorders>
              <w:top w:val="nil"/>
              <w:left w:val="nil"/>
              <w:bottom w:val="nil"/>
              <w:right w:val="nil"/>
            </w:tcBorders>
            <w:shd w:val="clear" w:color="auto" w:fill="auto"/>
            <w:noWrap/>
            <w:vAlign w:val="bottom"/>
            <w:hideMark/>
          </w:tcPr>
          <w:p w14:paraId="750D0AA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1</w:t>
            </w:r>
          </w:p>
        </w:tc>
        <w:tc>
          <w:tcPr>
            <w:tcW w:w="2409" w:type="dxa"/>
            <w:tcBorders>
              <w:top w:val="nil"/>
              <w:left w:val="nil"/>
              <w:bottom w:val="nil"/>
              <w:right w:val="nil"/>
            </w:tcBorders>
            <w:shd w:val="clear" w:color="auto" w:fill="auto"/>
            <w:noWrap/>
            <w:vAlign w:val="bottom"/>
            <w:hideMark/>
          </w:tcPr>
          <w:p w14:paraId="105FD6A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7BBBBD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0821C66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C61A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F6E84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39A1F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07671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140A6F1E"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r>
      <w:tr w:rsidR="006501A4" w:rsidRPr="00472909" w14:paraId="3E2E23FC" w14:textId="77777777" w:rsidTr="0095397F">
        <w:trPr>
          <w:trHeight w:val="300"/>
        </w:trPr>
        <w:tc>
          <w:tcPr>
            <w:tcW w:w="2694" w:type="dxa"/>
            <w:tcBorders>
              <w:top w:val="nil"/>
              <w:left w:val="nil"/>
              <w:bottom w:val="nil"/>
              <w:right w:val="nil"/>
            </w:tcBorders>
            <w:shd w:val="clear" w:color="auto" w:fill="auto"/>
            <w:noWrap/>
            <w:vAlign w:val="bottom"/>
            <w:hideMark/>
          </w:tcPr>
          <w:p w14:paraId="3F326DD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2</w:t>
            </w:r>
          </w:p>
        </w:tc>
        <w:tc>
          <w:tcPr>
            <w:tcW w:w="2409" w:type="dxa"/>
            <w:tcBorders>
              <w:top w:val="nil"/>
              <w:left w:val="nil"/>
              <w:bottom w:val="nil"/>
              <w:right w:val="nil"/>
            </w:tcBorders>
            <w:shd w:val="clear" w:color="auto" w:fill="auto"/>
            <w:noWrap/>
            <w:vAlign w:val="bottom"/>
            <w:hideMark/>
          </w:tcPr>
          <w:p w14:paraId="0CABB8C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2DC799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4F30904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1B12F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4AB433AC"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7E2F3D6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5466A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F3B9D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51A4286" w14:textId="77777777" w:rsidTr="0095397F">
        <w:trPr>
          <w:trHeight w:val="300"/>
        </w:trPr>
        <w:tc>
          <w:tcPr>
            <w:tcW w:w="2694" w:type="dxa"/>
            <w:tcBorders>
              <w:top w:val="nil"/>
              <w:left w:val="nil"/>
              <w:bottom w:val="nil"/>
              <w:right w:val="nil"/>
            </w:tcBorders>
            <w:shd w:val="clear" w:color="auto" w:fill="auto"/>
            <w:noWrap/>
            <w:vAlign w:val="bottom"/>
            <w:hideMark/>
          </w:tcPr>
          <w:p w14:paraId="0B27461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3</w:t>
            </w:r>
          </w:p>
        </w:tc>
        <w:tc>
          <w:tcPr>
            <w:tcW w:w="2409" w:type="dxa"/>
            <w:tcBorders>
              <w:top w:val="nil"/>
              <w:left w:val="nil"/>
              <w:bottom w:val="nil"/>
              <w:right w:val="nil"/>
            </w:tcBorders>
            <w:shd w:val="clear" w:color="auto" w:fill="auto"/>
            <w:noWrap/>
            <w:vAlign w:val="bottom"/>
            <w:hideMark/>
          </w:tcPr>
          <w:p w14:paraId="7CB8245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F56E47D"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38862F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4918C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48B14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4C6F8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4450F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E2711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DE50BAB" w14:textId="77777777" w:rsidTr="0095397F">
        <w:trPr>
          <w:trHeight w:val="300"/>
        </w:trPr>
        <w:tc>
          <w:tcPr>
            <w:tcW w:w="2694" w:type="dxa"/>
            <w:tcBorders>
              <w:top w:val="nil"/>
              <w:left w:val="nil"/>
              <w:bottom w:val="nil"/>
              <w:right w:val="nil"/>
            </w:tcBorders>
            <w:shd w:val="clear" w:color="auto" w:fill="auto"/>
            <w:noWrap/>
            <w:vAlign w:val="bottom"/>
            <w:hideMark/>
          </w:tcPr>
          <w:p w14:paraId="7B76E08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4</w:t>
            </w:r>
          </w:p>
        </w:tc>
        <w:tc>
          <w:tcPr>
            <w:tcW w:w="2409" w:type="dxa"/>
            <w:tcBorders>
              <w:top w:val="nil"/>
              <w:left w:val="nil"/>
              <w:bottom w:val="nil"/>
              <w:right w:val="nil"/>
            </w:tcBorders>
            <w:shd w:val="clear" w:color="auto" w:fill="auto"/>
            <w:noWrap/>
            <w:vAlign w:val="bottom"/>
            <w:hideMark/>
          </w:tcPr>
          <w:p w14:paraId="1A8F75D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CA80C1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5E4086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220BB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273D5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569541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4CB477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80EBD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00D2126" w14:textId="77777777" w:rsidTr="0095397F">
        <w:trPr>
          <w:trHeight w:val="300"/>
        </w:trPr>
        <w:tc>
          <w:tcPr>
            <w:tcW w:w="2694" w:type="dxa"/>
            <w:tcBorders>
              <w:top w:val="nil"/>
              <w:left w:val="nil"/>
              <w:bottom w:val="nil"/>
              <w:right w:val="nil"/>
            </w:tcBorders>
            <w:shd w:val="clear" w:color="auto" w:fill="auto"/>
            <w:noWrap/>
            <w:vAlign w:val="bottom"/>
            <w:hideMark/>
          </w:tcPr>
          <w:p w14:paraId="36FD9A8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5</w:t>
            </w:r>
          </w:p>
        </w:tc>
        <w:tc>
          <w:tcPr>
            <w:tcW w:w="2409" w:type="dxa"/>
            <w:tcBorders>
              <w:top w:val="nil"/>
              <w:left w:val="nil"/>
              <w:bottom w:val="nil"/>
              <w:right w:val="nil"/>
            </w:tcBorders>
            <w:shd w:val="clear" w:color="auto" w:fill="auto"/>
            <w:noWrap/>
            <w:vAlign w:val="bottom"/>
            <w:hideMark/>
          </w:tcPr>
          <w:p w14:paraId="3A1E0D1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DE9730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3/6</w:t>
            </w:r>
          </w:p>
        </w:tc>
        <w:tc>
          <w:tcPr>
            <w:tcW w:w="520" w:type="dxa"/>
            <w:tcBorders>
              <w:top w:val="nil"/>
              <w:left w:val="nil"/>
              <w:bottom w:val="nil"/>
              <w:right w:val="nil"/>
            </w:tcBorders>
            <w:shd w:val="clear" w:color="000000" w:fill="C6EFCE"/>
            <w:noWrap/>
            <w:vAlign w:val="bottom"/>
            <w:hideMark/>
          </w:tcPr>
          <w:p w14:paraId="6FEF233E"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C6EFCE"/>
            <w:noWrap/>
            <w:vAlign w:val="bottom"/>
            <w:hideMark/>
          </w:tcPr>
          <w:p w14:paraId="4427EED8"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4B02AEE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40FCDD56"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3FC40B0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E7DCC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7806686" w14:textId="77777777" w:rsidTr="0095397F">
        <w:trPr>
          <w:trHeight w:val="300"/>
        </w:trPr>
        <w:tc>
          <w:tcPr>
            <w:tcW w:w="2694" w:type="dxa"/>
            <w:tcBorders>
              <w:top w:val="nil"/>
              <w:left w:val="nil"/>
              <w:bottom w:val="nil"/>
              <w:right w:val="nil"/>
            </w:tcBorders>
            <w:shd w:val="clear" w:color="auto" w:fill="auto"/>
            <w:noWrap/>
            <w:vAlign w:val="bottom"/>
            <w:hideMark/>
          </w:tcPr>
          <w:p w14:paraId="12BD6F6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6</w:t>
            </w:r>
          </w:p>
        </w:tc>
        <w:tc>
          <w:tcPr>
            <w:tcW w:w="2409" w:type="dxa"/>
            <w:tcBorders>
              <w:top w:val="nil"/>
              <w:left w:val="nil"/>
              <w:bottom w:val="nil"/>
              <w:right w:val="nil"/>
            </w:tcBorders>
            <w:shd w:val="clear" w:color="auto" w:fill="auto"/>
            <w:noWrap/>
            <w:vAlign w:val="bottom"/>
            <w:hideMark/>
          </w:tcPr>
          <w:p w14:paraId="08673F3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BF04FEC"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4D371AE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109FA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CACF2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3D799EBA"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7DCB08B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19D80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C1A1D14" w14:textId="77777777" w:rsidTr="0095397F">
        <w:trPr>
          <w:trHeight w:val="300"/>
        </w:trPr>
        <w:tc>
          <w:tcPr>
            <w:tcW w:w="2694" w:type="dxa"/>
            <w:tcBorders>
              <w:top w:val="nil"/>
              <w:left w:val="nil"/>
              <w:bottom w:val="nil"/>
              <w:right w:val="nil"/>
            </w:tcBorders>
            <w:shd w:val="clear" w:color="auto" w:fill="auto"/>
            <w:noWrap/>
            <w:vAlign w:val="bottom"/>
            <w:hideMark/>
          </w:tcPr>
          <w:p w14:paraId="63E9D32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7</w:t>
            </w:r>
          </w:p>
        </w:tc>
        <w:tc>
          <w:tcPr>
            <w:tcW w:w="2409" w:type="dxa"/>
            <w:tcBorders>
              <w:top w:val="nil"/>
              <w:left w:val="nil"/>
              <w:bottom w:val="nil"/>
              <w:right w:val="nil"/>
            </w:tcBorders>
            <w:shd w:val="clear" w:color="auto" w:fill="auto"/>
            <w:noWrap/>
            <w:vAlign w:val="bottom"/>
            <w:hideMark/>
          </w:tcPr>
          <w:p w14:paraId="1C56936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060AEA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819224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4496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D5223C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336BF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C211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E332B8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DC96A14"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70DA813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Four Posts 8</w:t>
            </w:r>
          </w:p>
        </w:tc>
        <w:tc>
          <w:tcPr>
            <w:tcW w:w="2409" w:type="dxa"/>
            <w:tcBorders>
              <w:top w:val="nil"/>
              <w:left w:val="nil"/>
              <w:bottom w:val="single" w:sz="8" w:space="0" w:color="auto"/>
              <w:right w:val="nil"/>
            </w:tcBorders>
            <w:shd w:val="clear" w:color="auto" w:fill="auto"/>
            <w:noWrap/>
            <w:vAlign w:val="bottom"/>
            <w:hideMark/>
          </w:tcPr>
          <w:p w14:paraId="099B61D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29042BC6"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2010222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5FACFC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201626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A27E45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770249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43985A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C0CE8AE" w14:textId="77777777" w:rsidTr="0095397F">
        <w:trPr>
          <w:trHeight w:val="300"/>
        </w:trPr>
        <w:tc>
          <w:tcPr>
            <w:tcW w:w="2694" w:type="dxa"/>
            <w:tcBorders>
              <w:top w:val="nil"/>
              <w:left w:val="nil"/>
              <w:bottom w:val="nil"/>
              <w:right w:val="nil"/>
            </w:tcBorders>
            <w:shd w:val="clear" w:color="auto" w:fill="auto"/>
            <w:noWrap/>
            <w:vAlign w:val="bottom"/>
            <w:hideMark/>
          </w:tcPr>
          <w:p w14:paraId="22F7584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1</w:t>
            </w:r>
          </w:p>
        </w:tc>
        <w:tc>
          <w:tcPr>
            <w:tcW w:w="2409" w:type="dxa"/>
            <w:tcBorders>
              <w:top w:val="nil"/>
              <w:left w:val="nil"/>
              <w:bottom w:val="nil"/>
              <w:right w:val="nil"/>
            </w:tcBorders>
            <w:shd w:val="clear" w:color="auto" w:fill="auto"/>
            <w:noWrap/>
            <w:vAlign w:val="bottom"/>
            <w:hideMark/>
          </w:tcPr>
          <w:p w14:paraId="0601B16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9FF4C3B"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21C336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ED94B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6F328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F3580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84509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159BF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1488DB6E" w14:textId="77777777" w:rsidTr="0095397F">
        <w:trPr>
          <w:trHeight w:val="300"/>
        </w:trPr>
        <w:tc>
          <w:tcPr>
            <w:tcW w:w="2694" w:type="dxa"/>
            <w:tcBorders>
              <w:top w:val="nil"/>
              <w:left w:val="nil"/>
              <w:bottom w:val="nil"/>
              <w:right w:val="nil"/>
            </w:tcBorders>
            <w:shd w:val="clear" w:color="auto" w:fill="auto"/>
            <w:noWrap/>
            <w:vAlign w:val="bottom"/>
            <w:hideMark/>
          </w:tcPr>
          <w:p w14:paraId="164763F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2</w:t>
            </w:r>
          </w:p>
        </w:tc>
        <w:tc>
          <w:tcPr>
            <w:tcW w:w="2409" w:type="dxa"/>
            <w:tcBorders>
              <w:top w:val="nil"/>
              <w:left w:val="nil"/>
              <w:bottom w:val="nil"/>
              <w:right w:val="nil"/>
            </w:tcBorders>
            <w:shd w:val="clear" w:color="auto" w:fill="auto"/>
            <w:noWrap/>
            <w:vAlign w:val="bottom"/>
            <w:hideMark/>
          </w:tcPr>
          <w:p w14:paraId="4BD2748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3CC9C8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B9CF5A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89CE8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C410D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C6EA1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10247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54B3F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1FF735F9" w14:textId="77777777" w:rsidTr="0095397F">
        <w:trPr>
          <w:trHeight w:val="300"/>
        </w:trPr>
        <w:tc>
          <w:tcPr>
            <w:tcW w:w="2694" w:type="dxa"/>
            <w:tcBorders>
              <w:top w:val="nil"/>
              <w:left w:val="nil"/>
              <w:bottom w:val="nil"/>
              <w:right w:val="nil"/>
            </w:tcBorders>
            <w:shd w:val="clear" w:color="auto" w:fill="auto"/>
            <w:noWrap/>
            <w:vAlign w:val="bottom"/>
            <w:hideMark/>
          </w:tcPr>
          <w:p w14:paraId="6156D67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3</w:t>
            </w:r>
          </w:p>
        </w:tc>
        <w:tc>
          <w:tcPr>
            <w:tcW w:w="2409" w:type="dxa"/>
            <w:tcBorders>
              <w:top w:val="nil"/>
              <w:left w:val="nil"/>
              <w:bottom w:val="nil"/>
              <w:right w:val="nil"/>
            </w:tcBorders>
            <w:shd w:val="clear" w:color="auto" w:fill="auto"/>
            <w:noWrap/>
            <w:vAlign w:val="bottom"/>
            <w:hideMark/>
          </w:tcPr>
          <w:p w14:paraId="5B6F56D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96389B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5AA704E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EB9C"/>
            <w:noWrap/>
            <w:vAlign w:val="bottom"/>
            <w:hideMark/>
          </w:tcPr>
          <w:p w14:paraId="5472E595" w14:textId="77777777" w:rsidR="006501A4" w:rsidRPr="00472909" w:rsidRDefault="006501A4" w:rsidP="0095397F">
            <w:pPr>
              <w:spacing w:after="0" w:line="240" w:lineRule="auto"/>
              <w:jc w:val="center"/>
              <w:rPr>
                <w:rFonts w:ascii="Wingdings" w:eastAsia="Times New Roman" w:hAnsi="Wingdings" w:cs="Calibri"/>
                <w:color w:val="9C5700"/>
                <w:lang w:eastAsia="en-AU"/>
              </w:rPr>
            </w:pPr>
            <w:r w:rsidRPr="00472909">
              <w:rPr>
                <w:rFonts w:ascii="Wingdings" w:eastAsia="Times New Roman" w:hAnsi="Wingdings" w:cs="Calibri"/>
                <w:color w:val="9C5700"/>
                <w:lang w:eastAsia="en-AU"/>
              </w:rPr>
              <w:t></w:t>
            </w:r>
          </w:p>
        </w:tc>
        <w:tc>
          <w:tcPr>
            <w:tcW w:w="520" w:type="dxa"/>
            <w:tcBorders>
              <w:top w:val="nil"/>
              <w:left w:val="nil"/>
              <w:bottom w:val="nil"/>
              <w:right w:val="nil"/>
            </w:tcBorders>
            <w:shd w:val="clear" w:color="000000" w:fill="FFC7CE"/>
            <w:noWrap/>
            <w:vAlign w:val="bottom"/>
            <w:hideMark/>
          </w:tcPr>
          <w:p w14:paraId="56DE67A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D3B92C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7A30E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B32DF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EA3B6D3" w14:textId="77777777" w:rsidTr="0095397F">
        <w:trPr>
          <w:trHeight w:val="300"/>
        </w:trPr>
        <w:tc>
          <w:tcPr>
            <w:tcW w:w="2694" w:type="dxa"/>
            <w:tcBorders>
              <w:top w:val="nil"/>
              <w:left w:val="nil"/>
              <w:bottom w:val="nil"/>
              <w:right w:val="nil"/>
            </w:tcBorders>
            <w:shd w:val="clear" w:color="auto" w:fill="auto"/>
            <w:noWrap/>
            <w:vAlign w:val="bottom"/>
            <w:hideMark/>
          </w:tcPr>
          <w:p w14:paraId="69DE51B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4</w:t>
            </w:r>
          </w:p>
        </w:tc>
        <w:tc>
          <w:tcPr>
            <w:tcW w:w="2409" w:type="dxa"/>
            <w:tcBorders>
              <w:top w:val="nil"/>
              <w:left w:val="nil"/>
              <w:bottom w:val="nil"/>
              <w:right w:val="nil"/>
            </w:tcBorders>
            <w:shd w:val="clear" w:color="auto" w:fill="auto"/>
            <w:noWrap/>
            <w:vAlign w:val="bottom"/>
            <w:hideMark/>
          </w:tcPr>
          <w:p w14:paraId="10F2E06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096DAD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655DEF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569AE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81FB4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914E0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6A17D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2251A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A71F500" w14:textId="77777777" w:rsidTr="0095397F">
        <w:trPr>
          <w:trHeight w:val="300"/>
        </w:trPr>
        <w:tc>
          <w:tcPr>
            <w:tcW w:w="2694" w:type="dxa"/>
            <w:tcBorders>
              <w:top w:val="nil"/>
              <w:left w:val="nil"/>
              <w:bottom w:val="nil"/>
              <w:right w:val="nil"/>
            </w:tcBorders>
            <w:shd w:val="clear" w:color="auto" w:fill="auto"/>
            <w:noWrap/>
            <w:vAlign w:val="bottom"/>
            <w:hideMark/>
          </w:tcPr>
          <w:p w14:paraId="59A9771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5</w:t>
            </w:r>
          </w:p>
        </w:tc>
        <w:tc>
          <w:tcPr>
            <w:tcW w:w="2409" w:type="dxa"/>
            <w:tcBorders>
              <w:top w:val="nil"/>
              <w:left w:val="nil"/>
              <w:bottom w:val="nil"/>
              <w:right w:val="nil"/>
            </w:tcBorders>
            <w:shd w:val="clear" w:color="auto" w:fill="auto"/>
            <w:noWrap/>
            <w:vAlign w:val="bottom"/>
            <w:hideMark/>
          </w:tcPr>
          <w:p w14:paraId="554AC7A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0D96B9E"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002571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D45DF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254DD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2899D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A260F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6E9C6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FCE77E7" w14:textId="77777777" w:rsidTr="0095397F">
        <w:trPr>
          <w:trHeight w:val="300"/>
        </w:trPr>
        <w:tc>
          <w:tcPr>
            <w:tcW w:w="2694" w:type="dxa"/>
            <w:tcBorders>
              <w:top w:val="nil"/>
              <w:left w:val="nil"/>
              <w:bottom w:val="nil"/>
              <w:right w:val="nil"/>
            </w:tcBorders>
            <w:shd w:val="clear" w:color="auto" w:fill="auto"/>
            <w:noWrap/>
            <w:vAlign w:val="bottom"/>
            <w:hideMark/>
          </w:tcPr>
          <w:p w14:paraId="60D0F0F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6</w:t>
            </w:r>
          </w:p>
        </w:tc>
        <w:tc>
          <w:tcPr>
            <w:tcW w:w="2409" w:type="dxa"/>
            <w:tcBorders>
              <w:top w:val="nil"/>
              <w:left w:val="nil"/>
              <w:bottom w:val="nil"/>
              <w:right w:val="nil"/>
            </w:tcBorders>
            <w:shd w:val="clear" w:color="auto" w:fill="auto"/>
            <w:noWrap/>
            <w:vAlign w:val="bottom"/>
            <w:hideMark/>
          </w:tcPr>
          <w:p w14:paraId="4AB835A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7EE206E"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55EE59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9BA71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658B7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A384C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2ABE5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D59C0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EBC99E1" w14:textId="77777777" w:rsidTr="0095397F">
        <w:trPr>
          <w:trHeight w:val="300"/>
        </w:trPr>
        <w:tc>
          <w:tcPr>
            <w:tcW w:w="2694" w:type="dxa"/>
            <w:tcBorders>
              <w:top w:val="nil"/>
              <w:left w:val="nil"/>
              <w:bottom w:val="nil"/>
              <w:right w:val="nil"/>
            </w:tcBorders>
            <w:shd w:val="clear" w:color="auto" w:fill="auto"/>
            <w:noWrap/>
            <w:vAlign w:val="bottom"/>
            <w:hideMark/>
          </w:tcPr>
          <w:p w14:paraId="1EDAB2D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7</w:t>
            </w:r>
          </w:p>
        </w:tc>
        <w:tc>
          <w:tcPr>
            <w:tcW w:w="2409" w:type="dxa"/>
            <w:tcBorders>
              <w:top w:val="nil"/>
              <w:left w:val="nil"/>
              <w:bottom w:val="nil"/>
              <w:right w:val="nil"/>
            </w:tcBorders>
            <w:shd w:val="clear" w:color="auto" w:fill="auto"/>
            <w:noWrap/>
            <w:vAlign w:val="bottom"/>
            <w:hideMark/>
          </w:tcPr>
          <w:p w14:paraId="470B6E0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C888B16"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D4C99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AD247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5C2D8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4ADD5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1A623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37C63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590B6D8"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14681B6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Eastman Bridge 8</w:t>
            </w:r>
          </w:p>
        </w:tc>
        <w:tc>
          <w:tcPr>
            <w:tcW w:w="2409" w:type="dxa"/>
            <w:tcBorders>
              <w:top w:val="nil"/>
              <w:left w:val="nil"/>
              <w:bottom w:val="single" w:sz="8" w:space="0" w:color="auto"/>
              <w:right w:val="nil"/>
            </w:tcBorders>
            <w:shd w:val="clear" w:color="auto" w:fill="auto"/>
            <w:noWrap/>
            <w:vAlign w:val="bottom"/>
            <w:hideMark/>
          </w:tcPr>
          <w:p w14:paraId="78F080B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3D86795E"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single" w:sz="8" w:space="0" w:color="auto"/>
              <w:right w:val="nil"/>
            </w:tcBorders>
            <w:shd w:val="clear" w:color="000000" w:fill="FFC7CE"/>
            <w:noWrap/>
            <w:vAlign w:val="bottom"/>
            <w:hideMark/>
          </w:tcPr>
          <w:p w14:paraId="6AEAEE4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C6EFCE"/>
            <w:noWrap/>
            <w:vAlign w:val="bottom"/>
            <w:hideMark/>
          </w:tcPr>
          <w:p w14:paraId="51C3FF8B"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single" w:sz="8" w:space="0" w:color="auto"/>
              <w:right w:val="nil"/>
            </w:tcBorders>
            <w:shd w:val="clear" w:color="000000" w:fill="FFC7CE"/>
            <w:noWrap/>
            <w:vAlign w:val="bottom"/>
            <w:hideMark/>
          </w:tcPr>
          <w:p w14:paraId="672F6B1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12CF56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4D031C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212C80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7E0C68D" w14:textId="77777777" w:rsidTr="0095397F">
        <w:trPr>
          <w:trHeight w:val="300"/>
        </w:trPr>
        <w:tc>
          <w:tcPr>
            <w:tcW w:w="2694" w:type="dxa"/>
            <w:tcBorders>
              <w:top w:val="nil"/>
              <w:left w:val="nil"/>
              <w:bottom w:val="nil"/>
              <w:right w:val="nil"/>
            </w:tcBorders>
            <w:shd w:val="clear" w:color="auto" w:fill="auto"/>
            <w:noWrap/>
            <w:vAlign w:val="bottom"/>
            <w:hideMark/>
          </w:tcPr>
          <w:p w14:paraId="0BC3517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1</w:t>
            </w:r>
          </w:p>
        </w:tc>
        <w:tc>
          <w:tcPr>
            <w:tcW w:w="2409" w:type="dxa"/>
            <w:tcBorders>
              <w:top w:val="nil"/>
              <w:left w:val="nil"/>
              <w:bottom w:val="nil"/>
              <w:right w:val="nil"/>
            </w:tcBorders>
            <w:shd w:val="clear" w:color="auto" w:fill="auto"/>
            <w:noWrap/>
            <w:vAlign w:val="bottom"/>
            <w:hideMark/>
          </w:tcPr>
          <w:p w14:paraId="5F180EC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8FBC102"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D2845F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D10DF3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4FE33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CCDC0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209AC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DDC52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098D4B1" w14:textId="77777777" w:rsidTr="0095397F">
        <w:trPr>
          <w:trHeight w:val="300"/>
        </w:trPr>
        <w:tc>
          <w:tcPr>
            <w:tcW w:w="2694" w:type="dxa"/>
            <w:tcBorders>
              <w:top w:val="nil"/>
              <w:left w:val="nil"/>
              <w:bottom w:val="nil"/>
              <w:right w:val="nil"/>
            </w:tcBorders>
            <w:shd w:val="clear" w:color="auto" w:fill="auto"/>
            <w:noWrap/>
            <w:vAlign w:val="bottom"/>
            <w:hideMark/>
          </w:tcPr>
          <w:p w14:paraId="652DEC5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2</w:t>
            </w:r>
          </w:p>
        </w:tc>
        <w:tc>
          <w:tcPr>
            <w:tcW w:w="2409" w:type="dxa"/>
            <w:tcBorders>
              <w:top w:val="nil"/>
              <w:left w:val="nil"/>
              <w:bottom w:val="nil"/>
              <w:right w:val="nil"/>
            </w:tcBorders>
            <w:shd w:val="clear" w:color="auto" w:fill="auto"/>
            <w:noWrap/>
            <w:vAlign w:val="bottom"/>
            <w:hideMark/>
          </w:tcPr>
          <w:p w14:paraId="2DD156C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2FB8DA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77511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3A090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77F8B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8CD19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51FF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D092B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27D11D9" w14:textId="77777777" w:rsidTr="0095397F">
        <w:trPr>
          <w:trHeight w:val="300"/>
        </w:trPr>
        <w:tc>
          <w:tcPr>
            <w:tcW w:w="2694" w:type="dxa"/>
            <w:tcBorders>
              <w:top w:val="nil"/>
              <w:left w:val="nil"/>
              <w:bottom w:val="nil"/>
              <w:right w:val="nil"/>
            </w:tcBorders>
            <w:shd w:val="clear" w:color="auto" w:fill="auto"/>
            <w:noWrap/>
            <w:vAlign w:val="bottom"/>
            <w:hideMark/>
          </w:tcPr>
          <w:p w14:paraId="022440E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3</w:t>
            </w:r>
          </w:p>
        </w:tc>
        <w:tc>
          <w:tcPr>
            <w:tcW w:w="2409" w:type="dxa"/>
            <w:tcBorders>
              <w:top w:val="nil"/>
              <w:left w:val="nil"/>
              <w:bottom w:val="nil"/>
              <w:right w:val="nil"/>
            </w:tcBorders>
            <w:shd w:val="clear" w:color="auto" w:fill="auto"/>
            <w:noWrap/>
            <w:vAlign w:val="bottom"/>
            <w:hideMark/>
          </w:tcPr>
          <w:p w14:paraId="43DB878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7EB640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C69362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509A8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E44941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F223F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5AFDB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C3616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9DF2A3A" w14:textId="77777777" w:rsidTr="0095397F">
        <w:trPr>
          <w:trHeight w:val="300"/>
        </w:trPr>
        <w:tc>
          <w:tcPr>
            <w:tcW w:w="2694" w:type="dxa"/>
            <w:tcBorders>
              <w:top w:val="nil"/>
              <w:left w:val="nil"/>
              <w:bottom w:val="nil"/>
              <w:right w:val="nil"/>
            </w:tcBorders>
            <w:shd w:val="clear" w:color="auto" w:fill="auto"/>
            <w:noWrap/>
            <w:vAlign w:val="bottom"/>
            <w:hideMark/>
          </w:tcPr>
          <w:p w14:paraId="732292B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4</w:t>
            </w:r>
          </w:p>
        </w:tc>
        <w:tc>
          <w:tcPr>
            <w:tcW w:w="2409" w:type="dxa"/>
            <w:tcBorders>
              <w:top w:val="nil"/>
              <w:left w:val="nil"/>
              <w:bottom w:val="nil"/>
              <w:right w:val="nil"/>
            </w:tcBorders>
            <w:shd w:val="clear" w:color="auto" w:fill="auto"/>
            <w:noWrap/>
            <w:vAlign w:val="bottom"/>
            <w:hideMark/>
          </w:tcPr>
          <w:p w14:paraId="1063567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DF8E0EE"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FD9F22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72BF7B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CB2C1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67CE9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6E4FE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8FC15D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1D7E806" w14:textId="77777777" w:rsidTr="0095397F">
        <w:trPr>
          <w:trHeight w:val="300"/>
        </w:trPr>
        <w:tc>
          <w:tcPr>
            <w:tcW w:w="2694" w:type="dxa"/>
            <w:tcBorders>
              <w:top w:val="nil"/>
              <w:left w:val="nil"/>
              <w:bottom w:val="nil"/>
              <w:right w:val="nil"/>
            </w:tcBorders>
            <w:shd w:val="clear" w:color="auto" w:fill="auto"/>
            <w:noWrap/>
            <w:vAlign w:val="bottom"/>
            <w:hideMark/>
          </w:tcPr>
          <w:p w14:paraId="3163F1B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5</w:t>
            </w:r>
          </w:p>
        </w:tc>
        <w:tc>
          <w:tcPr>
            <w:tcW w:w="2409" w:type="dxa"/>
            <w:tcBorders>
              <w:top w:val="nil"/>
              <w:left w:val="nil"/>
              <w:bottom w:val="nil"/>
              <w:right w:val="nil"/>
            </w:tcBorders>
            <w:shd w:val="clear" w:color="auto" w:fill="auto"/>
            <w:noWrap/>
            <w:vAlign w:val="bottom"/>
            <w:hideMark/>
          </w:tcPr>
          <w:p w14:paraId="623C38D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B5C8D22"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89F17B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5D6A1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BC17C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E8E6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EC8CC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E0F9B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D668027" w14:textId="77777777" w:rsidTr="0095397F">
        <w:trPr>
          <w:trHeight w:val="300"/>
        </w:trPr>
        <w:tc>
          <w:tcPr>
            <w:tcW w:w="2694" w:type="dxa"/>
            <w:tcBorders>
              <w:top w:val="nil"/>
              <w:left w:val="nil"/>
              <w:bottom w:val="nil"/>
              <w:right w:val="nil"/>
            </w:tcBorders>
            <w:shd w:val="clear" w:color="auto" w:fill="auto"/>
            <w:noWrap/>
            <w:vAlign w:val="bottom"/>
            <w:hideMark/>
          </w:tcPr>
          <w:p w14:paraId="42ECF72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6</w:t>
            </w:r>
          </w:p>
        </w:tc>
        <w:tc>
          <w:tcPr>
            <w:tcW w:w="2409" w:type="dxa"/>
            <w:tcBorders>
              <w:top w:val="nil"/>
              <w:left w:val="nil"/>
              <w:bottom w:val="nil"/>
              <w:right w:val="nil"/>
            </w:tcBorders>
            <w:shd w:val="clear" w:color="auto" w:fill="auto"/>
            <w:noWrap/>
            <w:vAlign w:val="bottom"/>
            <w:hideMark/>
          </w:tcPr>
          <w:p w14:paraId="17D2B69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9B3786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51ECE1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D493C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353FA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D8FDF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94651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F80F0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A2A8CBF" w14:textId="77777777" w:rsidTr="0095397F">
        <w:trPr>
          <w:trHeight w:val="300"/>
        </w:trPr>
        <w:tc>
          <w:tcPr>
            <w:tcW w:w="2694" w:type="dxa"/>
            <w:tcBorders>
              <w:top w:val="nil"/>
              <w:left w:val="nil"/>
              <w:bottom w:val="nil"/>
              <w:right w:val="nil"/>
            </w:tcBorders>
            <w:shd w:val="clear" w:color="auto" w:fill="auto"/>
            <w:noWrap/>
            <w:vAlign w:val="bottom"/>
            <w:hideMark/>
          </w:tcPr>
          <w:p w14:paraId="304F199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7</w:t>
            </w:r>
          </w:p>
        </w:tc>
        <w:tc>
          <w:tcPr>
            <w:tcW w:w="2409" w:type="dxa"/>
            <w:tcBorders>
              <w:top w:val="nil"/>
              <w:left w:val="nil"/>
              <w:bottom w:val="nil"/>
              <w:right w:val="nil"/>
            </w:tcBorders>
            <w:shd w:val="clear" w:color="auto" w:fill="auto"/>
            <w:noWrap/>
            <w:vAlign w:val="bottom"/>
            <w:hideMark/>
          </w:tcPr>
          <w:p w14:paraId="6595328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7C1721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342A38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88AE0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89855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CDD81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DE7B0A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70459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F2F6AEE"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0D663B8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Balpool 8</w:t>
            </w:r>
          </w:p>
        </w:tc>
        <w:tc>
          <w:tcPr>
            <w:tcW w:w="2409" w:type="dxa"/>
            <w:tcBorders>
              <w:top w:val="nil"/>
              <w:left w:val="nil"/>
              <w:bottom w:val="single" w:sz="8" w:space="0" w:color="auto"/>
              <w:right w:val="nil"/>
            </w:tcBorders>
            <w:shd w:val="clear" w:color="auto" w:fill="auto"/>
            <w:noWrap/>
            <w:vAlign w:val="bottom"/>
            <w:hideMark/>
          </w:tcPr>
          <w:p w14:paraId="2606701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600768E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1750C03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FE9A97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217CEC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66505E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CA1608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601693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E793754" w14:textId="77777777" w:rsidTr="0095397F">
        <w:trPr>
          <w:trHeight w:val="300"/>
        </w:trPr>
        <w:tc>
          <w:tcPr>
            <w:tcW w:w="2694" w:type="dxa"/>
            <w:tcBorders>
              <w:top w:val="nil"/>
              <w:left w:val="nil"/>
              <w:bottom w:val="nil"/>
              <w:right w:val="nil"/>
            </w:tcBorders>
            <w:shd w:val="clear" w:color="auto" w:fill="auto"/>
            <w:noWrap/>
            <w:vAlign w:val="bottom"/>
            <w:hideMark/>
          </w:tcPr>
          <w:p w14:paraId="09260C8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1</w:t>
            </w:r>
          </w:p>
        </w:tc>
        <w:tc>
          <w:tcPr>
            <w:tcW w:w="2409" w:type="dxa"/>
            <w:tcBorders>
              <w:top w:val="nil"/>
              <w:left w:val="nil"/>
              <w:bottom w:val="nil"/>
              <w:right w:val="nil"/>
            </w:tcBorders>
            <w:shd w:val="clear" w:color="auto" w:fill="auto"/>
            <w:noWrap/>
            <w:vAlign w:val="bottom"/>
            <w:hideMark/>
          </w:tcPr>
          <w:p w14:paraId="13BB1F1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CA36D0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49957B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C6E2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EFB64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30086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BF05A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488DE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C680C5C" w14:textId="77777777" w:rsidTr="0095397F">
        <w:trPr>
          <w:trHeight w:val="300"/>
        </w:trPr>
        <w:tc>
          <w:tcPr>
            <w:tcW w:w="2694" w:type="dxa"/>
            <w:tcBorders>
              <w:top w:val="nil"/>
              <w:left w:val="nil"/>
              <w:bottom w:val="nil"/>
              <w:right w:val="nil"/>
            </w:tcBorders>
            <w:shd w:val="clear" w:color="auto" w:fill="auto"/>
            <w:noWrap/>
            <w:vAlign w:val="bottom"/>
            <w:hideMark/>
          </w:tcPr>
          <w:p w14:paraId="7B4C6BE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2</w:t>
            </w:r>
          </w:p>
        </w:tc>
        <w:tc>
          <w:tcPr>
            <w:tcW w:w="2409" w:type="dxa"/>
            <w:tcBorders>
              <w:top w:val="nil"/>
              <w:left w:val="nil"/>
              <w:bottom w:val="nil"/>
              <w:right w:val="nil"/>
            </w:tcBorders>
            <w:shd w:val="clear" w:color="auto" w:fill="auto"/>
            <w:noWrap/>
            <w:vAlign w:val="bottom"/>
            <w:hideMark/>
          </w:tcPr>
          <w:p w14:paraId="3DD372D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3E8EBA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9A47DA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75DE7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E450C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FC8C9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AA0E3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0F1196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709819B" w14:textId="77777777" w:rsidTr="0095397F">
        <w:trPr>
          <w:trHeight w:val="300"/>
        </w:trPr>
        <w:tc>
          <w:tcPr>
            <w:tcW w:w="2694" w:type="dxa"/>
            <w:tcBorders>
              <w:top w:val="nil"/>
              <w:left w:val="nil"/>
              <w:bottom w:val="nil"/>
              <w:right w:val="nil"/>
            </w:tcBorders>
            <w:shd w:val="clear" w:color="auto" w:fill="auto"/>
            <w:noWrap/>
            <w:vAlign w:val="bottom"/>
            <w:hideMark/>
          </w:tcPr>
          <w:p w14:paraId="6EAF092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3</w:t>
            </w:r>
          </w:p>
        </w:tc>
        <w:tc>
          <w:tcPr>
            <w:tcW w:w="2409" w:type="dxa"/>
            <w:tcBorders>
              <w:top w:val="nil"/>
              <w:left w:val="nil"/>
              <w:bottom w:val="nil"/>
              <w:right w:val="nil"/>
            </w:tcBorders>
            <w:shd w:val="clear" w:color="auto" w:fill="auto"/>
            <w:noWrap/>
            <w:vAlign w:val="bottom"/>
            <w:hideMark/>
          </w:tcPr>
          <w:p w14:paraId="4BFEEE0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DFDE8F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60E0346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48703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05214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D9947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20F7D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EB9C"/>
            <w:noWrap/>
            <w:vAlign w:val="bottom"/>
            <w:hideMark/>
          </w:tcPr>
          <w:p w14:paraId="62CFC01A" w14:textId="77777777" w:rsidR="006501A4" w:rsidRPr="00472909" w:rsidRDefault="006501A4" w:rsidP="0095397F">
            <w:pPr>
              <w:spacing w:after="0" w:line="240" w:lineRule="auto"/>
              <w:jc w:val="center"/>
              <w:rPr>
                <w:rFonts w:ascii="Wingdings" w:eastAsia="Times New Roman" w:hAnsi="Wingdings" w:cs="Calibri"/>
                <w:color w:val="9C5700"/>
                <w:lang w:eastAsia="en-AU"/>
              </w:rPr>
            </w:pPr>
            <w:r w:rsidRPr="00472909">
              <w:rPr>
                <w:rFonts w:ascii="Wingdings" w:eastAsia="Times New Roman" w:hAnsi="Wingdings" w:cs="Calibri"/>
                <w:color w:val="9C5700"/>
                <w:lang w:eastAsia="en-AU"/>
              </w:rPr>
              <w:t></w:t>
            </w:r>
          </w:p>
        </w:tc>
      </w:tr>
      <w:tr w:rsidR="006501A4" w:rsidRPr="00472909" w14:paraId="0FFF5220" w14:textId="77777777" w:rsidTr="0095397F">
        <w:trPr>
          <w:trHeight w:val="300"/>
        </w:trPr>
        <w:tc>
          <w:tcPr>
            <w:tcW w:w="2694" w:type="dxa"/>
            <w:tcBorders>
              <w:top w:val="nil"/>
              <w:left w:val="nil"/>
              <w:bottom w:val="nil"/>
              <w:right w:val="nil"/>
            </w:tcBorders>
            <w:shd w:val="clear" w:color="auto" w:fill="auto"/>
            <w:noWrap/>
            <w:vAlign w:val="bottom"/>
            <w:hideMark/>
          </w:tcPr>
          <w:p w14:paraId="22BE012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4</w:t>
            </w:r>
          </w:p>
        </w:tc>
        <w:tc>
          <w:tcPr>
            <w:tcW w:w="2409" w:type="dxa"/>
            <w:tcBorders>
              <w:top w:val="nil"/>
              <w:left w:val="nil"/>
              <w:bottom w:val="nil"/>
              <w:right w:val="nil"/>
            </w:tcBorders>
            <w:shd w:val="clear" w:color="auto" w:fill="auto"/>
            <w:noWrap/>
            <w:vAlign w:val="bottom"/>
            <w:hideMark/>
          </w:tcPr>
          <w:p w14:paraId="6E4034C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036765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465ACC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A3618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E2750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B1663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AB147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13BD8F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C0CFB6F" w14:textId="77777777" w:rsidTr="0095397F">
        <w:trPr>
          <w:trHeight w:val="300"/>
        </w:trPr>
        <w:tc>
          <w:tcPr>
            <w:tcW w:w="2694" w:type="dxa"/>
            <w:tcBorders>
              <w:top w:val="nil"/>
              <w:left w:val="nil"/>
              <w:bottom w:val="nil"/>
              <w:right w:val="nil"/>
            </w:tcBorders>
            <w:shd w:val="clear" w:color="auto" w:fill="auto"/>
            <w:noWrap/>
            <w:vAlign w:val="bottom"/>
            <w:hideMark/>
          </w:tcPr>
          <w:p w14:paraId="50FE59A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5</w:t>
            </w:r>
          </w:p>
        </w:tc>
        <w:tc>
          <w:tcPr>
            <w:tcW w:w="2409" w:type="dxa"/>
            <w:tcBorders>
              <w:top w:val="nil"/>
              <w:left w:val="nil"/>
              <w:bottom w:val="nil"/>
              <w:right w:val="nil"/>
            </w:tcBorders>
            <w:shd w:val="clear" w:color="auto" w:fill="auto"/>
            <w:noWrap/>
            <w:vAlign w:val="bottom"/>
            <w:hideMark/>
          </w:tcPr>
          <w:p w14:paraId="48C27F8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8A38E1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59035E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715F7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687C6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792DE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E37A8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E10F1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90780E0" w14:textId="77777777" w:rsidTr="0095397F">
        <w:trPr>
          <w:trHeight w:val="300"/>
        </w:trPr>
        <w:tc>
          <w:tcPr>
            <w:tcW w:w="2694" w:type="dxa"/>
            <w:tcBorders>
              <w:top w:val="nil"/>
              <w:left w:val="nil"/>
              <w:bottom w:val="nil"/>
              <w:right w:val="nil"/>
            </w:tcBorders>
            <w:shd w:val="clear" w:color="auto" w:fill="auto"/>
            <w:noWrap/>
            <w:vAlign w:val="bottom"/>
            <w:hideMark/>
          </w:tcPr>
          <w:p w14:paraId="4916CAD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6</w:t>
            </w:r>
          </w:p>
        </w:tc>
        <w:tc>
          <w:tcPr>
            <w:tcW w:w="2409" w:type="dxa"/>
            <w:tcBorders>
              <w:top w:val="nil"/>
              <w:left w:val="nil"/>
              <w:bottom w:val="nil"/>
              <w:right w:val="nil"/>
            </w:tcBorders>
            <w:shd w:val="clear" w:color="auto" w:fill="auto"/>
            <w:noWrap/>
            <w:vAlign w:val="bottom"/>
            <w:hideMark/>
          </w:tcPr>
          <w:p w14:paraId="0A71256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1B3AA58"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49ABCF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506F7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D17F0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03E68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AE68A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F0E82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A7DFB98" w14:textId="77777777" w:rsidTr="0095397F">
        <w:trPr>
          <w:trHeight w:val="300"/>
        </w:trPr>
        <w:tc>
          <w:tcPr>
            <w:tcW w:w="2694" w:type="dxa"/>
            <w:tcBorders>
              <w:top w:val="nil"/>
              <w:left w:val="nil"/>
              <w:bottom w:val="nil"/>
              <w:right w:val="nil"/>
            </w:tcBorders>
            <w:shd w:val="clear" w:color="auto" w:fill="auto"/>
            <w:noWrap/>
            <w:vAlign w:val="bottom"/>
            <w:hideMark/>
          </w:tcPr>
          <w:p w14:paraId="0FE807B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7</w:t>
            </w:r>
          </w:p>
        </w:tc>
        <w:tc>
          <w:tcPr>
            <w:tcW w:w="2409" w:type="dxa"/>
            <w:tcBorders>
              <w:top w:val="nil"/>
              <w:left w:val="nil"/>
              <w:bottom w:val="nil"/>
              <w:right w:val="nil"/>
            </w:tcBorders>
            <w:shd w:val="clear" w:color="auto" w:fill="auto"/>
            <w:noWrap/>
            <w:vAlign w:val="bottom"/>
            <w:hideMark/>
          </w:tcPr>
          <w:p w14:paraId="537BBD8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D220482"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D13D8B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6E27D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5FA6B5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F5EB7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56E07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ED08F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1109726"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3E29C67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Kyalite State Forest 8</w:t>
            </w:r>
          </w:p>
        </w:tc>
        <w:tc>
          <w:tcPr>
            <w:tcW w:w="2409" w:type="dxa"/>
            <w:tcBorders>
              <w:top w:val="nil"/>
              <w:left w:val="nil"/>
              <w:bottom w:val="single" w:sz="8" w:space="0" w:color="auto"/>
              <w:right w:val="nil"/>
            </w:tcBorders>
            <w:shd w:val="clear" w:color="auto" w:fill="auto"/>
            <w:noWrap/>
            <w:vAlign w:val="bottom"/>
            <w:hideMark/>
          </w:tcPr>
          <w:p w14:paraId="63AFB1A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664009A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1BEE9F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42184B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4ED22D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85F75F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13C697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5A75FB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499938E" w14:textId="77777777" w:rsidTr="0095397F">
        <w:trPr>
          <w:trHeight w:val="300"/>
        </w:trPr>
        <w:tc>
          <w:tcPr>
            <w:tcW w:w="2694" w:type="dxa"/>
            <w:tcBorders>
              <w:top w:val="nil"/>
              <w:left w:val="nil"/>
              <w:bottom w:val="nil"/>
              <w:right w:val="nil"/>
            </w:tcBorders>
            <w:shd w:val="clear" w:color="auto" w:fill="auto"/>
            <w:noWrap/>
            <w:vAlign w:val="bottom"/>
            <w:hideMark/>
          </w:tcPr>
          <w:p w14:paraId="34835D3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1</w:t>
            </w:r>
          </w:p>
        </w:tc>
        <w:tc>
          <w:tcPr>
            <w:tcW w:w="2409" w:type="dxa"/>
            <w:tcBorders>
              <w:top w:val="nil"/>
              <w:left w:val="nil"/>
              <w:bottom w:val="nil"/>
              <w:right w:val="nil"/>
            </w:tcBorders>
            <w:shd w:val="clear" w:color="auto" w:fill="auto"/>
            <w:noWrap/>
            <w:vAlign w:val="bottom"/>
            <w:hideMark/>
          </w:tcPr>
          <w:p w14:paraId="2E9B69E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B3AD73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B5EAB4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DD7DE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34398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908AE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2D67A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ED7B2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86D7A3F" w14:textId="77777777" w:rsidTr="0095397F">
        <w:trPr>
          <w:trHeight w:val="300"/>
        </w:trPr>
        <w:tc>
          <w:tcPr>
            <w:tcW w:w="2694" w:type="dxa"/>
            <w:tcBorders>
              <w:top w:val="nil"/>
              <w:left w:val="nil"/>
              <w:bottom w:val="nil"/>
              <w:right w:val="nil"/>
            </w:tcBorders>
            <w:shd w:val="clear" w:color="auto" w:fill="auto"/>
            <w:noWrap/>
            <w:vAlign w:val="bottom"/>
            <w:hideMark/>
          </w:tcPr>
          <w:p w14:paraId="22BE950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2</w:t>
            </w:r>
          </w:p>
        </w:tc>
        <w:tc>
          <w:tcPr>
            <w:tcW w:w="2409" w:type="dxa"/>
            <w:tcBorders>
              <w:top w:val="nil"/>
              <w:left w:val="nil"/>
              <w:bottom w:val="nil"/>
              <w:right w:val="nil"/>
            </w:tcBorders>
            <w:shd w:val="clear" w:color="auto" w:fill="auto"/>
            <w:noWrap/>
            <w:vAlign w:val="bottom"/>
            <w:hideMark/>
          </w:tcPr>
          <w:p w14:paraId="0467798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0AEA11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666AFC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72E0A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22363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8604F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7A3C2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632AC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8C8E693" w14:textId="77777777" w:rsidTr="0095397F">
        <w:trPr>
          <w:trHeight w:val="300"/>
        </w:trPr>
        <w:tc>
          <w:tcPr>
            <w:tcW w:w="2694" w:type="dxa"/>
            <w:tcBorders>
              <w:top w:val="nil"/>
              <w:left w:val="nil"/>
              <w:bottom w:val="nil"/>
              <w:right w:val="nil"/>
            </w:tcBorders>
            <w:shd w:val="clear" w:color="auto" w:fill="auto"/>
            <w:noWrap/>
            <w:vAlign w:val="bottom"/>
            <w:hideMark/>
          </w:tcPr>
          <w:p w14:paraId="2AF7AE3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3</w:t>
            </w:r>
          </w:p>
        </w:tc>
        <w:tc>
          <w:tcPr>
            <w:tcW w:w="2409" w:type="dxa"/>
            <w:tcBorders>
              <w:top w:val="nil"/>
              <w:left w:val="nil"/>
              <w:bottom w:val="nil"/>
              <w:right w:val="nil"/>
            </w:tcBorders>
            <w:shd w:val="clear" w:color="auto" w:fill="auto"/>
            <w:noWrap/>
            <w:vAlign w:val="bottom"/>
            <w:hideMark/>
          </w:tcPr>
          <w:p w14:paraId="7AE21F1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FD04D7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5379AA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33DD4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DBC5E2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75FAC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23807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04F21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1C71AEB6" w14:textId="77777777" w:rsidTr="0095397F">
        <w:trPr>
          <w:trHeight w:val="300"/>
        </w:trPr>
        <w:tc>
          <w:tcPr>
            <w:tcW w:w="2694" w:type="dxa"/>
            <w:tcBorders>
              <w:top w:val="nil"/>
              <w:left w:val="nil"/>
              <w:bottom w:val="nil"/>
              <w:right w:val="nil"/>
            </w:tcBorders>
            <w:shd w:val="clear" w:color="auto" w:fill="auto"/>
            <w:noWrap/>
            <w:vAlign w:val="bottom"/>
            <w:hideMark/>
          </w:tcPr>
          <w:p w14:paraId="4E427D6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4</w:t>
            </w:r>
          </w:p>
        </w:tc>
        <w:tc>
          <w:tcPr>
            <w:tcW w:w="2409" w:type="dxa"/>
            <w:tcBorders>
              <w:top w:val="nil"/>
              <w:left w:val="nil"/>
              <w:bottom w:val="nil"/>
              <w:right w:val="nil"/>
            </w:tcBorders>
            <w:shd w:val="clear" w:color="auto" w:fill="auto"/>
            <w:noWrap/>
            <w:vAlign w:val="bottom"/>
            <w:hideMark/>
          </w:tcPr>
          <w:p w14:paraId="67D1B6C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35CD7E3"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4BD30E2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7AD21320"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6834BE9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808C6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966A2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73899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79F3DFC" w14:textId="77777777" w:rsidTr="0095397F">
        <w:trPr>
          <w:trHeight w:val="300"/>
        </w:trPr>
        <w:tc>
          <w:tcPr>
            <w:tcW w:w="2694" w:type="dxa"/>
            <w:tcBorders>
              <w:top w:val="nil"/>
              <w:left w:val="nil"/>
              <w:bottom w:val="nil"/>
              <w:right w:val="nil"/>
            </w:tcBorders>
            <w:shd w:val="clear" w:color="auto" w:fill="auto"/>
            <w:noWrap/>
            <w:vAlign w:val="bottom"/>
            <w:hideMark/>
          </w:tcPr>
          <w:p w14:paraId="50483B9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5</w:t>
            </w:r>
          </w:p>
        </w:tc>
        <w:tc>
          <w:tcPr>
            <w:tcW w:w="2409" w:type="dxa"/>
            <w:tcBorders>
              <w:top w:val="nil"/>
              <w:left w:val="nil"/>
              <w:bottom w:val="nil"/>
              <w:right w:val="nil"/>
            </w:tcBorders>
            <w:shd w:val="clear" w:color="auto" w:fill="auto"/>
            <w:noWrap/>
            <w:vAlign w:val="bottom"/>
            <w:hideMark/>
          </w:tcPr>
          <w:p w14:paraId="7E22973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00F51B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6BF0A1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9F2CCB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A3DFA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3C7970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F8E7F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E6D5A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F0591B8" w14:textId="77777777" w:rsidTr="0095397F">
        <w:trPr>
          <w:trHeight w:val="300"/>
        </w:trPr>
        <w:tc>
          <w:tcPr>
            <w:tcW w:w="2694" w:type="dxa"/>
            <w:tcBorders>
              <w:top w:val="nil"/>
              <w:left w:val="nil"/>
              <w:bottom w:val="nil"/>
              <w:right w:val="nil"/>
            </w:tcBorders>
            <w:shd w:val="clear" w:color="auto" w:fill="auto"/>
            <w:noWrap/>
            <w:vAlign w:val="bottom"/>
            <w:hideMark/>
          </w:tcPr>
          <w:p w14:paraId="7319CFF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6</w:t>
            </w:r>
          </w:p>
        </w:tc>
        <w:tc>
          <w:tcPr>
            <w:tcW w:w="2409" w:type="dxa"/>
            <w:tcBorders>
              <w:top w:val="nil"/>
              <w:left w:val="nil"/>
              <w:bottom w:val="nil"/>
              <w:right w:val="nil"/>
            </w:tcBorders>
            <w:shd w:val="clear" w:color="auto" w:fill="auto"/>
            <w:noWrap/>
            <w:vAlign w:val="bottom"/>
            <w:hideMark/>
          </w:tcPr>
          <w:p w14:paraId="404C851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29A59C2"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6724D3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099D8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ED671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989A6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68FC7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AB771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897BE90" w14:textId="77777777" w:rsidTr="0095397F">
        <w:trPr>
          <w:trHeight w:val="300"/>
        </w:trPr>
        <w:tc>
          <w:tcPr>
            <w:tcW w:w="2694" w:type="dxa"/>
            <w:tcBorders>
              <w:top w:val="nil"/>
              <w:left w:val="nil"/>
              <w:bottom w:val="nil"/>
              <w:right w:val="nil"/>
            </w:tcBorders>
            <w:shd w:val="clear" w:color="auto" w:fill="auto"/>
            <w:noWrap/>
            <w:vAlign w:val="bottom"/>
            <w:hideMark/>
          </w:tcPr>
          <w:p w14:paraId="63B3EED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7</w:t>
            </w:r>
          </w:p>
        </w:tc>
        <w:tc>
          <w:tcPr>
            <w:tcW w:w="2409" w:type="dxa"/>
            <w:tcBorders>
              <w:top w:val="nil"/>
              <w:left w:val="nil"/>
              <w:bottom w:val="nil"/>
              <w:right w:val="nil"/>
            </w:tcBorders>
            <w:shd w:val="clear" w:color="auto" w:fill="auto"/>
            <w:noWrap/>
            <w:vAlign w:val="bottom"/>
            <w:hideMark/>
          </w:tcPr>
          <w:p w14:paraId="08DDEA3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46F50D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D7C400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B1788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68C19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D841D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16353A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8C6F5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F838BC5"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4076540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Widgee 8</w:t>
            </w:r>
          </w:p>
        </w:tc>
        <w:tc>
          <w:tcPr>
            <w:tcW w:w="2409" w:type="dxa"/>
            <w:tcBorders>
              <w:top w:val="nil"/>
              <w:left w:val="nil"/>
              <w:bottom w:val="single" w:sz="8" w:space="0" w:color="auto"/>
              <w:right w:val="nil"/>
            </w:tcBorders>
            <w:shd w:val="clear" w:color="auto" w:fill="auto"/>
            <w:noWrap/>
            <w:vAlign w:val="bottom"/>
            <w:hideMark/>
          </w:tcPr>
          <w:p w14:paraId="1681A55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06B0176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2/6</w:t>
            </w:r>
          </w:p>
        </w:tc>
        <w:tc>
          <w:tcPr>
            <w:tcW w:w="520" w:type="dxa"/>
            <w:tcBorders>
              <w:top w:val="nil"/>
              <w:left w:val="nil"/>
              <w:bottom w:val="single" w:sz="8" w:space="0" w:color="auto"/>
              <w:right w:val="nil"/>
            </w:tcBorders>
            <w:shd w:val="clear" w:color="000000" w:fill="FFC7CE"/>
            <w:noWrap/>
            <w:vAlign w:val="bottom"/>
            <w:hideMark/>
          </w:tcPr>
          <w:p w14:paraId="2C7E916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C6EFCE"/>
            <w:noWrap/>
            <w:vAlign w:val="bottom"/>
            <w:hideMark/>
          </w:tcPr>
          <w:p w14:paraId="0E9BEA3E"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single" w:sz="8" w:space="0" w:color="auto"/>
              <w:right w:val="nil"/>
            </w:tcBorders>
            <w:shd w:val="clear" w:color="000000" w:fill="FFC7CE"/>
            <w:noWrap/>
            <w:vAlign w:val="bottom"/>
            <w:hideMark/>
          </w:tcPr>
          <w:p w14:paraId="0E76024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C6EFCE"/>
            <w:noWrap/>
            <w:vAlign w:val="bottom"/>
            <w:hideMark/>
          </w:tcPr>
          <w:p w14:paraId="60410DCA"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single" w:sz="8" w:space="0" w:color="auto"/>
              <w:right w:val="nil"/>
            </w:tcBorders>
            <w:shd w:val="clear" w:color="000000" w:fill="FFC7CE"/>
            <w:noWrap/>
            <w:vAlign w:val="bottom"/>
            <w:hideMark/>
          </w:tcPr>
          <w:p w14:paraId="3ABAF5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16CA1A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A43DF48" w14:textId="77777777" w:rsidTr="0095397F">
        <w:trPr>
          <w:trHeight w:val="300"/>
        </w:trPr>
        <w:tc>
          <w:tcPr>
            <w:tcW w:w="2694" w:type="dxa"/>
            <w:tcBorders>
              <w:top w:val="nil"/>
              <w:left w:val="nil"/>
              <w:bottom w:val="nil"/>
              <w:right w:val="nil"/>
            </w:tcBorders>
            <w:shd w:val="clear" w:color="auto" w:fill="auto"/>
            <w:noWrap/>
            <w:vAlign w:val="bottom"/>
            <w:hideMark/>
          </w:tcPr>
          <w:p w14:paraId="6495CC3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1</w:t>
            </w:r>
          </w:p>
        </w:tc>
        <w:tc>
          <w:tcPr>
            <w:tcW w:w="2409" w:type="dxa"/>
            <w:tcBorders>
              <w:top w:val="nil"/>
              <w:left w:val="nil"/>
              <w:bottom w:val="nil"/>
              <w:right w:val="nil"/>
            </w:tcBorders>
            <w:shd w:val="clear" w:color="auto" w:fill="auto"/>
            <w:noWrap/>
            <w:vAlign w:val="bottom"/>
            <w:hideMark/>
          </w:tcPr>
          <w:p w14:paraId="61C78CE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F747119"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123B25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7E4AF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0DB90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7FDAD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FC6B1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A50F2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5FC8067" w14:textId="77777777" w:rsidTr="0095397F">
        <w:trPr>
          <w:trHeight w:val="300"/>
        </w:trPr>
        <w:tc>
          <w:tcPr>
            <w:tcW w:w="2694" w:type="dxa"/>
            <w:tcBorders>
              <w:top w:val="nil"/>
              <w:left w:val="nil"/>
              <w:bottom w:val="nil"/>
              <w:right w:val="nil"/>
            </w:tcBorders>
            <w:shd w:val="clear" w:color="auto" w:fill="auto"/>
            <w:noWrap/>
            <w:vAlign w:val="bottom"/>
            <w:hideMark/>
          </w:tcPr>
          <w:p w14:paraId="08D98DF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2</w:t>
            </w:r>
          </w:p>
        </w:tc>
        <w:tc>
          <w:tcPr>
            <w:tcW w:w="2409" w:type="dxa"/>
            <w:tcBorders>
              <w:top w:val="nil"/>
              <w:left w:val="nil"/>
              <w:bottom w:val="nil"/>
              <w:right w:val="nil"/>
            </w:tcBorders>
            <w:shd w:val="clear" w:color="auto" w:fill="auto"/>
            <w:noWrap/>
            <w:vAlign w:val="bottom"/>
            <w:hideMark/>
          </w:tcPr>
          <w:p w14:paraId="1D28418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C65C69C"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78112D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BD40A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65885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2BD38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5FF50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47225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5768219" w14:textId="77777777" w:rsidTr="0095397F">
        <w:trPr>
          <w:trHeight w:val="300"/>
        </w:trPr>
        <w:tc>
          <w:tcPr>
            <w:tcW w:w="2694" w:type="dxa"/>
            <w:tcBorders>
              <w:top w:val="nil"/>
              <w:left w:val="nil"/>
              <w:bottom w:val="nil"/>
              <w:right w:val="nil"/>
            </w:tcBorders>
            <w:shd w:val="clear" w:color="auto" w:fill="auto"/>
            <w:noWrap/>
            <w:vAlign w:val="bottom"/>
            <w:hideMark/>
          </w:tcPr>
          <w:p w14:paraId="62D6B66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3</w:t>
            </w:r>
          </w:p>
        </w:tc>
        <w:tc>
          <w:tcPr>
            <w:tcW w:w="2409" w:type="dxa"/>
            <w:tcBorders>
              <w:top w:val="nil"/>
              <w:left w:val="nil"/>
              <w:bottom w:val="nil"/>
              <w:right w:val="nil"/>
            </w:tcBorders>
            <w:shd w:val="clear" w:color="auto" w:fill="auto"/>
            <w:noWrap/>
            <w:vAlign w:val="bottom"/>
            <w:hideMark/>
          </w:tcPr>
          <w:p w14:paraId="621F5B3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7FC0F3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BE1C6C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942A9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32E2A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2F28C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3BD53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6ED1E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30DEEA0" w14:textId="77777777" w:rsidTr="0095397F">
        <w:trPr>
          <w:trHeight w:val="300"/>
        </w:trPr>
        <w:tc>
          <w:tcPr>
            <w:tcW w:w="2694" w:type="dxa"/>
            <w:tcBorders>
              <w:top w:val="nil"/>
              <w:left w:val="nil"/>
              <w:bottom w:val="nil"/>
              <w:right w:val="nil"/>
            </w:tcBorders>
            <w:shd w:val="clear" w:color="auto" w:fill="auto"/>
            <w:noWrap/>
            <w:vAlign w:val="bottom"/>
            <w:hideMark/>
          </w:tcPr>
          <w:p w14:paraId="5E69DF5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4</w:t>
            </w:r>
          </w:p>
        </w:tc>
        <w:tc>
          <w:tcPr>
            <w:tcW w:w="2409" w:type="dxa"/>
            <w:tcBorders>
              <w:top w:val="nil"/>
              <w:left w:val="nil"/>
              <w:bottom w:val="nil"/>
              <w:right w:val="nil"/>
            </w:tcBorders>
            <w:shd w:val="clear" w:color="auto" w:fill="auto"/>
            <w:noWrap/>
            <w:vAlign w:val="bottom"/>
            <w:hideMark/>
          </w:tcPr>
          <w:p w14:paraId="1EAAA40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362EDE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554D25C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AE6CD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91C35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FF3DD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F4302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17E83A36"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r>
      <w:tr w:rsidR="006501A4" w:rsidRPr="00472909" w14:paraId="4CCB4C2A" w14:textId="77777777" w:rsidTr="0095397F">
        <w:trPr>
          <w:trHeight w:val="300"/>
        </w:trPr>
        <w:tc>
          <w:tcPr>
            <w:tcW w:w="2694" w:type="dxa"/>
            <w:tcBorders>
              <w:top w:val="nil"/>
              <w:left w:val="nil"/>
              <w:bottom w:val="nil"/>
              <w:right w:val="nil"/>
            </w:tcBorders>
            <w:shd w:val="clear" w:color="auto" w:fill="auto"/>
            <w:noWrap/>
            <w:vAlign w:val="bottom"/>
            <w:hideMark/>
          </w:tcPr>
          <w:p w14:paraId="0888552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5</w:t>
            </w:r>
          </w:p>
        </w:tc>
        <w:tc>
          <w:tcPr>
            <w:tcW w:w="2409" w:type="dxa"/>
            <w:tcBorders>
              <w:top w:val="nil"/>
              <w:left w:val="nil"/>
              <w:bottom w:val="nil"/>
              <w:right w:val="nil"/>
            </w:tcBorders>
            <w:shd w:val="clear" w:color="auto" w:fill="auto"/>
            <w:noWrap/>
            <w:vAlign w:val="bottom"/>
            <w:hideMark/>
          </w:tcPr>
          <w:p w14:paraId="7136A72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8B69C8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2/6</w:t>
            </w:r>
          </w:p>
        </w:tc>
        <w:tc>
          <w:tcPr>
            <w:tcW w:w="520" w:type="dxa"/>
            <w:tcBorders>
              <w:top w:val="nil"/>
              <w:left w:val="nil"/>
              <w:bottom w:val="nil"/>
              <w:right w:val="nil"/>
            </w:tcBorders>
            <w:shd w:val="clear" w:color="000000" w:fill="FFC7CE"/>
            <w:noWrap/>
            <w:vAlign w:val="bottom"/>
            <w:hideMark/>
          </w:tcPr>
          <w:p w14:paraId="709F53C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5E2C1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56CD97AA"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C6EFCE"/>
            <w:noWrap/>
            <w:vAlign w:val="bottom"/>
            <w:hideMark/>
          </w:tcPr>
          <w:p w14:paraId="28402888"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405F9FB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7F96D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CCEDBAD" w14:textId="77777777" w:rsidTr="0095397F">
        <w:trPr>
          <w:trHeight w:val="300"/>
        </w:trPr>
        <w:tc>
          <w:tcPr>
            <w:tcW w:w="2694" w:type="dxa"/>
            <w:tcBorders>
              <w:top w:val="nil"/>
              <w:left w:val="nil"/>
              <w:bottom w:val="nil"/>
              <w:right w:val="nil"/>
            </w:tcBorders>
            <w:shd w:val="clear" w:color="auto" w:fill="auto"/>
            <w:noWrap/>
            <w:vAlign w:val="bottom"/>
            <w:hideMark/>
          </w:tcPr>
          <w:p w14:paraId="2E35C3B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6</w:t>
            </w:r>
          </w:p>
        </w:tc>
        <w:tc>
          <w:tcPr>
            <w:tcW w:w="2409" w:type="dxa"/>
            <w:tcBorders>
              <w:top w:val="nil"/>
              <w:left w:val="nil"/>
              <w:bottom w:val="nil"/>
              <w:right w:val="nil"/>
            </w:tcBorders>
            <w:shd w:val="clear" w:color="auto" w:fill="auto"/>
            <w:noWrap/>
            <w:vAlign w:val="bottom"/>
            <w:hideMark/>
          </w:tcPr>
          <w:p w14:paraId="5FA2493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FE018AC"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31F803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85751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EA1AC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10F9F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53284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3C8BE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294FD14" w14:textId="77777777" w:rsidTr="0095397F">
        <w:trPr>
          <w:trHeight w:val="300"/>
        </w:trPr>
        <w:tc>
          <w:tcPr>
            <w:tcW w:w="2694" w:type="dxa"/>
            <w:tcBorders>
              <w:top w:val="nil"/>
              <w:left w:val="nil"/>
              <w:bottom w:val="nil"/>
              <w:right w:val="nil"/>
            </w:tcBorders>
            <w:shd w:val="clear" w:color="auto" w:fill="auto"/>
            <w:noWrap/>
            <w:vAlign w:val="bottom"/>
            <w:hideMark/>
          </w:tcPr>
          <w:p w14:paraId="26CE6AB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7</w:t>
            </w:r>
          </w:p>
        </w:tc>
        <w:tc>
          <w:tcPr>
            <w:tcW w:w="2409" w:type="dxa"/>
            <w:tcBorders>
              <w:top w:val="nil"/>
              <w:left w:val="nil"/>
              <w:bottom w:val="nil"/>
              <w:right w:val="nil"/>
            </w:tcBorders>
            <w:shd w:val="clear" w:color="auto" w:fill="auto"/>
            <w:noWrap/>
            <w:vAlign w:val="bottom"/>
            <w:hideMark/>
          </w:tcPr>
          <w:p w14:paraId="57E1CE4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CB2FF5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9FA710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CE7A1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2DF9A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9CF51D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183543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43656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608EC4F"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48BD9CA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Gee Gee 8</w:t>
            </w:r>
          </w:p>
        </w:tc>
        <w:tc>
          <w:tcPr>
            <w:tcW w:w="2409" w:type="dxa"/>
            <w:tcBorders>
              <w:top w:val="nil"/>
              <w:left w:val="nil"/>
              <w:bottom w:val="single" w:sz="8" w:space="0" w:color="auto"/>
              <w:right w:val="nil"/>
            </w:tcBorders>
            <w:shd w:val="clear" w:color="auto" w:fill="auto"/>
            <w:noWrap/>
            <w:vAlign w:val="bottom"/>
            <w:hideMark/>
          </w:tcPr>
          <w:p w14:paraId="2D2F1825"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02BE11B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2/6</w:t>
            </w:r>
          </w:p>
        </w:tc>
        <w:tc>
          <w:tcPr>
            <w:tcW w:w="520" w:type="dxa"/>
            <w:tcBorders>
              <w:top w:val="nil"/>
              <w:left w:val="nil"/>
              <w:bottom w:val="single" w:sz="8" w:space="0" w:color="auto"/>
              <w:right w:val="nil"/>
            </w:tcBorders>
            <w:shd w:val="clear" w:color="000000" w:fill="C6EFCE"/>
            <w:noWrap/>
            <w:vAlign w:val="bottom"/>
            <w:hideMark/>
          </w:tcPr>
          <w:p w14:paraId="50BB78BE"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single" w:sz="8" w:space="0" w:color="auto"/>
              <w:right w:val="nil"/>
            </w:tcBorders>
            <w:shd w:val="clear" w:color="000000" w:fill="C6EFCE"/>
            <w:noWrap/>
            <w:vAlign w:val="bottom"/>
            <w:hideMark/>
          </w:tcPr>
          <w:p w14:paraId="4313FF3F"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single" w:sz="8" w:space="0" w:color="auto"/>
              <w:right w:val="nil"/>
            </w:tcBorders>
            <w:shd w:val="clear" w:color="000000" w:fill="FFC7CE"/>
            <w:noWrap/>
            <w:vAlign w:val="bottom"/>
            <w:hideMark/>
          </w:tcPr>
          <w:p w14:paraId="7133E5C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F0317F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4BAAD8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89EFAD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9D869CC" w14:textId="77777777" w:rsidTr="0095397F">
        <w:trPr>
          <w:trHeight w:val="300"/>
        </w:trPr>
        <w:tc>
          <w:tcPr>
            <w:tcW w:w="2694" w:type="dxa"/>
            <w:tcBorders>
              <w:top w:val="nil"/>
              <w:left w:val="nil"/>
              <w:bottom w:val="nil"/>
              <w:right w:val="nil"/>
            </w:tcBorders>
            <w:shd w:val="clear" w:color="auto" w:fill="auto"/>
            <w:noWrap/>
            <w:vAlign w:val="bottom"/>
            <w:hideMark/>
          </w:tcPr>
          <w:p w14:paraId="0F5E580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1</w:t>
            </w:r>
          </w:p>
        </w:tc>
        <w:tc>
          <w:tcPr>
            <w:tcW w:w="2409" w:type="dxa"/>
            <w:tcBorders>
              <w:top w:val="nil"/>
              <w:left w:val="nil"/>
              <w:bottom w:val="nil"/>
              <w:right w:val="nil"/>
            </w:tcBorders>
            <w:shd w:val="clear" w:color="auto" w:fill="auto"/>
            <w:noWrap/>
            <w:vAlign w:val="bottom"/>
            <w:hideMark/>
          </w:tcPr>
          <w:p w14:paraId="31631F3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2B2512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DE152B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2FEE4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D42C6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B8176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6695C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8D829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041CF48" w14:textId="77777777" w:rsidTr="0095397F">
        <w:trPr>
          <w:trHeight w:val="300"/>
        </w:trPr>
        <w:tc>
          <w:tcPr>
            <w:tcW w:w="2694" w:type="dxa"/>
            <w:tcBorders>
              <w:top w:val="nil"/>
              <w:left w:val="nil"/>
              <w:bottom w:val="nil"/>
              <w:right w:val="nil"/>
            </w:tcBorders>
            <w:shd w:val="clear" w:color="auto" w:fill="auto"/>
            <w:noWrap/>
            <w:vAlign w:val="bottom"/>
            <w:hideMark/>
          </w:tcPr>
          <w:p w14:paraId="6E5F89C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2</w:t>
            </w:r>
          </w:p>
        </w:tc>
        <w:tc>
          <w:tcPr>
            <w:tcW w:w="2409" w:type="dxa"/>
            <w:tcBorders>
              <w:top w:val="nil"/>
              <w:left w:val="nil"/>
              <w:bottom w:val="nil"/>
              <w:right w:val="nil"/>
            </w:tcBorders>
            <w:shd w:val="clear" w:color="auto" w:fill="auto"/>
            <w:noWrap/>
            <w:vAlign w:val="bottom"/>
            <w:hideMark/>
          </w:tcPr>
          <w:p w14:paraId="6234985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6C60D5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3/6</w:t>
            </w:r>
          </w:p>
        </w:tc>
        <w:tc>
          <w:tcPr>
            <w:tcW w:w="520" w:type="dxa"/>
            <w:tcBorders>
              <w:top w:val="nil"/>
              <w:left w:val="nil"/>
              <w:bottom w:val="nil"/>
              <w:right w:val="nil"/>
            </w:tcBorders>
            <w:shd w:val="clear" w:color="000000" w:fill="FFC7CE"/>
            <w:noWrap/>
            <w:vAlign w:val="bottom"/>
            <w:hideMark/>
          </w:tcPr>
          <w:p w14:paraId="46F9949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C77A7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52B1235B"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C6EFCE"/>
            <w:noWrap/>
            <w:vAlign w:val="bottom"/>
            <w:hideMark/>
          </w:tcPr>
          <w:p w14:paraId="70A63FE2"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C6EFCE"/>
            <w:noWrap/>
            <w:vAlign w:val="bottom"/>
            <w:hideMark/>
          </w:tcPr>
          <w:p w14:paraId="34EDBB89"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1F40491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F31C139" w14:textId="77777777" w:rsidTr="0095397F">
        <w:trPr>
          <w:trHeight w:val="300"/>
        </w:trPr>
        <w:tc>
          <w:tcPr>
            <w:tcW w:w="2694" w:type="dxa"/>
            <w:tcBorders>
              <w:top w:val="nil"/>
              <w:left w:val="nil"/>
              <w:bottom w:val="nil"/>
              <w:right w:val="nil"/>
            </w:tcBorders>
            <w:shd w:val="clear" w:color="auto" w:fill="auto"/>
            <w:noWrap/>
            <w:vAlign w:val="bottom"/>
            <w:hideMark/>
          </w:tcPr>
          <w:p w14:paraId="77B9A64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3</w:t>
            </w:r>
          </w:p>
        </w:tc>
        <w:tc>
          <w:tcPr>
            <w:tcW w:w="2409" w:type="dxa"/>
            <w:tcBorders>
              <w:top w:val="nil"/>
              <w:left w:val="nil"/>
              <w:bottom w:val="nil"/>
              <w:right w:val="nil"/>
            </w:tcBorders>
            <w:shd w:val="clear" w:color="auto" w:fill="auto"/>
            <w:noWrap/>
            <w:vAlign w:val="bottom"/>
            <w:hideMark/>
          </w:tcPr>
          <w:p w14:paraId="282D5A6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EF0CF8B"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756E9F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5A033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39489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A1AD6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853FC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EB769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D7214D5" w14:textId="77777777" w:rsidTr="0095397F">
        <w:trPr>
          <w:trHeight w:val="300"/>
        </w:trPr>
        <w:tc>
          <w:tcPr>
            <w:tcW w:w="2694" w:type="dxa"/>
            <w:tcBorders>
              <w:top w:val="nil"/>
              <w:left w:val="nil"/>
              <w:bottom w:val="nil"/>
              <w:right w:val="nil"/>
            </w:tcBorders>
            <w:shd w:val="clear" w:color="auto" w:fill="auto"/>
            <w:noWrap/>
            <w:vAlign w:val="bottom"/>
            <w:hideMark/>
          </w:tcPr>
          <w:p w14:paraId="02CE61E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4</w:t>
            </w:r>
          </w:p>
        </w:tc>
        <w:tc>
          <w:tcPr>
            <w:tcW w:w="2409" w:type="dxa"/>
            <w:tcBorders>
              <w:top w:val="nil"/>
              <w:left w:val="nil"/>
              <w:bottom w:val="nil"/>
              <w:right w:val="nil"/>
            </w:tcBorders>
            <w:shd w:val="clear" w:color="auto" w:fill="auto"/>
            <w:noWrap/>
            <w:vAlign w:val="bottom"/>
            <w:hideMark/>
          </w:tcPr>
          <w:p w14:paraId="428FA01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AFE11F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00304C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DAD89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B3658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4ADBF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E63AA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663CB1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E54B071" w14:textId="77777777" w:rsidTr="0095397F">
        <w:trPr>
          <w:trHeight w:val="300"/>
        </w:trPr>
        <w:tc>
          <w:tcPr>
            <w:tcW w:w="2694" w:type="dxa"/>
            <w:tcBorders>
              <w:top w:val="nil"/>
              <w:left w:val="nil"/>
              <w:bottom w:val="nil"/>
              <w:right w:val="nil"/>
            </w:tcBorders>
            <w:shd w:val="clear" w:color="auto" w:fill="auto"/>
            <w:noWrap/>
            <w:vAlign w:val="bottom"/>
            <w:hideMark/>
          </w:tcPr>
          <w:p w14:paraId="6C95F80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5</w:t>
            </w:r>
          </w:p>
        </w:tc>
        <w:tc>
          <w:tcPr>
            <w:tcW w:w="2409" w:type="dxa"/>
            <w:tcBorders>
              <w:top w:val="nil"/>
              <w:left w:val="nil"/>
              <w:bottom w:val="nil"/>
              <w:right w:val="nil"/>
            </w:tcBorders>
            <w:shd w:val="clear" w:color="auto" w:fill="auto"/>
            <w:noWrap/>
            <w:vAlign w:val="bottom"/>
            <w:hideMark/>
          </w:tcPr>
          <w:p w14:paraId="505A38A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03B68F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2364B2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ED1FC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EA148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23429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BE346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ED514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857F9F9" w14:textId="77777777" w:rsidTr="0095397F">
        <w:trPr>
          <w:trHeight w:val="300"/>
        </w:trPr>
        <w:tc>
          <w:tcPr>
            <w:tcW w:w="2694" w:type="dxa"/>
            <w:tcBorders>
              <w:top w:val="nil"/>
              <w:left w:val="nil"/>
              <w:bottom w:val="nil"/>
              <w:right w:val="nil"/>
            </w:tcBorders>
            <w:shd w:val="clear" w:color="auto" w:fill="auto"/>
            <w:noWrap/>
            <w:vAlign w:val="bottom"/>
            <w:hideMark/>
          </w:tcPr>
          <w:p w14:paraId="2201C52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6</w:t>
            </w:r>
          </w:p>
        </w:tc>
        <w:tc>
          <w:tcPr>
            <w:tcW w:w="2409" w:type="dxa"/>
            <w:tcBorders>
              <w:top w:val="nil"/>
              <w:left w:val="nil"/>
              <w:bottom w:val="nil"/>
              <w:right w:val="nil"/>
            </w:tcBorders>
            <w:shd w:val="clear" w:color="auto" w:fill="auto"/>
            <w:noWrap/>
            <w:vAlign w:val="bottom"/>
            <w:hideMark/>
          </w:tcPr>
          <w:p w14:paraId="38F63F4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9E6E1F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977595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A9F55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366CB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F66FD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2D7B8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E7A2A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CBBAC5D" w14:textId="77777777" w:rsidTr="0095397F">
        <w:trPr>
          <w:trHeight w:val="300"/>
        </w:trPr>
        <w:tc>
          <w:tcPr>
            <w:tcW w:w="2694" w:type="dxa"/>
            <w:tcBorders>
              <w:top w:val="nil"/>
              <w:left w:val="nil"/>
              <w:bottom w:val="nil"/>
              <w:right w:val="nil"/>
            </w:tcBorders>
            <w:shd w:val="clear" w:color="auto" w:fill="auto"/>
            <w:noWrap/>
            <w:vAlign w:val="bottom"/>
            <w:hideMark/>
          </w:tcPr>
          <w:p w14:paraId="521D915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7</w:t>
            </w:r>
          </w:p>
        </w:tc>
        <w:tc>
          <w:tcPr>
            <w:tcW w:w="2409" w:type="dxa"/>
            <w:tcBorders>
              <w:top w:val="nil"/>
              <w:left w:val="nil"/>
              <w:bottom w:val="nil"/>
              <w:right w:val="nil"/>
            </w:tcBorders>
            <w:shd w:val="clear" w:color="auto" w:fill="auto"/>
            <w:noWrap/>
            <w:vAlign w:val="bottom"/>
            <w:hideMark/>
          </w:tcPr>
          <w:p w14:paraId="535E505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43CCBE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0B66726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743E751C"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1B1FA1C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8DB9F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230EF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3011C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EA780FF"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16D030F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Stoney Creek Crossing 8</w:t>
            </w:r>
          </w:p>
        </w:tc>
        <w:tc>
          <w:tcPr>
            <w:tcW w:w="2409" w:type="dxa"/>
            <w:tcBorders>
              <w:top w:val="nil"/>
              <w:left w:val="nil"/>
              <w:bottom w:val="single" w:sz="8" w:space="0" w:color="auto"/>
              <w:right w:val="nil"/>
            </w:tcBorders>
            <w:shd w:val="clear" w:color="auto" w:fill="auto"/>
            <w:noWrap/>
            <w:vAlign w:val="bottom"/>
            <w:hideMark/>
          </w:tcPr>
          <w:p w14:paraId="4BF2807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31382DAD"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533D1FC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AF8547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3CDC7F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87CAA6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1A1948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ECAA1A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22AC385" w14:textId="77777777" w:rsidTr="0095397F">
        <w:trPr>
          <w:trHeight w:val="300"/>
        </w:trPr>
        <w:tc>
          <w:tcPr>
            <w:tcW w:w="2694" w:type="dxa"/>
            <w:tcBorders>
              <w:top w:val="nil"/>
              <w:left w:val="nil"/>
              <w:bottom w:val="nil"/>
              <w:right w:val="nil"/>
            </w:tcBorders>
            <w:shd w:val="clear" w:color="auto" w:fill="auto"/>
            <w:noWrap/>
            <w:vAlign w:val="bottom"/>
            <w:hideMark/>
          </w:tcPr>
          <w:p w14:paraId="6B0C7E0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1</w:t>
            </w:r>
          </w:p>
        </w:tc>
        <w:tc>
          <w:tcPr>
            <w:tcW w:w="2409" w:type="dxa"/>
            <w:tcBorders>
              <w:top w:val="nil"/>
              <w:left w:val="nil"/>
              <w:bottom w:val="nil"/>
              <w:right w:val="nil"/>
            </w:tcBorders>
            <w:shd w:val="clear" w:color="auto" w:fill="auto"/>
            <w:noWrap/>
            <w:vAlign w:val="bottom"/>
            <w:hideMark/>
          </w:tcPr>
          <w:p w14:paraId="594AD9D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79518A7"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DDF93F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3B2CC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32099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A7A9C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28CD5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59AC1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9F8E085" w14:textId="77777777" w:rsidTr="0095397F">
        <w:trPr>
          <w:trHeight w:val="300"/>
        </w:trPr>
        <w:tc>
          <w:tcPr>
            <w:tcW w:w="2694" w:type="dxa"/>
            <w:tcBorders>
              <w:top w:val="nil"/>
              <w:left w:val="nil"/>
              <w:bottom w:val="nil"/>
              <w:right w:val="nil"/>
            </w:tcBorders>
            <w:shd w:val="clear" w:color="auto" w:fill="auto"/>
            <w:noWrap/>
            <w:vAlign w:val="bottom"/>
            <w:hideMark/>
          </w:tcPr>
          <w:p w14:paraId="7D9B99C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2</w:t>
            </w:r>
          </w:p>
        </w:tc>
        <w:tc>
          <w:tcPr>
            <w:tcW w:w="2409" w:type="dxa"/>
            <w:tcBorders>
              <w:top w:val="nil"/>
              <w:left w:val="nil"/>
              <w:bottom w:val="nil"/>
              <w:right w:val="nil"/>
            </w:tcBorders>
            <w:shd w:val="clear" w:color="auto" w:fill="auto"/>
            <w:noWrap/>
            <w:vAlign w:val="bottom"/>
            <w:hideMark/>
          </w:tcPr>
          <w:p w14:paraId="55669C8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C8F434D"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F15C88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BA979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557C4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8C96A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7BF80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E623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B53EB0C" w14:textId="77777777" w:rsidTr="0095397F">
        <w:trPr>
          <w:trHeight w:val="300"/>
        </w:trPr>
        <w:tc>
          <w:tcPr>
            <w:tcW w:w="2694" w:type="dxa"/>
            <w:tcBorders>
              <w:top w:val="nil"/>
              <w:left w:val="nil"/>
              <w:bottom w:val="nil"/>
              <w:right w:val="nil"/>
            </w:tcBorders>
            <w:shd w:val="clear" w:color="auto" w:fill="auto"/>
            <w:noWrap/>
            <w:vAlign w:val="bottom"/>
            <w:hideMark/>
          </w:tcPr>
          <w:p w14:paraId="1BCA0EC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3</w:t>
            </w:r>
          </w:p>
        </w:tc>
        <w:tc>
          <w:tcPr>
            <w:tcW w:w="2409" w:type="dxa"/>
            <w:tcBorders>
              <w:top w:val="nil"/>
              <w:left w:val="nil"/>
              <w:bottom w:val="nil"/>
              <w:right w:val="nil"/>
            </w:tcBorders>
            <w:shd w:val="clear" w:color="auto" w:fill="auto"/>
            <w:noWrap/>
            <w:vAlign w:val="bottom"/>
            <w:hideMark/>
          </w:tcPr>
          <w:p w14:paraId="31A4E40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DCD6359"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B690FA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89FD4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C5E8C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7EFFC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A27D3C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F3781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FF445CB" w14:textId="77777777" w:rsidTr="0095397F">
        <w:trPr>
          <w:trHeight w:val="300"/>
        </w:trPr>
        <w:tc>
          <w:tcPr>
            <w:tcW w:w="2694" w:type="dxa"/>
            <w:tcBorders>
              <w:top w:val="nil"/>
              <w:left w:val="nil"/>
              <w:bottom w:val="nil"/>
              <w:right w:val="nil"/>
            </w:tcBorders>
            <w:shd w:val="clear" w:color="auto" w:fill="auto"/>
            <w:noWrap/>
            <w:vAlign w:val="bottom"/>
            <w:hideMark/>
          </w:tcPr>
          <w:p w14:paraId="2D6CDE2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4</w:t>
            </w:r>
          </w:p>
        </w:tc>
        <w:tc>
          <w:tcPr>
            <w:tcW w:w="2409" w:type="dxa"/>
            <w:tcBorders>
              <w:top w:val="nil"/>
              <w:left w:val="nil"/>
              <w:bottom w:val="nil"/>
              <w:right w:val="nil"/>
            </w:tcBorders>
            <w:shd w:val="clear" w:color="auto" w:fill="auto"/>
            <w:noWrap/>
            <w:vAlign w:val="bottom"/>
            <w:hideMark/>
          </w:tcPr>
          <w:p w14:paraId="4493AA9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003C7E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C17F3F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F6C32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EA9EE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83C53A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61BAD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4A3C3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46E2D33" w14:textId="77777777" w:rsidTr="0095397F">
        <w:trPr>
          <w:trHeight w:val="300"/>
        </w:trPr>
        <w:tc>
          <w:tcPr>
            <w:tcW w:w="2694" w:type="dxa"/>
            <w:tcBorders>
              <w:top w:val="nil"/>
              <w:left w:val="nil"/>
              <w:bottom w:val="nil"/>
              <w:right w:val="nil"/>
            </w:tcBorders>
            <w:shd w:val="clear" w:color="auto" w:fill="auto"/>
            <w:noWrap/>
            <w:vAlign w:val="bottom"/>
            <w:hideMark/>
          </w:tcPr>
          <w:p w14:paraId="392671B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5</w:t>
            </w:r>
          </w:p>
        </w:tc>
        <w:tc>
          <w:tcPr>
            <w:tcW w:w="2409" w:type="dxa"/>
            <w:tcBorders>
              <w:top w:val="nil"/>
              <w:left w:val="nil"/>
              <w:bottom w:val="nil"/>
              <w:right w:val="nil"/>
            </w:tcBorders>
            <w:shd w:val="clear" w:color="auto" w:fill="auto"/>
            <w:noWrap/>
            <w:vAlign w:val="bottom"/>
            <w:hideMark/>
          </w:tcPr>
          <w:p w14:paraId="12E51B5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A57031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71D85E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A7E4E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04A1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C0C87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D7222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46BA8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C706A29" w14:textId="77777777" w:rsidTr="0095397F">
        <w:trPr>
          <w:trHeight w:val="300"/>
        </w:trPr>
        <w:tc>
          <w:tcPr>
            <w:tcW w:w="2694" w:type="dxa"/>
            <w:tcBorders>
              <w:top w:val="nil"/>
              <w:left w:val="nil"/>
              <w:bottom w:val="nil"/>
              <w:right w:val="nil"/>
            </w:tcBorders>
            <w:shd w:val="clear" w:color="auto" w:fill="auto"/>
            <w:noWrap/>
            <w:vAlign w:val="bottom"/>
            <w:hideMark/>
          </w:tcPr>
          <w:p w14:paraId="01C8CFC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6</w:t>
            </w:r>
          </w:p>
        </w:tc>
        <w:tc>
          <w:tcPr>
            <w:tcW w:w="2409" w:type="dxa"/>
            <w:tcBorders>
              <w:top w:val="nil"/>
              <w:left w:val="nil"/>
              <w:bottom w:val="nil"/>
              <w:right w:val="nil"/>
            </w:tcBorders>
            <w:shd w:val="clear" w:color="auto" w:fill="auto"/>
            <w:noWrap/>
            <w:vAlign w:val="bottom"/>
            <w:hideMark/>
          </w:tcPr>
          <w:p w14:paraId="0FD8BE4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9082BE6"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988BDF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DEC9B6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127CC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48FD1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2304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7CCA7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7440F49" w14:textId="77777777" w:rsidTr="0095397F">
        <w:trPr>
          <w:trHeight w:val="300"/>
        </w:trPr>
        <w:tc>
          <w:tcPr>
            <w:tcW w:w="2694" w:type="dxa"/>
            <w:tcBorders>
              <w:top w:val="nil"/>
              <w:left w:val="nil"/>
              <w:bottom w:val="nil"/>
              <w:right w:val="nil"/>
            </w:tcBorders>
            <w:shd w:val="clear" w:color="auto" w:fill="auto"/>
            <w:noWrap/>
            <w:vAlign w:val="bottom"/>
            <w:hideMark/>
          </w:tcPr>
          <w:p w14:paraId="3FA5777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7</w:t>
            </w:r>
          </w:p>
        </w:tc>
        <w:tc>
          <w:tcPr>
            <w:tcW w:w="2409" w:type="dxa"/>
            <w:tcBorders>
              <w:top w:val="nil"/>
              <w:left w:val="nil"/>
              <w:bottom w:val="nil"/>
              <w:right w:val="nil"/>
            </w:tcBorders>
            <w:shd w:val="clear" w:color="auto" w:fill="auto"/>
            <w:noWrap/>
            <w:vAlign w:val="bottom"/>
            <w:hideMark/>
          </w:tcPr>
          <w:p w14:paraId="49E40E0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CFA220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2F8C62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D5BA6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5DCAA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34477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A5FE7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1EEBA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EE3DB43"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590B294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Calimo 8</w:t>
            </w:r>
          </w:p>
        </w:tc>
        <w:tc>
          <w:tcPr>
            <w:tcW w:w="2409" w:type="dxa"/>
            <w:tcBorders>
              <w:top w:val="nil"/>
              <w:left w:val="nil"/>
              <w:bottom w:val="single" w:sz="8" w:space="0" w:color="auto"/>
              <w:right w:val="nil"/>
            </w:tcBorders>
            <w:shd w:val="clear" w:color="auto" w:fill="auto"/>
            <w:noWrap/>
            <w:vAlign w:val="bottom"/>
            <w:hideMark/>
          </w:tcPr>
          <w:p w14:paraId="1C3B66C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2DE1CB69"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A45580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14FF3E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34D484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6D99C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562928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19D697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470D8868" w14:textId="77777777" w:rsidTr="0095397F">
        <w:trPr>
          <w:trHeight w:val="300"/>
        </w:trPr>
        <w:tc>
          <w:tcPr>
            <w:tcW w:w="2694" w:type="dxa"/>
            <w:tcBorders>
              <w:top w:val="nil"/>
              <w:left w:val="nil"/>
              <w:bottom w:val="nil"/>
              <w:right w:val="nil"/>
            </w:tcBorders>
            <w:shd w:val="clear" w:color="auto" w:fill="auto"/>
            <w:noWrap/>
            <w:vAlign w:val="bottom"/>
            <w:hideMark/>
          </w:tcPr>
          <w:p w14:paraId="365F7BC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1</w:t>
            </w:r>
          </w:p>
        </w:tc>
        <w:tc>
          <w:tcPr>
            <w:tcW w:w="2409" w:type="dxa"/>
            <w:tcBorders>
              <w:top w:val="nil"/>
              <w:left w:val="nil"/>
              <w:bottom w:val="nil"/>
              <w:right w:val="nil"/>
            </w:tcBorders>
            <w:shd w:val="clear" w:color="auto" w:fill="auto"/>
            <w:noWrap/>
            <w:vAlign w:val="bottom"/>
            <w:hideMark/>
          </w:tcPr>
          <w:p w14:paraId="081D0EAA"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DC84328"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C5469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32391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C51B9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BF7F5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8400A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1998F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9C05F12" w14:textId="77777777" w:rsidTr="0095397F">
        <w:trPr>
          <w:trHeight w:val="300"/>
        </w:trPr>
        <w:tc>
          <w:tcPr>
            <w:tcW w:w="2694" w:type="dxa"/>
            <w:tcBorders>
              <w:top w:val="nil"/>
              <w:left w:val="nil"/>
              <w:bottom w:val="nil"/>
              <w:right w:val="nil"/>
            </w:tcBorders>
            <w:shd w:val="clear" w:color="auto" w:fill="auto"/>
            <w:noWrap/>
            <w:vAlign w:val="bottom"/>
            <w:hideMark/>
          </w:tcPr>
          <w:p w14:paraId="6D36C75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2</w:t>
            </w:r>
          </w:p>
        </w:tc>
        <w:tc>
          <w:tcPr>
            <w:tcW w:w="2409" w:type="dxa"/>
            <w:tcBorders>
              <w:top w:val="nil"/>
              <w:left w:val="nil"/>
              <w:bottom w:val="nil"/>
              <w:right w:val="nil"/>
            </w:tcBorders>
            <w:shd w:val="clear" w:color="auto" w:fill="auto"/>
            <w:noWrap/>
            <w:vAlign w:val="bottom"/>
            <w:hideMark/>
          </w:tcPr>
          <w:p w14:paraId="698AFC7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405798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1138D9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2B2B5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29F0B5"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043CA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969D0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137D7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5ECA9494" w14:textId="77777777" w:rsidTr="0095397F">
        <w:trPr>
          <w:trHeight w:val="300"/>
        </w:trPr>
        <w:tc>
          <w:tcPr>
            <w:tcW w:w="2694" w:type="dxa"/>
            <w:tcBorders>
              <w:top w:val="nil"/>
              <w:left w:val="nil"/>
              <w:bottom w:val="nil"/>
              <w:right w:val="nil"/>
            </w:tcBorders>
            <w:shd w:val="clear" w:color="auto" w:fill="auto"/>
            <w:noWrap/>
            <w:vAlign w:val="bottom"/>
            <w:hideMark/>
          </w:tcPr>
          <w:p w14:paraId="440C1BA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3</w:t>
            </w:r>
          </w:p>
        </w:tc>
        <w:tc>
          <w:tcPr>
            <w:tcW w:w="2409" w:type="dxa"/>
            <w:tcBorders>
              <w:top w:val="nil"/>
              <w:left w:val="nil"/>
              <w:bottom w:val="nil"/>
              <w:right w:val="nil"/>
            </w:tcBorders>
            <w:shd w:val="clear" w:color="auto" w:fill="auto"/>
            <w:noWrap/>
            <w:vAlign w:val="bottom"/>
            <w:hideMark/>
          </w:tcPr>
          <w:p w14:paraId="1F8E38B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E22131B"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C43B1B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06DC6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424A8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3251F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80708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69395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0A7F942" w14:textId="77777777" w:rsidTr="0095397F">
        <w:trPr>
          <w:trHeight w:val="300"/>
        </w:trPr>
        <w:tc>
          <w:tcPr>
            <w:tcW w:w="2694" w:type="dxa"/>
            <w:tcBorders>
              <w:top w:val="nil"/>
              <w:left w:val="nil"/>
              <w:bottom w:val="nil"/>
              <w:right w:val="nil"/>
            </w:tcBorders>
            <w:shd w:val="clear" w:color="auto" w:fill="auto"/>
            <w:noWrap/>
            <w:vAlign w:val="bottom"/>
            <w:hideMark/>
          </w:tcPr>
          <w:p w14:paraId="1CB2CBE8"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4</w:t>
            </w:r>
          </w:p>
        </w:tc>
        <w:tc>
          <w:tcPr>
            <w:tcW w:w="2409" w:type="dxa"/>
            <w:tcBorders>
              <w:top w:val="nil"/>
              <w:left w:val="nil"/>
              <w:bottom w:val="nil"/>
              <w:right w:val="nil"/>
            </w:tcBorders>
            <w:shd w:val="clear" w:color="auto" w:fill="auto"/>
            <w:noWrap/>
            <w:vAlign w:val="bottom"/>
            <w:hideMark/>
          </w:tcPr>
          <w:p w14:paraId="12454A7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746802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6AE8E7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9B42B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5B532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90DAF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2E69D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9E301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07DC24B9" w14:textId="77777777" w:rsidTr="0095397F">
        <w:trPr>
          <w:trHeight w:val="300"/>
        </w:trPr>
        <w:tc>
          <w:tcPr>
            <w:tcW w:w="2694" w:type="dxa"/>
            <w:tcBorders>
              <w:top w:val="nil"/>
              <w:left w:val="nil"/>
              <w:bottom w:val="nil"/>
              <w:right w:val="nil"/>
            </w:tcBorders>
            <w:shd w:val="clear" w:color="auto" w:fill="auto"/>
            <w:noWrap/>
            <w:vAlign w:val="bottom"/>
            <w:hideMark/>
          </w:tcPr>
          <w:p w14:paraId="2712527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5</w:t>
            </w:r>
          </w:p>
        </w:tc>
        <w:tc>
          <w:tcPr>
            <w:tcW w:w="2409" w:type="dxa"/>
            <w:tcBorders>
              <w:top w:val="nil"/>
              <w:left w:val="nil"/>
              <w:bottom w:val="nil"/>
              <w:right w:val="nil"/>
            </w:tcBorders>
            <w:shd w:val="clear" w:color="auto" w:fill="auto"/>
            <w:noWrap/>
            <w:vAlign w:val="bottom"/>
            <w:hideMark/>
          </w:tcPr>
          <w:p w14:paraId="04F1570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9A44DD5"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F4AB73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64E80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26C71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B06FB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BA4EF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7530C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2373ED4" w14:textId="77777777" w:rsidTr="0095397F">
        <w:trPr>
          <w:trHeight w:val="300"/>
        </w:trPr>
        <w:tc>
          <w:tcPr>
            <w:tcW w:w="2694" w:type="dxa"/>
            <w:tcBorders>
              <w:top w:val="nil"/>
              <w:left w:val="nil"/>
              <w:bottom w:val="nil"/>
              <w:right w:val="nil"/>
            </w:tcBorders>
            <w:shd w:val="clear" w:color="auto" w:fill="auto"/>
            <w:noWrap/>
            <w:vAlign w:val="bottom"/>
            <w:hideMark/>
          </w:tcPr>
          <w:p w14:paraId="2379811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6</w:t>
            </w:r>
          </w:p>
        </w:tc>
        <w:tc>
          <w:tcPr>
            <w:tcW w:w="2409" w:type="dxa"/>
            <w:tcBorders>
              <w:top w:val="nil"/>
              <w:left w:val="nil"/>
              <w:bottom w:val="nil"/>
              <w:right w:val="nil"/>
            </w:tcBorders>
            <w:shd w:val="clear" w:color="auto" w:fill="auto"/>
            <w:noWrap/>
            <w:vAlign w:val="bottom"/>
            <w:hideMark/>
          </w:tcPr>
          <w:p w14:paraId="0758F61B"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AE616E0"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808863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1312A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BF5C7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4C471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4FCD6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874A3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4DCBF79" w14:textId="77777777" w:rsidTr="0095397F">
        <w:trPr>
          <w:trHeight w:val="300"/>
        </w:trPr>
        <w:tc>
          <w:tcPr>
            <w:tcW w:w="2694" w:type="dxa"/>
            <w:tcBorders>
              <w:top w:val="nil"/>
              <w:left w:val="nil"/>
              <w:bottom w:val="nil"/>
              <w:right w:val="nil"/>
            </w:tcBorders>
            <w:shd w:val="clear" w:color="auto" w:fill="auto"/>
            <w:noWrap/>
            <w:vAlign w:val="bottom"/>
            <w:hideMark/>
          </w:tcPr>
          <w:p w14:paraId="7C7227D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7</w:t>
            </w:r>
          </w:p>
        </w:tc>
        <w:tc>
          <w:tcPr>
            <w:tcW w:w="2409" w:type="dxa"/>
            <w:tcBorders>
              <w:top w:val="nil"/>
              <w:left w:val="nil"/>
              <w:bottom w:val="nil"/>
              <w:right w:val="nil"/>
            </w:tcBorders>
            <w:shd w:val="clear" w:color="auto" w:fill="auto"/>
            <w:noWrap/>
            <w:vAlign w:val="bottom"/>
            <w:hideMark/>
          </w:tcPr>
          <w:p w14:paraId="426FB20F"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20EB799"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9A653B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E6FD0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85FC6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31468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6C531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ABD226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6374170"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03AA75CE"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Mallan School 8</w:t>
            </w:r>
          </w:p>
        </w:tc>
        <w:tc>
          <w:tcPr>
            <w:tcW w:w="2409" w:type="dxa"/>
            <w:tcBorders>
              <w:top w:val="nil"/>
              <w:left w:val="nil"/>
              <w:bottom w:val="single" w:sz="8" w:space="0" w:color="auto"/>
              <w:right w:val="nil"/>
            </w:tcBorders>
            <w:shd w:val="clear" w:color="auto" w:fill="auto"/>
            <w:noWrap/>
            <w:vAlign w:val="bottom"/>
            <w:hideMark/>
          </w:tcPr>
          <w:p w14:paraId="3D76021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733A937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2938A3D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CF20D9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D00A40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CA0E3A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349578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FB0A1A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63DFDCF2" w14:textId="77777777" w:rsidTr="0095397F">
        <w:trPr>
          <w:trHeight w:val="300"/>
        </w:trPr>
        <w:tc>
          <w:tcPr>
            <w:tcW w:w="2694" w:type="dxa"/>
            <w:tcBorders>
              <w:top w:val="nil"/>
              <w:left w:val="nil"/>
              <w:bottom w:val="nil"/>
              <w:right w:val="nil"/>
            </w:tcBorders>
            <w:shd w:val="clear" w:color="auto" w:fill="auto"/>
            <w:noWrap/>
            <w:vAlign w:val="bottom"/>
            <w:hideMark/>
          </w:tcPr>
          <w:p w14:paraId="40D64C7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1</w:t>
            </w:r>
          </w:p>
        </w:tc>
        <w:tc>
          <w:tcPr>
            <w:tcW w:w="2409" w:type="dxa"/>
            <w:tcBorders>
              <w:top w:val="nil"/>
              <w:left w:val="nil"/>
              <w:bottom w:val="nil"/>
              <w:right w:val="nil"/>
            </w:tcBorders>
            <w:shd w:val="clear" w:color="auto" w:fill="auto"/>
            <w:noWrap/>
            <w:vAlign w:val="bottom"/>
            <w:hideMark/>
          </w:tcPr>
          <w:p w14:paraId="78413957"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7941A7F4"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D5247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E4C79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8C8D373"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64D17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C3E73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89286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B67CE6A" w14:textId="77777777" w:rsidTr="0095397F">
        <w:trPr>
          <w:trHeight w:val="300"/>
        </w:trPr>
        <w:tc>
          <w:tcPr>
            <w:tcW w:w="2694" w:type="dxa"/>
            <w:tcBorders>
              <w:top w:val="nil"/>
              <w:left w:val="nil"/>
              <w:bottom w:val="nil"/>
              <w:right w:val="nil"/>
            </w:tcBorders>
            <w:shd w:val="clear" w:color="auto" w:fill="auto"/>
            <w:noWrap/>
            <w:vAlign w:val="bottom"/>
            <w:hideMark/>
          </w:tcPr>
          <w:p w14:paraId="1E2C0E8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2</w:t>
            </w:r>
          </w:p>
        </w:tc>
        <w:tc>
          <w:tcPr>
            <w:tcW w:w="2409" w:type="dxa"/>
            <w:tcBorders>
              <w:top w:val="nil"/>
              <w:left w:val="nil"/>
              <w:bottom w:val="nil"/>
              <w:right w:val="nil"/>
            </w:tcBorders>
            <w:shd w:val="clear" w:color="auto" w:fill="auto"/>
            <w:noWrap/>
            <w:vAlign w:val="bottom"/>
            <w:hideMark/>
          </w:tcPr>
          <w:p w14:paraId="1B36FA8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7352B6A"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DCF415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0AC3E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0972B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881D5F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FAC45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4A31D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22FA1BA" w14:textId="77777777" w:rsidTr="0095397F">
        <w:trPr>
          <w:trHeight w:val="300"/>
        </w:trPr>
        <w:tc>
          <w:tcPr>
            <w:tcW w:w="2694" w:type="dxa"/>
            <w:tcBorders>
              <w:top w:val="nil"/>
              <w:left w:val="nil"/>
              <w:bottom w:val="nil"/>
              <w:right w:val="nil"/>
            </w:tcBorders>
            <w:shd w:val="clear" w:color="auto" w:fill="auto"/>
            <w:noWrap/>
            <w:vAlign w:val="bottom"/>
            <w:hideMark/>
          </w:tcPr>
          <w:p w14:paraId="18669E43"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3</w:t>
            </w:r>
          </w:p>
        </w:tc>
        <w:tc>
          <w:tcPr>
            <w:tcW w:w="2409" w:type="dxa"/>
            <w:tcBorders>
              <w:top w:val="nil"/>
              <w:left w:val="nil"/>
              <w:bottom w:val="nil"/>
              <w:right w:val="nil"/>
            </w:tcBorders>
            <w:shd w:val="clear" w:color="auto" w:fill="auto"/>
            <w:noWrap/>
            <w:vAlign w:val="bottom"/>
            <w:hideMark/>
          </w:tcPr>
          <w:p w14:paraId="33D23D71"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38BEE5F"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A446F9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795C0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CC5B86"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DFFB7F"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C00C7C"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ABA04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1E0DD1A3" w14:textId="77777777" w:rsidTr="0095397F">
        <w:trPr>
          <w:trHeight w:val="300"/>
        </w:trPr>
        <w:tc>
          <w:tcPr>
            <w:tcW w:w="2694" w:type="dxa"/>
            <w:tcBorders>
              <w:top w:val="nil"/>
              <w:left w:val="nil"/>
              <w:bottom w:val="nil"/>
              <w:right w:val="nil"/>
            </w:tcBorders>
            <w:shd w:val="clear" w:color="auto" w:fill="auto"/>
            <w:noWrap/>
            <w:vAlign w:val="bottom"/>
            <w:hideMark/>
          </w:tcPr>
          <w:p w14:paraId="185C1452"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4</w:t>
            </w:r>
          </w:p>
        </w:tc>
        <w:tc>
          <w:tcPr>
            <w:tcW w:w="2409" w:type="dxa"/>
            <w:tcBorders>
              <w:top w:val="nil"/>
              <w:left w:val="nil"/>
              <w:bottom w:val="nil"/>
              <w:right w:val="nil"/>
            </w:tcBorders>
            <w:shd w:val="clear" w:color="auto" w:fill="auto"/>
            <w:noWrap/>
            <w:vAlign w:val="bottom"/>
            <w:hideMark/>
          </w:tcPr>
          <w:p w14:paraId="1F8446A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3097961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4264C76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423087"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194C85C9"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27B5223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EEB30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56267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7112F51" w14:textId="77777777" w:rsidTr="0095397F">
        <w:trPr>
          <w:trHeight w:val="300"/>
        </w:trPr>
        <w:tc>
          <w:tcPr>
            <w:tcW w:w="2694" w:type="dxa"/>
            <w:tcBorders>
              <w:top w:val="nil"/>
              <w:left w:val="nil"/>
              <w:bottom w:val="nil"/>
              <w:right w:val="nil"/>
            </w:tcBorders>
            <w:shd w:val="clear" w:color="auto" w:fill="auto"/>
            <w:noWrap/>
            <w:vAlign w:val="bottom"/>
            <w:hideMark/>
          </w:tcPr>
          <w:p w14:paraId="1330151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5</w:t>
            </w:r>
          </w:p>
        </w:tc>
        <w:tc>
          <w:tcPr>
            <w:tcW w:w="2409" w:type="dxa"/>
            <w:tcBorders>
              <w:top w:val="nil"/>
              <w:left w:val="nil"/>
              <w:bottom w:val="nil"/>
              <w:right w:val="nil"/>
            </w:tcBorders>
            <w:shd w:val="clear" w:color="auto" w:fill="auto"/>
            <w:noWrap/>
            <w:vAlign w:val="bottom"/>
            <w:hideMark/>
          </w:tcPr>
          <w:p w14:paraId="36A6A42C"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31F4ED06"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1C35CC2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E4FCB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C07D9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9F7D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C6EFCE"/>
            <w:noWrap/>
            <w:vAlign w:val="bottom"/>
            <w:hideMark/>
          </w:tcPr>
          <w:p w14:paraId="79AACB4F"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284696B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35FA233E" w14:textId="77777777" w:rsidTr="0095397F">
        <w:trPr>
          <w:trHeight w:val="300"/>
        </w:trPr>
        <w:tc>
          <w:tcPr>
            <w:tcW w:w="2694" w:type="dxa"/>
            <w:tcBorders>
              <w:top w:val="nil"/>
              <w:left w:val="nil"/>
              <w:bottom w:val="nil"/>
              <w:right w:val="nil"/>
            </w:tcBorders>
            <w:shd w:val="clear" w:color="auto" w:fill="auto"/>
            <w:noWrap/>
            <w:vAlign w:val="bottom"/>
            <w:hideMark/>
          </w:tcPr>
          <w:p w14:paraId="295116C9"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6</w:t>
            </w:r>
          </w:p>
        </w:tc>
        <w:tc>
          <w:tcPr>
            <w:tcW w:w="2409" w:type="dxa"/>
            <w:tcBorders>
              <w:top w:val="nil"/>
              <w:left w:val="nil"/>
              <w:bottom w:val="nil"/>
              <w:right w:val="nil"/>
            </w:tcBorders>
            <w:shd w:val="clear" w:color="auto" w:fill="auto"/>
            <w:noWrap/>
            <w:vAlign w:val="bottom"/>
            <w:hideMark/>
          </w:tcPr>
          <w:p w14:paraId="26E3E720"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102682C1"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072EE9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37235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52B0D2"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562C54"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EF434B"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F57799"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2A50E24D" w14:textId="77777777" w:rsidTr="0095397F">
        <w:trPr>
          <w:trHeight w:val="300"/>
        </w:trPr>
        <w:tc>
          <w:tcPr>
            <w:tcW w:w="2694" w:type="dxa"/>
            <w:tcBorders>
              <w:top w:val="nil"/>
              <w:left w:val="nil"/>
              <w:bottom w:val="nil"/>
              <w:right w:val="nil"/>
            </w:tcBorders>
            <w:shd w:val="clear" w:color="auto" w:fill="auto"/>
            <w:noWrap/>
            <w:vAlign w:val="bottom"/>
            <w:hideMark/>
          </w:tcPr>
          <w:p w14:paraId="5826C25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7</w:t>
            </w:r>
          </w:p>
        </w:tc>
        <w:tc>
          <w:tcPr>
            <w:tcW w:w="2409" w:type="dxa"/>
            <w:tcBorders>
              <w:top w:val="nil"/>
              <w:left w:val="nil"/>
              <w:bottom w:val="nil"/>
              <w:right w:val="nil"/>
            </w:tcBorders>
            <w:shd w:val="clear" w:color="auto" w:fill="auto"/>
            <w:noWrap/>
            <w:vAlign w:val="bottom"/>
            <w:hideMark/>
          </w:tcPr>
          <w:p w14:paraId="61FA3BA6"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57CF4A69"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1/6</w:t>
            </w:r>
          </w:p>
        </w:tc>
        <w:tc>
          <w:tcPr>
            <w:tcW w:w="520" w:type="dxa"/>
            <w:tcBorders>
              <w:top w:val="nil"/>
              <w:left w:val="nil"/>
              <w:bottom w:val="nil"/>
              <w:right w:val="nil"/>
            </w:tcBorders>
            <w:shd w:val="clear" w:color="000000" w:fill="C6EFCE"/>
            <w:noWrap/>
            <w:vAlign w:val="bottom"/>
            <w:hideMark/>
          </w:tcPr>
          <w:p w14:paraId="466688B1" w14:textId="77777777" w:rsidR="006501A4" w:rsidRPr="00472909" w:rsidRDefault="006501A4" w:rsidP="0095397F">
            <w:pPr>
              <w:spacing w:after="0" w:line="240" w:lineRule="auto"/>
              <w:jc w:val="center"/>
              <w:rPr>
                <w:rFonts w:ascii="Wingdings" w:eastAsia="Times New Roman" w:hAnsi="Wingdings" w:cs="Calibri"/>
                <w:color w:val="006100"/>
                <w:lang w:eastAsia="en-AU"/>
              </w:rPr>
            </w:pPr>
            <w:r w:rsidRPr="00472909">
              <w:rPr>
                <w:rFonts w:ascii="Wingdings" w:eastAsia="Times New Roman" w:hAnsi="Wingdings" w:cs="Calibri"/>
                <w:color w:val="006100"/>
                <w:lang w:eastAsia="en-AU"/>
              </w:rPr>
              <w:t></w:t>
            </w:r>
          </w:p>
        </w:tc>
        <w:tc>
          <w:tcPr>
            <w:tcW w:w="520" w:type="dxa"/>
            <w:tcBorders>
              <w:top w:val="nil"/>
              <w:left w:val="nil"/>
              <w:bottom w:val="nil"/>
              <w:right w:val="nil"/>
            </w:tcBorders>
            <w:shd w:val="clear" w:color="000000" w:fill="FFC7CE"/>
            <w:noWrap/>
            <w:vAlign w:val="bottom"/>
            <w:hideMark/>
          </w:tcPr>
          <w:p w14:paraId="6696D361"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380B5A"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1850B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DE42B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B2617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r w:rsidR="006501A4" w:rsidRPr="00472909" w14:paraId="75AF555A"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7C066AED"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Windra Vale2 8</w:t>
            </w:r>
          </w:p>
        </w:tc>
        <w:tc>
          <w:tcPr>
            <w:tcW w:w="2409" w:type="dxa"/>
            <w:tcBorders>
              <w:top w:val="nil"/>
              <w:left w:val="nil"/>
              <w:bottom w:val="single" w:sz="8" w:space="0" w:color="auto"/>
              <w:right w:val="nil"/>
            </w:tcBorders>
            <w:shd w:val="clear" w:color="auto" w:fill="auto"/>
            <w:noWrap/>
            <w:vAlign w:val="bottom"/>
            <w:hideMark/>
          </w:tcPr>
          <w:p w14:paraId="1D4106D4" w14:textId="77777777" w:rsidR="006501A4" w:rsidRPr="00472909" w:rsidRDefault="006501A4" w:rsidP="0095397F">
            <w:pPr>
              <w:spacing w:after="0" w:line="240" w:lineRule="auto"/>
              <w:rPr>
                <w:rFonts w:eastAsia="Times New Roman" w:cs="Calibri"/>
                <w:color w:val="000000"/>
                <w:lang w:eastAsia="en-AU"/>
              </w:rPr>
            </w:pPr>
            <w:r w:rsidRPr="00472909">
              <w:rPr>
                <w:rFonts w:eastAsia="Times New Roman" w:cs="Calibri"/>
                <w:color w:val="000000"/>
                <w:lang w:eastAsia="en-AU"/>
              </w:rPr>
              <w:t>Yallakool Creek</w:t>
            </w:r>
          </w:p>
        </w:tc>
        <w:tc>
          <w:tcPr>
            <w:tcW w:w="1017" w:type="dxa"/>
            <w:tcBorders>
              <w:top w:val="nil"/>
              <w:left w:val="nil"/>
              <w:bottom w:val="single" w:sz="8" w:space="0" w:color="auto"/>
              <w:right w:val="nil"/>
            </w:tcBorders>
            <w:shd w:val="clear" w:color="auto" w:fill="auto"/>
            <w:noWrap/>
            <w:vAlign w:val="bottom"/>
            <w:hideMark/>
          </w:tcPr>
          <w:p w14:paraId="62AFA8E3" w14:textId="77777777" w:rsidR="006501A4" w:rsidRPr="00472909" w:rsidRDefault="006501A4" w:rsidP="0095397F">
            <w:pPr>
              <w:spacing w:after="0" w:line="240" w:lineRule="auto"/>
              <w:jc w:val="center"/>
              <w:rPr>
                <w:rFonts w:eastAsia="Times New Roman" w:cs="Calibri"/>
                <w:color w:val="000000"/>
                <w:lang w:eastAsia="en-AU"/>
              </w:rPr>
            </w:pPr>
            <w:r w:rsidRPr="00472909">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07EEFD5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678884D"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911F28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092D960"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CA9FCA8"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04EAF7E" w14:textId="77777777" w:rsidR="006501A4" w:rsidRPr="00472909" w:rsidRDefault="006501A4" w:rsidP="0095397F">
            <w:pPr>
              <w:spacing w:after="0" w:line="240" w:lineRule="auto"/>
              <w:jc w:val="center"/>
              <w:rPr>
                <w:rFonts w:eastAsia="Times New Roman" w:cs="Calibri"/>
                <w:color w:val="9C0006"/>
                <w:lang w:eastAsia="en-AU"/>
              </w:rPr>
            </w:pPr>
            <w:r w:rsidRPr="00472909">
              <w:rPr>
                <w:rFonts w:eastAsia="Times New Roman" w:cs="Calibri"/>
                <w:color w:val="9C0006"/>
                <w:lang w:eastAsia="en-AU"/>
              </w:rPr>
              <w:t>×</w:t>
            </w:r>
          </w:p>
        </w:tc>
      </w:tr>
    </w:tbl>
    <w:p w14:paraId="626A6311" w14:textId="77777777" w:rsidR="006501A4" w:rsidRPr="003D38B6"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p>
    <w:p w14:paraId="2667694E" w14:textId="77777777" w:rsidR="006501A4" w:rsidRDefault="006501A4" w:rsidP="006501A4">
      <w:pPr>
        <w:rPr>
          <w:rFonts w:eastAsia="Times New Roman"/>
          <w:b/>
          <w:bCs/>
          <w:color w:val="201F1E"/>
          <w:sz w:val="20"/>
          <w:bdr w:val="none" w:sz="0" w:space="0" w:color="auto" w:frame="1"/>
          <w:lang w:eastAsia="en-AU"/>
        </w:rPr>
      </w:pPr>
      <w:r>
        <w:rPr>
          <w:b/>
          <w:bCs/>
          <w:color w:val="201F1E"/>
          <w:sz w:val="20"/>
          <w:bdr w:val="none" w:sz="0" w:space="0" w:color="auto" w:frame="1"/>
        </w:rPr>
        <w:br w:type="page"/>
      </w:r>
    </w:p>
    <w:p w14:paraId="683F9EEA" w14:textId="77777777" w:rsidR="006501A4" w:rsidRDefault="006501A4" w:rsidP="0011303A">
      <w:pPr>
        <w:pStyle w:val="xmsonormal"/>
        <w:shd w:val="clear" w:color="auto" w:fill="FFFFFF"/>
        <w:spacing w:before="0" w:beforeAutospacing="0" w:after="0" w:afterAutospacing="0"/>
        <w:ind w:right="-427"/>
        <w:textAlignment w:val="baseline"/>
        <w:rPr>
          <w:rFonts w:asciiTheme="minorHAnsi" w:hAnsiTheme="minorHAnsi"/>
          <w:color w:val="201F1E"/>
          <w:sz w:val="20"/>
          <w:szCs w:val="20"/>
          <w:bdr w:val="none" w:sz="0" w:space="0" w:color="auto" w:frame="1"/>
        </w:rPr>
      </w:pPr>
      <w:r w:rsidRPr="003361DF">
        <w:rPr>
          <w:rFonts w:asciiTheme="minorHAnsi" w:hAnsiTheme="minorHAnsi"/>
          <w:b/>
          <w:bCs/>
          <w:color w:val="201F1E"/>
          <w:sz w:val="20"/>
          <w:szCs w:val="20"/>
          <w:bdr w:val="none" w:sz="0" w:space="0" w:color="auto" w:frame="1"/>
        </w:rPr>
        <w:t>Appendix 12.</w:t>
      </w:r>
      <w:r>
        <w:rPr>
          <w:rFonts w:asciiTheme="minorHAnsi" w:hAnsiTheme="minorHAnsi"/>
          <w:b/>
          <w:bCs/>
          <w:color w:val="201F1E"/>
          <w:sz w:val="20"/>
          <w:szCs w:val="20"/>
          <w:bdr w:val="none" w:sz="0" w:space="0" w:color="auto" w:frame="1"/>
        </w:rPr>
        <w:t>7</w:t>
      </w:r>
      <w:r w:rsidRPr="003D38B6">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redfin perch</w:t>
      </w:r>
      <w:r w:rsidRPr="003D38B6">
        <w:rPr>
          <w:rFonts w:asciiTheme="minorHAnsi" w:hAnsiTheme="minorHAnsi"/>
          <w:color w:val="201F1E"/>
          <w:sz w:val="20"/>
          <w:szCs w:val="20"/>
          <w:bdr w:val="none" w:sz="0" w:space="0" w:color="auto" w:frame="1"/>
        </w:rPr>
        <w:t xml:space="preserve"> at the ten sampling locations. NA</w:t>
      </w:r>
      <w:r>
        <w:rPr>
          <w:rFonts w:asciiTheme="minorHAnsi" w:hAnsiTheme="minorHAnsi"/>
          <w:color w:val="201F1E"/>
          <w:sz w:val="20"/>
          <w:szCs w:val="20"/>
          <w:bdr w:val="none" w:sz="0" w:space="0" w:color="auto" w:frame="1"/>
        </w:rPr>
        <w:t>,</w:t>
      </w:r>
      <w:r w:rsidRPr="003D38B6">
        <w:rPr>
          <w:rFonts w:asciiTheme="minorHAnsi" w:hAnsiTheme="minorHAnsi"/>
          <w:color w:val="201F1E"/>
          <w:sz w:val="20"/>
          <w:szCs w:val="20"/>
          <w:bdr w:val="none" w:sz="0" w:space="0" w:color="auto" w:frame="1"/>
        </w:rPr>
        <w:t xml:space="preserve"> lack of available assay resulted in four samples not yet being analysed (NV8, CL8, FP8, WG7) and one sample only being analysed for three </w:t>
      </w:r>
      <w:r>
        <w:rPr>
          <w:rFonts w:asciiTheme="minorHAnsi" w:hAnsiTheme="minorHAnsi"/>
          <w:color w:val="201F1E"/>
          <w:sz w:val="20"/>
          <w:szCs w:val="20"/>
          <w:bdr w:val="none" w:sz="0" w:space="0" w:color="auto" w:frame="1"/>
        </w:rPr>
        <w:t>technical replicates</w:t>
      </w:r>
      <w:r w:rsidRPr="003D38B6">
        <w:rPr>
          <w:rFonts w:asciiTheme="minorHAnsi" w:hAnsiTheme="minorHAnsi"/>
          <w:color w:val="201F1E"/>
          <w:sz w:val="20"/>
          <w:szCs w:val="20"/>
          <w:bdr w:val="none" w:sz="0" w:space="0" w:color="auto" w:frame="1"/>
        </w:rPr>
        <w:t xml:space="preserve"> (WG8).</w:t>
      </w:r>
      <w:r w:rsidRPr="00081724">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w:t>
      </w:r>
      <w:r w:rsidRPr="0091446E">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tbl>
      <w:tblPr>
        <w:tblW w:w="9026" w:type="dxa"/>
        <w:tblLook w:val="04A0" w:firstRow="1" w:lastRow="0" w:firstColumn="1" w:lastColumn="0" w:noHBand="0" w:noVBand="1"/>
      </w:tblPr>
      <w:tblGrid>
        <w:gridCol w:w="2694"/>
        <w:gridCol w:w="2409"/>
        <w:gridCol w:w="1007"/>
        <w:gridCol w:w="486"/>
        <w:gridCol w:w="486"/>
        <w:gridCol w:w="486"/>
        <w:gridCol w:w="486"/>
        <w:gridCol w:w="486"/>
        <w:gridCol w:w="486"/>
      </w:tblGrid>
      <w:tr w:rsidR="006501A4" w:rsidRPr="005E3E7A" w14:paraId="43DD76F8" w14:textId="77777777" w:rsidTr="0095397F">
        <w:trPr>
          <w:trHeight w:val="300"/>
        </w:trPr>
        <w:tc>
          <w:tcPr>
            <w:tcW w:w="2694" w:type="dxa"/>
            <w:tcBorders>
              <w:top w:val="nil"/>
              <w:left w:val="nil"/>
              <w:bottom w:val="nil"/>
              <w:right w:val="nil"/>
            </w:tcBorders>
            <w:shd w:val="clear" w:color="auto" w:fill="92CDDC"/>
            <w:noWrap/>
            <w:vAlign w:val="bottom"/>
            <w:hideMark/>
          </w:tcPr>
          <w:p w14:paraId="6BC05F15" w14:textId="77777777" w:rsidR="006501A4" w:rsidRPr="005E3E7A" w:rsidRDefault="006501A4" w:rsidP="0095397F">
            <w:pPr>
              <w:spacing w:after="0" w:line="240" w:lineRule="auto"/>
              <w:rPr>
                <w:rFonts w:eastAsia="Times New Roman" w:cs="Calibri"/>
                <w:color w:val="000000"/>
                <w:lang w:eastAsia="en-AU"/>
              </w:rPr>
            </w:pPr>
          </w:p>
        </w:tc>
        <w:tc>
          <w:tcPr>
            <w:tcW w:w="2409" w:type="dxa"/>
            <w:tcBorders>
              <w:top w:val="nil"/>
              <w:left w:val="nil"/>
              <w:bottom w:val="nil"/>
              <w:right w:val="nil"/>
            </w:tcBorders>
            <w:shd w:val="clear" w:color="auto" w:fill="92CDDC"/>
            <w:noWrap/>
            <w:vAlign w:val="bottom"/>
            <w:hideMark/>
          </w:tcPr>
          <w:p w14:paraId="4E0C8DEE" w14:textId="77777777" w:rsidR="006501A4" w:rsidRPr="005E3E7A" w:rsidRDefault="006501A4" w:rsidP="0095397F">
            <w:pPr>
              <w:spacing w:after="0" w:line="240" w:lineRule="auto"/>
              <w:rPr>
                <w:rFonts w:eastAsia="Times New Roman" w:cs="Calibri"/>
                <w:color w:val="000000"/>
                <w:lang w:eastAsia="en-AU"/>
              </w:rPr>
            </w:pPr>
          </w:p>
        </w:tc>
        <w:tc>
          <w:tcPr>
            <w:tcW w:w="1007" w:type="dxa"/>
            <w:tcBorders>
              <w:top w:val="nil"/>
              <w:left w:val="nil"/>
              <w:bottom w:val="nil"/>
              <w:right w:val="nil"/>
            </w:tcBorders>
            <w:shd w:val="clear" w:color="auto" w:fill="92CDDC"/>
            <w:noWrap/>
            <w:vAlign w:val="bottom"/>
            <w:hideMark/>
          </w:tcPr>
          <w:p w14:paraId="52ADD37A" w14:textId="77777777" w:rsidR="006501A4" w:rsidRPr="005E3E7A" w:rsidRDefault="006501A4" w:rsidP="0095397F">
            <w:pPr>
              <w:spacing w:after="0" w:line="240" w:lineRule="auto"/>
              <w:rPr>
                <w:rFonts w:ascii="Times New Roman" w:eastAsia="Times New Roman" w:hAnsi="Times New Roman"/>
                <w:sz w:val="20"/>
                <w:lang w:eastAsia="en-AU"/>
              </w:rPr>
            </w:pPr>
          </w:p>
        </w:tc>
        <w:tc>
          <w:tcPr>
            <w:tcW w:w="2916" w:type="dxa"/>
            <w:gridSpan w:val="6"/>
            <w:tcBorders>
              <w:top w:val="nil"/>
              <w:left w:val="nil"/>
              <w:bottom w:val="nil"/>
              <w:right w:val="nil"/>
            </w:tcBorders>
            <w:shd w:val="clear" w:color="auto" w:fill="92CDDC"/>
            <w:noWrap/>
            <w:vAlign w:val="bottom"/>
            <w:hideMark/>
          </w:tcPr>
          <w:p w14:paraId="7196DE5D" w14:textId="77777777" w:rsidR="006501A4" w:rsidRPr="00AA617F" w:rsidRDefault="006501A4" w:rsidP="0095397F">
            <w:pPr>
              <w:spacing w:after="0" w:line="240" w:lineRule="auto"/>
              <w:jc w:val="center"/>
              <w:rPr>
                <w:rFonts w:eastAsia="Times New Roman" w:cs="Calibri"/>
                <w:color w:val="000000"/>
                <w:sz w:val="20"/>
                <w:lang w:eastAsia="en-AU"/>
              </w:rPr>
            </w:pPr>
            <w:r w:rsidRPr="00AA617F">
              <w:rPr>
                <w:rFonts w:eastAsia="Times New Roman" w:cs="Calibri"/>
                <w:color w:val="000000"/>
                <w:sz w:val="20"/>
                <w:lang w:eastAsia="en-AU"/>
              </w:rPr>
              <w:t>Technical replicates</w:t>
            </w:r>
          </w:p>
        </w:tc>
      </w:tr>
      <w:tr w:rsidR="006501A4" w:rsidRPr="005E3E7A" w14:paraId="368FA9E9" w14:textId="77777777" w:rsidTr="0095397F">
        <w:trPr>
          <w:trHeight w:val="315"/>
        </w:trPr>
        <w:tc>
          <w:tcPr>
            <w:tcW w:w="2694" w:type="dxa"/>
            <w:tcBorders>
              <w:top w:val="nil"/>
              <w:left w:val="nil"/>
              <w:bottom w:val="single" w:sz="8" w:space="0" w:color="auto"/>
              <w:right w:val="nil"/>
            </w:tcBorders>
            <w:shd w:val="clear" w:color="auto" w:fill="92CDDC"/>
            <w:noWrap/>
            <w:vAlign w:val="bottom"/>
            <w:hideMark/>
          </w:tcPr>
          <w:p w14:paraId="2229D23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 </w:t>
            </w:r>
          </w:p>
        </w:tc>
        <w:tc>
          <w:tcPr>
            <w:tcW w:w="2409" w:type="dxa"/>
            <w:tcBorders>
              <w:top w:val="nil"/>
              <w:left w:val="nil"/>
              <w:bottom w:val="single" w:sz="8" w:space="0" w:color="auto"/>
              <w:right w:val="nil"/>
            </w:tcBorders>
            <w:shd w:val="clear" w:color="auto" w:fill="92CDDC"/>
            <w:noWrap/>
            <w:vAlign w:val="bottom"/>
            <w:hideMark/>
          </w:tcPr>
          <w:p w14:paraId="3971BAA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Waterway</w:t>
            </w:r>
          </w:p>
        </w:tc>
        <w:tc>
          <w:tcPr>
            <w:tcW w:w="1007" w:type="dxa"/>
            <w:tcBorders>
              <w:top w:val="nil"/>
              <w:left w:val="nil"/>
              <w:bottom w:val="single" w:sz="8" w:space="0" w:color="auto"/>
              <w:right w:val="nil"/>
            </w:tcBorders>
            <w:shd w:val="clear" w:color="auto" w:fill="92CDDC"/>
            <w:noWrap/>
            <w:vAlign w:val="bottom"/>
            <w:hideMark/>
          </w:tcPr>
          <w:p w14:paraId="5B12877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Pos reps</w:t>
            </w:r>
          </w:p>
        </w:tc>
        <w:tc>
          <w:tcPr>
            <w:tcW w:w="486" w:type="dxa"/>
            <w:tcBorders>
              <w:top w:val="nil"/>
              <w:left w:val="nil"/>
              <w:bottom w:val="single" w:sz="8" w:space="0" w:color="auto"/>
              <w:right w:val="nil"/>
            </w:tcBorders>
            <w:shd w:val="clear" w:color="auto" w:fill="92CDDC"/>
            <w:noWrap/>
            <w:vAlign w:val="bottom"/>
            <w:hideMark/>
          </w:tcPr>
          <w:p w14:paraId="70E492A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n1</w:t>
            </w:r>
          </w:p>
        </w:tc>
        <w:tc>
          <w:tcPr>
            <w:tcW w:w="486" w:type="dxa"/>
            <w:tcBorders>
              <w:top w:val="nil"/>
              <w:left w:val="nil"/>
              <w:bottom w:val="single" w:sz="8" w:space="0" w:color="auto"/>
              <w:right w:val="nil"/>
            </w:tcBorders>
            <w:shd w:val="clear" w:color="auto" w:fill="92CDDC"/>
            <w:noWrap/>
            <w:vAlign w:val="bottom"/>
            <w:hideMark/>
          </w:tcPr>
          <w:p w14:paraId="0BDC405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n2</w:t>
            </w:r>
          </w:p>
        </w:tc>
        <w:tc>
          <w:tcPr>
            <w:tcW w:w="486" w:type="dxa"/>
            <w:tcBorders>
              <w:top w:val="nil"/>
              <w:left w:val="nil"/>
              <w:bottom w:val="single" w:sz="8" w:space="0" w:color="auto"/>
              <w:right w:val="nil"/>
            </w:tcBorders>
            <w:shd w:val="clear" w:color="auto" w:fill="92CDDC"/>
            <w:noWrap/>
            <w:vAlign w:val="bottom"/>
            <w:hideMark/>
          </w:tcPr>
          <w:p w14:paraId="1B9CC0FE"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n3</w:t>
            </w:r>
          </w:p>
        </w:tc>
        <w:tc>
          <w:tcPr>
            <w:tcW w:w="486" w:type="dxa"/>
            <w:tcBorders>
              <w:top w:val="nil"/>
              <w:left w:val="nil"/>
              <w:bottom w:val="single" w:sz="8" w:space="0" w:color="auto"/>
              <w:right w:val="nil"/>
            </w:tcBorders>
            <w:shd w:val="clear" w:color="auto" w:fill="92CDDC"/>
            <w:noWrap/>
            <w:vAlign w:val="bottom"/>
            <w:hideMark/>
          </w:tcPr>
          <w:p w14:paraId="67A4880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n4</w:t>
            </w:r>
          </w:p>
        </w:tc>
        <w:tc>
          <w:tcPr>
            <w:tcW w:w="486" w:type="dxa"/>
            <w:tcBorders>
              <w:top w:val="nil"/>
              <w:left w:val="nil"/>
              <w:bottom w:val="single" w:sz="8" w:space="0" w:color="auto"/>
              <w:right w:val="nil"/>
            </w:tcBorders>
            <w:shd w:val="clear" w:color="auto" w:fill="92CDDC"/>
            <w:noWrap/>
            <w:vAlign w:val="bottom"/>
            <w:hideMark/>
          </w:tcPr>
          <w:p w14:paraId="2E03070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n5</w:t>
            </w:r>
          </w:p>
        </w:tc>
        <w:tc>
          <w:tcPr>
            <w:tcW w:w="486" w:type="dxa"/>
            <w:tcBorders>
              <w:top w:val="nil"/>
              <w:left w:val="nil"/>
              <w:bottom w:val="single" w:sz="8" w:space="0" w:color="auto"/>
              <w:right w:val="nil"/>
            </w:tcBorders>
            <w:shd w:val="clear" w:color="auto" w:fill="92CDDC"/>
            <w:noWrap/>
            <w:vAlign w:val="bottom"/>
            <w:hideMark/>
          </w:tcPr>
          <w:p w14:paraId="45325264"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n6</w:t>
            </w:r>
          </w:p>
        </w:tc>
      </w:tr>
      <w:tr w:rsidR="006501A4" w:rsidRPr="005E3E7A" w14:paraId="51300045" w14:textId="77777777" w:rsidTr="0095397F">
        <w:trPr>
          <w:trHeight w:val="300"/>
        </w:trPr>
        <w:tc>
          <w:tcPr>
            <w:tcW w:w="2694" w:type="dxa"/>
            <w:tcBorders>
              <w:top w:val="nil"/>
              <w:left w:val="nil"/>
              <w:bottom w:val="nil"/>
              <w:right w:val="nil"/>
            </w:tcBorders>
            <w:shd w:val="clear" w:color="auto" w:fill="auto"/>
            <w:noWrap/>
            <w:vAlign w:val="bottom"/>
            <w:hideMark/>
          </w:tcPr>
          <w:p w14:paraId="4076127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1</w:t>
            </w:r>
          </w:p>
        </w:tc>
        <w:tc>
          <w:tcPr>
            <w:tcW w:w="2409" w:type="dxa"/>
            <w:tcBorders>
              <w:top w:val="nil"/>
              <w:left w:val="nil"/>
              <w:bottom w:val="nil"/>
              <w:right w:val="nil"/>
            </w:tcBorders>
            <w:shd w:val="clear" w:color="auto" w:fill="auto"/>
            <w:noWrap/>
            <w:vAlign w:val="bottom"/>
            <w:hideMark/>
          </w:tcPr>
          <w:p w14:paraId="0CAFD36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504EAEC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594BCC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61ACAA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CDD308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C9B65F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0A2793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40FE77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EAECE9A" w14:textId="77777777" w:rsidTr="0095397F">
        <w:trPr>
          <w:trHeight w:val="300"/>
        </w:trPr>
        <w:tc>
          <w:tcPr>
            <w:tcW w:w="2694" w:type="dxa"/>
            <w:tcBorders>
              <w:top w:val="nil"/>
              <w:left w:val="nil"/>
              <w:bottom w:val="nil"/>
              <w:right w:val="nil"/>
            </w:tcBorders>
            <w:shd w:val="clear" w:color="auto" w:fill="auto"/>
            <w:noWrap/>
            <w:vAlign w:val="bottom"/>
            <w:hideMark/>
          </w:tcPr>
          <w:p w14:paraId="398745D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2</w:t>
            </w:r>
          </w:p>
        </w:tc>
        <w:tc>
          <w:tcPr>
            <w:tcW w:w="2409" w:type="dxa"/>
            <w:tcBorders>
              <w:top w:val="nil"/>
              <w:left w:val="nil"/>
              <w:bottom w:val="nil"/>
              <w:right w:val="nil"/>
            </w:tcBorders>
            <w:shd w:val="clear" w:color="auto" w:fill="auto"/>
            <w:noWrap/>
            <w:vAlign w:val="bottom"/>
            <w:hideMark/>
          </w:tcPr>
          <w:p w14:paraId="158E01E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3EAA287"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B69D8B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AB4C0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49186A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E8BA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4343DF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3AB7E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61F34DA" w14:textId="77777777" w:rsidTr="0095397F">
        <w:trPr>
          <w:trHeight w:val="300"/>
        </w:trPr>
        <w:tc>
          <w:tcPr>
            <w:tcW w:w="2694" w:type="dxa"/>
            <w:tcBorders>
              <w:top w:val="nil"/>
              <w:left w:val="nil"/>
              <w:bottom w:val="nil"/>
              <w:right w:val="nil"/>
            </w:tcBorders>
            <w:shd w:val="clear" w:color="auto" w:fill="auto"/>
            <w:noWrap/>
            <w:vAlign w:val="bottom"/>
            <w:hideMark/>
          </w:tcPr>
          <w:p w14:paraId="633892B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3</w:t>
            </w:r>
          </w:p>
        </w:tc>
        <w:tc>
          <w:tcPr>
            <w:tcW w:w="2409" w:type="dxa"/>
            <w:tcBorders>
              <w:top w:val="nil"/>
              <w:left w:val="nil"/>
              <w:bottom w:val="nil"/>
              <w:right w:val="nil"/>
            </w:tcBorders>
            <w:shd w:val="clear" w:color="auto" w:fill="auto"/>
            <w:noWrap/>
            <w:vAlign w:val="bottom"/>
            <w:hideMark/>
          </w:tcPr>
          <w:p w14:paraId="0C60FC6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7FBFBC4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9A7E1B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88AFA2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6AC825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101B7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BFA8D5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60DAFD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2CF86E9" w14:textId="77777777" w:rsidTr="0095397F">
        <w:trPr>
          <w:trHeight w:val="300"/>
        </w:trPr>
        <w:tc>
          <w:tcPr>
            <w:tcW w:w="2694" w:type="dxa"/>
            <w:tcBorders>
              <w:top w:val="nil"/>
              <w:left w:val="nil"/>
              <w:bottom w:val="nil"/>
              <w:right w:val="nil"/>
            </w:tcBorders>
            <w:shd w:val="clear" w:color="auto" w:fill="auto"/>
            <w:noWrap/>
            <w:vAlign w:val="bottom"/>
            <w:hideMark/>
          </w:tcPr>
          <w:p w14:paraId="563B6B0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4</w:t>
            </w:r>
          </w:p>
        </w:tc>
        <w:tc>
          <w:tcPr>
            <w:tcW w:w="2409" w:type="dxa"/>
            <w:tcBorders>
              <w:top w:val="nil"/>
              <w:left w:val="nil"/>
              <w:bottom w:val="nil"/>
              <w:right w:val="nil"/>
            </w:tcBorders>
            <w:shd w:val="clear" w:color="auto" w:fill="auto"/>
            <w:noWrap/>
            <w:vAlign w:val="bottom"/>
            <w:hideMark/>
          </w:tcPr>
          <w:p w14:paraId="4086EC7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1329D4FE"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6DCC64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EAE650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365DCD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5D4DE4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260CF1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6F4A79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C097A45" w14:textId="77777777" w:rsidTr="0095397F">
        <w:trPr>
          <w:trHeight w:val="300"/>
        </w:trPr>
        <w:tc>
          <w:tcPr>
            <w:tcW w:w="2694" w:type="dxa"/>
            <w:tcBorders>
              <w:top w:val="nil"/>
              <w:left w:val="nil"/>
              <w:bottom w:val="nil"/>
              <w:right w:val="nil"/>
            </w:tcBorders>
            <w:shd w:val="clear" w:color="auto" w:fill="auto"/>
            <w:noWrap/>
            <w:vAlign w:val="bottom"/>
            <w:hideMark/>
          </w:tcPr>
          <w:p w14:paraId="0E774DC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5</w:t>
            </w:r>
          </w:p>
        </w:tc>
        <w:tc>
          <w:tcPr>
            <w:tcW w:w="2409" w:type="dxa"/>
            <w:tcBorders>
              <w:top w:val="nil"/>
              <w:left w:val="nil"/>
              <w:bottom w:val="nil"/>
              <w:right w:val="nil"/>
            </w:tcBorders>
            <w:shd w:val="clear" w:color="auto" w:fill="auto"/>
            <w:noWrap/>
            <w:vAlign w:val="bottom"/>
            <w:hideMark/>
          </w:tcPr>
          <w:p w14:paraId="11EF501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24E04DC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C15D4A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C8C6F1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28FF1A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7362AA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40FD94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F0E8B7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BBB76EA" w14:textId="77777777" w:rsidTr="0095397F">
        <w:trPr>
          <w:trHeight w:val="300"/>
        </w:trPr>
        <w:tc>
          <w:tcPr>
            <w:tcW w:w="2694" w:type="dxa"/>
            <w:tcBorders>
              <w:top w:val="nil"/>
              <w:left w:val="nil"/>
              <w:bottom w:val="nil"/>
              <w:right w:val="nil"/>
            </w:tcBorders>
            <w:shd w:val="clear" w:color="auto" w:fill="auto"/>
            <w:noWrap/>
            <w:vAlign w:val="bottom"/>
            <w:hideMark/>
          </w:tcPr>
          <w:p w14:paraId="42A496B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6</w:t>
            </w:r>
          </w:p>
        </w:tc>
        <w:tc>
          <w:tcPr>
            <w:tcW w:w="2409" w:type="dxa"/>
            <w:tcBorders>
              <w:top w:val="nil"/>
              <w:left w:val="nil"/>
              <w:bottom w:val="nil"/>
              <w:right w:val="nil"/>
            </w:tcBorders>
            <w:shd w:val="clear" w:color="auto" w:fill="auto"/>
            <w:noWrap/>
            <w:vAlign w:val="bottom"/>
            <w:hideMark/>
          </w:tcPr>
          <w:p w14:paraId="3F35ADE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95CB00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3DA298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378EFB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915C7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094BC9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513967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B7F3FB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A380F6B" w14:textId="77777777" w:rsidTr="0095397F">
        <w:trPr>
          <w:trHeight w:val="300"/>
        </w:trPr>
        <w:tc>
          <w:tcPr>
            <w:tcW w:w="2694" w:type="dxa"/>
            <w:tcBorders>
              <w:top w:val="nil"/>
              <w:left w:val="nil"/>
              <w:bottom w:val="nil"/>
              <w:right w:val="nil"/>
            </w:tcBorders>
            <w:shd w:val="clear" w:color="auto" w:fill="auto"/>
            <w:noWrap/>
            <w:vAlign w:val="bottom"/>
            <w:hideMark/>
          </w:tcPr>
          <w:p w14:paraId="71CDD46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7</w:t>
            </w:r>
          </w:p>
        </w:tc>
        <w:tc>
          <w:tcPr>
            <w:tcW w:w="2409" w:type="dxa"/>
            <w:tcBorders>
              <w:top w:val="nil"/>
              <w:left w:val="nil"/>
              <w:bottom w:val="nil"/>
              <w:right w:val="nil"/>
            </w:tcBorders>
            <w:shd w:val="clear" w:color="auto" w:fill="auto"/>
            <w:noWrap/>
            <w:vAlign w:val="bottom"/>
            <w:hideMark/>
          </w:tcPr>
          <w:p w14:paraId="0059AA9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AF2276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6DEEF1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186341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4880CA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25B2B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E8D9D4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9D6A30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D76ACE8"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23B43C3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Four Posts 8</w:t>
            </w:r>
          </w:p>
        </w:tc>
        <w:tc>
          <w:tcPr>
            <w:tcW w:w="2409" w:type="dxa"/>
            <w:tcBorders>
              <w:top w:val="nil"/>
              <w:left w:val="nil"/>
              <w:bottom w:val="single" w:sz="8" w:space="0" w:color="auto"/>
              <w:right w:val="nil"/>
            </w:tcBorders>
            <w:shd w:val="clear" w:color="auto" w:fill="auto"/>
            <w:noWrap/>
            <w:vAlign w:val="bottom"/>
            <w:hideMark/>
          </w:tcPr>
          <w:p w14:paraId="5477A4C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single" w:sz="8" w:space="0" w:color="auto"/>
              <w:right w:val="nil"/>
            </w:tcBorders>
            <w:shd w:val="clear" w:color="auto" w:fill="auto"/>
            <w:noWrap/>
            <w:vAlign w:val="bottom"/>
            <w:hideMark/>
          </w:tcPr>
          <w:p w14:paraId="0CF893F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single" w:sz="8" w:space="0" w:color="auto"/>
              <w:right w:val="nil"/>
            </w:tcBorders>
            <w:shd w:val="clear" w:color="000000" w:fill="FFFFFF"/>
            <w:noWrap/>
            <w:vAlign w:val="bottom"/>
            <w:hideMark/>
          </w:tcPr>
          <w:p w14:paraId="37509337"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FFFF"/>
            <w:noWrap/>
            <w:vAlign w:val="bottom"/>
            <w:hideMark/>
          </w:tcPr>
          <w:p w14:paraId="292C78D4"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FFFF"/>
            <w:noWrap/>
            <w:vAlign w:val="bottom"/>
            <w:hideMark/>
          </w:tcPr>
          <w:p w14:paraId="2A241A4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FFFF"/>
            <w:noWrap/>
            <w:vAlign w:val="bottom"/>
            <w:hideMark/>
          </w:tcPr>
          <w:p w14:paraId="4612128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FFFF"/>
            <w:noWrap/>
            <w:vAlign w:val="bottom"/>
            <w:hideMark/>
          </w:tcPr>
          <w:p w14:paraId="3E5CB57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FFFF"/>
            <w:noWrap/>
            <w:vAlign w:val="bottom"/>
            <w:hideMark/>
          </w:tcPr>
          <w:p w14:paraId="05AB08A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r>
      <w:tr w:rsidR="006501A4" w:rsidRPr="005E3E7A" w14:paraId="7B18F5E8" w14:textId="77777777" w:rsidTr="0095397F">
        <w:trPr>
          <w:trHeight w:val="300"/>
        </w:trPr>
        <w:tc>
          <w:tcPr>
            <w:tcW w:w="2694" w:type="dxa"/>
            <w:tcBorders>
              <w:top w:val="nil"/>
              <w:left w:val="nil"/>
              <w:bottom w:val="nil"/>
              <w:right w:val="nil"/>
            </w:tcBorders>
            <w:shd w:val="clear" w:color="auto" w:fill="auto"/>
            <w:noWrap/>
            <w:vAlign w:val="bottom"/>
            <w:hideMark/>
          </w:tcPr>
          <w:p w14:paraId="1CD3FE6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1</w:t>
            </w:r>
          </w:p>
        </w:tc>
        <w:tc>
          <w:tcPr>
            <w:tcW w:w="2409" w:type="dxa"/>
            <w:tcBorders>
              <w:top w:val="nil"/>
              <w:left w:val="nil"/>
              <w:bottom w:val="nil"/>
              <w:right w:val="nil"/>
            </w:tcBorders>
            <w:shd w:val="clear" w:color="auto" w:fill="auto"/>
            <w:noWrap/>
            <w:vAlign w:val="bottom"/>
            <w:hideMark/>
          </w:tcPr>
          <w:p w14:paraId="0BD358C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4601E6A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1FB0B2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6E8D47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2C345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3E00C2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3DF5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4FC38B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A0036F5" w14:textId="77777777" w:rsidTr="0095397F">
        <w:trPr>
          <w:trHeight w:val="300"/>
        </w:trPr>
        <w:tc>
          <w:tcPr>
            <w:tcW w:w="2694" w:type="dxa"/>
            <w:tcBorders>
              <w:top w:val="nil"/>
              <w:left w:val="nil"/>
              <w:bottom w:val="nil"/>
              <w:right w:val="nil"/>
            </w:tcBorders>
            <w:shd w:val="clear" w:color="auto" w:fill="auto"/>
            <w:noWrap/>
            <w:vAlign w:val="bottom"/>
            <w:hideMark/>
          </w:tcPr>
          <w:p w14:paraId="079ECA4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2</w:t>
            </w:r>
          </w:p>
        </w:tc>
        <w:tc>
          <w:tcPr>
            <w:tcW w:w="2409" w:type="dxa"/>
            <w:tcBorders>
              <w:top w:val="nil"/>
              <w:left w:val="nil"/>
              <w:bottom w:val="nil"/>
              <w:right w:val="nil"/>
            </w:tcBorders>
            <w:shd w:val="clear" w:color="auto" w:fill="auto"/>
            <w:noWrap/>
            <w:vAlign w:val="bottom"/>
            <w:hideMark/>
          </w:tcPr>
          <w:p w14:paraId="71C2EF8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5E6B801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D1E6E0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370547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7663DF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863FEA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F2C2E6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CFDA71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32718A63" w14:textId="77777777" w:rsidTr="0095397F">
        <w:trPr>
          <w:trHeight w:val="300"/>
        </w:trPr>
        <w:tc>
          <w:tcPr>
            <w:tcW w:w="2694" w:type="dxa"/>
            <w:tcBorders>
              <w:top w:val="nil"/>
              <w:left w:val="nil"/>
              <w:bottom w:val="nil"/>
              <w:right w:val="nil"/>
            </w:tcBorders>
            <w:shd w:val="clear" w:color="auto" w:fill="auto"/>
            <w:noWrap/>
            <w:vAlign w:val="bottom"/>
            <w:hideMark/>
          </w:tcPr>
          <w:p w14:paraId="25493CC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3</w:t>
            </w:r>
          </w:p>
        </w:tc>
        <w:tc>
          <w:tcPr>
            <w:tcW w:w="2409" w:type="dxa"/>
            <w:tcBorders>
              <w:top w:val="nil"/>
              <w:left w:val="nil"/>
              <w:bottom w:val="nil"/>
              <w:right w:val="nil"/>
            </w:tcBorders>
            <w:shd w:val="clear" w:color="auto" w:fill="auto"/>
            <w:noWrap/>
            <w:vAlign w:val="bottom"/>
            <w:hideMark/>
          </w:tcPr>
          <w:p w14:paraId="05AD8E1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6E30BC2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EAE2B8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AC8EFD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9A54F4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5E08BD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261F13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2701F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4E5D71C" w14:textId="77777777" w:rsidTr="0095397F">
        <w:trPr>
          <w:trHeight w:val="300"/>
        </w:trPr>
        <w:tc>
          <w:tcPr>
            <w:tcW w:w="2694" w:type="dxa"/>
            <w:tcBorders>
              <w:top w:val="nil"/>
              <w:left w:val="nil"/>
              <w:bottom w:val="nil"/>
              <w:right w:val="nil"/>
            </w:tcBorders>
            <w:shd w:val="clear" w:color="auto" w:fill="auto"/>
            <w:noWrap/>
            <w:vAlign w:val="bottom"/>
            <w:hideMark/>
          </w:tcPr>
          <w:p w14:paraId="48D6B4E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4</w:t>
            </w:r>
          </w:p>
        </w:tc>
        <w:tc>
          <w:tcPr>
            <w:tcW w:w="2409" w:type="dxa"/>
            <w:tcBorders>
              <w:top w:val="nil"/>
              <w:left w:val="nil"/>
              <w:bottom w:val="nil"/>
              <w:right w:val="nil"/>
            </w:tcBorders>
            <w:shd w:val="clear" w:color="auto" w:fill="auto"/>
            <w:noWrap/>
            <w:vAlign w:val="bottom"/>
            <w:hideMark/>
          </w:tcPr>
          <w:p w14:paraId="6FE60F6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67EAB3D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201566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85D9D5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A6900B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94D7A0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C4EF03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B62B5D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1674DE67" w14:textId="77777777" w:rsidTr="0095397F">
        <w:trPr>
          <w:trHeight w:val="300"/>
        </w:trPr>
        <w:tc>
          <w:tcPr>
            <w:tcW w:w="2694" w:type="dxa"/>
            <w:tcBorders>
              <w:top w:val="nil"/>
              <w:left w:val="nil"/>
              <w:bottom w:val="nil"/>
              <w:right w:val="nil"/>
            </w:tcBorders>
            <w:shd w:val="clear" w:color="auto" w:fill="auto"/>
            <w:noWrap/>
            <w:vAlign w:val="bottom"/>
            <w:hideMark/>
          </w:tcPr>
          <w:p w14:paraId="307A324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5</w:t>
            </w:r>
          </w:p>
        </w:tc>
        <w:tc>
          <w:tcPr>
            <w:tcW w:w="2409" w:type="dxa"/>
            <w:tcBorders>
              <w:top w:val="nil"/>
              <w:left w:val="nil"/>
              <w:bottom w:val="nil"/>
              <w:right w:val="nil"/>
            </w:tcBorders>
            <w:shd w:val="clear" w:color="auto" w:fill="auto"/>
            <w:noWrap/>
            <w:vAlign w:val="bottom"/>
            <w:hideMark/>
          </w:tcPr>
          <w:p w14:paraId="5AE69C7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5C0C50B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F80BEF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92ADEB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CAE521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691219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8C360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A5127E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84DAE23" w14:textId="77777777" w:rsidTr="0095397F">
        <w:trPr>
          <w:trHeight w:val="300"/>
        </w:trPr>
        <w:tc>
          <w:tcPr>
            <w:tcW w:w="2694" w:type="dxa"/>
            <w:tcBorders>
              <w:top w:val="nil"/>
              <w:left w:val="nil"/>
              <w:bottom w:val="nil"/>
              <w:right w:val="nil"/>
            </w:tcBorders>
            <w:shd w:val="clear" w:color="auto" w:fill="auto"/>
            <w:noWrap/>
            <w:vAlign w:val="bottom"/>
            <w:hideMark/>
          </w:tcPr>
          <w:p w14:paraId="1C84D74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6</w:t>
            </w:r>
          </w:p>
        </w:tc>
        <w:tc>
          <w:tcPr>
            <w:tcW w:w="2409" w:type="dxa"/>
            <w:tcBorders>
              <w:top w:val="nil"/>
              <w:left w:val="nil"/>
              <w:bottom w:val="nil"/>
              <w:right w:val="nil"/>
            </w:tcBorders>
            <w:shd w:val="clear" w:color="auto" w:fill="auto"/>
            <w:noWrap/>
            <w:vAlign w:val="bottom"/>
            <w:hideMark/>
          </w:tcPr>
          <w:p w14:paraId="2F43B20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5311C4AE"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BB337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551FB8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52A4B1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290B42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45B6E5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2A3FDD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BA77726" w14:textId="77777777" w:rsidTr="0095397F">
        <w:trPr>
          <w:trHeight w:val="300"/>
        </w:trPr>
        <w:tc>
          <w:tcPr>
            <w:tcW w:w="2694" w:type="dxa"/>
            <w:tcBorders>
              <w:top w:val="nil"/>
              <w:left w:val="nil"/>
              <w:bottom w:val="nil"/>
              <w:right w:val="nil"/>
            </w:tcBorders>
            <w:shd w:val="clear" w:color="auto" w:fill="auto"/>
            <w:noWrap/>
            <w:vAlign w:val="bottom"/>
            <w:hideMark/>
          </w:tcPr>
          <w:p w14:paraId="471E302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7</w:t>
            </w:r>
          </w:p>
        </w:tc>
        <w:tc>
          <w:tcPr>
            <w:tcW w:w="2409" w:type="dxa"/>
            <w:tcBorders>
              <w:top w:val="nil"/>
              <w:left w:val="nil"/>
              <w:bottom w:val="nil"/>
              <w:right w:val="nil"/>
            </w:tcBorders>
            <w:shd w:val="clear" w:color="auto" w:fill="auto"/>
            <w:noWrap/>
            <w:vAlign w:val="bottom"/>
            <w:hideMark/>
          </w:tcPr>
          <w:p w14:paraId="6C2963C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AE520C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326822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75AE2B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4B7445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5C5A59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A6F09A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0D1CC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7111C2C"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1292D18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Eastman Bridge 8</w:t>
            </w:r>
          </w:p>
        </w:tc>
        <w:tc>
          <w:tcPr>
            <w:tcW w:w="2409" w:type="dxa"/>
            <w:tcBorders>
              <w:top w:val="nil"/>
              <w:left w:val="nil"/>
              <w:bottom w:val="single" w:sz="8" w:space="0" w:color="auto"/>
              <w:right w:val="nil"/>
            </w:tcBorders>
            <w:shd w:val="clear" w:color="auto" w:fill="auto"/>
            <w:noWrap/>
            <w:vAlign w:val="bottom"/>
            <w:hideMark/>
          </w:tcPr>
          <w:p w14:paraId="257C46D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single" w:sz="8" w:space="0" w:color="auto"/>
              <w:right w:val="nil"/>
            </w:tcBorders>
            <w:shd w:val="clear" w:color="auto" w:fill="auto"/>
            <w:noWrap/>
            <w:vAlign w:val="bottom"/>
            <w:hideMark/>
          </w:tcPr>
          <w:p w14:paraId="2BB74F9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single" w:sz="8" w:space="0" w:color="auto"/>
              <w:right w:val="nil"/>
            </w:tcBorders>
            <w:shd w:val="clear" w:color="000000" w:fill="FFC7CE"/>
            <w:noWrap/>
            <w:vAlign w:val="bottom"/>
            <w:hideMark/>
          </w:tcPr>
          <w:p w14:paraId="3274723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384EDAE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4430ED3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240854C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6EA855C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4AF012E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609AA30" w14:textId="77777777" w:rsidTr="0095397F">
        <w:trPr>
          <w:trHeight w:val="300"/>
        </w:trPr>
        <w:tc>
          <w:tcPr>
            <w:tcW w:w="2694" w:type="dxa"/>
            <w:tcBorders>
              <w:top w:val="nil"/>
              <w:left w:val="nil"/>
              <w:bottom w:val="nil"/>
              <w:right w:val="nil"/>
            </w:tcBorders>
            <w:shd w:val="clear" w:color="auto" w:fill="auto"/>
            <w:noWrap/>
            <w:vAlign w:val="bottom"/>
            <w:hideMark/>
          </w:tcPr>
          <w:p w14:paraId="6672CD6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1</w:t>
            </w:r>
          </w:p>
        </w:tc>
        <w:tc>
          <w:tcPr>
            <w:tcW w:w="2409" w:type="dxa"/>
            <w:tcBorders>
              <w:top w:val="nil"/>
              <w:left w:val="nil"/>
              <w:bottom w:val="nil"/>
              <w:right w:val="nil"/>
            </w:tcBorders>
            <w:shd w:val="clear" w:color="auto" w:fill="auto"/>
            <w:noWrap/>
            <w:vAlign w:val="bottom"/>
            <w:hideMark/>
          </w:tcPr>
          <w:p w14:paraId="5D3EC75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4C72A6D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577ED4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4D5E4A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CB2A9A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2409B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A96AB3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132699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2934F58" w14:textId="77777777" w:rsidTr="0095397F">
        <w:trPr>
          <w:trHeight w:val="300"/>
        </w:trPr>
        <w:tc>
          <w:tcPr>
            <w:tcW w:w="2694" w:type="dxa"/>
            <w:tcBorders>
              <w:top w:val="nil"/>
              <w:left w:val="nil"/>
              <w:bottom w:val="nil"/>
              <w:right w:val="nil"/>
            </w:tcBorders>
            <w:shd w:val="clear" w:color="auto" w:fill="auto"/>
            <w:noWrap/>
            <w:vAlign w:val="bottom"/>
            <w:hideMark/>
          </w:tcPr>
          <w:p w14:paraId="3BD2AF3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2</w:t>
            </w:r>
          </w:p>
        </w:tc>
        <w:tc>
          <w:tcPr>
            <w:tcW w:w="2409" w:type="dxa"/>
            <w:tcBorders>
              <w:top w:val="nil"/>
              <w:left w:val="nil"/>
              <w:bottom w:val="nil"/>
              <w:right w:val="nil"/>
            </w:tcBorders>
            <w:shd w:val="clear" w:color="auto" w:fill="auto"/>
            <w:noWrap/>
            <w:vAlign w:val="bottom"/>
            <w:hideMark/>
          </w:tcPr>
          <w:p w14:paraId="1C994DD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404B54A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4FB123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EF76EE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56645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F71C38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A65EFA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3A8821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C89457D" w14:textId="77777777" w:rsidTr="0095397F">
        <w:trPr>
          <w:trHeight w:val="300"/>
        </w:trPr>
        <w:tc>
          <w:tcPr>
            <w:tcW w:w="2694" w:type="dxa"/>
            <w:tcBorders>
              <w:top w:val="nil"/>
              <w:left w:val="nil"/>
              <w:bottom w:val="nil"/>
              <w:right w:val="nil"/>
            </w:tcBorders>
            <w:shd w:val="clear" w:color="auto" w:fill="auto"/>
            <w:noWrap/>
            <w:vAlign w:val="bottom"/>
            <w:hideMark/>
          </w:tcPr>
          <w:p w14:paraId="1857DC8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3</w:t>
            </w:r>
          </w:p>
        </w:tc>
        <w:tc>
          <w:tcPr>
            <w:tcW w:w="2409" w:type="dxa"/>
            <w:tcBorders>
              <w:top w:val="nil"/>
              <w:left w:val="nil"/>
              <w:bottom w:val="nil"/>
              <w:right w:val="nil"/>
            </w:tcBorders>
            <w:shd w:val="clear" w:color="auto" w:fill="auto"/>
            <w:noWrap/>
            <w:vAlign w:val="bottom"/>
            <w:hideMark/>
          </w:tcPr>
          <w:p w14:paraId="7DB30C5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58EC55E4"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DA7FD5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0AEF9E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3B6D4B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80C0FC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1C548A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8825F2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6481779" w14:textId="77777777" w:rsidTr="0095397F">
        <w:trPr>
          <w:trHeight w:val="300"/>
        </w:trPr>
        <w:tc>
          <w:tcPr>
            <w:tcW w:w="2694" w:type="dxa"/>
            <w:tcBorders>
              <w:top w:val="nil"/>
              <w:left w:val="nil"/>
              <w:bottom w:val="nil"/>
              <w:right w:val="nil"/>
            </w:tcBorders>
            <w:shd w:val="clear" w:color="auto" w:fill="auto"/>
            <w:noWrap/>
            <w:vAlign w:val="bottom"/>
            <w:hideMark/>
          </w:tcPr>
          <w:p w14:paraId="693BC2F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4</w:t>
            </w:r>
          </w:p>
        </w:tc>
        <w:tc>
          <w:tcPr>
            <w:tcW w:w="2409" w:type="dxa"/>
            <w:tcBorders>
              <w:top w:val="nil"/>
              <w:left w:val="nil"/>
              <w:bottom w:val="nil"/>
              <w:right w:val="nil"/>
            </w:tcBorders>
            <w:shd w:val="clear" w:color="auto" w:fill="auto"/>
            <w:noWrap/>
            <w:vAlign w:val="bottom"/>
            <w:hideMark/>
          </w:tcPr>
          <w:p w14:paraId="34B2A58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448580F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0B24C4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259FA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6BA62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DD2457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BFC68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2F792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73452C3" w14:textId="77777777" w:rsidTr="0095397F">
        <w:trPr>
          <w:trHeight w:val="300"/>
        </w:trPr>
        <w:tc>
          <w:tcPr>
            <w:tcW w:w="2694" w:type="dxa"/>
            <w:tcBorders>
              <w:top w:val="nil"/>
              <w:left w:val="nil"/>
              <w:bottom w:val="nil"/>
              <w:right w:val="nil"/>
            </w:tcBorders>
            <w:shd w:val="clear" w:color="auto" w:fill="auto"/>
            <w:noWrap/>
            <w:vAlign w:val="bottom"/>
            <w:hideMark/>
          </w:tcPr>
          <w:p w14:paraId="76B9674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5</w:t>
            </w:r>
          </w:p>
        </w:tc>
        <w:tc>
          <w:tcPr>
            <w:tcW w:w="2409" w:type="dxa"/>
            <w:tcBorders>
              <w:top w:val="nil"/>
              <w:left w:val="nil"/>
              <w:bottom w:val="nil"/>
              <w:right w:val="nil"/>
            </w:tcBorders>
            <w:shd w:val="clear" w:color="auto" w:fill="auto"/>
            <w:noWrap/>
            <w:vAlign w:val="bottom"/>
            <w:hideMark/>
          </w:tcPr>
          <w:p w14:paraId="41BC055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65254F24"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359F9E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D6283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BD13FA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58512E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D32611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0C4566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F6A07CA" w14:textId="77777777" w:rsidTr="0095397F">
        <w:trPr>
          <w:trHeight w:val="300"/>
        </w:trPr>
        <w:tc>
          <w:tcPr>
            <w:tcW w:w="2694" w:type="dxa"/>
            <w:tcBorders>
              <w:top w:val="nil"/>
              <w:left w:val="nil"/>
              <w:bottom w:val="nil"/>
              <w:right w:val="nil"/>
            </w:tcBorders>
            <w:shd w:val="clear" w:color="auto" w:fill="auto"/>
            <w:noWrap/>
            <w:vAlign w:val="bottom"/>
            <w:hideMark/>
          </w:tcPr>
          <w:p w14:paraId="3D57E16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6</w:t>
            </w:r>
          </w:p>
        </w:tc>
        <w:tc>
          <w:tcPr>
            <w:tcW w:w="2409" w:type="dxa"/>
            <w:tcBorders>
              <w:top w:val="nil"/>
              <w:left w:val="nil"/>
              <w:bottom w:val="nil"/>
              <w:right w:val="nil"/>
            </w:tcBorders>
            <w:shd w:val="clear" w:color="auto" w:fill="auto"/>
            <w:noWrap/>
            <w:vAlign w:val="bottom"/>
            <w:hideMark/>
          </w:tcPr>
          <w:p w14:paraId="6F6EE8B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CE3569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87E37C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D2E7AF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B31813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5363F0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D1D67B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C20550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8E382BF" w14:textId="77777777" w:rsidTr="0095397F">
        <w:trPr>
          <w:trHeight w:val="300"/>
        </w:trPr>
        <w:tc>
          <w:tcPr>
            <w:tcW w:w="2694" w:type="dxa"/>
            <w:tcBorders>
              <w:top w:val="nil"/>
              <w:left w:val="nil"/>
              <w:bottom w:val="nil"/>
              <w:right w:val="nil"/>
            </w:tcBorders>
            <w:shd w:val="clear" w:color="auto" w:fill="auto"/>
            <w:noWrap/>
            <w:vAlign w:val="bottom"/>
            <w:hideMark/>
          </w:tcPr>
          <w:p w14:paraId="01B9B6F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7</w:t>
            </w:r>
          </w:p>
        </w:tc>
        <w:tc>
          <w:tcPr>
            <w:tcW w:w="2409" w:type="dxa"/>
            <w:tcBorders>
              <w:top w:val="nil"/>
              <w:left w:val="nil"/>
              <w:bottom w:val="nil"/>
              <w:right w:val="nil"/>
            </w:tcBorders>
            <w:shd w:val="clear" w:color="auto" w:fill="auto"/>
            <w:noWrap/>
            <w:vAlign w:val="bottom"/>
            <w:hideMark/>
          </w:tcPr>
          <w:p w14:paraId="4CACC865"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1B909A0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572703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246B34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57D24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D2BC05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27DD64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092C02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140C9C4A"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2B1BB1A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Balpool 8</w:t>
            </w:r>
          </w:p>
        </w:tc>
        <w:tc>
          <w:tcPr>
            <w:tcW w:w="2409" w:type="dxa"/>
            <w:tcBorders>
              <w:top w:val="nil"/>
              <w:left w:val="nil"/>
              <w:bottom w:val="single" w:sz="8" w:space="0" w:color="auto"/>
              <w:right w:val="nil"/>
            </w:tcBorders>
            <w:shd w:val="clear" w:color="auto" w:fill="auto"/>
            <w:noWrap/>
            <w:vAlign w:val="bottom"/>
            <w:hideMark/>
          </w:tcPr>
          <w:p w14:paraId="607B2C75"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single" w:sz="8" w:space="0" w:color="auto"/>
              <w:right w:val="nil"/>
            </w:tcBorders>
            <w:shd w:val="clear" w:color="auto" w:fill="auto"/>
            <w:noWrap/>
            <w:vAlign w:val="bottom"/>
            <w:hideMark/>
          </w:tcPr>
          <w:p w14:paraId="706567B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single" w:sz="8" w:space="0" w:color="auto"/>
              <w:right w:val="nil"/>
            </w:tcBorders>
            <w:shd w:val="clear" w:color="000000" w:fill="FFC7CE"/>
            <w:noWrap/>
            <w:vAlign w:val="bottom"/>
            <w:hideMark/>
          </w:tcPr>
          <w:p w14:paraId="7D48777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601C4C6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38AADC9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0DDE2F6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1FCE51E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4927B9B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5C1B02C" w14:textId="77777777" w:rsidTr="0095397F">
        <w:trPr>
          <w:trHeight w:val="300"/>
        </w:trPr>
        <w:tc>
          <w:tcPr>
            <w:tcW w:w="2694" w:type="dxa"/>
            <w:tcBorders>
              <w:top w:val="nil"/>
              <w:left w:val="nil"/>
              <w:bottom w:val="nil"/>
              <w:right w:val="nil"/>
            </w:tcBorders>
            <w:shd w:val="clear" w:color="auto" w:fill="auto"/>
            <w:noWrap/>
            <w:vAlign w:val="bottom"/>
            <w:hideMark/>
          </w:tcPr>
          <w:p w14:paraId="42D4918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1</w:t>
            </w:r>
          </w:p>
        </w:tc>
        <w:tc>
          <w:tcPr>
            <w:tcW w:w="2409" w:type="dxa"/>
            <w:tcBorders>
              <w:top w:val="nil"/>
              <w:left w:val="nil"/>
              <w:bottom w:val="nil"/>
              <w:right w:val="nil"/>
            </w:tcBorders>
            <w:shd w:val="clear" w:color="auto" w:fill="auto"/>
            <w:noWrap/>
            <w:vAlign w:val="bottom"/>
            <w:hideMark/>
          </w:tcPr>
          <w:p w14:paraId="6FE0EA25"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22838D6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BD5250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AF956C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A81F73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6F5CF4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F1E7A0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F3CACE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9AE8B13" w14:textId="77777777" w:rsidTr="0095397F">
        <w:trPr>
          <w:trHeight w:val="300"/>
        </w:trPr>
        <w:tc>
          <w:tcPr>
            <w:tcW w:w="2694" w:type="dxa"/>
            <w:tcBorders>
              <w:top w:val="nil"/>
              <w:left w:val="nil"/>
              <w:bottom w:val="nil"/>
              <w:right w:val="nil"/>
            </w:tcBorders>
            <w:shd w:val="clear" w:color="auto" w:fill="auto"/>
            <w:noWrap/>
            <w:vAlign w:val="bottom"/>
            <w:hideMark/>
          </w:tcPr>
          <w:p w14:paraId="12905FC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2</w:t>
            </w:r>
          </w:p>
        </w:tc>
        <w:tc>
          <w:tcPr>
            <w:tcW w:w="2409" w:type="dxa"/>
            <w:tcBorders>
              <w:top w:val="nil"/>
              <w:left w:val="nil"/>
              <w:bottom w:val="nil"/>
              <w:right w:val="nil"/>
            </w:tcBorders>
            <w:shd w:val="clear" w:color="auto" w:fill="auto"/>
            <w:noWrap/>
            <w:vAlign w:val="bottom"/>
            <w:hideMark/>
          </w:tcPr>
          <w:p w14:paraId="47B810D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7B69F77E"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B48874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8795A1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2814AB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1D2B9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B1D63F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9203F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FBC6D20" w14:textId="77777777" w:rsidTr="0095397F">
        <w:trPr>
          <w:trHeight w:val="300"/>
        </w:trPr>
        <w:tc>
          <w:tcPr>
            <w:tcW w:w="2694" w:type="dxa"/>
            <w:tcBorders>
              <w:top w:val="nil"/>
              <w:left w:val="nil"/>
              <w:bottom w:val="nil"/>
              <w:right w:val="nil"/>
            </w:tcBorders>
            <w:shd w:val="clear" w:color="auto" w:fill="auto"/>
            <w:noWrap/>
            <w:vAlign w:val="bottom"/>
            <w:hideMark/>
          </w:tcPr>
          <w:p w14:paraId="081A0CE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3</w:t>
            </w:r>
          </w:p>
        </w:tc>
        <w:tc>
          <w:tcPr>
            <w:tcW w:w="2409" w:type="dxa"/>
            <w:tcBorders>
              <w:top w:val="nil"/>
              <w:left w:val="nil"/>
              <w:bottom w:val="nil"/>
              <w:right w:val="nil"/>
            </w:tcBorders>
            <w:shd w:val="clear" w:color="auto" w:fill="auto"/>
            <w:noWrap/>
            <w:vAlign w:val="bottom"/>
            <w:hideMark/>
          </w:tcPr>
          <w:p w14:paraId="6A6CD75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6C8D5ED8"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67C808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5C734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2BEF3F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2A0F7F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4554D9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78DA33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6F811D8" w14:textId="77777777" w:rsidTr="0095397F">
        <w:trPr>
          <w:trHeight w:val="300"/>
        </w:trPr>
        <w:tc>
          <w:tcPr>
            <w:tcW w:w="2694" w:type="dxa"/>
            <w:tcBorders>
              <w:top w:val="nil"/>
              <w:left w:val="nil"/>
              <w:bottom w:val="nil"/>
              <w:right w:val="nil"/>
            </w:tcBorders>
            <w:shd w:val="clear" w:color="auto" w:fill="auto"/>
            <w:noWrap/>
            <w:vAlign w:val="bottom"/>
            <w:hideMark/>
          </w:tcPr>
          <w:p w14:paraId="4AB311C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4</w:t>
            </w:r>
          </w:p>
        </w:tc>
        <w:tc>
          <w:tcPr>
            <w:tcW w:w="2409" w:type="dxa"/>
            <w:tcBorders>
              <w:top w:val="nil"/>
              <w:left w:val="nil"/>
              <w:bottom w:val="nil"/>
              <w:right w:val="nil"/>
            </w:tcBorders>
            <w:shd w:val="clear" w:color="auto" w:fill="auto"/>
            <w:noWrap/>
            <w:vAlign w:val="bottom"/>
            <w:hideMark/>
          </w:tcPr>
          <w:p w14:paraId="52BEF9F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388EC7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6E4B31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EB6C6E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4FA68E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59875F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4F22FB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A1E498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1D8FB41" w14:textId="77777777" w:rsidTr="0095397F">
        <w:trPr>
          <w:trHeight w:val="300"/>
        </w:trPr>
        <w:tc>
          <w:tcPr>
            <w:tcW w:w="2694" w:type="dxa"/>
            <w:tcBorders>
              <w:top w:val="nil"/>
              <w:left w:val="nil"/>
              <w:bottom w:val="nil"/>
              <w:right w:val="nil"/>
            </w:tcBorders>
            <w:shd w:val="clear" w:color="auto" w:fill="auto"/>
            <w:noWrap/>
            <w:vAlign w:val="bottom"/>
            <w:hideMark/>
          </w:tcPr>
          <w:p w14:paraId="15D155B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5</w:t>
            </w:r>
          </w:p>
        </w:tc>
        <w:tc>
          <w:tcPr>
            <w:tcW w:w="2409" w:type="dxa"/>
            <w:tcBorders>
              <w:top w:val="nil"/>
              <w:left w:val="nil"/>
              <w:bottom w:val="nil"/>
              <w:right w:val="nil"/>
            </w:tcBorders>
            <w:shd w:val="clear" w:color="auto" w:fill="auto"/>
            <w:noWrap/>
            <w:vAlign w:val="bottom"/>
            <w:hideMark/>
          </w:tcPr>
          <w:p w14:paraId="1AD2744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16C361A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085C3F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BBD07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E38669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4C4FCD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4245DF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2354D0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16E4652" w14:textId="77777777" w:rsidTr="0095397F">
        <w:trPr>
          <w:trHeight w:val="300"/>
        </w:trPr>
        <w:tc>
          <w:tcPr>
            <w:tcW w:w="2694" w:type="dxa"/>
            <w:tcBorders>
              <w:top w:val="nil"/>
              <w:left w:val="nil"/>
              <w:bottom w:val="nil"/>
              <w:right w:val="nil"/>
            </w:tcBorders>
            <w:shd w:val="clear" w:color="auto" w:fill="auto"/>
            <w:noWrap/>
            <w:vAlign w:val="bottom"/>
            <w:hideMark/>
          </w:tcPr>
          <w:p w14:paraId="5C2BD42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6</w:t>
            </w:r>
          </w:p>
        </w:tc>
        <w:tc>
          <w:tcPr>
            <w:tcW w:w="2409" w:type="dxa"/>
            <w:tcBorders>
              <w:top w:val="nil"/>
              <w:left w:val="nil"/>
              <w:bottom w:val="nil"/>
              <w:right w:val="nil"/>
            </w:tcBorders>
            <w:shd w:val="clear" w:color="auto" w:fill="auto"/>
            <w:noWrap/>
            <w:vAlign w:val="bottom"/>
            <w:hideMark/>
          </w:tcPr>
          <w:p w14:paraId="18772A2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2E98B3F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33C10F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263F3E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F91B2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37105D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1F9DDD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9C0B86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A761C32" w14:textId="77777777" w:rsidTr="0095397F">
        <w:trPr>
          <w:trHeight w:val="300"/>
        </w:trPr>
        <w:tc>
          <w:tcPr>
            <w:tcW w:w="2694" w:type="dxa"/>
            <w:tcBorders>
              <w:top w:val="nil"/>
              <w:left w:val="nil"/>
              <w:bottom w:val="nil"/>
              <w:right w:val="nil"/>
            </w:tcBorders>
            <w:shd w:val="clear" w:color="auto" w:fill="auto"/>
            <w:noWrap/>
            <w:vAlign w:val="bottom"/>
            <w:hideMark/>
          </w:tcPr>
          <w:p w14:paraId="7E8C6C8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7</w:t>
            </w:r>
          </w:p>
        </w:tc>
        <w:tc>
          <w:tcPr>
            <w:tcW w:w="2409" w:type="dxa"/>
            <w:tcBorders>
              <w:top w:val="nil"/>
              <w:left w:val="nil"/>
              <w:bottom w:val="nil"/>
              <w:right w:val="nil"/>
            </w:tcBorders>
            <w:shd w:val="clear" w:color="auto" w:fill="auto"/>
            <w:noWrap/>
            <w:vAlign w:val="bottom"/>
            <w:hideMark/>
          </w:tcPr>
          <w:p w14:paraId="6C2CBF2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nil"/>
              <w:right w:val="nil"/>
            </w:tcBorders>
            <w:shd w:val="clear" w:color="auto" w:fill="auto"/>
            <w:noWrap/>
            <w:vAlign w:val="bottom"/>
            <w:hideMark/>
          </w:tcPr>
          <w:p w14:paraId="0BAF0D0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59353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FF3876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C9E9DB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C143AE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F24CB8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A1779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FC665B7"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00248E7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Kyalite State Forest 8</w:t>
            </w:r>
          </w:p>
        </w:tc>
        <w:tc>
          <w:tcPr>
            <w:tcW w:w="2409" w:type="dxa"/>
            <w:tcBorders>
              <w:top w:val="nil"/>
              <w:left w:val="nil"/>
              <w:bottom w:val="single" w:sz="8" w:space="0" w:color="auto"/>
              <w:right w:val="nil"/>
            </w:tcBorders>
            <w:shd w:val="clear" w:color="auto" w:fill="auto"/>
            <w:noWrap/>
            <w:vAlign w:val="bottom"/>
            <w:hideMark/>
          </w:tcPr>
          <w:p w14:paraId="157B59E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Edward/Kolety River</w:t>
            </w:r>
          </w:p>
        </w:tc>
        <w:tc>
          <w:tcPr>
            <w:tcW w:w="1007" w:type="dxa"/>
            <w:tcBorders>
              <w:top w:val="nil"/>
              <w:left w:val="nil"/>
              <w:bottom w:val="single" w:sz="8" w:space="0" w:color="auto"/>
              <w:right w:val="nil"/>
            </w:tcBorders>
            <w:shd w:val="clear" w:color="auto" w:fill="auto"/>
            <w:noWrap/>
            <w:vAlign w:val="bottom"/>
            <w:hideMark/>
          </w:tcPr>
          <w:p w14:paraId="3835D75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single" w:sz="8" w:space="0" w:color="auto"/>
              <w:right w:val="nil"/>
            </w:tcBorders>
            <w:shd w:val="clear" w:color="000000" w:fill="FFC7CE"/>
            <w:noWrap/>
            <w:vAlign w:val="bottom"/>
            <w:hideMark/>
          </w:tcPr>
          <w:p w14:paraId="0493826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29FD716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7AF4055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7E7D7F5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2F8A46E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66CFDF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3FBFFBEF" w14:textId="77777777" w:rsidTr="0095397F">
        <w:trPr>
          <w:trHeight w:val="300"/>
        </w:trPr>
        <w:tc>
          <w:tcPr>
            <w:tcW w:w="2694" w:type="dxa"/>
            <w:tcBorders>
              <w:top w:val="nil"/>
              <w:left w:val="nil"/>
              <w:bottom w:val="nil"/>
              <w:right w:val="nil"/>
            </w:tcBorders>
            <w:shd w:val="clear" w:color="auto" w:fill="auto"/>
            <w:noWrap/>
            <w:vAlign w:val="bottom"/>
            <w:hideMark/>
          </w:tcPr>
          <w:p w14:paraId="09390F7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1</w:t>
            </w:r>
          </w:p>
        </w:tc>
        <w:tc>
          <w:tcPr>
            <w:tcW w:w="2409" w:type="dxa"/>
            <w:tcBorders>
              <w:top w:val="nil"/>
              <w:left w:val="nil"/>
              <w:bottom w:val="nil"/>
              <w:right w:val="nil"/>
            </w:tcBorders>
            <w:shd w:val="clear" w:color="auto" w:fill="auto"/>
            <w:noWrap/>
            <w:vAlign w:val="bottom"/>
            <w:hideMark/>
          </w:tcPr>
          <w:p w14:paraId="6D126CD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76E5770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C15019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CE9FB6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75E958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29C3B1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E936DF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8EDA42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8FCC14E" w14:textId="77777777" w:rsidTr="0095397F">
        <w:trPr>
          <w:trHeight w:val="300"/>
        </w:trPr>
        <w:tc>
          <w:tcPr>
            <w:tcW w:w="2694" w:type="dxa"/>
            <w:tcBorders>
              <w:top w:val="nil"/>
              <w:left w:val="nil"/>
              <w:bottom w:val="nil"/>
              <w:right w:val="nil"/>
            </w:tcBorders>
            <w:shd w:val="clear" w:color="auto" w:fill="auto"/>
            <w:noWrap/>
            <w:vAlign w:val="bottom"/>
            <w:hideMark/>
          </w:tcPr>
          <w:p w14:paraId="4330D265"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2</w:t>
            </w:r>
          </w:p>
        </w:tc>
        <w:tc>
          <w:tcPr>
            <w:tcW w:w="2409" w:type="dxa"/>
            <w:tcBorders>
              <w:top w:val="nil"/>
              <w:left w:val="nil"/>
              <w:bottom w:val="nil"/>
              <w:right w:val="nil"/>
            </w:tcBorders>
            <w:shd w:val="clear" w:color="auto" w:fill="auto"/>
            <w:noWrap/>
            <w:vAlign w:val="bottom"/>
            <w:hideMark/>
          </w:tcPr>
          <w:p w14:paraId="43044CF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1709D5F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F61E84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A17CDB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E3AF59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6ED5A9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AB9CC9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4EAA65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DAA20DC" w14:textId="77777777" w:rsidTr="0095397F">
        <w:trPr>
          <w:trHeight w:val="300"/>
        </w:trPr>
        <w:tc>
          <w:tcPr>
            <w:tcW w:w="2694" w:type="dxa"/>
            <w:tcBorders>
              <w:top w:val="nil"/>
              <w:left w:val="nil"/>
              <w:bottom w:val="nil"/>
              <w:right w:val="nil"/>
            </w:tcBorders>
            <w:shd w:val="clear" w:color="auto" w:fill="auto"/>
            <w:noWrap/>
            <w:vAlign w:val="bottom"/>
            <w:hideMark/>
          </w:tcPr>
          <w:p w14:paraId="4390BBD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3</w:t>
            </w:r>
          </w:p>
        </w:tc>
        <w:tc>
          <w:tcPr>
            <w:tcW w:w="2409" w:type="dxa"/>
            <w:tcBorders>
              <w:top w:val="nil"/>
              <w:left w:val="nil"/>
              <w:bottom w:val="nil"/>
              <w:right w:val="nil"/>
            </w:tcBorders>
            <w:shd w:val="clear" w:color="auto" w:fill="auto"/>
            <w:noWrap/>
            <w:vAlign w:val="bottom"/>
            <w:hideMark/>
          </w:tcPr>
          <w:p w14:paraId="2283975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2D513208"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EF91F7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638174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0E1E7D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8816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0CB35E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EDE9FE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BFB4445" w14:textId="77777777" w:rsidTr="0095397F">
        <w:trPr>
          <w:trHeight w:val="300"/>
        </w:trPr>
        <w:tc>
          <w:tcPr>
            <w:tcW w:w="2694" w:type="dxa"/>
            <w:tcBorders>
              <w:top w:val="nil"/>
              <w:left w:val="nil"/>
              <w:bottom w:val="nil"/>
              <w:right w:val="nil"/>
            </w:tcBorders>
            <w:shd w:val="clear" w:color="auto" w:fill="auto"/>
            <w:noWrap/>
            <w:vAlign w:val="bottom"/>
            <w:hideMark/>
          </w:tcPr>
          <w:p w14:paraId="12BB88F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4</w:t>
            </w:r>
          </w:p>
        </w:tc>
        <w:tc>
          <w:tcPr>
            <w:tcW w:w="2409" w:type="dxa"/>
            <w:tcBorders>
              <w:top w:val="nil"/>
              <w:left w:val="nil"/>
              <w:bottom w:val="nil"/>
              <w:right w:val="nil"/>
            </w:tcBorders>
            <w:shd w:val="clear" w:color="auto" w:fill="auto"/>
            <w:noWrap/>
            <w:vAlign w:val="bottom"/>
            <w:hideMark/>
          </w:tcPr>
          <w:p w14:paraId="3F832F6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26BF101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AD8EB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EC6704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DCE7F8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5FF442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CE7159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8331D6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7995345" w14:textId="77777777" w:rsidTr="0095397F">
        <w:trPr>
          <w:trHeight w:val="300"/>
        </w:trPr>
        <w:tc>
          <w:tcPr>
            <w:tcW w:w="2694" w:type="dxa"/>
            <w:tcBorders>
              <w:top w:val="nil"/>
              <w:left w:val="nil"/>
              <w:bottom w:val="nil"/>
              <w:right w:val="nil"/>
            </w:tcBorders>
            <w:shd w:val="clear" w:color="auto" w:fill="auto"/>
            <w:noWrap/>
            <w:vAlign w:val="bottom"/>
            <w:hideMark/>
          </w:tcPr>
          <w:p w14:paraId="6176D4B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5</w:t>
            </w:r>
          </w:p>
        </w:tc>
        <w:tc>
          <w:tcPr>
            <w:tcW w:w="2409" w:type="dxa"/>
            <w:tcBorders>
              <w:top w:val="nil"/>
              <w:left w:val="nil"/>
              <w:bottom w:val="nil"/>
              <w:right w:val="nil"/>
            </w:tcBorders>
            <w:shd w:val="clear" w:color="auto" w:fill="auto"/>
            <w:noWrap/>
            <w:vAlign w:val="bottom"/>
            <w:hideMark/>
          </w:tcPr>
          <w:p w14:paraId="26CB85E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68DC36A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329485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1C8D0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FEFCBF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D71C18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01AA50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93A96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A5531A5" w14:textId="77777777" w:rsidTr="0095397F">
        <w:trPr>
          <w:trHeight w:val="300"/>
        </w:trPr>
        <w:tc>
          <w:tcPr>
            <w:tcW w:w="2694" w:type="dxa"/>
            <w:tcBorders>
              <w:top w:val="nil"/>
              <w:left w:val="nil"/>
              <w:bottom w:val="nil"/>
              <w:right w:val="nil"/>
            </w:tcBorders>
            <w:shd w:val="clear" w:color="auto" w:fill="auto"/>
            <w:noWrap/>
            <w:vAlign w:val="bottom"/>
            <w:hideMark/>
          </w:tcPr>
          <w:p w14:paraId="601C4CA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6</w:t>
            </w:r>
          </w:p>
        </w:tc>
        <w:tc>
          <w:tcPr>
            <w:tcW w:w="2409" w:type="dxa"/>
            <w:tcBorders>
              <w:top w:val="nil"/>
              <w:left w:val="nil"/>
              <w:bottom w:val="nil"/>
              <w:right w:val="nil"/>
            </w:tcBorders>
            <w:shd w:val="clear" w:color="auto" w:fill="auto"/>
            <w:noWrap/>
            <w:vAlign w:val="bottom"/>
            <w:hideMark/>
          </w:tcPr>
          <w:p w14:paraId="38B6045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39D1CE6E"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0E934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9839C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EC82D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36386B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C34A8F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B4327A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7B97849" w14:textId="77777777" w:rsidTr="0095397F">
        <w:trPr>
          <w:trHeight w:val="300"/>
        </w:trPr>
        <w:tc>
          <w:tcPr>
            <w:tcW w:w="2694" w:type="dxa"/>
            <w:tcBorders>
              <w:top w:val="nil"/>
              <w:left w:val="nil"/>
              <w:bottom w:val="nil"/>
              <w:right w:val="nil"/>
            </w:tcBorders>
            <w:shd w:val="clear" w:color="auto" w:fill="auto"/>
            <w:noWrap/>
            <w:vAlign w:val="bottom"/>
            <w:hideMark/>
          </w:tcPr>
          <w:p w14:paraId="415E6A1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7</w:t>
            </w:r>
          </w:p>
        </w:tc>
        <w:tc>
          <w:tcPr>
            <w:tcW w:w="2409" w:type="dxa"/>
            <w:tcBorders>
              <w:top w:val="nil"/>
              <w:left w:val="nil"/>
              <w:bottom w:val="nil"/>
              <w:right w:val="nil"/>
            </w:tcBorders>
            <w:shd w:val="clear" w:color="auto" w:fill="auto"/>
            <w:noWrap/>
            <w:vAlign w:val="bottom"/>
            <w:hideMark/>
          </w:tcPr>
          <w:p w14:paraId="5E181A4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5DB57C59"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FFFF"/>
            <w:noWrap/>
            <w:vAlign w:val="bottom"/>
            <w:hideMark/>
          </w:tcPr>
          <w:p w14:paraId="167038A7"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6A3A1BB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5246D68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02A20EE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1E239847"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5695B12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r>
      <w:tr w:rsidR="006501A4" w:rsidRPr="005E3E7A" w14:paraId="36157B65"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314869E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Widgee 8</w:t>
            </w:r>
          </w:p>
        </w:tc>
        <w:tc>
          <w:tcPr>
            <w:tcW w:w="2409" w:type="dxa"/>
            <w:tcBorders>
              <w:top w:val="nil"/>
              <w:left w:val="nil"/>
              <w:bottom w:val="single" w:sz="8" w:space="0" w:color="auto"/>
              <w:right w:val="nil"/>
            </w:tcBorders>
            <w:shd w:val="clear" w:color="auto" w:fill="auto"/>
            <w:noWrap/>
            <w:vAlign w:val="bottom"/>
            <w:hideMark/>
          </w:tcPr>
          <w:p w14:paraId="4214880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single" w:sz="8" w:space="0" w:color="auto"/>
              <w:right w:val="nil"/>
            </w:tcBorders>
            <w:shd w:val="clear" w:color="auto" w:fill="auto"/>
            <w:noWrap/>
            <w:vAlign w:val="bottom"/>
            <w:hideMark/>
          </w:tcPr>
          <w:p w14:paraId="28B37A1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85EABE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2F4981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C7AF9B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44CB32D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4269DC5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FFFF"/>
            <w:noWrap/>
            <w:vAlign w:val="bottom"/>
            <w:hideMark/>
          </w:tcPr>
          <w:p w14:paraId="7236A99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r>
      <w:tr w:rsidR="006501A4" w:rsidRPr="005E3E7A" w14:paraId="48821F73" w14:textId="77777777" w:rsidTr="0095397F">
        <w:trPr>
          <w:trHeight w:val="300"/>
        </w:trPr>
        <w:tc>
          <w:tcPr>
            <w:tcW w:w="2694" w:type="dxa"/>
            <w:tcBorders>
              <w:top w:val="nil"/>
              <w:left w:val="nil"/>
              <w:bottom w:val="nil"/>
              <w:right w:val="nil"/>
            </w:tcBorders>
            <w:shd w:val="clear" w:color="auto" w:fill="auto"/>
            <w:noWrap/>
            <w:vAlign w:val="bottom"/>
            <w:hideMark/>
          </w:tcPr>
          <w:p w14:paraId="712BB4A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1</w:t>
            </w:r>
          </w:p>
        </w:tc>
        <w:tc>
          <w:tcPr>
            <w:tcW w:w="2409" w:type="dxa"/>
            <w:tcBorders>
              <w:top w:val="nil"/>
              <w:left w:val="nil"/>
              <w:bottom w:val="nil"/>
              <w:right w:val="nil"/>
            </w:tcBorders>
            <w:shd w:val="clear" w:color="auto" w:fill="auto"/>
            <w:noWrap/>
            <w:vAlign w:val="bottom"/>
            <w:hideMark/>
          </w:tcPr>
          <w:p w14:paraId="34BF024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1EC8195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D800DF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4A5B3B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ED849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A03BB3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C330A1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D16387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CEA8F1B" w14:textId="77777777" w:rsidTr="0095397F">
        <w:trPr>
          <w:trHeight w:val="300"/>
        </w:trPr>
        <w:tc>
          <w:tcPr>
            <w:tcW w:w="2694" w:type="dxa"/>
            <w:tcBorders>
              <w:top w:val="nil"/>
              <w:left w:val="nil"/>
              <w:bottom w:val="nil"/>
              <w:right w:val="nil"/>
            </w:tcBorders>
            <w:shd w:val="clear" w:color="auto" w:fill="auto"/>
            <w:noWrap/>
            <w:vAlign w:val="bottom"/>
            <w:hideMark/>
          </w:tcPr>
          <w:p w14:paraId="42FD6B4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2</w:t>
            </w:r>
          </w:p>
        </w:tc>
        <w:tc>
          <w:tcPr>
            <w:tcW w:w="2409" w:type="dxa"/>
            <w:tcBorders>
              <w:top w:val="nil"/>
              <w:left w:val="nil"/>
              <w:bottom w:val="nil"/>
              <w:right w:val="nil"/>
            </w:tcBorders>
            <w:shd w:val="clear" w:color="auto" w:fill="auto"/>
            <w:noWrap/>
            <w:vAlign w:val="bottom"/>
            <w:hideMark/>
          </w:tcPr>
          <w:p w14:paraId="0F0936D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6F8AC5B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9CF692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502B4A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3D8FAD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61C600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99CB66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C0F2AD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52A5E23" w14:textId="77777777" w:rsidTr="0095397F">
        <w:trPr>
          <w:trHeight w:val="300"/>
        </w:trPr>
        <w:tc>
          <w:tcPr>
            <w:tcW w:w="2694" w:type="dxa"/>
            <w:tcBorders>
              <w:top w:val="nil"/>
              <w:left w:val="nil"/>
              <w:bottom w:val="nil"/>
              <w:right w:val="nil"/>
            </w:tcBorders>
            <w:shd w:val="clear" w:color="auto" w:fill="auto"/>
            <w:noWrap/>
            <w:vAlign w:val="bottom"/>
            <w:hideMark/>
          </w:tcPr>
          <w:p w14:paraId="7D80F05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3</w:t>
            </w:r>
          </w:p>
        </w:tc>
        <w:tc>
          <w:tcPr>
            <w:tcW w:w="2409" w:type="dxa"/>
            <w:tcBorders>
              <w:top w:val="nil"/>
              <w:left w:val="nil"/>
              <w:bottom w:val="nil"/>
              <w:right w:val="nil"/>
            </w:tcBorders>
            <w:shd w:val="clear" w:color="auto" w:fill="auto"/>
            <w:noWrap/>
            <w:vAlign w:val="bottom"/>
            <w:hideMark/>
          </w:tcPr>
          <w:p w14:paraId="5690812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00B8CA9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C4170A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58C8AE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BBA382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20927C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446ED0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001190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3927DE9" w14:textId="77777777" w:rsidTr="0095397F">
        <w:trPr>
          <w:trHeight w:val="300"/>
        </w:trPr>
        <w:tc>
          <w:tcPr>
            <w:tcW w:w="2694" w:type="dxa"/>
            <w:tcBorders>
              <w:top w:val="nil"/>
              <w:left w:val="nil"/>
              <w:bottom w:val="nil"/>
              <w:right w:val="nil"/>
            </w:tcBorders>
            <w:shd w:val="clear" w:color="auto" w:fill="auto"/>
            <w:noWrap/>
            <w:vAlign w:val="bottom"/>
            <w:hideMark/>
          </w:tcPr>
          <w:p w14:paraId="556A45D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4</w:t>
            </w:r>
          </w:p>
        </w:tc>
        <w:tc>
          <w:tcPr>
            <w:tcW w:w="2409" w:type="dxa"/>
            <w:tcBorders>
              <w:top w:val="nil"/>
              <w:left w:val="nil"/>
              <w:bottom w:val="nil"/>
              <w:right w:val="nil"/>
            </w:tcBorders>
            <w:shd w:val="clear" w:color="auto" w:fill="auto"/>
            <w:noWrap/>
            <w:vAlign w:val="bottom"/>
            <w:hideMark/>
          </w:tcPr>
          <w:p w14:paraId="690572B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110E9FC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913C80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EE1D6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7EB806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0A9531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AE5A6B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73ABDD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94F24A0" w14:textId="77777777" w:rsidTr="0095397F">
        <w:trPr>
          <w:trHeight w:val="300"/>
        </w:trPr>
        <w:tc>
          <w:tcPr>
            <w:tcW w:w="2694" w:type="dxa"/>
            <w:tcBorders>
              <w:top w:val="nil"/>
              <w:left w:val="nil"/>
              <w:bottom w:val="nil"/>
              <w:right w:val="nil"/>
            </w:tcBorders>
            <w:shd w:val="clear" w:color="auto" w:fill="auto"/>
            <w:noWrap/>
            <w:vAlign w:val="bottom"/>
            <w:hideMark/>
          </w:tcPr>
          <w:p w14:paraId="45F5172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5</w:t>
            </w:r>
          </w:p>
        </w:tc>
        <w:tc>
          <w:tcPr>
            <w:tcW w:w="2409" w:type="dxa"/>
            <w:tcBorders>
              <w:top w:val="nil"/>
              <w:left w:val="nil"/>
              <w:bottom w:val="nil"/>
              <w:right w:val="nil"/>
            </w:tcBorders>
            <w:shd w:val="clear" w:color="auto" w:fill="auto"/>
            <w:noWrap/>
            <w:vAlign w:val="bottom"/>
            <w:hideMark/>
          </w:tcPr>
          <w:p w14:paraId="6686264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43768BD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5DEA29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910A0F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FC3EA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0FD8B5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9D6E17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3957FA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89E10C6" w14:textId="77777777" w:rsidTr="0095397F">
        <w:trPr>
          <w:trHeight w:val="300"/>
        </w:trPr>
        <w:tc>
          <w:tcPr>
            <w:tcW w:w="2694" w:type="dxa"/>
            <w:tcBorders>
              <w:top w:val="nil"/>
              <w:left w:val="nil"/>
              <w:bottom w:val="nil"/>
              <w:right w:val="nil"/>
            </w:tcBorders>
            <w:shd w:val="clear" w:color="auto" w:fill="auto"/>
            <w:noWrap/>
            <w:vAlign w:val="bottom"/>
            <w:hideMark/>
          </w:tcPr>
          <w:p w14:paraId="4C3CEAB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6</w:t>
            </w:r>
          </w:p>
        </w:tc>
        <w:tc>
          <w:tcPr>
            <w:tcW w:w="2409" w:type="dxa"/>
            <w:tcBorders>
              <w:top w:val="nil"/>
              <w:left w:val="nil"/>
              <w:bottom w:val="nil"/>
              <w:right w:val="nil"/>
            </w:tcBorders>
            <w:shd w:val="clear" w:color="auto" w:fill="auto"/>
            <w:noWrap/>
            <w:vAlign w:val="bottom"/>
            <w:hideMark/>
          </w:tcPr>
          <w:p w14:paraId="58061B9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7D5E56C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73352E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701311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3C4A41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9D78EF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94BC0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DFE1CA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951894F" w14:textId="77777777" w:rsidTr="0095397F">
        <w:trPr>
          <w:trHeight w:val="300"/>
        </w:trPr>
        <w:tc>
          <w:tcPr>
            <w:tcW w:w="2694" w:type="dxa"/>
            <w:tcBorders>
              <w:top w:val="nil"/>
              <w:left w:val="nil"/>
              <w:bottom w:val="nil"/>
              <w:right w:val="nil"/>
            </w:tcBorders>
            <w:shd w:val="clear" w:color="auto" w:fill="auto"/>
            <w:noWrap/>
            <w:vAlign w:val="bottom"/>
            <w:hideMark/>
          </w:tcPr>
          <w:p w14:paraId="62F6818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7</w:t>
            </w:r>
          </w:p>
        </w:tc>
        <w:tc>
          <w:tcPr>
            <w:tcW w:w="2409" w:type="dxa"/>
            <w:tcBorders>
              <w:top w:val="nil"/>
              <w:left w:val="nil"/>
              <w:bottom w:val="nil"/>
              <w:right w:val="nil"/>
            </w:tcBorders>
            <w:shd w:val="clear" w:color="auto" w:fill="auto"/>
            <w:noWrap/>
            <w:vAlign w:val="bottom"/>
            <w:hideMark/>
          </w:tcPr>
          <w:p w14:paraId="25D3ECC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4E2FC59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9BB30C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D4A373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35811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6A7159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2F43CD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ECDD42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E6D117A"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180D4FB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Gee Gee 8</w:t>
            </w:r>
          </w:p>
        </w:tc>
        <w:tc>
          <w:tcPr>
            <w:tcW w:w="2409" w:type="dxa"/>
            <w:tcBorders>
              <w:top w:val="nil"/>
              <w:left w:val="nil"/>
              <w:bottom w:val="single" w:sz="8" w:space="0" w:color="auto"/>
              <w:right w:val="nil"/>
            </w:tcBorders>
            <w:shd w:val="clear" w:color="auto" w:fill="auto"/>
            <w:noWrap/>
            <w:vAlign w:val="bottom"/>
            <w:hideMark/>
          </w:tcPr>
          <w:p w14:paraId="51B7621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single" w:sz="8" w:space="0" w:color="auto"/>
              <w:right w:val="nil"/>
            </w:tcBorders>
            <w:shd w:val="clear" w:color="auto" w:fill="auto"/>
            <w:noWrap/>
            <w:vAlign w:val="bottom"/>
            <w:hideMark/>
          </w:tcPr>
          <w:p w14:paraId="033BD57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97820E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092F10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035390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4D90D0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5D5517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A43AB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6F218CC" w14:textId="77777777" w:rsidTr="0095397F">
        <w:trPr>
          <w:trHeight w:val="300"/>
        </w:trPr>
        <w:tc>
          <w:tcPr>
            <w:tcW w:w="2694" w:type="dxa"/>
            <w:tcBorders>
              <w:top w:val="nil"/>
              <w:left w:val="nil"/>
              <w:bottom w:val="nil"/>
              <w:right w:val="nil"/>
            </w:tcBorders>
            <w:shd w:val="clear" w:color="auto" w:fill="auto"/>
            <w:noWrap/>
            <w:vAlign w:val="bottom"/>
            <w:hideMark/>
          </w:tcPr>
          <w:p w14:paraId="29443DB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1</w:t>
            </w:r>
          </w:p>
        </w:tc>
        <w:tc>
          <w:tcPr>
            <w:tcW w:w="2409" w:type="dxa"/>
            <w:tcBorders>
              <w:top w:val="nil"/>
              <w:left w:val="nil"/>
              <w:bottom w:val="nil"/>
              <w:right w:val="nil"/>
            </w:tcBorders>
            <w:shd w:val="clear" w:color="auto" w:fill="auto"/>
            <w:noWrap/>
            <w:vAlign w:val="bottom"/>
            <w:hideMark/>
          </w:tcPr>
          <w:p w14:paraId="39FFE7B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2968988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CB0D02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62E693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8674C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A3A2F4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533EFB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47EFE6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7756E3D" w14:textId="77777777" w:rsidTr="0095397F">
        <w:trPr>
          <w:trHeight w:val="300"/>
        </w:trPr>
        <w:tc>
          <w:tcPr>
            <w:tcW w:w="2694" w:type="dxa"/>
            <w:tcBorders>
              <w:top w:val="nil"/>
              <w:left w:val="nil"/>
              <w:bottom w:val="nil"/>
              <w:right w:val="nil"/>
            </w:tcBorders>
            <w:shd w:val="clear" w:color="auto" w:fill="auto"/>
            <w:noWrap/>
            <w:vAlign w:val="bottom"/>
            <w:hideMark/>
          </w:tcPr>
          <w:p w14:paraId="30AE151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2</w:t>
            </w:r>
          </w:p>
        </w:tc>
        <w:tc>
          <w:tcPr>
            <w:tcW w:w="2409" w:type="dxa"/>
            <w:tcBorders>
              <w:top w:val="nil"/>
              <w:left w:val="nil"/>
              <w:bottom w:val="nil"/>
              <w:right w:val="nil"/>
            </w:tcBorders>
            <w:shd w:val="clear" w:color="auto" w:fill="auto"/>
            <w:noWrap/>
            <w:vAlign w:val="bottom"/>
            <w:hideMark/>
          </w:tcPr>
          <w:p w14:paraId="216CCC8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65F04750"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DECBF3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E6FDA0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40BF17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93C5C6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BB15EA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E888C2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3CB050D" w14:textId="77777777" w:rsidTr="0095397F">
        <w:trPr>
          <w:trHeight w:val="300"/>
        </w:trPr>
        <w:tc>
          <w:tcPr>
            <w:tcW w:w="2694" w:type="dxa"/>
            <w:tcBorders>
              <w:top w:val="nil"/>
              <w:left w:val="nil"/>
              <w:bottom w:val="nil"/>
              <w:right w:val="nil"/>
            </w:tcBorders>
            <w:shd w:val="clear" w:color="auto" w:fill="auto"/>
            <w:noWrap/>
            <w:vAlign w:val="bottom"/>
            <w:hideMark/>
          </w:tcPr>
          <w:p w14:paraId="5F12EB3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3</w:t>
            </w:r>
          </w:p>
        </w:tc>
        <w:tc>
          <w:tcPr>
            <w:tcW w:w="2409" w:type="dxa"/>
            <w:tcBorders>
              <w:top w:val="nil"/>
              <w:left w:val="nil"/>
              <w:bottom w:val="nil"/>
              <w:right w:val="nil"/>
            </w:tcBorders>
            <w:shd w:val="clear" w:color="auto" w:fill="auto"/>
            <w:noWrap/>
            <w:vAlign w:val="bottom"/>
            <w:hideMark/>
          </w:tcPr>
          <w:p w14:paraId="73D724C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1FABBBA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A4B57E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777148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E5B44F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E710A2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1A029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861321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326B4C04" w14:textId="77777777" w:rsidTr="0095397F">
        <w:trPr>
          <w:trHeight w:val="300"/>
        </w:trPr>
        <w:tc>
          <w:tcPr>
            <w:tcW w:w="2694" w:type="dxa"/>
            <w:tcBorders>
              <w:top w:val="nil"/>
              <w:left w:val="nil"/>
              <w:bottom w:val="nil"/>
              <w:right w:val="nil"/>
            </w:tcBorders>
            <w:shd w:val="clear" w:color="auto" w:fill="auto"/>
            <w:noWrap/>
            <w:vAlign w:val="bottom"/>
            <w:hideMark/>
          </w:tcPr>
          <w:p w14:paraId="4E8DB11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4</w:t>
            </w:r>
          </w:p>
        </w:tc>
        <w:tc>
          <w:tcPr>
            <w:tcW w:w="2409" w:type="dxa"/>
            <w:tcBorders>
              <w:top w:val="nil"/>
              <w:left w:val="nil"/>
              <w:bottom w:val="nil"/>
              <w:right w:val="nil"/>
            </w:tcBorders>
            <w:shd w:val="clear" w:color="auto" w:fill="auto"/>
            <w:noWrap/>
            <w:vAlign w:val="bottom"/>
            <w:hideMark/>
          </w:tcPr>
          <w:p w14:paraId="2CD0AD3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5C92886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E2EFDA"/>
            <w:noWrap/>
            <w:vAlign w:val="bottom"/>
            <w:hideMark/>
          </w:tcPr>
          <w:p w14:paraId="7C879455" w14:textId="77777777" w:rsidR="006501A4" w:rsidRPr="005E3E7A" w:rsidRDefault="006501A4" w:rsidP="0095397F">
            <w:pPr>
              <w:spacing w:after="0" w:line="240" w:lineRule="auto"/>
              <w:jc w:val="center"/>
              <w:rPr>
                <w:rFonts w:ascii="Wingdings" w:eastAsia="Times New Roman" w:hAnsi="Wingdings" w:cs="Calibri"/>
                <w:color w:val="000000"/>
                <w:lang w:eastAsia="en-AU"/>
              </w:rPr>
            </w:pPr>
            <w:r w:rsidRPr="005E3E7A">
              <w:rPr>
                <w:rFonts w:ascii="Wingdings" w:eastAsia="Times New Roman" w:hAnsi="Wingdings" w:cs="Calibri"/>
                <w:color w:val="000000"/>
                <w:lang w:eastAsia="en-AU"/>
              </w:rPr>
              <w:t></w:t>
            </w:r>
          </w:p>
        </w:tc>
        <w:tc>
          <w:tcPr>
            <w:tcW w:w="486" w:type="dxa"/>
            <w:tcBorders>
              <w:top w:val="nil"/>
              <w:left w:val="nil"/>
              <w:bottom w:val="nil"/>
              <w:right w:val="nil"/>
            </w:tcBorders>
            <w:shd w:val="clear" w:color="000000" w:fill="E2EFDA"/>
            <w:noWrap/>
            <w:vAlign w:val="bottom"/>
            <w:hideMark/>
          </w:tcPr>
          <w:p w14:paraId="78527491" w14:textId="77777777" w:rsidR="006501A4" w:rsidRPr="005E3E7A" w:rsidRDefault="006501A4" w:rsidP="0095397F">
            <w:pPr>
              <w:spacing w:after="0" w:line="240" w:lineRule="auto"/>
              <w:jc w:val="center"/>
              <w:rPr>
                <w:rFonts w:ascii="Wingdings" w:eastAsia="Times New Roman" w:hAnsi="Wingdings" w:cs="Calibri"/>
                <w:color w:val="000000"/>
                <w:lang w:eastAsia="en-AU"/>
              </w:rPr>
            </w:pPr>
            <w:r w:rsidRPr="005E3E7A">
              <w:rPr>
                <w:rFonts w:ascii="Wingdings" w:eastAsia="Times New Roman" w:hAnsi="Wingdings" w:cs="Calibri"/>
                <w:color w:val="000000"/>
                <w:lang w:eastAsia="en-AU"/>
              </w:rPr>
              <w:t></w:t>
            </w:r>
          </w:p>
        </w:tc>
        <w:tc>
          <w:tcPr>
            <w:tcW w:w="486" w:type="dxa"/>
            <w:tcBorders>
              <w:top w:val="nil"/>
              <w:left w:val="nil"/>
              <w:bottom w:val="nil"/>
              <w:right w:val="nil"/>
            </w:tcBorders>
            <w:shd w:val="clear" w:color="000000" w:fill="FFC7CE"/>
            <w:noWrap/>
            <w:vAlign w:val="bottom"/>
            <w:hideMark/>
          </w:tcPr>
          <w:p w14:paraId="0E4EC9E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FA453B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E2EFDA"/>
            <w:noWrap/>
            <w:vAlign w:val="bottom"/>
            <w:hideMark/>
          </w:tcPr>
          <w:p w14:paraId="5E2BB704" w14:textId="77777777" w:rsidR="006501A4" w:rsidRPr="005E3E7A" w:rsidRDefault="006501A4" w:rsidP="0095397F">
            <w:pPr>
              <w:spacing w:after="0" w:line="240" w:lineRule="auto"/>
              <w:jc w:val="center"/>
              <w:rPr>
                <w:rFonts w:ascii="Wingdings" w:eastAsia="Times New Roman" w:hAnsi="Wingdings" w:cs="Calibri"/>
                <w:color w:val="000000"/>
                <w:lang w:eastAsia="en-AU"/>
              </w:rPr>
            </w:pPr>
            <w:r w:rsidRPr="005E3E7A">
              <w:rPr>
                <w:rFonts w:ascii="Wingdings" w:eastAsia="Times New Roman" w:hAnsi="Wingdings" w:cs="Calibri"/>
                <w:color w:val="000000"/>
                <w:lang w:eastAsia="en-AU"/>
              </w:rPr>
              <w:t></w:t>
            </w:r>
          </w:p>
        </w:tc>
        <w:tc>
          <w:tcPr>
            <w:tcW w:w="486" w:type="dxa"/>
            <w:tcBorders>
              <w:top w:val="nil"/>
              <w:left w:val="nil"/>
              <w:bottom w:val="nil"/>
              <w:right w:val="nil"/>
            </w:tcBorders>
            <w:shd w:val="clear" w:color="000000" w:fill="FFC7CE"/>
            <w:noWrap/>
            <w:vAlign w:val="bottom"/>
            <w:hideMark/>
          </w:tcPr>
          <w:p w14:paraId="4E190F4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B2E57AE" w14:textId="77777777" w:rsidTr="0095397F">
        <w:trPr>
          <w:trHeight w:val="300"/>
        </w:trPr>
        <w:tc>
          <w:tcPr>
            <w:tcW w:w="2694" w:type="dxa"/>
            <w:tcBorders>
              <w:top w:val="nil"/>
              <w:left w:val="nil"/>
              <w:bottom w:val="nil"/>
              <w:right w:val="nil"/>
            </w:tcBorders>
            <w:shd w:val="clear" w:color="auto" w:fill="auto"/>
            <w:noWrap/>
            <w:vAlign w:val="bottom"/>
            <w:hideMark/>
          </w:tcPr>
          <w:p w14:paraId="595004A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5</w:t>
            </w:r>
          </w:p>
        </w:tc>
        <w:tc>
          <w:tcPr>
            <w:tcW w:w="2409" w:type="dxa"/>
            <w:tcBorders>
              <w:top w:val="nil"/>
              <w:left w:val="nil"/>
              <w:bottom w:val="nil"/>
              <w:right w:val="nil"/>
            </w:tcBorders>
            <w:shd w:val="clear" w:color="auto" w:fill="auto"/>
            <w:noWrap/>
            <w:vAlign w:val="bottom"/>
            <w:hideMark/>
          </w:tcPr>
          <w:p w14:paraId="6DCF544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45E13149"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B2CA35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A8361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3C7EC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4D7F09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B3553A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7D6169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77F6E45" w14:textId="77777777" w:rsidTr="0095397F">
        <w:trPr>
          <w:trHeight w:val="300"/>
        </w:trPr>
        <w:tc>
          <w:tcPr>
            <w:tcW w:w="2694" w:type="dxa"/>
            <w:tcBorders>
              <w:top w:val="nil"/>
              <w:left w:val="nil"/>
              <w:bottom w:val="nil"/>
              <w:right w:val="nil"/>
            </w:tcBorders>
            <w:shd w:val="clear" w:color="auto" w:fill="auto"/>
            <w:noWrap/>
            <w:vAlign w:val="bottom"/>
            <w:hideMark/>
          </w:tcPr>
          <w:p w14:paraId="4BE6957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6</w:t>
            </w:r>
          </w:p>
        </w:tc>
        <w:tc>
          <w:tcPr>
            <w:tcW w:w="2409" w:type="dxa"/>
            <w:tcBorders>
              <w:top w:val="nil"/>
              <w:left w:val="nil"/>
              <w:bottom w:val="nil"/>
              <w:right w:val="nil"/>
            </w:tcBorders>
            <w:shd w:val="clear" w:color="auto" w:fill="auto"/>
            <w:noWrap/>
            <w:vAlign w:val="bottom"/>
            <w:hideMark/>
          </w:tcPr>
          <w:p w14:paraId="6800B53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7E36028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90B202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ADD337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0B1D3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C6D86E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0DDFCC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F38220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8C4666F" w14:textId="77777777" w:rsidTr="0095397F">
        <w:trPr>
          <w:trHeight w:val="300"/>
        </w:trPr>
        <w:tc>
          <w:tcPr>
            <w:tcW w:w="2694" w:type="dxa"/>
            <w:tcBorders>
              <w:top w:val="nil"/>
              <w:left w:val="nil"/>
              <w:bottom w:val="nil"/>
              <w:right w:val="nil"/>
            </w:tcBorders>
            <w:shd w:val="clear" w:color="auto" w:fill="auto"/>
            <w:noWrap/>
            <w:vAlign w:val="bottom"/>
            <w:hideMark/>
          </w:tcPr>
          <w:p w14:paraId="7EB6183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7</w:t>
            </w:r>
          </w:p>
        </w:tc>
        <w:tc>
          <w:tcPr>
            <w:tcW w:w="2409" w:type="dxa"/>
            <w:tcBorders>
              <w:top w:val="nil"/>
              <w:left w:val="nil"/>
              <w:bottom w:val="nil"/>
              <w:right w:val="nil"/>
            </w:tcBorders>
            <w:shd w:val="clear" w:color="auto" w:fill="auto"/>
            <w:noWrap/>
            <w:vAlign w:val="bottom"/>
            <w:hideMark/>
          </w:tcPr>
          <w:p w14:paraId="2ACBFD4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nil"/>
              <w:right w:val="nil"/>
            </w:tcBorders>
            <w:shd w:val="clear" w:color="auto" w:fill="auto"/>
            <w:noWrap/>
            <w:vAlign w:val="bottom"/>
            <w:hideMark/>
          </w:tcPr>
          <w:p w14:paraId="6EC14E9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8F1962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71959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29380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FACB92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047B7B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A603B0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123E8527"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519A9EB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Stoney Creek Crossing 8</w:t>
            </w:r>
          </w:p>
        </w:tc>
        <w:tc>
          <w:tcPr>
            <w:tcW w:w="2409" w:type="dxa"/>
            <w:tcBorders>
              <w:top w:val="nil"/>
              <w:left w:val="nil"/>
              <w:bottom w:val="single" w:sz="8" w:space="0" w:color="auto"/>
              <w:right w:val="nil"/>
            </w:tcBorders>
            <w:shd w:val="clear" w:color="auto" w:fill="auto"/>
            <w:noWrap/>
            <w:vAlign w:val="bottom"/>
            <w:hideMark/>
          </w:tcPr>
          <w:p w14:paraId="33C6DB7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Wakool River</w:t>
            </w:r>
          </w:p>
        </w:tc>
        <w:tc>
          <w:tcPr>
            <w:tcW w:w="1007" w:type="dxa"/>
            <w:tcBorders>
              <w:top w:val="nil"/>
              <w:left w:val="nil"/>
              <w:bottom w:val="single" w:sz="8" w:space="0" w:color="auto"/>
              <w:right w:val="nil"/>
            </w:tcBorders>
            <w:shd w:val="clear" w:color="auto" w:fill="auto"/>
            <w:noWrap/>
            <w:vAlign w:val="bottom"/>
            <w:hideMark/>
          </w:tcPr>
          <w:p w14:paraId="6EDF5FE4"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A6E95F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F7C843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6EA11F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CC1247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8A02E4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41B9C0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3E5D714" w14:textId="77777777" w:rsidTr="0095397F">
        <w:trPr>
          <w:trHeight w:val="300"/>
        </w:trPr>
        <w:tc>
          <w:tcPr>
            <w:tcW w:w="2694" w:type="dxa"/>
            <w:tcBorders>
              <w:top w:val="nil"/>
              <w:left w:val="nil"/>
              <w:bottom w:val="nil"/>
              <w:right w:val="nil"/>
            </w:tcBorders>
            <w:shd w:val="clear" w:color="auto" w:fill="auto"/>
            <w:noWrap/>
            <w:vAlign w:val="bottom"/>
            <w:hideMark/>
          </w:tcPr>
          <w:p w14:paraId="0386E843"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1</w:t>
            </w:r>
          </w:p>
        </w:tc>
        <w:tc>
          <w:tcPr>
            <w:tcW w:w="2409" w:type="dxa"/>
            <w:tcBorders>
              <w:top w:val="nil"/>
              <w:left w:val="nil"/>
              <w:bottom w:val="nil"/>
              <w:right w:val="nil"/>
            </w:tcBorders>
            <w:shd w:val="clear" w:color="auto" w:fill="auto"/>
            <w:noWrap/>
            <w:vAlign w:val="bottom"/>
            <w:hideMark/>
          </w:tcPr>
          <w:p w14:paraId="6989039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485AB87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B64024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6B73A9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E4FE84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A8DFC4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414E50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0A2E2D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32272120" w14:textId="77777777" w:rsidTr="0095397F">
        <w:trPr>
          <w:trHeight w:val="300"/>
        </w:trPr>
        <w:tc>
          <w:tcPr>
            <w:tcW w:w="2694" w:type="dxa"/>
            <w:tcBorders>
              <w:top w:val="nil"/>
              <w:left w:val="nil"/>
              <w:bottom w:val="nil"/>
              <w:right w:val="nil"/>
            </w:tcBorders>
            <w:shd w:val="clear" w:color="auto" w:fill="auto"/>
            <w:noWrap/>
            <w:vAlign w:val="bottom"/>
            <w:hideMark/>
          </w:tcPr>
          <w:p w14:paraId="03790D3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2</w:t>
            </w:r>
          </w:p>
        </w:tc>
        <w:tc>
          <w:tcPr>
            <w:tcW w:w="2409" w:type="dxa"/>
            <w:tcBorders>
              <w:top w:val="nil"/>
              <w:left w:val="nil"/>
              <w:bottom w:val="nil"/>
              <w:right w:val="nil"/>
            </w:tcBorders>
            <w:shd w:val="clear" w:color="auto" w:fill="auto"/>
            <w:noWrap/>
            <w:vAlign w:val="bottom"/>
            <w:hideMark/>
          </w:tcPr>
          <w:p w14:paraId="55FC762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514DB67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D5D0C0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5A44A5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AC553A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F2742A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033D1D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F06C7A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9BB0BCD" w14:textId="77777777" w:rsidTr="0095397F">
        <w:trPr>
          <w:trHeight w:val="300"/>
        </w:trPr>
        <w:tc>
          <w:tcPr>
            <w:tcW w:w="2694" w:type="dxa"/>
            <w:tcBorders>
              <w:top w:val="nil"/>
              <w:left w:val="nil"/>
              <w:bottom w:val="nil"/>
              <w:right w:val="nil"/>
            </w:tcBorders>
            <w:shd w:val="clear" w:color="auto" w:fill="auto"/>
            <w:noWrap/>
            <w:vAlign w:val="bottom"/>
            <w:hideMark/>
          </w:tcPr>
          <w:p w14:paraId="222E83F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3</w:t>
            </w:r>
          </w:p>
        </w:tc>
        <w:tc>
          <w:tcPr>
            <w:tcW w:w="2409" w:type="dxa"/>
            <w:tcBorders>
              <w:top w:val="nil"/>
              <w:left w:val="nil"/>
              <w:bottom w:val="nil"/>
              <w:right w:val="nil"/>
            </w:tcBorders>
            <w:shd w:val="clear" w:color="auto" w:fill="auto"/>
            <w:noWrap/>
            <w:vAlign w:val="bottom"/>
            <w:hideMark/>
          </w:tcPr>
          <w:p w14:paraId="6D89958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523A9DC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2DC4DD8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4742B6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7B2360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ACFB77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BEDD1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E33F14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BB8EA31" w14:textId="77777777" w:rsidTr="0095397F">
        <w:trPr>
          <w:trHeight w:val="300"/>
        </w:trPr>
        <w:tc>
          <w:tcPr>
            <w:tcW w:w="2694" w:type="dxa"/>
            <w:tcBorders>
              <w:top w:val="nil"/>
              <w:left w:val="nil"/>
              <w:bottom w:val="nil"/>
              <w:right w:val="nil"/>
            </w:tcBorders>
            <w:shd w:val="clear" w:color="auto" w:fill="auto"/>
            <w:noWrap/>
            <w:vAlign w:val="bottom"/>
            <w:hideMark/>
          </w:tcPr>
          <w:p w14:paraId="77C0928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4</w:t>
            </w:r>
          </w:p>
        </w:tc>
        <w:tc>
          <w:tcPr>
            <w:tcW w:w="2409" w:type="dxa"/>
            <w:tcBorders>
              <w:top w:val="nil"/>
              <w:left w:val="nil"/>
              <w:bottom w:val="nil"/>
              <w:right w:val="nil"/>
            </w:tcBorders>
            <w:shd w:val="clear" w:color="auto" w:fill="auto"/>
            <w:noWrap/>
            <w:vAlign w:val="bottom"/>
            <w:hideMark/>
          </w:tcPr>
          <w:p w14:paraId="31C179AB"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6665531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831552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79C6AB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6B60AF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0CFEA4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5B1D8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98984C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1EF530BB" w14:textId="77777777" w:rsidTr="0095397F">
        <w:trPr>
          <w:trHeight w:val="300"/>
        </w:trPr>
        <w:tc>
          <w:tcPr>
            <w:tcW w:w="2694" w:type="dxa"/>
            <w:tcBorders>
              <w:top w:val="nil"/>
              <w:left w:val="nil"/>
              <w:bottom w:val="nil"/>
              <w:right w:val="nil"/>
            </w:tcBorders>
            <w:shd w:val="clear" w:color="auto" w:fill="auto"/>
            <w:noWrap/>
            <w:vAlign w:val="bottom"/>
            <w:hideMark/>
          </w:tcPr>
          <w:p w14:paraId="5FFD305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5</w:t>
            </w:r>
          </w:p>
        </w:tc>
        <w:tc>
          <w:tcPr>
            <w:tcW w:w="2409" w:type="dxa"/>
            <w:tcBorders>
              <w:top w:val="nil"/>
              <w:left w:val="nil"/>
              <w:bottom w:val="nil"/>
              <w:right w:val="nil"/>
            </w:tcBorders>
            <w:shd w:val="clear" w:color="auto" w:fill="auto"/>
            <w:noWrap/>
            <w:vAlign w:val="bottom"/>
            <w:hideMark/>
          </w:tcPr>
          <w:p w14:paraId="0F3471F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6A03F97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58594E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0AD6F5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895B3F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2254C7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BF34D5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FE9FF5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22FE692" w14:textId="77777777" w:rsidTr="0095397F">
        <w:trPr>
          <w:trHeight w:val="300"/>
        </w:trPr>
        <w:tc>
          <w:tcPr>
            <w:tcW w:w="2694" w:type="dxa"/>
            <w:tcBorders>
              <w:top w:val="nil"/>
              <w:left w:val="nil"/>
              <w:bottom w:val="nil"/>
              <w:right w:val="nil"/>
            </w:tcBorders>
            <w:shd w:val="clear" w:color="auto" w:fill="auto"/>
            <w:noWrap/>
            <w:vAlign w:val="bottom"/>
            <w:hideMark/>
          </w:tcPr>
          <w:p w14:paraId="3F5B290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6</w:t>
            </w:r>
          </w:p>
        </w:tc>
        <w:tc>
          <w:tcPr>
            <w:tcW w:w="2409" w:type="dxa"/>
            <w:tcBorders>
              <w:top w:val="nil"/>
              <w:left w:val="nil"/>
              <w:bottom w:val="nil"/>
              <w:right w:val="nil"/>
            </w:tcBorders>
            <w:shd w:val="clear" w:color="auto" w:fill="auto"/>
            <w:noWrap/>
            <w:vAlign w:val="bottom"/>
            <w:hideMark/>
          </w:tcPr>
          <w:p w14:paraId="2742137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2CF183D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85C81A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FE6279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B8918A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84A2B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C63996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400EA7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3017F3B" w14:textId="77777777" w:rsidTr="0095397F">
        <w:trPr>
          <w:trHeight w:val="300"/>
        </w:trPr>
        <w:tc>
          <w:tcPr>
            <w:tcW w:w="2694" w:type="dxa"/>
            <w:tcBorders>
              <w:top w:val="nil"/>
              <w:left w:val="nil"/>
              <w:bottom w:val="nil"/>
              <w:right w:val="nil"/>
            </w:tcBorders>
            <w:shd w:val="clear" w:color="auto" w:fill="auto"/>
            <w:noWrap/>
            <w:vAlign w:val="bottom"/>
            <w:hideMark/>
          </w:tcPr>
          <w:p w14:paraId="42AD34D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7</w:t>
            </w:r>
          </w:p>
        </w:tc>
        <w:tc>
          <w:tcPr>
            <w:tcW w:w="2409" w:type="dxa"/>
            <w:tcBorders>
              <w:top w:val="nil"/>
              <w:left w:val="nil"/>
              <w:bottom w:val="nil"/>
              <w:right w:val="nil"/>
            </w:tcBorders>
            <w:shd w:val="clear" w:color="auto" w:fill="auto"/>
            <w:noWrap/>
            <w:vAlign w:val="bottom"/>
            <w:hideMark/>
          </w:tcPr>
          <w:p w14:paraId="09D233F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601F71B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15AC9D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2FEB5D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093E14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4368CF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BCB536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24B04B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DA8ED89"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7B7AD99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Calimo 8</w:t>
            </w:r>
          </w:p>
        </w:tc>
        <w:tc>
          <w:tcPr>
            <w:tcW w:w="2409" w:type="dxa"/>
            <w:tcBorders>
              <w:top w:val="nil"/>
              <w:left w:val="nil"/>
              <w:bottom w:val="single" w:sz="8" w:space="0" w:color="auto"/>
              <w:right w:val="nil"/>
            </w:tcBorders>
            <w:shd w:val="clear" w:color="auto" w:fill="auto"/>
            <w:noWrap/>
            <w:vAlign w:val="bottom"/>
            <w:hideMark/>
          </w:tcPr>
          <w:p w14:paraId="32FA69E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single" w:sz="8" w:space="0" w:color="auto"/>
              <w:right w:val="nil"/>
            </w:tcBorders>
            <w:shd w:val="clear" w:color="auto" w:fill="auto"/>
            <w:noWrap/>
            <w:vAlign w:val="bottom"/>
            <w:hideMark/>
          </w:tcPr>
          <w:p w14:paraId="4BBE442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auto" w:fill="FFC7CE"/>
            <w:noWrap/>
            <w:vAlign w:val="bottom"/>
            <w:hideMark/>
          </w:tcPr>
          <w:p w14:paraId="5D492F3C"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5BA5EAEF"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0732C060"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410AC56B"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55446998"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3C93D040" w14:textId="77777777" w:rsidR="006501A4" w:rsidRPr="00E23A87"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24BD3BF" w14:textId="77777777" w:rsidTr="0095397F">
        <w:trPr>
          <w:trHeight w:val="300"/>
        </w:trPr>
        <w:tc>
          <w:tcPr>
            <w:tcW w:w="2694" w:type="dxa"/>
            <w:tcBorders>
              <w:top w:val="nil"/>
              <w:left w:val="nil"/>
              <w:bottom w:val="nil"/>
              <w:right w:val="nil"/>
            </w:tcBorders>
            <w:shd w:val="clear" w:color="auto" w:fill="auto"/>
            <w:noWrap/>
            <w:vAlign w:val="bottom"/>
            <w:hideMark/>
          </w:tcPr>
          <w:p w14:paraId="24AD62C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1</w:t>
            </w:r>
          </w:p>
        </w:tc>
        <w:tc>
          <w:tcPr>
            <w:tcW w:w="2409" w:type="dxa"/>
            <w:tcBorders>
              <w:top w:val="nil"/>
              <w:left w:val="nil"/>
              <w:bottom w:val="nil"/>
              <w:right w:val="nil"/>
            </w:tcBorders>
            <w:shd w:val="clear" w:color="auto" w:fill="auto"/>
            <w:noWrap/>
            <w:vAlign w:val="bottom"/>
            <w:hideMark/>
          </w:tcPr>
          <w:p w14:paraId="2AB36D7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407B742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B22E02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63FEA4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B01EB2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A8105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8892A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F6F0CD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F525BBC" w14:textId="77777777" w:rsidTr="0095397F">
        <w:trPr>
          <w:trHeight w:val="300"/>
        </w:trPr>
        <w:tc>
          <w:tcPr>
            <w:tcW w:w="2694" w:type="dxa"/>
            <w:tcBorders>
              <w:top w:val="nil"/>
              <w:left w:val="nil"/>
              <w:bottom w:val="nil"/>
              <w:right w:val="nil"/>
            </w:tcBorders>
            <w:shd w:val="clear" w:color="auto" w:fill="auto"/>
            <w:noWrap/>
            <w:vAlign w:val="bottom"/>
            <w:hideMark/>
          </w:tcPr>
          <w:p w14:paraId="3206F8BD"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2</w:t>
            </w:r>
          </w:p>
        </w:tc>
        <w:tc>
          <w:tcPr>
            <w:tcW w:w="2409" w:type="dxa"/>
            <w:tcBorders>
              <w:top w:val="nil"/>
              <w:left w:val="nil"/>
              <w:bottom w:val="nil"/>
              <w:right w:val="nil"/>
            </w:tcBorders>
            <w:shd w:val="clear" w:color="auto" w:fill="auto"/>
            <w:noWrap/>
            <w:vAlign w:val="bottom"/>
            <w:hideMark/>
          </w:tcPr>
          <w:p w14:paraId="508146E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0A89C70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2A58A2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3B2950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50BD54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20102C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BD4FA0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48938B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56A9F5F" w14:textId="77777777" w:rsidTr="0095397F">
        <w:trPr>
          <w:trHeight w:val="300"/>
        </w:trPr>
        <w:tc>
          <w:tcPr>
            <w:tcW w:w="2694" w:type="dxa"/>
            <w:tcBorders>
              <w:top w:val="nil"/>
              <w:left w:val="nil"/>
              <w:bottom w:val="nil"/>
              <w:right w:val="nil"/>
            </w:tcBorders>
            <w:shd w:val="clear" w:color="auto" w:fill="auto"/>
            <w:noWrap/>
            <w:vAlign w:val="bottom"/>
            <w:hideMark/>
          </w:tcPr>
          <w:p w14:paraId="45963A86"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3</w:t>
            </w:r>
          </w:p>
        </w:tc>
        <w:tc>
          <w:tcPr>
            <w:tcW w:w="2409" w:type="dxa"/>
            <w:tcBorders>
              <w:top w:val="nil"/>
              <w:left w:val="nil"/>
              <w:bottom w:val="nil"/>
              <w:right w:val="nil"/>
            </w:tcBorders>
            <w:shd w:val="clear" w:color="auto" w:fill="auto"/>
            <w:noWrap/>
            <w:vAlign w:val="bottom"/>
            <w:hideMark/>
          </w:tcPr>
          <w:p w14:paraId="2F50110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2DA9238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CC5263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25912C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E33537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2159B8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1FD475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CA79E2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844980E" w14:textId="77777777" w:rsidTr="0095397F">
        <w:trPr>
          <w:trHeight w:val="300"/>
        </w:trPr>
        <w:tc>
          <w:tcPr>
            <w:tcW w:w="2694" w:type="dxa"/>
            <w:tcBorders>
              <w:top w:val="nil"/>
              <w:left w:val="nil"/>
              <w:bottom w:val="nil"/>
              <w:right w:val="nil"/>
            </w:tcBorders>
            <w:shd w:val="clear" w:color="auto" w:fill="auto"/>
            <w:noWrap/>
            <w:vAlign w:val="bottom"/>
            <w:hideMark/>
          </w:tcPr>
          <w:p w14:paraId="2670E6B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4</w:t>
            </w:r>
          </w:p>
        </w:tc>
        <w:tc>
          <w:tcPr>
            <w:tcW w:w="2409" w:type="dxa"/>
            <w:tcBorders>
              <w:top w:val="nil"/>
              <w:left w:val="nil"/>
              <w:bottom w:val="nil"/>
              <w:right w:val="nil"/>
            </w:tcBorders>
            <w:shd w:val="clear" w:color="auto" w:fill="auto"/>
            <w:noWrap/>
            <w:vAlign w:val="bottom"/>
            <w:hideMark/>
          </w:tcPr>
          <w:p w14:paraId="544ECC59"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6E024713"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86D8E7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FEB70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FBF8A6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22DD14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2C3A482"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68ADCC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8305D85" w14:textId="77777777" w:rsidTr="0095397F">
        <w:trPr>
          <w:trHeight w:val="300"/>
        </w:trPr>
        <w:tc>
          <w:tcPr>
            <w:tcW w:w="2694" w:type="dxa"/>
            <w:tcBorders>
              <w:top w:val="nil"/>
              <w:left w:val="nil"/>
              <w:bottom w:val="nil"/>
              <w:right w:val="nil"/>
            </w:tcBorders>
            <w:shd w:val="clear" w:color="auto" w:fill="auto"/>
            <w:noWrap/>
            <w:vAlign w:val="bottom"/>
            <w:hideMark/>
          </w:tcPr>
          <w:p w14:paraId="5A8A4227"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5</w:t>
            </w:r>
          </w:p>
        </w:tc>
        <w:tc>
          <w:tcPr>
            <w:tcW w:w="2409" w:type="dxa"/>
            <w:tcBorders>
              <w:top w:val="nil"/>
              <w:left w:val="nil"/>
              <w:bottom w:val="nil"/>
              <w:right w:val="nil"/>
            </w:tcBorders>
            <w:shd w:val="clear" w:color="auto" w:fill="auto"/>
            <w:noWrap/>
            <w:vAlign w:val="bottom"/>
            <w:hideMark/>
          </w:tcPr>
          <w:p w14:paraId="0518AFA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1F187410"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829591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4B819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CB6C36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A7379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B003C0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30B00F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0FB5260" w14:textId="77777777" w:rsidTr="0095397F">
        <w:trPr>
          <w:trHeight w:val="300"/>
        </w:trPr>
        <w:tc>
          <w:tcPr>
            <w:tcW w:w="2694" w:type="dxa"/>
            <w:tcBorders>
              <w:top w:val="nil"/>
              <w:left w:val="nil"/>
              <w:bottom w:val="nil"/>
              <w:right w:val="nil"/>
            </w:tcBorders>
            <w:shd w:val="clear" w:color="auto" w:fill="auto"/>
            <w:noWrap/>
            <w:vAlign w:val="bottom"/>
            <w:hideMark/>
          </w:tcPr>
          <w:p w14:paraId="628078BA"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6</w:t>
            </w:r>
          </w:p>
        </w:tc>
        <w:tc>
          <w:tcPr>
            <w:tcW w:w="2409" w:type="dxa"/>
            <w:tcBorders>
              <w:top w:val="nil"/>
              <w:left w:val="nil"/>
              <w:bottom w:val="nil"/>
              <w:right w:val="nil"/>
            </w:tcBorders>
            <w:shd w:val="clear" w:color="auto" w:fill="auto"/>
            <w:noWrap/>
            <w:vAlign w:val="bottom"/>
            <w:hideMark/>
          </w:tcPr>
          <w:p w14:paraId="75A4675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3F1E34E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04E12F5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DE285E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638ED6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0F9530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7F2102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C616F6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04F15735" w14:textId="77777777" w:rsidTr="0095397F">
        <w:trPr>
          <w:trHeight w:val="300"/>
        </w:trPr>
        <w:tc>
          <w:tcPr>
            <w:tcW w:w="2694" w:type="dxa"/>
            <w:tcBorders>
              <w:top w:val="nil"/>
              <w:left w:val="nil"/>
              <w:bottom w:val="nil"/>
              <w:right w:val="nil"/>
            </w:tcBorders>
            <w:shd w:val="clear" w:color="auto" w:fill="auto"/>
            <w:noWrap/>
            <w:vAlign w:val="bottom"/>
            <w:hideMark/>
          </w:tcPr>
          <w:p w14:paraId="7494213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7</w:t>
            </w:r>
          </w:p>
        </w:tc>
        <w:tc>
          <w:tcPr>
            <w:tcW w:w="2409" w:type="dxa"/>
            <w:tcBorders>
              <w:top w:val="nil"/>
              <w:left w:val="nil"/>
              <w:bottom w:val="nil"/>
              <w:right w:val="nil"/>
            </w:tcBorders>
            <w:shd w:val="clear" w:color="auto" w:fill="auto"/>
            <w:noWrap/>
            <w:vAlign w:val="bottom"/>
            <w:hideMark/>
          </w:tcPr>
          <w:p w14:paraId="71CBFE7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nil"/>
              <w:right w:val="nil"/>
            </w:tcBorders>
            <w:shd w:val="clear" w:color="auto" w:fill="auto"/>
            <w:noWrap/>
            <w:vAlign w:val="bottom"/>
            <w:hideMark/>
          </w:tcPr>
          <w:p w14:paraId="39ED3ACC"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5CF586C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240D5B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C52A6C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9D4814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8702CA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26CD9E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3278C74"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39AB344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Mallan School 8</w:t>
            </w:r>
          </w:p>
        </w:tc>
        <w:tc>
          <w:tcPr>
            <w:tcW w:w="2409" w:type="dxa"/>
            <w:tcBorders>
              <w:top w:val="nil"/>
              <w:left w:val="nil"/>
              <w:bottom w:val="single" w:sz="8" w:space="0" w:color="auto"/>
              <w:right w:val="nil"/>
            </w:tcBorders>
            <w:shd w:val="clear" w:color="auto" w:fill="auto"/>
            <w:noWrap/>
            <w:vAlign w:val="bottom"/>
            <w:hideMark/>
          </w:tcPr>
          <w:p w14:paraId="7800EE6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Colligen-Neimur River</w:t>
            </w:r>
          </w:p>
        </w:tc>
        <w:tc>
          <w:tcPr>
            <w:tcW w:w="1007" w:type="dxa"/>
            <w:tcBorders>
              <w:top w:val="nil"/>
              <w:left w:val="nil"/>
              <w:bottom w:val="single" w:sz="8" w:space="0" w:color="auto"/>
              <w:right w:val="nil"/>
            </w:tcBorders>
            <w:shd w:val="clear" w:color="auto" w:fill="auto"/>
            <w:noWrap/>
            <w:vAlign w:val="bottom"/>
            <w:hideMark/>
          </w:tcPr>
          <w:p w14:paraId="56C65C6D"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auto" w:fill="FFC7CE"/>
            <w:noWrap/>
            <w:vAlign w:val="bottom"/>
            <w:hideMark/>
          </w:tcPr>
          <w:p w14:paraId="12D4A33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0286DBEA"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0AAF4C7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021459E2"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61C8DA81"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auto" w:fill="FFC7CE"/>
            <w:noWrap/>
            <w:vAlign w:val="bottom"/>
            <w:hideMark/>
          </w:tcPr>
          <w:p w14:paraId="7173664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9C0006"/>
                <w:lang w:eastAsia="en-AU"/>
              </w:rPr>
              <w:t>×</w:t>
            </w:r>
          </w:p>
        </w:tc>
      </w:tr>
      <w:tr w:rsidR="006501A4" w:rsidRPr="005E3E7A" w14:paraId="66DFA819" w14:textId="77777777" w:rsidTr="0095397F">
        <w:trPr>
          <w:trHeight w:val="300"/>
        </w:trPr>
        <w:tc>
          <w:tcPr>
            <w:tcW w:w="2694" w:type="dxa"/>
            <w:tcBorders>
              <w:top w:val="nil"/>
              <w:left w:val="nil"/>
              <w:bottom w:val="nil"/>
              <w:right w:val="nil"/>
            </w:tcBorders>
            <w:shd w:val="clear" w:color="auto" w:fill="auto"/>
            <w:noWrap/>
            <w:vAlign w:val="bottom"/>
            <w:hideMark/>
          </w:tcPr>
          <w:p w14:paraId="4F44364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1</w:t>
            </w:r>
          </w:p>
        </w:tc>
        <w:tc>
          <w:tcPr>
            <w:tcW w:w="2409" w:type="dxa"/>
            <w:tcBorders>
              <w:top w:val="nil"/>
              <w:left w:val="nil"/>
              <w:bottom w:val="nil"/>
              <w:right w:val="nil"/>
            </w:tcBorders>
            <w:shd w:val="clear" w:color="auto" w:fill="auto"/>
            <w:noWrap/>
            <w:vAlign w:val="bottom"/>
            <w:hideMark/>
          </w:tcPr>
          <w:p w14:paraId="06E215B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2A66ABA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3FD3C75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A9210E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09EE9F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B81D11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E3E3F1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506F48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7226C427" w14:textId="77777777" w:rsidTr="0095397F">
        <w:trPr>
          <w:trHeight w:val="300"/>
        </w:trPr>
        <w:tc>
          <w:tcPr>
            <w:tcW w:w="2694" w:type="dxa"/>
            <w:tcBorders>
              <w:top w:val="nil"/>
              <w:left w:val="nil"/>
              <w:bottom w:val="nil"/>
              <w:right w:val="nil"/>
            </w:tcBorders>
            <w:shd w:val="clear" w:color="auto" w:fill="auto"/>
            <w:noWrap/>
            <w:vAlign w:val="bottom"/>
            <w:hideMark/>
          </w:tcPr>
          <w:p w14:paraId="2D40A4B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2</w:t>
            </w:r>
          </w:p>
        </w:tc>
        <w:tc>
          <w:tcPr>
            <w:tcW w:w="2409" w:type="dxa"/>
            <w:tcBorders>
              <w:top w:val="nil"/>
              <w:left w:val="nil"/>
              <w:bottom w:val="nil"/>
              <w:right w:val="nil"/>
            </w:tcBorders>
            <w:shd w:val="clear" w:color="auto" w:fill="auto"/>
            <w:noWrap/>
            <w:vAlign w:val="bottom"/>
            <w:hideMark/>
          </w:tcPr>
          <w:p w14:paraId="23FCE8D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387C3A98"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10E0BA8E"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8618B3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12593B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9A0C72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805A7D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C04E08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5C479E7" w14:textId="77777777" w:rsidTr="0095397F">
        <w:trPr>
          <w:trHeight w:val="300"/>
        </w:trPr>
        <w:tc>
          <w:tcPr>
            <w:tcW w:w="2694" w:type="dxa"/>
            <w:tcBorders>
              <w:top w:val="nil"/>
              <w:left w:val="nil"/>
              <w:bottom w:val="nil"/>
              <w:right w:val="nil"/>
            </w:tcBorders>
            <w:shd w:val="clear" w:color="auto" w:fill="auto"/>
            <w:noWrap/>
            <w:vAlign w:val="bottom"/>
            <w:hideMark/>
          </w:tcPr>
          <w:p w14:paraId="54400AF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3</w:t>
            </w:r>
          </w:p>
        </w:tc>
        <w:tc>
          <w:tcPr>
            <w:tcW w:w="2409" w:type="dxa"/>
            <w:tcBorders>
              <w:top w:val="nil"/>
              <w:left w:val="nil"/>
              <w:bottom w:val="nil"/>
              <w:right w:val="nil"/>
            </w:tcBorders>
            <w:shd w:val="clear" w:color="auto" w:fill="auto"/>
            <w:noWrap/>
            <w:vAlign w:val="bottom"/>
            <w:hideMark/>
          </w:tcPr>
          <w:p w14:paraId="37F0CCA4"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2BE78A8B"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6CBABD9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308A53F"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DB835B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EF22A9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B58ACA9"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73E4A61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6359CE4E" w14:textId="77777777" w:rsidTr="0095397F">
        <w:trPr>
          <w:trHeight w:val="300"/>
        </w:trPr>
        <w:tc>
          <w:tcPr>
            <w:tcW w:w="2694" w:type="dxa"/>
            <w:tcBorders>
              <w:top w:val="nil"/>
              <w:left w:val="nil"/>
              <w:bottom w:val="nil"/>
              <w:right w:val="nil"/>
            </w:tcBorders>
            <w:shd w:val="clear" w:color="auto" w:fill="auto"/>
            <w:noWrap/>
            <w:vAlign w:val="bottom"/>
            <w:hideMark/>
          </w:tcPr>
          <w:p w14:paraId="7D855992"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4</w:t>
            </w:r>
          </w:p>
        </w:tc>
        <w:tc>
          <w:tcPr>
            <w:tcW w:w="2409" w:type="dxa"/>
            <w:tcBorders>
              <w:top w:val="nil"/>
              <w:left w:val="nil"/>
              <w:bottom w:val="nil"/>
              <w:right w:val="nil"/>
            </w:tcBorders>
            <w:shd w:val="clear" w:color="auto" w:fill="auto"/>
            <w:noWrap/>
            <w:vAlign w:val="bottom"/>
            <w:hideMark/>
          </w:tcPr>
          <w:p w14:paraId="7FCA4141"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0D364756"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65B774B"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DFC7C4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A383F0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AD5DE5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9BF3BF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86C71E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2C904A74" w14:textId="77777777" w:rsidTr="0095397F">
        <w:trPr>
          <w:trHeight w:val="300"/>
        </w:trPr>
        <w:tc>
          <w:tcPr>
            <w:tcW w:w="2694" w:type="dxa"/>
            <w:tcBorders>
              <w:top w:val="nil"/>
              <w:left w:val="nil"/>
              <w:bottom w:val="nil"/>
              <w:right w:val="nil"/>
            </w:tcBorders>
            <w:shd w:val="clear" w:color="auto" w:fill="auto"/>
            <w:noWrap/>
            <w:vAlign w:val="bottom"/>
            <w:hideMark/>
          </w:tcPr>
          <w:p w14:paraId="074C731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5</w:t>
            </w:r>
          </w:p>
        </w:tc>
        <w:tc>
          <w:tcPr>
            <w:tcW w:w="2409" w:type="dxa"/>
            <w:tcBorders>
              <w:top w:val="nil"/>
              <w:left w:val="nil"/>
              <w:bottom w:val="nil"/>
              <w:right w:val="nil"/>
            </w:tcBorders>
            <w:shd w:val="clear" w:color="auto" w:fill="auto"/>
            <w:noWrap/>
            <w:vAlign w:val="bottom"/>
            <w:hideMark/>
          </w:tcPr>
          <w:p w14:paraId="1AE6CF6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23B085A8"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604379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AD4EF6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5F1E71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C3B2390"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3D02CB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4506DC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4EDC9B38" w14:textId="77777777" w:rsidTr="0095397F">
        <w:trPr>
          <w:trHeight w:val="300"/>
        </w:trPr>
        <w:tc>
          <w:tcPr>
            <w:tcW w:w="2694" w:type="dxa"/>
            <w:tcBorders>
              <w:top w:val="nil"/>
              <w:left w:val="nil"/>
              <w:bottom w:val="nil"/>
              <w:right w:val="nil"/>
            </w:tcBorders>
            <w:shd w:val="clear" w:color="auto" w:fill="auto"/>
            <w:noWrap/>
            <w:vAlign w:val="bottom"/>
            <w:hideMark/>
          </w:tcPr>
          <w:p w14:paraId="368511D8"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6</w:t>
            </w:r>
          </w:p>
        </w:tc>
        <w:tc>
          <w:tcPr>
            <w:tcW w:w="2409" w:type="dxa"/>
            <w:tcBorders>
              <w:top w:val="nil"/>
              <w:left w:val="nil"/>
              <w:bottom w:val="nil"/>
              <w:right w:val="nil"/>
            </w:tcBorders>
            <w:shd w:val="clear" w:color="auto" w:fill="auto"/>
            <w:noWrap/>
            <w:vAlign w:val="bottom"/>
            <w:hideMark/>
          </w:tcPr>
          <w:p w14:paraId="2A0A4CCF"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683163A9"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49C928A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45297BD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380B388"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5B744CB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7B0AA7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F87FC07"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5951C88D" w14:textId="77777777" w:rsidTr="0095397F">
        <w:trPr>
          <w:trHeight w:val="300"/>
        </w:trPr>
        <w:tc>
          <w:tcPr>
            <w:tcW w:w="2694" w:type="dxa"/>
            <w:tcBorders>
              <w:top w:val="nil"/>
              <w:left w:val="nil"/>
              <w:bottom w:val="nil"/>
              <w:right w:val="nil"/>
            </w:tcBorders>
            <w:shd w:val="clear" w:color="auto" w:fill="auto"/>
            <w:noWrap/>
            <w:vAlign w:val="bottom"/>
            <w:hideMark/>
          </w:tcPr>
          <w:p w14:paraId="003B84C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7</w:t>
            </w:r>
          </w:p>
        </w:tc>
        <w:tc>
          <w:tcPr>
            <w:tcW w:w="2409" w:type="dxa"/>
            <w:tcBorders>
              <w:top w:val="nil"/>
              <w:left w:val="nil"/>
              <w:bottom w:val="nil"/>
              <w:right w:val="nil"/>
            </w:tcBorders>
            <w:shd w:val="clear" w:color="auto" w:fill="auto"/>
            <w:noWrap/>
            <w:vAlign w:val="bottom"/>
            <w:hideMark/>
          </w:tcPr>
          <w:p w14:paraId="0662243C"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nil"/>
              <w:right w:val="nil"/>
            </w:tcBorders>
            <w:shd w:val="clear" w:color="auto" w:fill="auto"/>
            <w:noWrap/>
            <w:vAlign w:val="bottom"/>
            <w:hideMark/>
          </w:tcPr>
          <w:p w14:paraId="7E14C605"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nil"/>
              <w:right w:val="nil"/>
            </w:tcBorders>
            <w:shd w:val="clear" w:color="000000" w:fill="FFC7CE"/>
            <w:noWrap/>
            <w:vAlign w:val="bottom"/>
            <w:hideMark/>
          </w:tcPr>
          <w:p w14:paraId="7DFDAD2D"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07E99F0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2887410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67D6E084"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3970178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nil"/>
              <w:right w:val="nil"/>
            </w:tcBorders>
            <w:shd w:val="clear" w:color="000000" w:fill="FFC7CE"/>
            <w:noWrap/>
            <w:vAlign w:val="bottom"/>
            <w:hideMark/>
          </w:tcPr>
          <w:p w14:paraId="1C4334E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r w:rsidR="006501A4" w:rsidRPr="005E3E7A" w14:paraId="398AC832" w14:textId="77777777" w:rsidTr="0095397F">
        <w:trPr>
          <w:trHeight w:val="315"/>
        </w:trPr>
        <w:tc>
          <w:tcPr>
            <w:tcW w:w="2694" w:type="dxa"/>
            <w:tcBorders>
              <w:top w:val="nil"/>
              <w:left w:val="nil"/>
              <w:bottom w:val="single" w:sz="8" w:space="0" w:color="auto"/>
              <w:right w:val="nil"/>
            </w:tcBorders>
            <w:shd w:val="clear" w:color="auto" w:fill="auto"/>
            <w:noWrap/>
            <w:vAlign w:val="bottom"/>
            <w:hideMark/>
          </w:tcPr>
          <w:p w14:paraId="3187B75E"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Windra Vale2 8</w:t>
            </w:r>
          </w:p>
        </w:tc>
        <w:tc>
          <w:tcPr>
            <w:tcW w:w="2409" w:type="dxa"/>
            <w:tcBorders>
              <w:top w:val="nil"/>
              <w:left w:val="nil"/>
              <w:bottom w:val="single" w:sz="8" w:space="0" w:color="auto"/>
              <w:right w:val="nil"/>
            </w:tcBorders>
            <w:shd w:val="clear" w:color="auto" w:fill="auto"/>
            <w:noWrap/>
            <w:vAlign w:val="bottom"/>
            <w:hideMark/>
          </w:tcPr>
          <w:p w14:paraId="3E926B70" w14:textId="77777777" w:rsidR="006501A4" w:rsidRPr="005E3E7A" w:rsidRDefault="006501A4" w:rsidP="0095397F">
            <w:pPr>
              <w:spacing w:after="0" w:line="240" w:lineRule="auto"/>
              <w:rPr>
                <w:rFonts w:eastAsia="Times New Roman" w:cs="Calibri"/>
                <w:color w:val="000000"/>
                <w:lang w:eastAsia="en-AU"/>
              </w:rPr>
            </w:pPr>
            <w:r w:rsidRPr="005E3E7A">
              <w:rPr>
                <w:rFonts w:eastAsia="Times New Roman" w:cs="Calibri"/>
                <w:color w:val="000000"/>
                <w:lang w:eastAsia="en-AU"/>
              </w:rPr>
              <w:t>Yallakool Creek</w:t>
            </w:r>
          </w:p>
        </w:tc>
        <w:tc>
          <w:tcPr>
            <w:tcW w:w="1007" w:type="dxa"/>
            <w:tcBorders>
              <w:top w:val="nil"/>
              <w:left w:val="nil"/>
              <w:bottom w:val="single" w:sz="8" w:space="0" w:color="auto"/>
              <w:right w:val="nil"/>
            </w:tcBorders>
            <w:shd w:val="clear" w:color="auto" w:fill="auto"/>
            <w:noWrap/>
            <w:vAlign w:val="bottom"/>
            <w:hideMark/>
          </w:tcPr>
          <w:p w14:paraId="12307CCF" w14:textId="77777777" w:rsidR="006501A4" w:rsidRPr="005E3E7A" w:rsidRDefault="006501A4" w:rsidP="0095397F">
            <w:pPr>
              <w:spacing w:after="0" w:line="240" w:lineRule="auto"/>
              <w:jc w:val="center"/>
              <w:rPr>
                <w:rFonts w:eastAsia="Times New Roman" w:cs="Calibri"/>
                <w:color w:val="000000"/>
                <w:lang w:eastAsia="en-AU"/>
              </w:rPr>
            </w:pPr>
            <w:r w:rsidRPr="005E3E7A">
              <w:rPr>
                <w:rFonts w:eastAsia="Times New Roman" w:cs="Calibri"/>
                <w:color w:val="000000"/>
                <w:lang w:eastAsia="en-AU"/>
              </w:rPr>
              <w:t>0/6</w:t>
            </w:r>
          </w:p>
        </w:tc>
        <w:tc>
          <w:tcPr>
            <w:tcW w:w="486" w:type="dxa"/>
            <w:tcBorders>
              <w:top w:val="nil"/>
              <w:left w:val="nil"/>
              <w:bottom w:val="single" w:sz="8" w:space="0" w:color="auto"/>
              <w:right w:val="nil"/>
            </w:tcBorders>
            <w:shd w:val="clear" w:color="000000" w:fill="FFC7CE"/>
            <w:noWrap/>
            <w:vAlign w:val="bottom"/>
            <w:hideMark/>
          </w:tcPr>
          <w:p w14:paraId="6930D1DC"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10EFDBC3"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5CCE7E76"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78D65EAA"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52FA8BE1"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c>
          <w:tcPr>
            <w:tcW w:w="486" w:type="dxa"/>
            <w:tcBorders>
              <w:top w:val="nil"/>
              <w:left w:val="nil"/>
              <w:bottom w:val="single" w:sz="8" w:space="0" w:color="auto"/>
              <w:right w:val="nil"/>
            </w:tcBorders>
            <w:shd w:val="clear" w:color="000000" w:fill="FFC7CE"/>
            <w:noWrap/>
            <w:vAlign w:val="bottom"/>
            <w:hideMark/>
          </w:tcPr>
          <w:p w14:paraId="70D514C5" w14:textId="77777777" w:rsidR="006501A4" w:rsidRPr="005E3E7A" w:rsidRDefault="006501A4" w:rsidP="0095397F">
            <w:pPr>
              <w:spacing w:after="0" w:line="240" w:lineRule="auto"/>
              <w:jc w:val="center"/>
              <w:rPr>
                <w:rFonts w:eastAsia="Times New Roman" w:cs="Calibri"/>
                <w:color w:val="9C0006"/>
                <w:lang w:eastAsia="en-AU"/>
              </w:rPr>
            </w:pPr>
            <w:r w:rsidRPr="005E3E7A">
              <w:rPr>
                <w:rFonts w:eastAsia="Times New Roman" w:cs="Calibri"/>
                <w:color w:val="9C0006"/>
                <w:lang w:eastAsia="en-AU"/>
              </w:rPr>
              <w:t>×</w:t>
            </w:r>
          </w:p>
        </w:tc>
      </w:tr>
    </w:tbl>
    <w:p w14:paraId="1C2EFF1B" w14:textId="77777777" w:rsidR="006501A4" w:rsidRPr="003D38B6"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p>
    <w:p w14:paraId="51FD7996" w14:textId="77777777" w:rsidR="006501A4" w:rsidRPr="00364C60"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pPr>
    </w:p>
    <w:p w14:paraId="042E53FA" w14:textId="77777777" w:rsidR="006501A4" w:rsidRDefault="006501A4" w:rsidP="006501A4">
      <w:pPr>
        <w:rPr>
          <w:rFonts w:eastAsia="Times New Roman"/>
          <w:b/>
          <w:bCs/>
          <w:color w:val="201F1E"/>
          <w:sz w:val="20"/>
          <w:bdr w:val="none" w:sz="0" w:space="0" w:color="auto" w:frame="1"/>
          <w:lang w:eastAsia="en-AU"/>
        </w:rPr>
      </w:pPr>
      <w:r>
        <w:rPr>
          <w:b/>
          <w:bCs/>
          <w:color w:val="201F1E"/>
          <w:sz w:val="20"/>
          <w:bdr w:val="none" w:sz="0" w:space="0" w:color="auto" w:frame="1"/>
        </w:rPr>
        <w:br w:type="page"/>
      </w:r>
    </w:p>
    <w:p w14:paraId="00584131" w14:textId="77777777" w:rsidR="006501A4" w:rsidRDefault="006501A4" w:rsidP="006501A4">
      <w:pPr>
        <w:pStyle w:val="xmsonormal"/>
        <w:shd w:val="clear" w:color="auto" w:fill="FFFFFF"/>
        <w:spacing w:before="0" w:beforeAutospacing="0" w:after="0" w:afterAutospacing="0"/>
        <w:textAlignment w:val="baseline"/>
        <w:rPr>
          <w:rFonts w:asciiTheme="minorHAnsi" w:hAnsiTheme="minorHAnsi"/>
          <w:color w:val="201F1E"/>
          <w:sz w:val="20"/>
          <w:szCs w:val="20"/>
          <w:bdr w:val="none" w:sz="0" w:space="0" w:color="auto" w:frame="1"/>
        </w:rPr>
      </w:pPr>
      <w:r w:rsidRPr="00B62A91">
        <w:rPr>
          <w:rFonts w:asciiTheme="minorHAnsi" w:hAnsiTheme="minorHAnsi"/>
          <w:b/>
          <w:bCs/>
          <w:color w:val="201F1E"/>
          <w:sz w:val="20"/>
          <w:szCs w:val="20"/>
          <w:bdr w:val="none" w:sz="0" w:space="0" w:color="auto" w:frame="1"/>
        </w:rPr>
        <w:t>Appendix 12.</w:t>
      </w:r>
      <w:r>
        <w:rPr>
          <w:rFonts w:asciiTheme="minorHAnsi" w:hAnsiTheme="minorHAnsi"/>
          <w:b/>
          <w:bCs/>
          <w:color w:val="201F1E"/>
          <w:sz w:val="20"/>
          <w:szCs w:val="20"/>
          <w:bdr w:val="none" w:sz="0" w:space="0" w:color="auto" w:frame="1"/>
        </w:rPr>
        <w:t>8</w:t>
      </w:r>
      <w:r w:rsidRPr="002967FF">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Platypus</w:t>
      </w:r>
      <w:r w:rsidRPr="002967FF">
        <w:rPr>
          <w:rFonts w:asciiTheme="minorHAnsi" w:hAnsiTheme="minorHAnsi"/>
          <w:color w:val="201F1E"/>
          <w:sz w:val="20"/>
          <w:szCs w:val="20"/>
          <w:bdr w:val="none" w:sz="0" w:space="0" w:color="auto" w:frame="1"/>
        </w:rPr>
        <w:t xml:space="preserve"> at the ten sampling locations.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w:t>
      </w:r>
      <w:r w:rsidRPr="0091446E">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tbl>
      <w:tblPr>
        <w:tblW w:w="9240" w:type="dxa"/>
        <w:tblLook w:val="04A0" w:firstRow="1" w:lastRow="0" w:firstColumn="1" w:lastColumn="0" w:noHBand="0" w:noVBand="1"/>
      </w:tblPr>
      <w:tblGrid>
        <w:gridCol w:w="2835"/>
        <w:gridCol w:w="2268"/>
        <w:gridCol w:w="1017"/>
        <w:gridCol w:w="520"/>
        <w:gridCol w:w="520"/>
        <w:gridCol w:w="520"/>
        <w:gridCol w:w="520"/>
        <w:gridCol w:w="520"/>
        <w:gridCol w:w="520"/>
      </w:tblGrid>
      <w:tr w:rsidR="006501A4" w:rsidRPr="000C53B4" w14:paraId="7F68427C" w14:textId="77777777" w:rsidTr="0095397F">
        <w:trPr>
          <w:trHeight w:val="300"/>
        </w:trPr>
        <w:tc>
          <w:tcPr>
            <w:tcW w:w="2835" w:type="dxa"/>
            <w:tcBorders>
              <w:top w:val="nil"/>
              <w:left w:val="nil"/>
              <w:bottom w:val="nil"/>
              <w:right w:val="nil"/>
            </w:tcBorders>
            <w:shd w:val="clear" w:color="auto" w:fill="92CDDC"/>
            <w:noWrap/>
            <w:vAlign w:val="bottom"/>
            <w:hideMark/>
          </w:tcPr>
          <w:p w14:paraId="54C99E16" w14:textId="77777777" w:rsidR="006501A4" w:rsidRPr="000C53B4" w:rsidRDefault="006501A4" w:rsidP="0095397F">
            <w:pPr>
              <w:spacing w:after="0" w:line="240" w:lineRule="auto"/>
              <w:rPr>
                <w:rFonts w:ascii="Times New Roman" w:eastAsia="Times New Roman" w:hAnsi="Times New Roman"/>
                <w:sz w:val="24"/>
                <w:szCs w:val="24"/>
                <w:lang w:eastAsia="en-AU"/>
              </w:rPr>
            </w:pPr>
            <w:bookmarkStart w:id="216" w:name="_Hlk49250894"/>
          </w:p>
        </w:tc>
        <w:tc>
          <w:tcPr>
            <w:tcW w:w="2268" w:type="dxa"/>
            <w:tcBorders>
              <w:top w:val="nil"/>
              <w:left w:val="nil"/>
              <w:bottom w:val="nil"/>
              <w:right w:val="nil"/>
            </w:tcBorders>
            <w:shd w:val="clear" w:color="auto" w:fill="92CDDC"/>
            <w:noWrap/>
            <w:vAlign w:val="bottom"/>
            <w:hideMark/>
          </w:tcPr>
          <w:p w14:paraId="55C28F0E" w14:textId="77777777" w:rsidR="006501A4" w:rsidRPr="000C53B4" w:rsidRDefault="006501A4" w:rsidP="0095397F">
            <w:pPr>
              <w:spacing w:after="0" w:line="240" w:lineRule="auto"/>
              <w:rPr>
                <w:rFonts w:ascii="Times New Roman" w:eastAsia="Times New Roman" w:hAnsi="Times New Roman"/>
                <w:sz w:val="20"/>
                <w:lang w:eastAsia="en-AU"/>
              </w:rPr>
            </w:pPr>
          </w:p>
        </w:tc>
        <w:tc>
          <w:tcPr>
            <w:tcW w:w="1017" w:type="dxa"/>
            <w:tcBorders>
              <w:top w:val="nil"/>
              <w:left w:val="nil"/>
              <w:bottom w:val="nil"/>
              <w:right w:val="nil"/>
            </w:tcBorders>
            <w:shd w:val="clear" w:color="auto" w:fill="92CDDC"/>
            <w:noWrap/>
            <w:vAlign w:val="bottom"/>
            <w:hideMark/>
          </w:tcPr>
          <w:p w14:paraId="23F6E4E1" w14:textId="77777777" w:rsidR="006501A4" w:rsidRPr="000C53B4" w:rsidRDefault="006501A4" w:rsidP="0095397F">
            <w:pPr>
              <w:spacing w:after="0" w:line="240" w:lineRule="auto"/>
              <w:rPr>
                <w:rFonts w:ascii="Times New Roman" w:eastAsia="Times New Roman" w:hAnsi="Times New Roman"/>
                <w:sz w:val="20"/>
                <w:lang w:eastAsia="en-AU"/>
              </w:rPr>
            </w:pPr>
          </w:p>
        </w:tc>
        <w:tc>
          <w:tcPr>
            <w:tcW w:w="3120" w:type="dxa"/>
            <w:gridSpan w:val="6"/>
            <w:tcBorders>
              <w:top w:val="nil"/>
              <w:left w:val="nil"/>
              <w:bottom w:val="nil"/>
              <w:right w:val="nil"/>
            </w:tcBorders>
            <w:shd w:val="clear" w:color="auto" w:fill="92CDDC"/>
            <w:noWrap/>
            <w:vAlign w:val="bottom"/>
            <w:hideMark/>
          </w:tcPr>
          <w:p w14:paraId="51B74894" w14:textId="77777777" w:rsidR="006501A4" w:rsidRPr="00437629" w:rsidRDefault="006501A4" w:rsidP="0095397F">
            <w:pPr>
              <w:spacing w:after="0" w:line="240" w:lineRule="auto"/>
              <w:jc w:val="center"/>
              <w:rPr>
                <w:rFonts w:eastAsia="Times New Roman" w:cs="Calibri"/>
                <w:color w:val="000000"/>
                <w:sz w:val="20"/>
                <w:lang w:eastAsia="en-AU"/>
              </w:rPr>
            </w:pPr>
            <w:r w:rsidRPr="00437629">
              <w:rPr>
                <w:rFonts w:eastAsia="Times New Roman" w:cs="Calibri"/>
                <w:color w:val="000000"/>
                <w:sz w:val="20"/>
                <w:lang w:eastAsia="en-AU"/>
              </w:rPr>
              <w:t>Technical replicates</w:t>
            </w:r>
          </w:p>
        </w:tc>
      </w:tr>
      <w:tr w:rsidR="006501A4" w:rsidRPr="000C53B4" w14:paraId="24485E34" w14:textId="77777777" w:rsidTr="0095397F">
        <w:trPr>
          <w:trHeight w:val="315"/>
        </w:trPr>
        <w:tc>
          <w:tcPr>
            <w:tcW w:w="2835" w:type="dxa"/>
            <w:tcBorders>
              <w:top w:val="nil"/>
              <w:left w:val="nil"/>
              <w:bottom w:val="single" w:sz="8" w:space="0" w:color="auto"/>
              <w:right w:val="nil"/>
            </w:tcBorders>
            <w:shd w:val="clear" w:color="auto" w:fill="92CDDC"/>
            <w:noWrap/>
            <w:vAlign w:val="bottom"/>
            <w:hideMark/>
          </w:tcPr>
          <w:p w14:paraId="5DCB7E6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Sample ID</w:t>
            </w:r>
          </w:p>
        </w:tc>
        <w:tc>
          <w:tcPr>
            <w:tcW w:w="2268" w:type="dxa"/>
            <w:tcBorders>
              <w:top w:val="nil"/>
              <w:left w:val="nil"/>
              <w:bottom w:val="single" w:sz="8" w:space="0" w:color="auto"/>
              <w:right w:val="nil"/>
            </w:tcBorders>
            <w:shd w:val="clear" w:color="auto" w:fill="92CDDC"/>
            <w:noWrap/>
            <w:vAlign w:val="bottom"/>
            <w:hideMark/>
          </w:tcPr>
          <w:p w14:paraId="62BC992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Waterway</w:t>
            </w:r>
          </w:p>
        </w:tc>
        <w:tc>
          <w:tcPr>
            <w:tcW w:w="1017" w:type="dxa"/>
            <w:tcBorders>
              <w:top w:val="nil"/>
              <w:left w:val="nil"/>
              <w:bottom w:val="single" w:sz="8" w:space="0" w:color="auto"/>
              <w:right w:val="nil"/>
            </w:tcBorders>
            <w:shd w:val="clear" w:color="auto" w:fill="92CDDC"/>
            <w:noWrap/>
            <w:vAlign w:val="bottom"/>
            <w:hideMark/>
          </w:tcPr>
          <w:p w14:paraId="784CF476"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Pos reps</w:t>
            </w:r>
          </w:p>
        </w:tc>
        <w:tc>
          <w:tcPr>
            <w:tcW w:w="520" w:type="dxa"/>
            <w:tcBorders>
              <w:top w:val="nil"/>
              <w:left w:val="nil"/>
              <w:bottom w:val="single" w:sz="8" w:space="0" w:color="auto"/>
              <w:right w:val="nil"/>
            </w:tcBorders>
            <w:shd w:val="clear" w:color="auto" w:fill="92CDDC"/>
            <w:noWrap/>
            <w:vAlign w:val="bottom"/>
            <w:hideMark/>
          </w:tcPr>
          <w:p w14:paraId="3B4B5E0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n1</w:t>
            </w:r>
          </w:p>
        </w:tc>
        <w:tc>
          <w:tcPr>
            <w:tcW w:w="520" w:type="dxa"/>
            <w:tcBorders>
              <w:top w:val="nil"/>
              <w:left w:val="nil"/>
              <w:bottom w:val="single" w:sz="8" w:space="0" w:color="auto"/>
              <w:right w:val="nil"/>
            </w:tcBorders>
            <w:shd w:val="clear" w:color="auto" w:fill="92CDDC"/>
            <w:noWrap/>
            <w:vAlign w:val="bottom"/>
            <w:hideMark/>
          </w:tcPr>
          <w:p w14:paraId="55625867"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n2</w:t>
            </w:r>
          </w:p>
        </w:tc>
        <w:tc>
          <w:tcPr>
            <w:tcW w:w="520" w:type="dxa"/>
            <w:tcBorders>
              <w:top w:val="nil"/>
              <w:left w:val="nil"/>
              <w:bottom w:val="single" w:sz="8" w:space="0" w:color="auto"/>
              <w:right w:val="nil"/>
            </w:tcBorders>
            <w:shd w:val="clear" w:color="auto" w:fill="92CDDC"/>
            <w:noWrap/>
            <w:vAlign w:val="bottom"/>
            <w:hideMark/>
          </w:tcPr>
          <w:p w14:paraId="38E653E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n3</w:t>
            </w:r>
          </w:p>
        </w:tc>
        <w:tc>
          <w:tcPr>
            <w:tcW w:w="520" w:type="dxa"/>
            <w:tcBorders>
              <w:top w:val="nil"/>
              <w:left w:val="nil"/>
              <w:bottom w:val="single" w:sz="8" w:space="0" w:color="auto"/>
              <w:right w:val="nil"/>
            </w:tcBorders>
            <w:shd w:val="clear" w:color="auto" w:fill="92CDDC"/>
            <w:noWrap/>
            <w:vAlign w:val="bottom"/>
            <w:hideMark/>
          </w:tcPr>
          <w:p w14:paraId="772E1271"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n4</w:t>
            </w:r>
          </w:p>
        </w:tc>
        <w:tc>
          <w:tcPr>
            <w:tcW w:w="520" w:type="dxa"/>
            <w:tcBorders>
              <w:top w:val="nil"/>
              <w:left w:val="nil"/>
              <w:bottom w:val="single" w:sz="8" w:space="0" w:color="auto"/>
              <w:right w:val="nil"/>
            </w:tcBorders>
            <w:shd w:val="clear" w:color="auto" w:fill="92CDDC"/>
            <w:noWrap/>
            <w:vAlign w:val="bottom"/>
            <w:hideMark/>
          </w:tcPr>
          <w:p w14:paraId="3D86827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n5</w:t>
            </w:r>
          </w:p>
        </w:tc>
        <w:tc>
          <w:tcPr>
            <w:tcW w:w="520" w:type="dxa"/>
            <w:tcBorders>
              <w:top w:val="nil"/>
              <w:left w:val="nil"/>
              <w:bottom w:val="single" w:sz="8" w:space="0" w:color="auto"/>
              <w:right w:val="nil"/>
            </w:tcBorders>
            <w:shd w:val="clear" w:color="auto" w:fill="92CDDC"/>
            <w:noWrap/>
            <w:vAlign w:val="bottom"/>
            <w:hideMark/>
          </w:tcPr>
          <w:p w14:paraId="6C481487"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n6</w:t>
            </w:r>
          </w:p>
        </w:tc>
      </w:tr>
      <w:tr w:rsidR="006501A4" w:rsidRPr="000C53B4" w14:paraId="192BCB9D" w14:textId="77777777" w:rsidTr="0095397F">
        <w:trPr>
          <w:trHeight w:val="300"/>
        </w:trPr>
        <w:tc>
          <w:tcPr>
            <w:tcW w:w="2835" w:type="dxa"/>
            <w:tcBorders>
              <w:top w:val="nil"/>
              <w:left w:val="nil"/>
              <w:bottom w:val="nil"/>
              <w:right w:val="nil"/>
            </w:tcBorders>
            <w:shd w:val="clear" w:color="auto" w:fill="auto"/>
            <w:noWrap/>
            <w:vAlign w:val="bottom"/>
            <w:hideMark/>
          </w:tcPr>
          <w:p w14:paraId="0752BEB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1</w:t>
            </w:r>
          </w:p>
        </w:tc>
        <w:tc>
          <w:tcPr>
            <w:tcW w:w="2268" w:type="dxa"/>
            <w:tcBorders>
              <w:top w:val="nil"/>
              <w:left w:val="nil"/>
              <w:bottom w:val="nil"/>
              <w:right w:val="nil"/>
            </w:tcBorders>
            <w:shd w:val="clear" w:color="auto" w:fill="auto"/>
            <w:noWrap/>
            <w:vAlign w:val="bottom"/>
            <w:hideMark/>
          </w:tcPr>
          <w:p w14:paraId="0C6C4E4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2049A31"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59C28C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D6735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813272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D28BA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44F10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DF14B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D6BF1E4" w14:textId="77777777" w:rsidTr="0095397F">
        <w:trPr>
          <w:trHeight w:val="300"/>
        </w:trPr>
        <w:tc>
          <w:tcPr>
            <w:tcW w:w="2835" w:type="dxa"/>
            <w:tcBorders>
              <w:top w:val="nil"/>
              <w:left w:val="nil"/>
              <w:bottom w:val="nil"/>
              <w:right w:val="nil"/>
            </w:tcBorders>
            <w:shd w:val="clear" w:color="auto" w:fill="auto"/>
            <w:noWrap/>
            <w:vAlign w:val="bottom"/>
            <w:hideMark/>
          </w:tcPr>
          <w:p w14:paraId="402F12E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2</w:t>
            </w:r>
          </w:p>
        </w:tc>
        <w:tc>
          <w:tcPr>
            <w:tcW w:w="2268" w:type="dxa"/>
            <w:tcBorders>
              <w:top w:val="nil"/>
              <w:left w:val="nil"/>
              <w:bottom w:val="nil"/>
              <w:right w:val="nil"/>
            </w:tcBorders>
            <w:shd w:val="clear" w:color="auto" w:fill="auto"/>
            <w:noWrap/>
            <w:vAlign w:val="bottom"/>
            <w:hideMark/>
          </w:tcPr>
          <w:p w14:paraId="68F55C6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7E764A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30DA7E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EEE9B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89C0B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B30A3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9BC2B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8A9B1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FB6ED09" w14:textId="77777777" w:rsidTr="0095397F">
        <w:trPr>
          <w:trHeight w:val="300"/>
        </w:trPr>
        <w:tc>
          <w:tcPr>
            <w:tcW w:w="2835" w:type="dxa"/>
            <w:tcBorders>
              <w:top w:val="nil"/>
              <w:left w:val="nil"/>
              <w:bottom w:val="nil"/>
              <w:right w:val="nil"/>
            </w:tcBorders>
            <w:shd w:val="clear" w:color="auto" w:fill="auto"/>
            <w:noWrap/>
            <w:vAlign w:val="bottom"/>
            <w:hideMark/>
          </w:tcPr>
          <w:p w14:paraId="312BB30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3</w:t>
            </w:r>
          </w:p>
        </w:tc>
        <w:tc>
          <w:tcPr>
            <w:tcW w:w="2268" w:type="dxa"/>
            <w:tcBorders>
              <w:top w:val="nil"/>
              <w:left w:val="nil"/>
              <w:bottom w:val="nil"/>
              <w:right w:val="nil"/>
            </w:tcBorders>
            <w:shd w:val="clear" w:color="auto" w:fill="auto"/>
            <w:noWrap/>
            <w:vAlign w:val="bottom"/>
            <w:hideMark/>
          </w:tcPr>
          <w:p w14:paraId="747F453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1903C7B"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56D165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FE273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34857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F0D71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782AF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14A2D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95D0F47" w14:textId="77777777" w:rsidTr="0095397F">
        <w:trPr>
          <w:trHeight w:val="300"/>
        </w:trPr>
        <w:tc>
          <w:tcPr>
            <w:tcW w:w="2835" w:type="dxa"/>
            <w:tcBorders>
              <w:top w:val="nil"/>
              <w:left w:val="nil"/>
              <w:bottom w:val="nil"/>
              <w:right w:val="nil"/>
            </w:tcBorders>
            <w:shd w:val="clear" w:color="auto" w:fill="auto"/>
            <w:noWrap/>
            <w:vAlign w:val="bottom"/>
            <w:hideMark/>
          </w:tcPr>
          <w:p w14:paraId="57B06C8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4</w:t>
            </w:r>
          </w:p>
        </w:tc>
        <w:tc>
          <w:tcPr>
            <w:tcW w:w="2268" w:type="dxa"/>
            <w:tcBorders>
              <w:top w:val="nil"/>
              <w:left w:val="nil"/>
              <w:bottom w:val="nil"/>
              <w:right w:val="nil"/>
            </w:tcBorders>
            <w:shd w:val="clear" w:color="auto" w:fill="auto"/>
            <w:noWrap/>
            <w:vAlign w:val="bottom"/>
            <w:hideMark/>
          </w:tcPr>
          <w:p w14:paraId="264147D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16E158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73C3FF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6DFC5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76256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8639D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2668B6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EB9C"/>
            <w:noWrap/>
            <w:vAlign w:val="bottom"/>
            <w:hideMark/>
          </w:tcPr>
          <w:p w14:paraId="62FEF07E" w14:textId="77777777" w:rsidR="006501A4" w:rsidRPr="000C53B4" w:rsidRDefault="006501A4" w:rsidP="0095397F">
            <w:pPr>
              <w:spacing w:after="0" w:line="240" w:lineRule="auto"/>
              <w:jc w:val="center"/>
              <w:rPr>
                <w:rFonts w:ascii="Wingdings" w:eastAsia="Times New Roman" w:hAnsi="Wingdings" w:cs="Calibri"/>
                <w:color w:val="9C5700"/>
                <w:lang w:eastAsia="en-AU"/>
              </w:rPr>
            </w:pPr>
            <w:r w:rsidRPr="000C53B4">
              <w:rPr>
                <w:rFonts w:ascii="Wingdings" w:eastAsia="Times New Roman" w:hAnsi="Wingdings" w:cs="Calibri"/>
                <w:color w:val="9C5700"/>
                <w:lang w:eastAsia="en-AU"/>
              </w:rPr>
              <w:t></w:t>
            </w:r>
          </w:p>
        </w:tc>
      </w:tr>
      <w:tr w:rsidR="006501A4" w:rsidRPr="000C53B4" w14:paraId="4B177427" w14:textId="77777777" w:rsidTr="0095397F">
        <w:trPr>
          <w:trHeight w:val="300"/>
        </w:trPr>
        <w:tc>
          <w:tcPr>
            <w:tcW w:w="2835" w:type="dxa"/>
            <w:tcBorders>
              <w:top w:val="nil"/>
              <w:left w:val="nil"/>
              <w:bottom w:val="nil"/>
              <w:right w:val="nil"/>
            </w:tcBorders>
            <w:shd w:val="clear" w:color="auto" w:fill="auto"/>
            <w:noWrap/>
            <w:vAlign w:val="bottom"/>
            <w:hideMark/>
          </w:tcPr>
          <w:p w14:paraId="321FFA2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5</w:t>
            </w:r>
          </w:p>
        </w:tc>
        <w:tc>
          <w:tcPr>
            <w:tcW w:w="2268" w:type="dxa"/>
            <w:tcBorders>
              <w:top w:val="nil"/>
              <w:left w:val="nil"/>
              <w:bottom w:val="nil"/>
              <w:right w:val="nil"/>
            </w:tcBorders>
            <w:shd w:val="clear" w:color="auto" w:fill="auto"/>
            <w:noWrap/>
            <w:vAlign w:val="bottom"/>
            <w:hideMark/>
          </w:tcPr>
          <w:p w14:paraId="0FCC581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D5C9E2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52D488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43C8D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7BE41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EA7BA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97B1E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91CAA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584753E" w14:textId="77777777" w:rsidTr="0095397F">
        <w:trPr>
          <w:trHeight w:val="300"/>
        </w:trPr>
        <w:tc>
          <w:tcPr>
            <w:tcW w:w="2835" w:type="dxa"/>
            <w:tcBorders>
              <w:top w:val="nil"/>
              <w:left w:val="nil"/>
              <w:bottom w:val="nil"/>
              <w:right w:val="nil"/>
            </w:tcBorders>
            <w:shd w:val="clear" w:color="auto" w:fill="auto"/>
            <w:noWrap/>
            <w:vAlign w:val="bottom"/>
            <w:hideMark/>
          </w:tcPr>
          <w:p w14:paraId="5DCFEB0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6</w:t>
            </w:r>
          </w:p>
        </w:tc>
        <w:tc>
          <w:tcPr>
            <w:tcW w:w="2268" w:type="dxa"/>
            <w:tcBorders>
              <w:top w:val="nil"/>
              <w:left w:val="nil"/>
              <w:bottom w:val="nil"/>
              <w:right w:val="nil"/>
            </w:tcBorders>
            <w:shd w:val="clear" w:color="auto" w:fill="auto"/>
            <w:noWrap/>
            <w:vAlign w:val="bottom"/>
            <w:hideMark/>
          </w:tcPr>
          <w:p w14:paraId="0C79981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FCB49B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4D802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E93B0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789FD9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D179D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63C28F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FC48E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12DCEF0" w14:textId="77777777" w:rsidTr="0095397F">
        <w:trPr>
          <w:trHeight w:val="300"/>
        </w:trPr>
        <w:tc>
          <w:tcPr>
            <w:tcW w:w="2835" w:type="dxa"/>
            <w:tcBorders>
              <w:top w:val="nil"/>
              <w:left w:val="nil"/>
              <w:bottom w:val="nil"/>
              <w:right w:val="nil"/>
            </w:tcBorders>
            <w:shd w:val="clear" w:color="auto" w:fill="auto"/>
            <w:noWrap/>
            <w:vAlign w:val="bottom"/>
            <w:hideMark/>
          </w:tcPr>
          <w:p w14:paraId="2592AA6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7</w:t>
            </w:r>
          </w:p>
        </w:tc>
        <w:tc>
          <w:tcPr>
            <w:tcW w:w="2268" w:type="dxa"/>
            <w:tcBorders>
              <w:top w:val="nil"/>
              <w:left w:val="nil"/>
              <w:bottom w:val="nil"/>
              <w:right w:val="nil"/>
            </w:tcBorders>
            <w:shd w:val="clear" w:color="auto" w:fill="auto"/>
            <w:noWrap/>
            <w:vAlign w:val="bottom"/>
            <w:hideMark/>
          </w:tcPr>
          <w:p w14:paraId="069F49C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7DEC29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7DB1C0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CE185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88DAD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4008A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99B2E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70605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8346F26"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6568B07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Four Posts 8</w:t>
            </w:r>
          </w:p>
        </w:tc>
        <w:tc>
          <w:tcPr>
            <w:tcW w:w="2268" w:type="dxa"/>
            <w:tcBorders>
              <w:top w:val="nil"/>
              <w:left w:val="nil"/>
              <w:bottom w:val="single" w:sz="8" w:space="0" w:color="auto"/>
              <w:right w:val="nil"/>
            </w:tcBorders>
            <w:shd w:val="clear" w:color="auto" w:fill="auto"/>
            <w:noWrap/>
            <w:vAlign w:val="bottom"/>
            <w:hideMark/>
          </w:tcPr>
          <w:p w14:paraId="7C46B8E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4030FA9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320A705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5855CC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845129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CE6EB9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1E8FDA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258154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4F05CE5" w14:textId="77777777" w:rsidTr="0095397F">
        <w:trPr>
          <w:trHeight w:val="300"/>
        </w:trPr>
        <w:tc>
          <w:tcPr>
            <w:tcW w:w="2835" w:type="dxa"/>
            <w:tcBorders>
              <w:top w:val="nil"/>
              <w:left w:val="nil"/>
              <w:bottom w:val="nil"/>
              <w:right w:val="nil"/>
            </w:tcBorders>
            <w:shd w:val="clear" w:color="auto" w:fill="auto"/>
            <w:noWrap/>
            <w:vAlign w:val="bottom"/>
            <w:hideMark/>
          </w:tcPr>
          <w:p w14:paraId="0E98ED6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1</w:t>
            </w:r>
          </w:p>
        </w:tc>
        <w:tc>
          <w:tcPr>
            <w:tcW w:w="2268" w:type="dxa"/>
            <w:tcBorders>
              <w:top w:val="nil"/>
              <w:left w:val="nil"/>
              <w:bottom w:val="nil"/>
              <w:right w:val="nil"/>
            </w:tcBorders>
            <w:shd w:val="clear" w:color="auto" w:fill="auto"/>
            <w:noWrap/>
            <w:vAlign w:val="bottom"/>
            <w:hideMark/>
          </w:tcPr>
          <w:p w14:paraId="1BD8782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A85A9E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4D334C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9C321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3ABC5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57B4C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BF6DC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E3D85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2C2433A" w14:textId="77777777" w:rsidTr="0095397F">
        <w:trPr>
          <w:trHeight w:val="300"/>
        </w:trPr>
        <w:tc>
          <w:tcPr>
            <w:tcW w:w="2835" w:type="dxa"/>
            <w:tcBorders>
              <w:top w:val="nil"/>
              <w:left w:val="nil"/>
              <w:bottom w:val="nil"/>
              <w:right w:val="nil"/>
            </w:tcBorders>
            <w:shd w:val="clear" w:color="auto" w:fill="auto"/>
            <w:noWrap/>
            <w:vAlign w:val="bottom"/>
            <w:hideMark/>
          </w:tcPr>
          <w:p w14:paraId="4428B9B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2</w:t>
            </w:r>
          </w:p>
        </w:tc>
        <w:tc>
          <w:tcPr>
            <w:tcW w:w="2268" w:type="dxa"/>
            <w:tcBorders>
              <w:top w:val="nil"/>
              <w:left w:val="nil"/>
              <w:bottom w:val="nil"/>
              <w:right w:val="nil"/>
            </w:tcBorders>
            <w:shd w:val="clear" w:color="auto" w:fill="auto"/>
            <w:noWrap/>
            <w:vAlign w:val="bottom"/>
            <w:hideMark/>
          </w:tcPr>
          <w:p w14:paraId="6969C3D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98B4D47"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020506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B9F87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37E57D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FC555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6348E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F1367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05DA231" w14:textId="77777777" w:rsidTr="0095397F">
        <w:trPr>
          <w:trHeight w:val="300"/>
        </w:trPr>
        <w:tc>
          <w:tcPr>
            <w:tcW w:w="2835" w:type="dxa"/>
            <w:tcBorders>
              <w:top w:val="nil"/>
              <w:left w:val="nil"/>
              <w:bottom w:val="nil"/>
              <w:right w:val="nil"/>
            </w:tcBorders>
            <w:shd w:val="clear" w:color="auto" w:fill="auto"/>
            <w:noWrap/>
            <w:vAlign w:val="bottom"/>
            <w:hideMark/>
          </w:tcPr>
          <w:p w14:paraId="7199C80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3</w:t>
            </w:r>
          </w:p>
        </w:tc>
        <w:tc>
          <w:tcPr>
            <w:tcW w:w="2268" w:type="dxa"/>
            <w:tcBorders>
              <w:top w:val="nil"/>
              <w:left w:val="nil"/>
              <w:bottom w:val="nil"/>
              <w:right w:val="nil"/>
            </w:tcBorders>
            <w:shd w:val="clear" w:color="auto" w:fill="auto"/>
            <w:noWrap/>
            <w:vAlign w:val="bottom"/>
            <w:hideMark/>
          </w:tcPr>
          <w:p w14:paraId="339CC5F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062548B"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7520F7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293B0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CB395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6298D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8F383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6C7F5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7CB5700" w14:textId="77777777" w:rsidTr="0095397F">
        <w:trPr>
          <w:trHeight w:val="300"/>
        </w:trPr>
        <w:tc>
          <w:tcPr>
            <w:tcW w:w="2835" w:type="dxa"/>
            <w:tcBorders>
              <w:top w:val="nil"/>
              <w:left w:val="nil"/>
              <w:bottom w:val="nil"/>
              <w:right w:val="nil"/>
            </w:tcBorders>
            <w:shd w:val="clear" w:color="auto" w:fill="auto"/>
            <w:noWrap/>
            <w:vAlign w:val="bottom"/>
            <w:hideMark/>
          </w:tcPr>
          <w:p w14:paraId="6324021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4</w:t>
            </w:r>
          </w:p>
        </w:tc>
        <w:tc>
          <w:tcPr>
            <w:tcW w:w="2268" w:type="dxa"/>
            <w:tcBorders>
              <w:top w:val="nil"/>
              <w:left w:val="nil"/>
              <w:bottom w:val="nil"/>
              <w:right w:val="nil"/>
            </w:tcBorders>
            <w:shd w:val="clear" w:color="auto" w:fill="auto"/>
            <w:noWrap/>
            <w:vAlign w:val="bottom"/>
            <w:hideMark/>
          </w:tcPr>
          <w:p w14:paraId="777254A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8273C86"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449CC3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2BB38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93AE5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95221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49B35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70A73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0D09948" w14:textId="77777777" w:rsidTr="0095397F">
        <w:trPr>
          <w:trHeight w:val="300"/>
        </w:trPr>
        <w:tc>
          <w:tcPr>
            <w:tcW w:w="2835" w:type="dxa"/>
            <w:tcBorders>
              <w:top w:val="nil"/>
              <w:left w:val="nil"/>
              <w:bottom w:val="nil"/>
              <w:right w:val="nil"/>
            </w:tcBorders>
            <w:shd w:val="clear" w:color="auto" w:fill="auto"/>
            <w:noWrap/>
            <w:vAlign w:val="bottom"/>
            <w:hideMark/>
          </w:tcPr>
          <w:p w14:paraId="0ED55E1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5</w:t>
            </w:r>
          </w:p>
        </w:tc>
        <w:tc>
          <w:tcPr>
            <w:tcW w:w="2268" w:type="dxa"/>
            <w:tcBorders>
              <w:top w:val="nil"/>
              <w:left w:val="nil"/>
              <w:bottom w:val="nil"/>
              <w:right w:val="nil"/>
            </w:tcBorders>
            <w:shd w:val="clear" w:color="auto" w:fill="auto"/>
            <w:noWrap/>
            <w:vAlign w:val="bottom"/>
            <w:hideMark/>
          </w:tcPr>
          <w:p w14:paraId="2A86551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E7B45EB"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A363E2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FB730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79907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A8F26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869832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2D9990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4F36FA7" w14:textId="77777777" w:rsidTr="0095397F">
        <w:trPr>
          <w:trHeight w:val="300"/>
        </w:trPr>
        <w:tc>
          <w:tcPr>
            <w:tcW w:w="2835" w:type="dxa"/>
            <w:tcBorders>
              <w:top w:val="nil"/>
              <w:left w:val="nil"/>
              <w:bottom w:val="nil"/>
              <w:right w:val="nil"/>
            </w:tcBorders>
            <w:shd w:val="clear" w:color="auto" w:fill="auto"/>
            <w:noWrap/>
            <w:vAlign w:val="bottom"/>
            <w:hideMark/>
          </w:tcPr>
          <w:p w14:paraId="7D951CD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6</w:t>
            </w:r>
          </w:p>
        </w:tc>
        <w:tc>
          <w:tcPr>
            <w:tcW w:w="2268" w:type="dxa"/>
            <w:tcBorders>
              <w:top w:val="nil"/>
              <w:left w:val="nil"/>
              <w:bottom w:val="nil"/>
              <w:right w:val="nil"/>
            </w:tcBorders>
            <w:shd w:val="clear" w:color="auto" w:fill="auto"/>
            <w:noWrap/>
            <w:vAlign w:val="bottom"/>
            <w:hideMark/>
          </w:tcPr>
          <w:p w14:paraId="5C7F90E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4E8095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4BB841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C6F0E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1558B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FA1DA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517FF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3A6115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BC3A0BA" w14:textId="77777777" w:rsidTr="0095397F">
        <w:trPr>
          <w:trHeight w:val="300"/>
        </w:trPr>
        <w:tc>
          <w:tcPr>
            <w:tcW w:w="2835" w:type="dxa"/>
            <w:tcBorders>
              <w:top w:val="nil"/>
              <w:left w:val="nil"/>
              <w:bottom w:val="nil"/>
              <w:right w:val="nil"/>
            </w:tcBorders>
            <w:shd w:val="clear" w:color="auto" w:fill="auto"/>
            <w:noWrap/>
            <w:vAlign w:val="bottom"/>
            <w:hideMark/>
          </w:tcPr>
          <w:p w14:paraId="0A0F0C9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7</w:t>
            </w:r>
          </w:p>
        </w:tc>
        <w:tc>
          <w:tcPr>
            <w:tcW w:w="2268" w:type="dxa"/>
            <w:tcBorders>
              <w:top w:val="nil"/>
              <w:left w:val="nil"/>
              <w:bottom w:val="nil"/>
              <w:right w:val="nil"/>
            </w:tcBorders>
            <w:shd w:val="clear" w:color="auto" w:fill="auto"/>
            <w:noWrap/>
            <w:vAlign w:val="bottom"/>
            <w:hideMark/>
          </w:tcPr>
          <w:p w14:paraId="7E63F70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C084AB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526340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A7C91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0D94BB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39C02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8EA0B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B87DE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88735ED"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AF9B8D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Eastman Bridge 8</w:t>
            </w:r>
          </w:p>
        </w:tc>
        <w:tc>
          <w:tcPr>
            <w:tcW w:w="2268" w:type="dxa"/>
            <w:tcBorders>
              <w:top w:val="nil"/>
              <w:left w:val="nil"/>
              <w:bottom w:val="single" w:sz="8" w:space="0" w:color="auto"/>
              <w:right w:val="nil"/>
            </w:tcBorders>
            <w:shd w:val="clear" w:color="auto" w:fill="auto"/>
            <w:noWrap/>
            <w:vAlign w:val="bottom"/>
            <w:hideMark/>
          </w:tcPr>
          <w:p w14:paraId="2933FB1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4A33D6E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1C73A7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31A16E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AEDA6E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A29105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46394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B495D2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1856545" w14:textId="77777777" w:rsidTr="0095397F">
        <w:trPr>
          <w:trHeight w:val="300"/>
        </w:trPr>
        <w:tc>
          <w:tcPr>
            <w:tcW w:w="2835" w:type="dxa"/>
            <w:tcBorders>
              <w:top w:val="nil"/>
              <w:left w:val="nil"/>
              <w:bottom w:val="nil"/>
              <w:right w:val="nil"/>
            </w:tcBorders>
            <w:shd w:val="clear" w:color="auto" w:fill="auto"/>
            <w:noWrap/>
            <w:vAlign w:val="bottom"/>
            <w:hideMark/>
          </w:tcPr>
          <w:p w14:paraId="162C84A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1</w:t>
            </w:r>
          </w:p>
        </w:tc>
        <w:tc>
          <w:tcPr>
            <w:tcW w:w="2268" w:type="dxa"/>
            <w:tcBorders>
              <w:top w:val="nil"/>
              <w:left w:val="nil"/>
              <w:bottom w:val="nil"/>
              <w:right w:val="nil"/>
            </w:tcBorders>
            <w:shd w:val="clear" w:color="auto" w:fill="auto"/>
            <w:noWrap/>
            <w:vAlign w:val="bottom"/>
            <w:hideMark/>
          </w:tcPr>
          <w:p w14:paraId="44E93C4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2B957B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B65DF1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2D561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4D9D0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88E178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2A0EF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8C903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852378A" w14:textId="77777777" w:rsidTr="0095397F">
        <w:trPr>
          <w:trHeight w:val="300"/>
        </w:trPr>
        <w:tc>
          <w:tcPr>
            <w:tcW w:w="2835" w:type="dxa"/>
            <w:tcBorders>
              <w:top w:val="nil"/>
              <w:left w:val="nil"/>
              <w:bottom w:val="nil"/>
              <w:right w:val="nil"/>
            </w:tcBorders>
            <w:shd w:val="clear" w:color="auto" w:fill="auto"/>
            <w:noWrap/>
            <w:vAlign w:val="bottom"/>
            <w:hideMark/>
          </w:tcPr>
          <w:p w14:paraId="058AF95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2</w:t>
            </w:r>
          </w:p>
        </w:tc>
        <w:tc>
          <w:tcPr>
            <w:tcW w:w="2268" w:type="dxa"/>
            <w:tcBorders>
              <w:top w:val="nil"/>
              <w:left w:val="nil"/>
              <w:bottom w:val="nil"/>
              <w:right w:val="nil"/>
            </w:tcBorders>
            <w:shd w:val="clear" w:color="auto" w:fill="auto"/>
            <w:noWrap/>
            <w:vAlign w:val="bottom"/>
            <w:hideMark/>
          </w:tcPr>
          <w:p w14:paraId="3F8D0A7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0D7ABC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CE6F49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42679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8D468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7D6883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35BA8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414DC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2897D91" w14:textId="77777777" w:rsidTr="0095397F">
        <w:trPr>
          <w:trHeight w:val="300"/>
        </w:trPr>
        <w:tc>
          <w:tcPr>
            <w:tcW w:w="2835" w:type="dxa"/>
            <w:tcBorders>
              <w:top w:val="nil"/>
              <w:left w:val="nil"/>
              <w:bottom w:val="nil"/>
              <w:right w:val="nil"/>
            </w:tcBorders>
            <w:shd w:val="clear" w:color="auto" w:fill="auto"/>
            <w:noWrap/>
            <w:vAlign w:val="bottom"/>
            <w:hideMark/>
          </w:tcPr>
          <w:p w14:paraId="65299E5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3</w:t>
            </w:r>
          </w:p>
        </w:tc>
        <w:tc>
          <w:tcPr>
            <w:tcW w:w="2268" w:type="dxa"/>
            <w:tcBorders>
              <w:top w:val="nil"/>
              <w:left w:val="nil"/>
              <w:bottom w:val="nil"/>
              <w:right w:val="nil"/>
            </w:tcBorders>
            <w:shd w:val="clear" w:color="auto" w:fill="auto"/>
            <w:noWrap/>
            <w:vAlign w:val="bottom"/>
            <w:hideMark/>
          </w:tcPr>
          <w:p w14:paraId="08AB8CE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84A317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158AC7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DD7CA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904765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3E1AF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9C4FE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B29EF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6C04B02" w14:textId="77777777" w:rsidTr="0095397F">
        <w:trPr>
          <w:trHeight w:val="300"/>
        </w:trPr>
        <w:tc>
          <w:tcPr>
            <w:tcW w:w="2835" w:type="dxa"/>
            <w:tcBorders>
              <w:top w:val="nil"/>
              <w:left w:val="nil"/>
              <w:bottom w:val="nil"/>
              <w:right w:val="nil"/>
            </w:tcBorders>
            <w:shd w:val="clear" w:color="auto" w:fill="auto"/>
            <w:noWrap/>
            <w:vAlign w:val="bottom"/>
            <w:hideMark/>
          </w:tcPr>
          <w:p w14:paraId="6FA2E5A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4</w:t>
            </w:r>
          </w:p>
        </w:tc>
        <w:tc>
          <w:tcPr>
            <w:tcW w:w="2268" w:type="dxa"/>
            <w:tcBorders>
              <w:top w:val="nil"/>
              <w:left w:val="nil"/>
              <w:bottom w:val="nil"/>
              <w:right w:val="nil"/>
            </w:tcBorders>
            <w:shd w:val="clear" w:color="auto" w:fill="auto"/>
            <w:noWrap/>
            <w:vAlign w:val="bottom"/>
            <w:hideMark/>
          </w:tcPr>
          <w:p w14:paraId="57526BC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FFC9B5D"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8E106D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D1427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EEFA6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0976A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1A66E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E9507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4549A99" w14:textId="77777777" w:rsidTr="0095397F">
        <w:trPr>
          <w:trHeight w:val="300"/>
        </w:trPr>
        <w:tc>
          <w:tcPr>
            <w:tcW w:w="2835" w:type="dxa"/>
            <w:tcBorders>
              <w:top w:val="nil"/>
              <w:left w:val="nil"/>
              <w:bottom w:val="nil"/>
              <w:right w:val="nil"/>
            </w:tcBorders>
            <w:shd w:val="clear" w:color="auto" w:fill="auto"/>
            <w:noWrap/>
            <w:vAlign w:val="bottom"/>
            <w:hideMark/>
          </w:tcPr>
          <w:p w14:paraId="3A0A4F8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5</w:t>
            </w:r>
          </w:p>
        </w:tc>
        <w:tc>
          <w:tcPr>
            <w:tcW w:w="2268" w:type="dxa"/>
            <w:tcBorders>
              <w:top w:val="nil"/>
              <w:left w:val="nil"/>
              <w:bottom w:val="nil"/>
              <w:right w:val="nil"/>
            </w:tcBorders>
            <w:shd w:val="clear" w:color="auto" w:fill="auto"/>
            <w:noWrap/>
            <w:vAlign w:val="bottom"/>
            <w:hideMark/>
          </w:tcPr>
          <w:p w14:paraId="389A235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C4BBCD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09963D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973A9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AFA1B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DD15F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A1A9F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02F3E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A6D4AB7" w14:textId="77777777" w:rsidTr="0095397F">
        <w:trPr>
          <w:trHeight w:val="300"/>
        </w:trPr>
        <w:tc>
          <w:tcPr>
            <w:tcW w:w="2835" w:type="dxa"/>
            <w:tcBorders>
              <w:top w:val="nil"/>
              <w:left w:val="nil"/>
              <w:bottom w:val="nil"/>
              <w:right w:val="nil"/>
            </w:tcBorders>
            <w:shd w:val="clear" w:color="auto" w:fill="auto"/>
            <w:noWrap/>
            <w:vAlign w:val="bottom"/>
            <w:hideMark/>
          </w:tcPr>
          <w:p w14:paraId="7CBBAEB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6</w:t>
            </w:r>
          </w:p>
        </w:tc>
        <w:tc>
          <w:tcPr>
            <w:tcW w:w="2268" w:type="dxa"/>
            <w:tcBorders>
              <w:top w:val="nil"/>
              <w:left w:val="nil"/>
              <w:bottom w:val="nil"/>
              <w:right w:val="nil"/>
            </w:tcBorders>
            <w:shd w:val="clear" w:color="auto" w:fill="auto"/>
            <w:noWrap/>
            <w:vAlign w:val="bottom"/>
            <w:hideMark/>
          </w:tcPr>
          <w:p w14:paraId="472A286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75CB86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B1A4D9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1F3FF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E6DEA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F844F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79CC0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196349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89EB644" w14:textId="77777777" w:rsidTr="0095397F">
        <w:trPr>
          <w:trHeight w:val="300"/>
        </w:trPr>
        <w:tc>
          <w:tcPr>
            <w:tcW w:w="2835" w:type="dxa"/>
            <w:tcBorders>
              <w:top w:val="nil"/>
              <w:left w:val="nil"/>
              <w:bottom w:val="nil"/>
              <w:right w:val="nil"/>
            </w:tcBorders>
            <w:shd w:val="clear" w:color="auto" w:fill="auto"/>
            <w:noWrap/>
            <w:vAlign w:val="bottom"/>
            <w:hideMark/>
          </w:tcPr>
          <w:p w14:paraId="7DD84CF5"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7</w:t>
            </w:r>
          </w:p>
        </w:tc>
        <w:tc>
          <w:tcPr>
            <w:tcW w:w="2268" w:type="dxa"/>
            <w:tcBorders>
              <w:top w:val="nil"/>
              <w:left w:val="nil"/>
              <w:bottom w:val="nil"/>
              <w:right w:val="nil"/>
            </w:tcBorders>
            <w:shd w:val="clear" w:color="auto" w:fill="auto"/>
            <w:noWrap/>
            <w:vAlign w:val="bottom"/>
            <w:hideMark/>
          </w:tcPr>
          <w:p w14:paraId="6E0D443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DFF03D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B44284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CAE4D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BA084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DBCB5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1533C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71463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4AF1A51"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7BC3413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Balpool 8</w:t>
            </w:r>
          </w:p>
        </w:tc>
        <w:tc>
          <w:tcPr>
            <w:tcW w:w="2268" w:type="dxa"/>
            <w:tcBorders>
              <w:top w:val="nil"/>
              <w:left w:val="nil"/>
              <w:bottom w:val="single" w:sz="8" w:space="0" w:color="auto"/>
              <w:right w:val="nil"/>
            </w:tcBorders>
            <w:shd w:val="clear" w:color="auto" w:fill="auto"/>
            <w:noWrap/>
            <w:vAlign w:val="bottom"/>
            <w:hideMark/>
          </w:tcPr>
          <w:p w14:paraId="0CA8E3A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4631171D"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645090E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1D3877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B00DE1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B55B80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280FB6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93A17C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266FE94" w14:textId="77777777" w:rsidTr="0095397F">
        <w:trPr>
          <w:trHeight w:val="300"/>
        </w:trPr>
        <w:tc>
          <w:tcPr>
            <w:tcW w:w="2835" w:type="dxa"/>
            <w:tcBorders>
              <w:top w:val="nil"/>
              <w:left w:val="nil"/>
              <w:bottom w:val="nil"/>
              <w:right w:val="nil"/>
            </w:tcBorders>
            <w:shd w:val="clear" w:color="auto" w:fill="auto"/>
            <w:noWrap/>
            <w:vAlign w:val="bottom"/>
            <w:hideMark/>
          </w:tcPr>
          <w:p w14:paraId="3C916AE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1</w:t>
            </w:r>
          </w:p>
        </w:tc>
        <w:tc>
          <w:tcPr>
            <w:tcW w:w="2268" w:type="dxa"/>
            <w:tcBorders>
              <w:top w:val="nil"/>
              <w:left w:val="nil"/>
              <w:bottom w:val="nil"/>
              <w:right w:val="nil"/>
            </w:tcBorders>
            <w:shd w:val="clear" w:color="auto" w:fill="auto"/>
            <w:noWrap/>
            <w:vAlign w:val="bottom"/>
            <w:hideMark/>
          </w:tcPr>
          <w:p w14:paraId="31BF9CE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EF21F9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9B35C2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E3B5D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C2BE6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0E9CE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A727E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B2DA2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23FF0C9" w14:textId="77777777" w:rsidTr="0095397F">
        <w:trPr>
          <w:trHeight w:val="300"/>
        </w:trPr>
        <w:tc>
          <w:tcPr>
            <w:tcW w:w="2835" w:type="dxa"/>
            <w:tcBorders>
              <w:top w:val="nil"/>
              <w:left w:val="nil"/>
              <w:bottom w:val="nil"/>
              <w:right w:val="nil"/>
            </w:tcBorders>
            <w:shd w:val="clear" w:color="auto" w:fill="auto"/>
            <w:noWrap/>
            <w:vAlign w:val="bottom"/>
            <w:hideMark/>
          </w:tcPr>
          <w:p w14:paraId="04413E6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2</w:t>
            </w:r>
          </w:p>
        </w:tc>
        <w:tc>
          <w:tcPr>
            <w:tcW w:w="2268" w:type="dxa"/>
            <w:tcBorders>
              <w:top w:val="nil"/>
              <w:left w:val="nil"/>
              <w:bottom w:val="nil"/>
              <w:right w:val="nil"/>
            </w:tcBorders>
            <w:shd w:val="clear" w:color="auto" w:fill="auto"/>
            <w:noWrap/>
            <w:vAlign w:val="bottom"/>
            <w:hideMark/>
          </w:tcPr>
          <w:p w14:paraId="56037F3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F34F2C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D523E7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333F5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11937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542D0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5040E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D5E1B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B06F65D" w14:textId="77777777" w:rsidTr="0095397F">
        <w:trPr>
          <w:trHeight w:val="300"/>
        </w:trPr>
        <w:tc>
          <w:tcPr>
            <w:tcW w:w="2835" w:type="dxa"/>
            <w:tcBorders>
              <w:top w:val="nil"/>
              <w:left w:val="nil"/>
              <w:bottom w:val="nil"/>
              <w:right w:val="nil"/>
            </w:tcBorders>
            <w:shd w:val="clear" w:color="auto" w:fill="auto"/>
            <w:noWrap/>
            <w:vAlign w:val="bottom"/>
            <w:hideMark/>
          </w:tcPr>
          <w:p w14:paraId="6A050C4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3</w:t>
            </w:r>
          </w:p>
        </w:tc>
        <w:tc>
          <w:tcPr>
            <w:tcW w:w="2268" w:type="dxa"/>
            <w:tcBorders>
              <w:top w:val="nil"/>
              <w:left w:val="nil"/>
              <w:bottom w:val="nil"/>
              <w:right w:val="nil"/>
            </w:tcBorders>
            <w:shd w:val="clear" w:color="auto" w:fill="auto"/>
            <w:noWrap/>
            <w:vAlign w:val="bottom"/>
            <w:hideMark/>
          </w:tcPr>
          <w:p w14:paraId="5EB622D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C648C46"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86602F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8BA32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FEF39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D3112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464C0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DF853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29DCD77" w14:textId="77777777" w:rsidTr="0095397F">
        <w:trPr>
          <w:trHeight w:val="300"/>
        </w:trPr>
        <w:tc>
          <w:tcPr>
            <w:tcW w:w="2835" w:type="dxa"/>
            <w:tcBorders>
              <w:top w:val="nil"/>
              <w:left w:val="nil"/>
              <w:bottom w:val="nil"/>
              <w:right w:val="nil"/>
            </w:tcBorders>
            <w:shd w:val="clear" w:color="auto" w:fill="auto"/>
            <w:noWrap/>
            <w:vAlign w:val="bottom"/>
            <w:hideMark/>
          </w:tcPr>
          <w:p w14:paraId="2525FDA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4</w:t>
            </w:r>
          </w:p>
        </w:tc>
        <w:tc>
          <w:tcPr>
            <w:tcW w:w="2268" w:type="dxa"/>
            <w:tcBorders>
              <w:top w:val="nil"/>
              <w:left w:val="nil"/>
              <w:bottom w:val="nil"/>
              <w:right w:val="nil"/>
            </w:tcBorders>
            <w:shd w:val="clear" w:color="auto" w:fill="auto"/>
            <w:noWrap/>
            <w:vAlign w:val="bottom"/>
            <w:hideMark/>
          </w:tcPr>
          <w:p w14:paraId="3D813F3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26326BB"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0D1902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94E9B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D5C88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7A906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0188A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E4E12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D0381DE" w14:textId="77777777" w:rsidTr="0095397F">
        <w:trPr>
          <w:trHeight w:val="300"/>
        </w:trPr>
        <w:tc>
          <w:tcPr>
            <w:tcW w:w="2835" w:type="dxa"/>
            <w:tcBorders>
              <w:top w:val="nil"/>
              <w:left w:val="nil"/>
              <w:bottom w:val="nil"/>
              <w:right w:val="nil"/>
            </w:tcBorders>
            <w:shd w:val="clear" w:color="auto" w:fill="auto"/>
            <w:noWrap/>
            <w:vAlign w:val="bottom"/>
            <w:hideMark/>
          </w:tcPr>
          <w:p w14:paraId="7AE0083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5</w:t>
            </w:r>
          </w:p>
        </w:tc>
        <w:tc>
          <w:tcPr>
            <w:tcW w:w="2268" w:type="dxa"/>
            <w:tcBorders>
              <w:top w:val="nil"/>
              <w:left w:val="nil"/>
              <w:bottom w:val="nil"/>
              <w:right w:val="nil"/>
            </w:tcBorders>
            <w:shd w:val="clear" w:color="auto" w:fill="auto"/>
            <w:noWrap/>
            <w:vAlign w:val="bottom"/>
            <w:hideMark/>
          </w:tcPr>
          <w:p w14:paraId="7FA8632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9F1987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473662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A2293F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92AA7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A190B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3A546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C5315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F8C6381" w14:textId="77777777" w:rsidTr="0095397F">
        <w:trPr>
          <w:trHeight w:val="300"/>
        </w:trPr>
        <w:tc>
          <w:tcPr>
            <w:tcW w:w="2835" w:type="dxa"/>
            <w:tcBorders>
              <w:top w:val="nil"/>
              <w:left w:val="nil"/>
              <w:bottom w:val="nil"/>
              <w:right w:val="nil"/>
            </w:tcBorders>
            <w:shd w:val="clear" w:color="auto" w:fill="auto"/>
            <w:noWrap/>
            <w:vAlign w:val="bottom"/>
            <w:hideMark/>
          </w:tcPr>
          <w:p w14:paraId="1A9A0D9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6</w:t>
            </w:r>
          </w:p>
        </w:tc>
        <w:tc>
          <w:tcPr>
            <w:tcW w:w="2268" w:type="dxa"/>
            <w:tcBorders>
              <w:top w:val="nil"/>
              <w:left w:val="nil"/>
              <w:bottom w:val="nil"/>
              <w:right w:val="nil"/>
            </w:tcBorders>
            <w:shd w:val="clear" w:color="auto" w:fill="auto"/>
            <w:noWrap/>
            <w:vAlign w:val="bottom"/>
            <w:hideMark/>
          </w:tcPr>
          <w:p w14:paraId="23095CC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939648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9D39E1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65820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3AD31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C0CCD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7ED90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59A14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046E1A7" w14:textId="77777777" w:rsidTr="0095397F">
        <w:trPr>
          <w:trHeight w:val="300"/>
        </w:trPr>
        <w:tc>
          <w:tcPr>
            <w:tcW w:w="2835" w:type="dxa"/>
            <w:tcBorders>
              <w:top w:val="nil"/>
              <w:left w:val="nil"/>
              <w:bottom w:val="nil"/>
              <w:right w:val="nil"/>
            </w:tcBorders>
            <w:shd w:val="clear" w:color="auto" w:fill="auto"/>
            <w:noWrap/>
            <w:vAlign w:val="bottom"/>
            <w:hideMark/>
          </w:tcPr>
          <w:p w14:paraId="07D20F6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7</w:t>
            </w:r>
          </w:p>
        </w:tc>
        <w:tc>
          <w:tcPr>
            <w:tcW w:w="2268" w:type="dxa"/>
            <w:tcBorders>
              <w:top w:val="nil"/>
              <w:left w:val="nil"/>
              <w:bottom w:val="nil"/>
              <w:right w:val="nil"/>
            </w:tcBorders>
            <w:shd w:val="clear" w:color="auto" w:fill="auto"/>
            <w:noWrap/>
            <w:vAlign w:val="bottom"/>
            <w:hideMark/>
          </w:tcPr>
          <w:p w14:paraId="20A4A29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6FEC7C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7433BB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55CEB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E72A8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5748C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90862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77BAD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CE4EC2C"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6A4BBBE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Kyalite State Forest 8</w:t>
            </w:r>
          </w:p>
        </w:tc>
        <w:tc>
          <w:tcPr>
            <w:tcW w:w="2268" w:type="dxa"/>
            <w:tcBorders>
              <w:top w:val="nil"/>
              <w:left w:val="nil"/>
              <w:bottom w:val="single" w:sz="8" w:space="0" w:color="auto"/>
              <w:right w:val="nil"/>
            </w:tcBorders>
            <w:shd w:val="clear" w:color="auto" w:fill="auto"/>
            <w:noWrap/>
            <w:vAlign w:val="bottom"/>
            <w:hideMark/>
          </w:tcPr>
          <w:p w14:paraId="7675617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1029016D"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10287B5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C1113D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63331B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5080BA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0B315E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15B0BE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06198A7" w14:textId="77777777" w:rsidTr="0095397F">
        <w:trPr>
          <w:trHeight w:val="300"/>
        </w:trPr>
        <w:tc>
          <w:tcPr>
            <w:tcW w:w="2835" w:type="dxa"/>
            <w:tcBorders>
              <w:top w:val="nil"/>
              <w:left w:val="nil"/>
              <w:bottom w:val="nil"/>
              <w:right w:val="nil"/>
            </w:tcBorders>
            <w:shd w:val="clear" w:color="auto" w:fill="auto"/>
            <w:noWrap/>
            <w:vAlign w:val="bottom"/>
            <w:hideMark/>
          </w:tcPr>
          <w:p w14:paraId="0545230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1</w:t>
            </w:r>
          </w:p>
        </w:tc>
        <w:tc>
          <w:tcPr>
            <w:tcW w:w="2268" w:type="dxa"/>
            <w:tcBorders>
              <w:top w:val="nil"/>
              <w:left w:val="nil"/>
              <w:bottom w:val="nil"/>
              <w:right w:val="nil"/>
            </w:tcBorders>
            <w:shd w:val="clear" w:color="auto" w:fill="auto"/>
            <w:noWrap/>
            <w:vAlign w:val="bottom"/>
            <w:hideMark/>
          </w:tcPr>
          <w:p w14:paraId="485DDBF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3CBBE4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A4FDB8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EB9C"/>
            <w:noWrap/>
            <w:vAlign w:val="bottom"/>
            <w:hideMark/>
          </w:tcPr>
          <w:p w14:paraId="74A577D2" w14:textId="77777777" w:rsidR="006501A4" w:rsidRPr="000C53B4" w:rsidRDefault="006501A4" w:rsidP="0095397F">
            <w:pPr>
              <w:spacing w:after="0" w:line="240" w:lineRule="auto"/>
              <w:jc w:val="center"/>
              <w:rPr>
                <w:rFonts w:ascii="Wingdings" w:eastAsia="Times New Roman" w:hAnsi="Wingdings" w:cs="Calibri"/>
                <w:color w:val="9C5700"/>
                <w:lang w:eastAsia="en-AU"/>
              </w:rPr>
            </w:pPr>
            <w:r w:rsidRPr="000C53B4">
              <w:rPr>
                <w:rFonts w:ascii="Wingdings" w:eastAsia="Times New Roman" w:hAnsi="Wingdings" w:cs="Calibri"/>
                <w:color w:val="9C5700"/>
                <w:lang w:eastAsia="en-AU"/>
              </w:rPr>
              <w:t></w:t>
            </w:r>
          </w:p>
        </w:tc>
        <w:tc>
          <w:tcPr>
            <w:tcW w:w="520" w:type="dxa"/>
            <w:tcBorders>
              <w:top w:val="nil"/>
              <w:left w:val="nil"/>
              <w:bottom w:val="nil"/>
              <w:right w:val="nil"/>
            </w:tcBorders>
            <w:shd w:val="clear" w:color="000000" w:fill="FFC7CE"/>
            <w:noWrap/>
            <w:vAlign w:val="bottom"/>
            <w:hideMark/>
          </w:tcPr>
          <w:p w14:paraId="0AF2B2D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C2DBC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75878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DD2F0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72E2794" w14:textId="77777777" w:rsidTr="0095397F">
        <w:trPr>
          <w:trHeight w:val="300"/>
        </w:trPr>
        <w:tc>
          <w:tcPr>
            <w:tcW w:w="2835" w:type="dxa"/>
            <w:tcBorders>
              <w:top w:val="nil"/>
              <w:left w:val="nil"/>
              <w:bottom w:val="nil"/>
              <w:right w:val="nil"/>
            </w:tcBorders>
            <w:shd w:val="clear" w:color="auto" w:fill="auto"/>
            <w:noWrap/>
            <w:vAlign w:val="bottom"/>
            <w:hideMark/>
          </w:tcPr>
          <w:p w14:paraId="3B29FD3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2</w:t>
            </w:r>
          </w:p>
        </w:tc>
        <w:tc>
          <w:tcPr>
            <w:tcW w:w="2268" w:type="dxa"/>
            <w:tcBorders>
              <w:top w:val="nil"/>
              <w:left w:val="nil"/>
              <w:bottom w:val="nil"/>
              <w:right w:val="nil"/>
            </w:tcBorders>
            <w:shd w:val="clear" w:color="auto" w:fill="auto"/>
            <w:noWrap/>
            <w:vAlign w:val="bottom"/>
            <w:hideMark/>
          </w:tcPr>
          <w:p w14:paraId="54E4B3F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4D94321"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DF1238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EBCF8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85226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863B6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A305F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A298DB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8603748" w14:textId="77777777" w:rsidTr="0095397F">
        <w:trPr>
          <w:trHeight w:val="300"/>
        </w:trPr>
        <w:tc>
          <w:tcPr>
            <w:tcW w:w="2835" w:type="dxa"/>
            <w:tcBorders>
              <w:top w:val="nil"/>
              <w:left w:val="nil"/>
              <w:bottom w:val="nil"/>
              <w:right w:val="nil"/>
            </w:tcBorders>
            <w:shd w:val="clear" w:color="auto" w:fill="auto"/>
            <w:noWrap/>
            <w:vAlign w:val="bottom"/>
            <w:hideMark/>
          </w:tcPr>
          <w:p w14:paraId="50B135E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3</w:t>
            </w:r>
          </w:p>
        </w:tc>
        <w:tc>
          <w:tcPr>
            <w:tcW w:w="2268" w:type="dxa"/>
            <w:tcBorders>
              <w:top w:val="nil"/>
              <w:left w:val="nil"/>
              <w:bottom w:val="nil"/>
              <w:right w:val="nil"/>
            </w:tcBorders>
            <w:shd w:val="clear" w:color="auto" w:fill="auto"/>
            <w:noWrap/>
            <w:vAlign w:val="bottom"/>
            <w:hideMark/>
          </w:tcPr>
          <w:p w14:paraId="396DB04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010EAC3"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40B198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E0007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7F226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56F02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48E1B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08DF0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E559A6E" w14:textId="77777777" w:rsidTr="0095397F">
        <w:trPr>
          <w:trHeight w:val="300"/>
        </w:trPr>
        <w:tc>
          <w:tcPr>
            <w:tcW w:w="2835" w:type="dxa"/>
            <w:tcBorders>
              <w:top w:val="nil"/>
              <w:left w:val="nil"/>
              <w:bottom w:val="nil"/>
              <w:right w:val="nil"/>
            </w:tcBorders>
            <w:shd w:val="clear" w:color="auto" w:fill="auto"/>
            <w:noWrap/>
            <w:vAlign w:val="bottom"/>
            <w:hideMark/>
          </w:tcPr>
          <w:p w14:paraId="3E3579A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4</w:t>
            </w:r>
          </w:p>
        </w:tc>
        <w:tc>
          <w:tcPr>
            <w:tcW w:w="2268" w:type="dxa"/>
            <w:tcBorders>
              <w:top w:val="nil"/>
              <w:left w:val="nil"/>
              <w:bottom w:val="nil"/>
              <w:right w:val="nil"/>
            </w:tcBorders>
            <w:shd w:val="clear" w:color="auto" w:fill="auto"/>
            <w:noWrap/>
            <w:vAlign w:val="bottom"/>
            <w:hideMark/>
          </w:tcPr>
          <w:p w14:paraId="2489EEB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A97A88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729899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90C01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2743A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5BF23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6885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EDAE37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CCBAA56" w14:textId="77777777" w:rsidTr="0095397F">
        <w:trPr>
          <w:trHeight w:val="300"/>
        </w:trPr>
        <w:tc>
          <w:tcPr>
            <w:tcW w:w="2835" w:type="dxa"/>
            <w:tcBorders>
              <w:top w:val="nil"/>
              <w:left w:val="nil"/>
              <w:bottom w:val="nil"/>
              <w:right w:val="nil"/>
            </w:tcBorders>
            <w:shd w:val="clear" w:color="auto" w:fill="auto"/>
            <w:noWrap/>
            <w:vAlign w:val="bottom"/>
            <w:hideMark/>
          </w:tcPr>
          <w:p w14:paraId="3512695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5</w:t>
            </w:r>
          </w:p>
        </w:tc>
        <w:tc>
          <w:tcPr>
            <w:tcW w:w="2268" w:type="dxa"/>
            <w:tcBorders>
              <w:top w:val="nil"/>
              <w:left w:val="nil"/>
              <w:bottom w:val="nil"/>
              <w:right w:val="nil"/>
            </w:tcBorders>
            <w:shd w:val="clear" w:color="auto" w:fill="auto"/>
            <w:noWrap/>
            <w:vAlign w:val="bottom"/>
            <w:hideMark/>
          </w:tcPr>
          <w:p w14:paraId="1E611B4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E6074B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56A8F5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099D9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EEE73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2A235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9BB21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20B767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E0AF51C" w14:textId="77777777" w:rsidTr="0095397F">
        <w:trPr>
          <w:trHeight w:val="300"/>
        </w:trPr>
        <w:tc>
          <w:tcPr>
            <w:tcW w:w="2835" w:type="dxa"/>
            <w:tcBorders>
              <w:top w:val="nil"/>
              <w:left w:val="nil"/>
              <w:bottom w:val="nil"/>
              <w:right w:val="nil"/>
            </w:tcBorders>
            <w:shd w:val="clear" w:color="auto" w:fill="auto"/>
            <w:noWrap/>
            <w:vAlign w:val="bottom"/>
            <w:hideMark/>
          </w:tcPr>
          <w:p w14:paraId="6C5284A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6</w:t>
            </w:r>
          </w:p>
        </w:tc>
        <w:tc>
          <w:tcPr>
            <w:tcW w:w="2268" w:type="dxa"/>
            <w:tcBorders>
              <w:top w:val="nil"/>
              <w:left w:val="nil"/>
              <w:bottom w:val="nil"/>
              <w:right w:val="nil"/>
            </w:tcBorders>
            <w:shd w:val="clear" w:color="auto" w:fill="auto"/>
            <w:noWrap/>
            <w:vAlign w:val="bottom"/>
            <w:hideMark/>
          </w:tcPr>
          <w:p w14:paraId="34B6D0B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4727145"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5704E0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6DC32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DE45E8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0B0CB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F4117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4DD5A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9FEF2E2" w14:textId="77777777" w:rsidTr="0095397F">
        <w:trPr>
          <w:trHeight w:val="300"/>
        </w:trPr>
        <w:tc>
          <w:tcPr>
            <w:tcW w:w="2835" w:type="dxa"/>
            <w:tcBorders>
              <w:top w:val="nil"/>
              <w:left w:val="nil"/>
              <w:bottom w:val="nil"/>
              <w:right w:val="nil"/>
            </w:tcBorders>
            <w:shd w:val="clear" w:color="auto" w:fill="auto"/>
            <w:noWrap/>
            <w:vAlign w:val="bottom"/>
            <w:hideMark/>
          </w:tcPr>
          <w:p w14:paraId="656A13E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7</w:t>
            </w:r>
          </w:p>
        </w:tc>
        <w:tc>
          <w:tcPr>
            <w:tcW w:w="2268" w:type="dxa"/>
            <w:tcBorders>
              <w:top w:val="nil"/>
              <w:left w:val="nil"/>
              <w:bottom w:val="nil"/>
              <w:right w:val="nil"/>
            </w:tcBorders>
            <w:shd w:val="clear" w:color="auto" w:fill="auto"/>
            <w:noWrap/>
            <w:vAlign w:val="bottom"/>
            <w:hideMark/>
          </w:tcPr>
          <w:p w14:paraId="318A71D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73F092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84FA75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D2891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E2402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C4CBC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C9509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2510B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856C446"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14B876A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Widgee 8</w:t>
            </w:r>
          </w:p>
        </w:tc>
        <w:tc>
          <w:tcPr>
            <w:tcW w:w="2268" w:type="dxa"/>
            <w:tcBorders>
              <w:top w:val="nil"/>
              <w:left w:val="nil"/>
              <w:bottom w:val="single" w:sz="8" w:space="0" w:color="auto"/>
              <w:right w:val="nil"/>
            </w:tcBorders>
            <w:shd w:val="clear" w:color="auto" w:fill="auto"/>
            <w:noWrap/>
            <w:vAlign w:val="bottom"/>
            <w:hideMark/>
          </w:tcPr>
          <w:p w14:paraId="03ABF6F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772E8B4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FA2981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BB2385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F278CE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B56A34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5C3081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61AAC7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31156FE" w14:textId="77777777" w:rsidTr="0095397F">
        <w:trPr>
          <w:trHeight w:val="300"/>
        </w:trPr>
        <w:tc>
          <w:tcPr>
            <w:tcW w:w="2835" w:type="dxa"/>
            <w:tcBorders>
              <w:top w:val="nil"/>
              <w:left w:val="nil"/>
              <w:bottom w:val="nil"/>
              <w:right w:val="nil"/>
            </w:tcBorders>
            <w:shd w:val="clear" w:color="auto" w:fill="auto"/>
            <w:noWrap/>
            <w:vAlign w:val="bottom"/>
            <w:hideMark/>
          </w:tcPr>
          <w:p w14:paraId="03B454A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1</w:t>
            </w:r>
          </w:p>
        </w:tc>
        <w:tc>
          <w:tcPr>
            <w:tcW w:w="2268" w:type="dxa"/>
            <w:tcBorders>
              <w:top w:val="nil"/>
              <w:left w:val="nil"/>
              <w:bottom w:val="nil"/>
              <w:right w:val="nil"/>
            </w:tcBorders>
            <w:shd w:val="clear" w:color="auto" w:fill="auto"/>
            <w:noWrap/>
            <w:vAlign w:val="bottom"/>
            <w:hideMark/>
          </w:tcPr>
          <w:p w14:paraId="38202605"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45F4CC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710782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DD790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79091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5E817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9957F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D19A1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F8AF153" w14:textId="77777777" w:rsidTr="0095397F">
        <w:trPr>
          <w:trHeight w:val="300"/>
        </w:trPr>
        <w:tc>
          <w:tcPr>
            <w:tcW w:w="2835" w:type="dxa"/>
            <w:tcBorders>
              <w:top w:val="nil"/>
              <w:left w:val="nil"/>
              <w:bottom w:val="nil"/>
              <w:right w:val="nil"/>
            </w:tcBorders>
            <w:shd w:val="clear" w:color="auto" w:fill="auto"/>
            <w:noWrap/>
            <w:vAlign w:val="bottom"/>
            <w:hideMark/>
          </w:tcPr>
          <w:p w14:paraId="2B434B2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2</w:t>
            </w:r>
          </w:p>
        </w:tc>
        <w:tc>
          <w:tcPr>
            <w:tcW w:w="2268" w:type="dxa"/>
            <w:tcBorders>
              <w:top w:val="nil"/>
              <w:left w:val="nil"/>
              <w:bottom w:val="nil"/>
              <w:right w:val="nil"/>
            </w:tcBorders>
            <w:shd w:val="clear" w:color="auto" w:fill="auto"/>
            <w:noWrap/>
            <w:vAlign w:val="bottom"/>
            <w:hideMark/>
          </w:tcPr>
          <w:p w14:paraId="4FA7F5A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989097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93D4B1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75721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A5B41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AF9CB5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FB8AC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08900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BEFFB4D" w14:textId="77777777" w:rsidTr="0095397F">
        <w:trPr>
          <w:trHeight w:val="300"/>
        </w:trPr>
        <w:tc>
          <w:tcPr>
            <w:tcW w:w="2835" w:type="dxa"/>
            <w:tcBorders>
              <w:top w:val="nil"/>
              <w:left w:val="nil"/>
              <w:bottom w:val="nil"/>
              <w:right w:val="nil"/>
            </w:tcBorders>
            <w:shd w:val="clear" w:color="auto" w:fill="auto"/>
            <w:noWrap/>
            <w:vAlign w:val="bottom"/>
            <w:hideMark/>
          </w:tcPr>
          <w:p w14:paraId="1058FC9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3</w:t>
            </w:r>
          </w:p>
        </w:tc>
        <w:tc>
          <w:tcPr>
            <w:tcW w:w="2268" w:type="dxa"/>
            <w:tcBorders>
              <w:top w:val="nil"/>
              <w:left w:val="nil"/>
              <w:bottom w:val="nil"/>
              <w:right w:val="nil"/>
            </w:tcBorders>
            <w:shd w:val="clear" w:color="auto" w:fill="auto"/>
            <w:noWrap/>
            <w:vAlign w:val="bottom"/>
            <w:hideMark/>
          </w:tcPr>
          <w:p w14:paraId="40DF9F1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DE7654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1258E3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CEA98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49908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3B777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6409C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D8959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EBA0396" w14:textId="77777777" w:rsidTr="0095397F">
        <w:trPr>
          <w:trHeight w:val="300"/>
        </w:trPr>
        <w:tc>
          <w:tcPr>
            <w:tcW w:w="2835" w:type="dxa"/>
            <w:tcBorders>
              <w:top w:val="nil"/>
              <w:left w:val="nil"/>
              <w:bottom w:val="nil"/>
              <w:right w:val="nil"/>
            </w:tcBorders>
            <w:shd w:val="clear" w:color="auto" w:fill="auto"/>
            <w:noWrap/>
            <w:vAlign w:val="bottom"/>
            <w:hideMark/>
          </w:tcPr>
          <w:p w14:paraId="2088A85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4</w:t>
            </w:r>
          </w:p>
        </w:tc>
        <w:tc>
          <w:tcPr>
            <w:tcW w:w="2268" w:type="dxa"/>
            <w:tcBorders>
              <w:top w:val="nil"/>
              <w:left w:val="nil"/>
              <w:bottom w:val="nil"/>
              <w:right w:val="nil"/>
            </w:tcBorders>
            <w:shd w:val="clear" w:color="auto" w:fill="auto"/>
            <w:noWrap/>
            <w:vAlign w:val="bottom"/>
            <w:hideMark/>
          </w:tcPr>
          <w:p w14:paraId="35AE021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F9418CE"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F8883D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374D7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A4819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0C34C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51959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E5109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249F104" w14:textId="77777777" w:rsidTr="0095397F">
        <w:trPr>
          <w:trHeight w:val="300"/>
        </w:trPr>
        <w:tc>
          <w:tcPr>
            <w:tcW w:w="2835" w:type="dxa"/>
            <w:tcBorders>
              <w:top w:val="nil"/>
              <w:left w:val="nil"/>
              <w:bottom w:val="nil"/>
              <w:right w:val="nil"/>
            </w:tcBorders>
            <w:shd w:val="clear" w:color="auto" w:fill="auto"/>
            <w:noWrap/>
            <w:vAlign w:val="bottom"/>
            <w:hideMark/>
          </w:tcPr>
          <w:p w14:paraId="21287B1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5</w:t>
            </w:r>
          </w:p>
        </w:tc>
        <w:tc>
          <w:tcPr>
            <w:tcW w:w="2268" w:type="dxa"/>
            <w:tcBorders>
              <w:top w:val="nil"/>
              <w:left w:val="nil"/>
              <w:bottom w:val="nil"/>
              <w:right w:val="nil"/>
            </w:tcBorders>
            <w:shd w:val="clear" w:color="auto" w:fill="auto"/>
            <w:noWrap/>
            <w:vAlign w:val="bottom"/>
            <w:hideMark/>
          </w:tcPr>
          <w:p w14:paraId="29061265"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8FC70A6"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77A86D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293CD9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42A10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62933F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BC103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C77E6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D53FA11" w14:textId="77777777" w:rsidTr="0095397F">
        <w:trPr>
          <w:trHeight w:val="300"/>
        </w:trPr>
        <w:tc>
          <w:tcPr>
            <w:tcW w:w="2835" w:type="dxa"/>
            <w:tcBorders>
              <w:top w:val="nil"/>
              <w:left w:val="nil"/>
              <w:bottom w:val="nil"/>
              <w:right w:val="nil"/>
            </w:tcBorders>
            <w:shd w:val="clear" w:color="auto" w:fill="auto"/>
            <w:noWrap/>
            <w:vAlign w:val="bottom"/>
            <w:hideMark/>
          </w:tcPr>
          <w:p w14:paraId="79B002F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6</w:t>
            </w:r>
          </w:p>
        </w:tc>
        <w:tc>
          <w:tcPr>
            <w:tcW w:w="2268" w:type="dxa"/>
            <w:tcBorders>
              <w:top w:val="nil"/>
              <w:left w:val="nil"/>
              <w:bottom w:val="nil"/>
              <w:right w:val="nil"/>
            </w:tcBorders>
            <w:shd w:val="clear" w:color="auto" w:fill="auto"/>
            <w:noWrap/>
            <w:vAlign w:val="bottom"/>
            <w:hideMark/>
          </w:tcPr>
          <w:p w14:paraId="706F8A4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2180AF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F69DC2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30B5D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BDD87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255C3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506D4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7DCDF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359E5FD" w14:textId="77777777" w:rsidTr="0095397F">
        <w:trPr>
          <w:trHeight w:val="300"/>
        </w:trPr>
        <w:tc>
          <w:tcPr>
            <w:tcW w:w="2835" w:type="dxa"/>
            <w:tcBorders>
              <w:top w:val="nil"/>
              <w:left w:val="nil"/>
              <w:bottom w:val="nil"/>
              <w:right w:val="nil"/>
            </w:tcBorders>
            <w:shd w:val="clear" w:color="auto" w:fill="auto"/>
            <w:noWrap/>
            <w:vAlign w:val="bottom"/>
            <w:hideMark/>
          </w:tcPr>
          <w:p w14:paraId="39AD168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7</w:t>
            </w:r>
          </w:p>
        </w:tc>
        <w:tc>
          <w:tcPr>
            <w:tcW w:w="2268" w:type="dxa"/>
            <w:tcBorders>
              <w:top w:val="nil"/>
              <w:left w:val="nil"/>
              <w:bottom w:val="nil"/>
              <w:right w:val="nil"/>
            </w:tcBorders>
            <w:shd w:val="clear" w:color="auto" w:fill="auto"/>
            <w:noWrap/>
            <w:vAlign w:val="bottom"/>
            <w:hideMark/>
          </w:tcPr>
          <w:p w14:paraId="4045DCE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33996E3"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35E690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F0980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404ED8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193B9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10111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6D1F6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B04F747"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AD910A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Gee Gee 8</w:t>
            </w:r>
          </w:p>
        </w:tc>
        <w:tc>
          <w:tcPr>
            <w:tcW w:w="2268" w:type="dxa"/>
            <w:tcBorders>
              <w:top w:val="nil"/>
              <w:left w:val="nil"/>
              <w:bottom w:val="single" w:sz="8" w:space="0" w:color="auto"/>
              <w:right w:val="nil"/>
            </w:tcBorders>
            <w:shd w:val="clear" w:color="auto" w:fill="auto"/>
            <w:noWrap/>
            <w:vAlign w:val="bottom"/>
            <w:hideMark/>
          </w:tcPr>
          <w:p w14:paraId="445F8B5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207056F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10C48EC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FA654B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B0CC3F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3C6287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40AC88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CBC9DF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2ECFB17" w14:textId="77777777" w:rsidTr="0095397F">
        <w:trPr>
          <w:trHeight w:val="300"/>
        </w:trPr>
        <w:tc>
          <w:tcPr>
            <w:tcW w:w="2835" w:type="dxa"/>
            <w:tcBorders>
              <w:top w:val="nil"/>
              <w:left w:val="nil"/>
              <w:bottom w:val="nil"/>
              <w:right w:val="nil"/>
            </w:tcBorders>
            <w:shd w:val="clear" w:color="auto" w:fill="auto"/>
            <w:noWrap/>
            <w:vAlign w:val="bottom"/>
            <w:hideMark/>
          </w:tcPr>
          <w:p w14:paraId="488F43D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1</w:t>
            </w:r>
          </w:p>
        </w:tc>
        <w:tc>
          <w:tcPr>
            <w:tcW w:w="2268" w:type="dxa"/>
            <w:tcBorders>
              <w:top w:val="nil"/>
              <w:left w:val="nil"/>
              <w:bottom w:val="nil"/>
              <w:right w:val="nil"/>
            </w:tcBorders>
            <w:shd w:val="clear" w:color="auto" w:fill="auto"/>
            <w:noWrap/>
            <w:vAlign w:val="bottom"/>
            <w:hideMark/>
          </w:tcPr>
          <w:p w14:paraId="3B2B9D2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337A9A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974E52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88EA4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918EF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25C73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59232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A6B7F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7D5B24C" w14:textId="77777777" w:rsidTr="0095397F">
        <w:trPr>
          <w:trHeight w:val="300"/>
        </w:trPr>
        <w:tc>
          <w:tcPr>
            <w:tcW w:w="2835" w:type="dxa"/>
            <w:tcBorders>
              <w:top w:val="nil"/>
              <w:left w:val="nil"/>
              <w:bottom w:val="nil"/>
              <w:right w:val="nil"/>
            </w:tcBorders>
            <w:shd w:val="clear" w:color="auto" w:fill="auto"/>
            <w:noWrap/>
            <w:vAlign w:val="bottom"/>
            <w:hideMark/>
          </w:tcPr>
          <w:p w14:paraId="7869723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2</w:t>
            </w:r>
          </w:p>
        </w:tc>
        <w:tc>
          <w:tcPr>
            <w:tcW w:w="2268" w:type="dxa"/>
            <w:tcBorders>
              <w:top w:val="nil"/>
              <w:left w:val="nil"/>
              <w:bottom w:val="nil"/>
              <w:right w:val="nil"/>
            </w:tcBorders>
            <w:shd w:val="clear" w:color="auto" w:fill="auto"/>
            <w:noWrap/>
            <w:vAlign w:val="bottom"/>
            <w:hideMark/>
          </w:tcPr>
          <w:p w14:paraId="004F0E5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3E68E66"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EF1DAF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6AEE6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48E52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8C973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91BE5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410E7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7AEF6AA" w14:textId="77777777" w:rsidTr="0095397F">
        <w:trPr>
          <w:trHeight w:val="300"/>
        </w:trPr>
        <w:tc>
          <w:tcPr>
            <w:tcW w:w="2835" w:type="dxa"/>
            <w:tcBorders>
              <w:top w:val="nil"/>
              <w:left w:val="nil"/>
              <w:bottom w:val="nil"/>
              <w:right w:val="nil"/>
            </w:tcBorders>
            <w:shd w:val="clear" w:color="auto" w:fill="auto"/>
            <w:noWrap/>
            <w:vAlign w:val="bottom"/>
            <w:hideMark/>
          </w:tcPr>
          <w:p w14:paraId="2C25BBC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3</w:t>
            </w:r>
          </w:p>
        </w:tc>
        <w:tc>
          <w:tcPr>
            <w:tcW w:w="2268" w:type="dxa"/>
            <w:tcBorders>
              <w:top w:val="nil"/>
              <w:left w:val="nil"/>
              <w:bottom w:val="nil"/>
              <w:right w:val="nil"/>
            </w:tcBorders>
            <w:shd w:val="clear" w:color="auto" w:fill="auto"/>
            <w:noWrap/>
            <w:vAlign w:val="bottom"/>
            <w:hideMark/>
          </w:tcPr>
          <w:p w14:paraId="3EA123D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6E906E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4BAF2A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FB107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B3500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11786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45D8A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9607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A9C32E4" w14:textId="77777777" w:rsidTr="0095397F">
        <w:trPr>
          <w:trHeight w:val="300"/>
        </w:trPr>
        <w:tc>
          <w:tcPr>
            <w:tcW w:w="2835" w:type="dxa"/>
            <w:tcBorders>
              <w:top w:val="nil"/>
              <w:left w:val="nil"/>
              <w:bottom w:val="nil"/>
              <w:right w:val="nil"/>
            </w:tcBorders>
            <w:shd w:val="clear" w:color="auto" w:fill="auto"/>
            <w:noWrap/>
            <w:vAlign w:val="bottom"/>
            <w:hideMark/>
          </w:tcPr>
          <w:p w14:paraId="4E39AF6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4</w:t>
            </w:r>
          </w:p>
        </w:tc>
        <w:tc>
          <w:tcPr>
            <w:tcW w:w="2268" w:type="dxa"/>
            <w:tcBorders>
              <w:top w:val="nil"/>
              <w:left w:val="nil"/>
              <w:bottom w:val="nil"/>
              <w:right w:val="nil"/>
            </w:tcBorders>
            <w:shd w:val="clear" w:color="auto" w:fill="auto"/>
            <w:noWrap/>
            <w:vAlign w:val="bottom"/>
            <w:hideMark/>
          </w:tcPr>
          <w:p w14:paraId="160BB00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96BF42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D8325B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4A75E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9A275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E4EBB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335F3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D79C8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179F8B0" w14:textId="77777777" w:rsidTr="0095397F">
        <w:trPr>
          <w:trHeight w:val="300"/>
        </w:trPr>
        <w:tc>
          <w:tcPr>
            <w:tcW w:w="2835" w:type="dxa"/>
            <w:tcBorders>
              <w:top w:val="nil"/>
              <w:left w:val="nil"/>
              <w:bottom w:val="nil"/>
              <w:right w:val="nil"/>
            </w:tcBorders>
            <w:shd w:val="clear" w:color="auto" w:fill="auto"/>
            <w:noWrap/>
            <w:vAlign w:val="bottom"/>
            <w:hideMark/>
          </w:tcPr>
          <w:p w14:paraId="555944D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5</w:t>
            </w:r>
          </w:p>
        </w:tc>
        <w:tc>
          <w:tcPr>
            <w:tcW w:w="2268" w:type="dxa"/>
            <w:tcBorders>
              <w:top w:val="nil"/>
              <w:left w:val="nil"/>
              <w:bottom w:val="nil"/>
              <w:right w:val="nil"/>
            </w:tcBorders>
            <w:shd w:val="clear" w:color="auto" w:fill="auto"/>
            <w:noWrap/>
            <w:vAlign w:val="bottom"/>
            <w:hideMark/>
          </w:tcPr>
          <w:p w14:paraId="5CB3019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A50BFA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D4E2D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0F8AB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49F0F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AEF79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D5C77D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6DC70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9D27EEB" w14:textId="77777777" w:rsidTr="0095397F">
        <w:trPr>
          <w:trHeight w:val="300"/>
        </w:trPr>
        <w:tc>
          <w:tcPr>
            <w:tcW w:w="2835" w:type="dxa"/>
            <w:tcBorders>
              <w:top w:val="nil"/>
              <w:left w:val="nil"/>
              <w:bottom w:val="nil"/>
              <w:right w:val="nil"/>
            </w:tcBorders>
            <w:shd w:val="clear" w:color="auto" w:fill="auto"/>
            <w:noWrap/>
            <w:vAlign w:val="bottom"/>
            <w:hideMark/>
          </w:tcPr>
          <w:p w14:paraId="6F46764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6</w:t>
            </w:r>
          </w:p>
        </w:tc>
        <w:tc>
          <w:tcPr>
            <w:tcW w:w="2268" w:type="dxa"/>
            <w:tcBorders>
              <w:top w:val="nil"/>
              <w:left w:val="nil"/>
              <w:bottom w:val="nil"/>
              <w:right w:val="nil"/>
            </w:tcBorders>
            <w:shd w:val="clear" w:color="auto" w:fill="auto"/>
            <w:noWrap/>
            <w:vAlign w:val="bottom"/>
            <w:hideMark/>
          </w:tcPr>
          <w:p w14:paraId="7D33F22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CDCDDB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03192F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DFC20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237E8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B8ED4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73DBD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C69F1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0843B162" w14:textId="77777777" w:rsidTr="0095397F">
        <w:trPr>
          <w:trHeight w:val="300"/>
        </w:trPr>
        <w:tc>
          <w:tcPr>
            <w:tcW w:w="2835" w:type="dxa"/>
            <w:tcBorders>
              <w:top w:val="nil"/>
              <w:left w:val="nil"/>
              <w:bottom w:val="nil"/>
              <w:right w:val="nil"/>
            </w:tcBorders>
            <w:shd w:val="clear" w:color="auto" w:fill="auto"/>
            <w:noWrap/>
            <w:vAlign w:val="bottom"/>
            <w:hideMark/>
          </w:tcPr>
          <w:p w14:paraId="3B5BAD8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7</w:t>
            </w:r>
          </w:p>
        </w:tc>
        <w:tc>
          <w:tcPr>
            <w:tcW w:w="2268" w:type="dxa"/>
            <w:tcBorders>
              <w:top w:val="nil"/>
              <w:left w:val="nil"/>
              <w:bottom w:val="nil"/>
              <w:right w:val="nil"/>
            </w:tcBorders>
            <w:shd w:val="clear" w:color="auto" w:fill="auto"/>
            <w:noWrap/>
            <w:vAlign w:val="bottom"/>
            <w:hideMark/>
          </w:tcPr>
          <w:p w14:paraId="471DCC3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D2F691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EDE6EE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651FAA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088A1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A6768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1D577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5B1FD0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5520755"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27F8C1E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Stoney Creek Crossing 8</w:t>
            </w:r>
          </w:p>
        </w:tc>
        <w:tc>
          <w:tcPr>
            <w:tcW w:w="2268" w:type="dxa"/>
            <w:tcBorders>
              <w:top w:val="nil"/>
              <w:left w:val="nil"/>
              <w:bottom w:val="single" w:sz="8" w:space="0" w:color="auto"/>
              <w:right w:val="nil"/>
            </w:tcBorders>
            <w:shd w:val="clear" w:color="auto" w:fill="auto"/>
            <w:noWrap/>
            <w:vAlign w:val="bottom"/>
            <w:hideMark/>
          </w:tcPr>
          <w:p w14:paraId="0D33E22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1A78028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0906DC4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73C54D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08FDB4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9DB1EF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63F8EB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F54050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A8258BE" w14:textId="77777777" w:rsidTr="0095397F">
        <w:trPr>
          <w:trHeight w:val="300"/>
        </w:trPr>
        <w:tc>
          <w:tcPr>
            <w:tcW w:w="2835" w:type="dxa"/>
            <w:tcBorders>
              <w:top w:val="nil"/>
              <w:left w:val="nil"/>
              <w:bottom w:val="nil"/>
              <w:right w:val="nil"/>
            </w:tcBorders>
            <w:shd w:val="clear" w:color="auto" w:fill="auto"/>
            <w:noWrap/>
            <w:vAlign w:val="bottom"/>
            <w:hideMark/>
          </w:tcPr>
          <w:p w14:paraId="76F0124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1</w:t>
            </w:r>
          </w:p>
        </w:tc>
        <w:tc>
          <w:tcPr>
            <w:tcW w:w="2268" w:type="dxa"/>
            <w:tcBorders>
              <w:top w:val="nil"/>
              <w:left w:val="nil"/>
              <w:bottom w:val="nil"/>
              <w:right w:val="nil"/>
            </w:tcBorders>
            <w:shd w:val="clear" w:color="auto" w:fill="auto"/>
            <w:noWrap/>
            <w:vAlign w:val="bottom"/>
            <w:hideMark/>
          </w:tcPr>
          <w:p w14:paraId="72FA3C2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4E2A8D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6751A8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866FC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17ADF8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DD839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0E6AB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2091B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935A9CD" w14:textId="77777777" w:rsidTr="0095397F">
        <w:trPr>
          <w:trHeight w:val="300"/>
        </w:trPr>
        <w:tc>
          <w:tcPr>
            <w:tcW w:w="2835" w:type="dxa"/>
            <w:tcBorders>
              <w:top w:val="nil"/>
              <w:left w:val="nil"/>
              <w:bottom w:val="nil"/>
              <w:right w:val="nil"/>
            </w:tcBorders>
            <w:shd w:val="clear" w:color="auto" w:fill="auto"/>
            <w:noWrap/>
            <w:vAlign w:val="bottom"/>
            <w:hideMark/>
          </w:tcPr>
          <w:p w14:paraId="65934D4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2</w:t>
            </w:r>
          </w:p>
        </w:tc>
        <w:tc>
          <w:tcPr>
            <w:tcW w:w="2268" w:type="dxa"/>
            <w:tcBorders>
              <w:top w:val="nil"/>
              <w:left w:val="nil"/>
              <w:bottom w:val="nil"/>
              <w:right w:val="nil"/>
            </w:tcBorders>
            <w:shd w:val="clear" w:color="auto" w:fill="auto"/>
            <w:noWrap/>
            <w:vAlign w:val="bottom"/>
            <w:hideMark/>
          </w:tcPr>
          <w:p w14:paraId="5F07CDD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96FB9E5"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E3B606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EE43E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B0EC9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71ECC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95221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490AF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43DDE26" w14:textId="77777777" w:rsidTr="0095397F">
        <w:trPr>
          <w:trHeight w:val="300"/>
        </w:trPr>
        <w:tc>
          <w:tcPr>
            <w:tcW w:w="2835" w:type="dxa"/>
            <w:tcBorders>
              <w:top w:val="nil"/>
              <w:left w:val="nil"/>
              <w:bottom w:val="nil"/>
              <w:right w:val="nil"/>
            </w:tcBorders>
            <w:shd w:val="clear" w:color="auto" w:fill="auto"/>
            <w:noWrap/>
            <w:vAlign w:val="bottom"/>
            <w:hideMark/>
          </w:tcPr>
          <w:p w14:paraId="2ABFE6D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3</w:t>
            </w:r>
          </w:p>
        </w:tc>
        <w:tc>
          <w:tcPr>
            <w:tcW w:w="2268" w:type="dxa"/>
            <w:tcBorders>
              <w:top w:val="nil"/>
              <w:left w:val="nil"/>
              <w:bottom w:val="nil"/>
              <w:right w:val="nil"/>
            </w:tcBorders>
            <w:shd w:val="clear" w:color="auto" w:fill="auto"/>
            <w:noWrap/>
            <w:vAlign w:val="bottom"/>
            <w:hideMark/>
          </w:tcPr>
          <w:p w14:paraId="1F07263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050CABD"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7EA38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5551D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312AA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3E0D1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888BE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6B523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44FF6D3" w14:textId="77777777" w:rsidTr="0095397F">
        <w:trPr>
          <w:trHeight w:val="300"/>
        </w:trPr>
        <w:tc>
          <w:tcPr>
            <w:tcW w:w="2835" w:type="dxa"/>
            <w:tcBorders>
              <w:top w:val="nil"/>
              <w:left w:val="nil"/>
              <w:bottom w:val="nil"/>
              <w:right w:val="nil"/>
            </w:tcBorders>
            <w:shd w:val="clear" w:color="auto" w:fill="auto"/>
            <w:noWrap/>
            <w:vAlign w:val="bottom"/>
            <w:hideMark/>
          </w:tcPr>
          <w:p w14:paraId="74802D4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4</w:t>
            </w:r>
          </w:p>
        </w:tc>
        <w:tc>
          <w:tcPr>
            <w:tcW w:w="2268" w:type="dxa"/>
            <w:tcBorders>
              <w:top w:val="nil"/>
              <w:left w:val="nil"/>
              <w:bottom w:val="nil"/>
              <w:right w:val="nil"/>
            </w:tcBorders>
            <w:shd w:val="clear" w:color="auto" w:fill="auto"/>
            <w:noWrap/>
            <w:vAlign w:val="bottom"/>
            <w:hideMark/>
          </w:tcPr>
          <w:p w14:paraId="7456A01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A495AC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B2BF02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A84DE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C0581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FFB89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59D4C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D4467D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CE7E71A" w14:textId="77777777" w:rsidTr="0095397F">
        <w:trPr>
          <w:trHeight w:val="300"/>
        </w:trPr>
        <w:tc>
          <w:tcPr>
            <w:tcW w:w="2835" w:type="dxa"/>
            <w:tcBorders>
              <w:top w:val="nil"/>
              <w:left w:val="nil"/>
              <w:bottom w:val="nil"/>
              <w:right w:val="nil"/>
            </w:tcBorders>
            <w:shd w:val="clear" w:color="auto" w:fill="auto"/>
            <w:noWrap/>
            <w:vAlign w:val="bottom"/>
            <w:hideMark/>
          </w:tcPr>
          <w:p w14:paraId="2ABCC915"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5</w:t>
            </w:r>
          </w:p>
        </w:tc>
        <w:tc>
          <w:tcPr>
            <w:tcW w:w="2268" w:type="dxa"/>
            <w:tcBorders>
              <w:top w:val="nil"/>
              <w:left w:val="nil"/>
              <w:bottom w:val="nil"/>
              <w:right w:val="nil"/>
            </w:tcBorders>
            <w:shd w:val="clear" w:color="auto" w:fill="auto"/>
            <w:noWrap/>
            <w:vAlign w:val="bottom"/>
            <w:hideMark/>
          </w:tcPr>
          <w:p w14:paraId="277AE89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139F16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6EDC7C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15868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D6476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E7DFEE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A8BE8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A14BD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8D9C0E0" w14:textId="77777777" w:rsidTr="0095397F">
        <w:trPr>
          <w:trHeight w:val="300"/>
        </w:trPr>
        <w:tc>
          <w:tcPr>
            <w:tcW w:w="2835" w:type="dxa"/>
            <w:tcBorders>
              <w:top w:val="nil"/>
              <w:left w:val="nil"/>
              <w:bottom w:val="nil"/>
              <w:right w:val="nil"/>
            </w:tcBorders>
            <w:shd w:val="clear" w:color="auto" w:fill="auto"/>
            <w:noWrap/>
            <w:vAlign w:val="bottom"/>
            <w:hideMark/>
          </w:tcPr>
          <w:p w14:paraId="2799A27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6</w:t>
            </w:r>
          </w:p>
        </w:tc>
        <w:tc>
          <w:tcPr>
            <w:tcW w:w="2268" w:type="dxa"/>
            <w:tcBorders>
              <w:top w:val="nil"/>
              <w:left w:val="nil"/>
              <w:bottom w:val="nil"/>
              <w:right w:val="nil"/>
            </w:tcBorders>
            <w:shd w:val="clear" w:color="auto" w:fill="auto"/>
            <w:noWrap/>
            <w:vAlign w:val="bottom"/>
            <w:hideMark/>
          </w:tcPr>
          <w:p w14:paraId="4BFB91A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D0F2091"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86101F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9434E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BF085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AEE95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396C6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00195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C59A907" w14:textId="77777777" w:rsidTr="0095397F">
        <w:trPr>
          <w:trHeight w:val="300"/>
        </w:trPr>
        <w:tc>
          <w:tcPr>
            <w:tcW w:w="2835" w:type="dxa"/>
            <w:tcBorders>
              <w:top w:val="nil"/>
              <w:left w:val="nil"/>
              <w:bottom w:val="nil"/>
              <w:right w:val="nil"/>
            </w:tcBorders>
            <w:shd w:val="clear" w:color="auto" w:fill="auto"/>
            <w:noWrap/>
            <w:vAlign w:val="bottom"/>
            <w:hideMark/>
          </w:tcPr>
          <w:p w14:paraId="54C9452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7</w:t>
            </w:r>
          </w:p>
        </w:tc>
        <w:tc>
          <w:tcPr>
            <w:tcW w:w="2268" w:type="dxa"/>
            <w:tcBorders>
              <w:top w:val="nil"/>
              <w:left w:val="nil"/>
              <w:bottom w:val="nil"/>
              <w:right w:val="nil"/>
            </w:tcBorders>
            <w:shd w:val="clear" w:color="auto" w:fill="auto"/>
            <w:noWrap/>
            <w:vAlign w:val="bottom"/>
            <w:hideMark/>
          </w:tcPr>
          <w:p w14:paraId="486E41F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8E6141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D9DDBB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031D7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8E9FE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99E90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8E095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0906E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33993981"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6B6295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Calimo 8</w:t>
            </w:r>
          </w:p>
        </w:tc>
        <w:tc>
          <w:tcPr>
            <w:tcW w:w="2268" w:type="dxa"/>
            <w:tcBorders>
              <w:top w:val="nil"/>
              <w:left w:val="nil"/>
              <w:bottom w:val="single" w:sz="8" w:space="0" w:color="auto"/>
              <w:right w:val="nil"/>
            </w:tcBorders>
            <w:shd w:val="clear" w:color="auto" w:fill="auto"/>
            <w:noWrap/>
            <w:vAlign w:val="bottom"/>
            <w:hideMark/>
          </w:tcPr>
          <w:p w14:paraId="055DBAF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77DB4C7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3311087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F7E565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CC2CEF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88A127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3F38FC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1DF039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087CA9D" w14:textId="77777777" w:rsidTr="0095397F">
        <w:trPr>
          <w:trHeight w:val="300"/>
        </w:trPr>
        <w:tc>
          <w:tcPr>
            <w:tcW w:w="2835" w:type="dxa"/>
            <w:tcBorders>
              <w:top w:val="nil"/>
              <w:left w:val="nil"/>
              <w:bottom w:val="nil"/>
              <w:right w:val="nil"/>
            </w:tcBorders>
            <w:shd w:val="clear" w:color="auto" w:fill="auto"/>
            <w:noWrap/>
            <w:vAlign w:val="bottom"/>
            <w:hideMark/>
          </w:tcPr>
          <w:p w14:paraId="183FE38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1</w:t>
            </w:r>
          </w:p>
        </w:tc>
        <w:tc>
          <w:tcPr>
            <w:tcW w:w="2268" w:type="dxa"/>
            <w:tcBorders>
              <w:top w:val="nil"/>
              <w:left w:val="nil"/>
              <w:bottom w:val="nil"/>
              <w:right w:val="nil"/>
            </w:tcBorders>
            <w:shd w:val="clear" w:color="auto" w:fill="auto"/>
            <w:noWrap/>
            <w:vAlign w:val="bottom"/>
            <w:hideMark/>
          </w:tcPr>
          <w:p w14:paraId="6609825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5D9656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014ADB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58F1E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456CD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6D048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530D5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330D0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B794C94" w14:textId="77777777" w:rsidTr="0095397F">
        <w:trPr>
          <w:trHeight w:val="300"/>
        </w:trPr>
        <w:tc>
          <w:tcPr>
            <w:tcW w:w="2835" w:type="dxa"/>
            <w:tcBorders>
              <w:top w:val="nil"/>
              <w:left w:val="nil"/>
              <w:bottom w:val="nil"/>
              <w:right w:val="nil"/>
            </w:tcBorders>
            <w:shd w:val="clear" w:color="auto" w:fill="auto"/>
            <w:noWrap/>
            <w:vAlign w:val="bottom"/>
            <w:hideMark/>
          </w:tcPr>
          <w:p w14:paraId="0474D9A8"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2</w:t>
            </w:r>
          </w:p>
        </w:tc>
        <w:tc>
          <w:tcPr>
            <w:tcW w:w="2268" w:type="dxa"/>
            <w:tcBorders>
              <w:top w:val="nil"/>
              <w:left w:val="nil"/>
              <w:bottom w:val="nil"/>
              <w:right w:val="nil"/>
            </w:tcBorders>
            <w:shd w:val="clear" w:color="auto" w:fill="auto"/>
            <w:noWrap/>
            <w:vAlign w:val="bottom"/>
            <w:hideMark/>
          </w:tcPr>
          <w:p w14:paraId="11CEB5BC"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21EAD83"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DF347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0F47B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4051F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943F1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44A26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E1735D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4C57893" w14:textId="77777777" w:rsidTr="0095397F">
        <w:trPr>
          <w:trHeight w:val="300"/>
        </w:trPr>
        <w:tc>
          <w:tcPr>
            <w:tcW w:w="2835" w:type="dxa"/>
            <w:tcBorders>
              <w:top w:val="nil"/>
              <w:left w:val="nil"/>
              <w:bottom w:val="nil"/>
              <w:right w:val="nil"/>
            </w:tcBorders>
            <w:shd w:val="clear" w:color="auto" w:fill="auto"/>
            <w:noWrap/>
            <w:vAlign w:val="bottom"/>
            <w:hideMark/>
          </w:tcPr>
          <w:p w14:paraId="677B8A9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3</w:t>
            </w:r>
          </w:p>
        </w:tc>
        <w:tc>
          <w:tcPr>
            <w:tcW w:w="2268" w:type="dxa"/>
            <w:tcBorders>
              <w:top w:val="nil"/>
              <w:left w:val="nil"/>
              <w:bottom w:val="nil"/>
              <w:right w:val="nil"/>
            </w:tcBorders>
            <w:shd w:val="clear" w:color="auto" w:fill="auto"/>
            <w:noWrap/>
            <w:vAlign w:val="bottom"/>
            <w:hideMark/>
          </w:tcPr>
          <w:p w14:paraId="09802E2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578491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298E1E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1F3FF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E6F4C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483EC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9DD1C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186A06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1127E24B" w14:textId="77777777" w:rsidTr="0095397F">
        <w:trPr>
          <w:trHeight w:val="300"/>
        </w:trPr>
        <w:tc>
          <w:tcPr>
            <w:tcW w:w="2835" w:type="dxa"/>
            <w:tcBorders>
              <w:top w:val="nil"/>
              <w:left w:val="nil"/>
              <w:bottom w:val="nil"/>
              <w:right w:val="nil"/>
            </w:tcBorders>
            <w:shd w:val="clear" w:color="auto" w:fill="auto"/>
            <w:noWrap/>
            <w:vAlign w:val="bottom"/>
            <w:hideMark/>
          </w:tcPr>
          <w:p w14:paraId="76AF665B"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4</w:t>
            </w:r>
          </w:p>
        </w:tc>
        <w:tc>
          <w:tcPr>
            <w:tcW w:w="2268" w:type="dxa"/>
            <w:tcBorders>
              <w:top w:val="nil"/>
              <w:left w:val="nil"/>
              <w:bottom w:val="nil"/>
              <w:right w:val="nil"/>
            </w:tcBorders>
            <w:shd w:val="clear" w:color="auto" w:fill="auto"/>
            <w:noWrap/>
            <w:vAlign w:val="bottom"/>
            <w:hideMark/>
          </w:tcPr>
          <w:p w14:paraId="41F6B1C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00F4842"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553D67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570F1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EB7F6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82C71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1D8EA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F7B6A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62806D3" w14:textId="77777777" w:rsidTr="0095397F">
        <w:trPr>
          <w:trHeight w:val="300"/>
        </w:trPr>
        <w:tc>
          <w:tcPr>
            <w:tcW w:w="2835" w:type="dxa"/>
            <w:tcBorders>
              <w:top w:val="nil"/>
              <w:left w:val="nil"/>
              <w:bottom w:val="nil"/>
              <w:right w:val="nil"/>
            </w:tcBorders>
            <w:shd w:val="clear" w:color="auto" w:fill="auto"/>
            <w:noWrap/>
            <w:vAlign w:val="bottom"/>
            <w:hideMark/>
          </w:tcPr>
          <w:p w14:paraId="422109B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5</w:t>
            </w:r>
          </w:p>
        </w:tc>
        <w:tc>
          <w:tcPr>
            <w:tcW w:w="2268" w:type="dxa"/>
            <w:tcBorders>
              <w:top w:val="nil"/>
              <w:left w:val="nil"/>
              <w:bottom w:val="nil"/>
              <w:right w:val="nil"/>
            </w:tcBorders>
            <w:shd w:val="clear" w:color="auto" w:fill="auto"/>
            <w:noWrap/>
            <w:vAlign w:val="bottom"/>
            <w:hideMark/>
          </w:tcPr>
          <w:p w14:paraId="087FCE90"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A242C8D"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8CDE69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E138EF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5F587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D2A24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A95D9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77EF6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ACBC526" w14:textId="77777777" w:rsidTr="0095397F">
        <w:trPr>
          <w:trHeight w:val="300"/>
        </w:trPr>
        <w:tc>
          <w:tcPr>
            <w:tcW w:w="2835" w:type="dxa"/>
            <w:tcBorders>
              <w:top w:val="nil"/>
              <w:left w:val="nil"/>
              <w:bottom w:val="nil"/>
              <w:right w:val="nil"/>
            </w:tcBorders>
            <w:shd w:val="clear" w:color="auto" w:fill="auto"/>
            <w:noWrap/>
            <w:vAlign w:val="bottom"/>
            <w:hideMark/>
          </w:tcPr>
          <w:p w14:paraId="789AC6A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6</w:t>
            </w:r>
          </w:p>
        </w:tc>
        <w:tc>
          <w:tcPr>
            <w:tcW w:w="2268" w:type="dxa"/>
            <w:tcBorders>
              <w:top w:val="nil"/>
              <w:left w:val="nil"/>
              <w:bottom w:val="nil"/>
              <w:right w:val="nil"/>
            </w:tcBorders>
            <w:shd w:val="clear" w:color="auto" w:fill="auto"/>
            <w:noWrap/>
            <w:vAlign w:val="bottom"/>
            <w:hideMark/>
          </w:tcPr>
          <w:p w14:paraId="64C329F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E2DBEF9"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C0432E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2240C1"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1B0EB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10842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ABC2A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657A11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9115FE1" w14:textId="77777777" w:rsidTr="0095397F">
        <w:trPr>
          <w:trHeight w:val="300"/>
        </w:trPr>
        <w:tc>
          <w:tcPr>
            <w:tcW w:w="2835" w:type="dxa"/>
            <w:tcBorders>
              <w:top w:val="nil"/>
              <w:left w:val="nil"/>
              <w:bottom w:val="nil"/>
              <w:right w:val="nil"/>
            </w:tcBorders>
            <w:shd w:val="clear" w:color="auto" w:fill="auto"/>
            <w:noWrap/>
            <w:vAlign w:val="bottom"/>
            <w:hideMark/>
          </w:tcPr>
          <w:p w14:paraId="56571BD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7</w:t>
            </w:r>
          </w:p>
        </w:tc>
        <w:tc>
          <w:tcPr>
            <w:tcW w:w="2268" w:type="dxa"/>
            <w:tcBorders>
              <w:top w:val="nil"/>
              <w:left w:val="nil"/>
              <w:bottom w:val="nil"/>
              <w:right w:val="nil"/>
            </w:tcBorders>
            <w:shd w:val="clear" w:color="auto" w:fill="auto"/>
            <w:noWrap/>
            <w:vAlign w:val="bottom"/>
            <w:hideMark/>
          </w:tcPr>
          <w:p w14:paraId="66D3190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B744EA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7F9409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2FD35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CBC5C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6FA2A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C003C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5E207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507ECA7"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2A984056"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Mallan School 8</w:t>
            </w:r>
          </w:p>
        </w:tc>
        <w:tc>
          <w:tcPr>
            <w:tcW w:w="2268" w:type="dxa"/>
            <w:tcBorders>
              <w:top w:val="nil"/>
              <w:left w:val="nil"/>
              <w:bottom w:val="single" w:sz="8" w:space="0" w:color="auto"/>
              <w:right w:val="nil"/>
            </w:tcBorders>
            <w:shd w:val="clear" w:color="auto" w:fill="auto"/>
            <w:noWrap/>
            <w:vAlign w:val="bottom"/>
            <w:hideMark/>
          </w:tcPr>
          <w:p w14:paraId="2DE8F7F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5D7E6918"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5592A2C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57C473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BC52AC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605E7E3"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B9DA4A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9C2E63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587B912" w14:textId="77777777" w:rsidTr="0095397F">
        <w:trPr>
          <w:trHeight w:val="300"/>
        </w:trPr>
        <w:tc>
          <w:tcPr>
            <w:tcW w:w="2835" w:type="dxa"/>
            <w:tcBorders>
              <w:top w:val="nil"/>
              <w:left w:val="nil"/>
              <w:bottom w:val="nil"/>
              <w:right w:val="nil"/>
            </w:tcBorders>
            <w:shd w:val="clear" w:color="auto" w:fill="auto"/>
            <w:noWrap/>
            <w:vAlign w:val="bottom"/>
            <w:hideMark/>
          </w:tcPr>
          <w:p w14:paraId="4C0EC6D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1</w:t>
            </w:r>
          </w:p>
        </w:tc>
        <w:tc>
          <w:tcPr>
            <w:tcW w:w="2268" w:type="dxa"/>
            <w:tcBorders>
              <w:top w:val="nil"/>
              <w:left w:val="nil"/>
              <w:bottom w:val="nil"/>
              <w:right w:val="nil"/>
            </w:tcBorders>
            <w:shd w:val="clear" w:color="auto" w:fill="auto"/>
            <w:noWrap/>
            <w:vAlign w:val="bottom"/>
            <w:hideMark/>
          </w:tcPr>
          <w:p w14:paraId="6DEF0FD4"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073F1D2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B4EDCD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7B760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6CCF4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58A89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49765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4E93C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7CDE00B5" w14:textId="77777777" w:rsidTr="0095397F">
        <w:trPr>
          <w:trHeight w:val="300"/>
        </w:trPr>
        <w:tc>
          <w:tcPr>
            <w:tcW w:w="2835" w:type="dxa"/>
            <w:tcBorders>
              <w:top w:val="nil"/>
              <w:left w:val="nil"/>
              <w:bottom w:val="nil"/>
              <w:right w:val="nil"/>
            </w:tcBorders>
            <w:shd w:val="clear" w:color="auto" w:fill="auto"/>
            <w:noWrap/>
            <w:vAlign w:val="bottom"/>
            <w:hideMark/>
          </w:tcPr>
          <w:p w14:paraId="62D3AC7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2</w:t>
            </w:r>
          </w:p>
        </w:tc>
        <w:tc>
          <w:tcPr>
            <w:tcW w:w="2268" w:type="dxa"/>
            <w:tcBorders>
              <w:top w:val="nil"/>
              <w:left w:val="nil"/>
              <w:bottom w:val="nil"/>
              <w:right w:val="nil"/>
            </w:tcBorders>
            <w:shd w:val="clear" w:color="auto" w:fill="auto"/>
            <w:noWrap/>
            <w:vAlign w:val="bottom"/>
            <w:hideMark/>
          </w:tcPr>
          <w:p w14:paraId="6D8C7BF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17D978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A2B621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5E3DA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7120B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FFF00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A8328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A84EA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5C116AC" w14:textId="77777777" w:rsidTr="0095397F">
        <w:trPr>
          <w:trHeight w:val="300"/>
        </w:trPr>
        <w:tc>
          <w:tcPr>
            <w:tcW w:w="2835" w:type="dxa"/>
            <w:tcBorders>
              <w:top w:val="nil"/>
              <w:left w:val="nil"/>
              <w:bottom w:val="nil"/>
              <w:right w:val="nil"/>
            </w:tcBorders>
            <w:shd w:val="clear" w:color="auto" w:fill="auto"/>
            <w:noWrap/>
            <w:vAlign w:val="bottom"/>
            <w:hideMark/>
          </w:tcPr>
          <w:p w14:paraId="6BCE07C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3</w:t>
            </w:r>
          </w:p>
        </w:tc>
        <w:tc>
          <w:tcPr>
            <w:tcW w:w="2268" w:type="dxa"/>
            <w:tcBorders>
              <w:top w:val="nil"/>
              <w:left w:val="nil"/>
              <w:bottom w:val="nil"/>
              <w:right w:val="nil"/>
            </w:tcBorders>
            <w:shd w:val="clear" w:color="auto" w:fill="auto"/>
            <w:noWrap/>
            <w:vAlign w:val="bottom"/>
            <w:hideMark/>
          </w:tcPr>
          <w:p w14:paraId="5A0C557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636EAA1"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3D3F1C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EEA66D"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735C3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A69CA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D47C4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AF64F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4BBBE70" w14:textId="77777777" w:rsidTr="0095397F">
        <w:trPr>
          <w:trHeight w:val="300"/>
        </w:trPr>
        <w:tc>
          <w:tcPr>
            <w:tcW w:w="2835" w:type="dxa"/>
            <w:tcBorders>
              <w:top w:val="nil"/>
              <w:left w:val="nil"/>
              <w:bottom w:val="nil"/>
              <w:right w:val="nil"/>
            </w:tcBorders>
            <w:shd w:val="clear" w:color="auto" w:fill="auto"/>
            <w:noWrap/>
            <w:vAlign w:val="bottom"/>
            <w:hideMark/>
          </w:tcPr>
          <w:p w14:paraId="7B8F8E23"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4</w:t>
            </w:r>
          </w:p>
        </w:tc>
        <w:tc>
          <w:tcPr>
            <w:tcW w:w="2268" w:type="dxa"/>
            <w:tcBorders>
              <w:top w:val="nil"/>
              <w:left w:val="nil"/>
              <w:bottom w:val="nil"/>
              <w:right w:val="nil"/>
            </w:tcBorders>
            <w:shd w:val="clear" w:color="auto" w:fill="auto"/>
            <w:noWrap/>
            <w:vAlign w:val="bottom"/>
            <w:hideMark/>
          </w:tcPr>
          <w:p w14:paraId="4D4CC3C2"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14FECAD0"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DB73F2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FF118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950A875"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5B7BB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A665A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95FA9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281929F7" w14:textId="77777777" w:rsidTr="0095397F">
        <w:trPr>
          <w:trHeight w:val="300"/>
        </w:trPr>
        <w:tc>
          <w:tcPr>
            <w:tcW w:w="2835" w:type="dxa"/>
            <w:tcBorders>
              <w:top w:val="nil"/>
              <w:left w:val="nil"/>
              <w:bottom w:val="nil"/>
              <w:right w:val="nil"/>
            </w:tcBorders>
            <w:shd w:val="clear" w:color="auto" w:fill="auto"/>
            <w:noWrap/>
            <w:vAlign w:val="bottom"/>
            <w:hideMark/>
          </w:tcPr>
          <w:p w14:paraId="51859605"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5</w:t>
            </w:r>
          </w:p>
        </w:tc>
        <w:tc>
          <w:tcPr>
            <w:tcW w:w="2268" w:type="dxa"/>
            <w:tcBorders>
              <w:top w:val="nil"/>
              <w:left w:val="nil"/>
              <w:bottom w:val="nil"/>
              <w:right w:val="nil"/>
            </w:tcBorders>
            <w:shd w:val="clear" w:color="auto" w:fill="auto"/>
            <w:noWrap/>
            <w:vAlign w:val="bottom"/>
            <w:hideMark/>
          </w:tcPr>
          <w:p w14:paraId="0CD914A9"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7EFA5EDF"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169C27"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7169D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F66FF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32312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9521C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3CA88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6ED0B1FC" w14:textId="77777777" w:rsidTr="0095397F">
        <w:trPr>
          <w:trHeight w:val="300"/>
        </w:trPr>
        <w:tc>
          <w:tcPr>
            <w:tcW w:w="2835" w:type="dxa"/>
            <w:tcBorders>
              <w:top w:val="nil"/>
              <w:left w:val="nil"/>
              <w:bottom w:val="nil"/>
              <w:right w:val="nil"/>
            </w:tcBorders>
            <w:shd w:val="clear" w:color="auto" w:fill="auto"/>
            <w:noWrap/>
            <w:vAlign w:val="bottom"/>
            <w:hideMark/>
          </w:tcPr>
          <w:p w14:paraId="686BBF1F"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6</w:t>
            </w:r>
          </w:p>
        </w:tc>
        <w:tc>
          <w:tcPr>
            <w:tcW w:w="2268" w:type="dxa"/>
            <w:tcBorders>
              <w:top w:val="nil"/>
              <w:left w:val="nil"/>
              <w:bottom w:val="nil"/>
              <w:right w:val="nil"/>
            </w:tcBorders>
            <w:shd w:val="clear" w:color="auto" w:fill="auto"/>
            <w:noWrap/>
            <w:vAlign w:val="bottom"/>
            <w:hideMark/>
          </w:tcPr>
          <w:p w14:paraId="088FF2AA"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155D148A"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EE9AF2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F032E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DE4878"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8F2166"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011EFE"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80EE769"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559D7AA2" w14:textId="77777777" w:rsidTr="0095397F">
        <w:trPr>
          <w:trHeight w:val="300"/>
        </w:trPr>
        <w:tc>
          <w:tcPr>
            <w:tcW w:w="2835" w:type="dxa"/>
            <w:tcBorders>
              <w:top w:val="nil"/>
              <w:left w:val="nil"/>
              <w:bottom w:val="nil"/>
              <w:right w:val="nil"/>
            </w:tcBorders>
            <w:shd w:val="clear" w:color="auto" w:fill="auto"/>
            <w:noWrap/>
            <w:vAlign w:val="bottom"/>
            <w:hideMark/>
          </w:tcPr>
          <w:p w14:paraId="574900B7"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7</w:t>
            </w:r>
          </w:p>
        </w:tc>
        <w:tc>
          <w:tcPr>
            <w:tcW w:w="2268" w:type="dxa"/>
            <w:tcBorders>
              <w:top w:val="nil"/>
              <w:left w:val="nil"/>
              <w:bottom w:val="nil"/>
              <w:right w:val="nil"/>
            </w:tcBorders>
            <w:shd w:val="clear" w:color="auto" w:fill="auto"/>
            <w:noWrap/>
            <w:vAlign w:val="bottom"/>
            <w:hideMark/>
          </w:tcPr>
          <w:p w14:paraId="26AD432D"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5FF6CEE4"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A6BEDD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9082B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F2602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85F4CDA"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13FFC4"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947E15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r w:rsidR="006501A4" w:rsidRPr="000C53B4" w14:paraId="407FBBFE"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15768E91"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Windra Vale2 8</w:t>
            </w:r>
          </w:p>
        </w:tc>
        <w:tc>
          <w:tcPr>
            <w:tcW w:w="2268" w:type="dxa"/>
            <w:tcBorders>
              <w:top w:val="nil"/>
              <w:left w:val="nil"/>
              <w:bottom w:val="single" w:sz="8" w:space="0" w:color="auto"/>
              <w:right w:val="nil"/>
            </w:tcBorders>
            <w:shd w:val="clear" w:color="auto" w:fill="auto"/>
            <w:noWrap/>
            <w:vAlign w:val="bottom"/>
            <w:hideMark/>
          </w:tcPr>
          <w:p w14:paraId="004811DE" w14:textId="77777777" w:rsidR="006501A4" w:rsidRPr="000C53B4" w:rsidRDefault="006501A4" w:rsidP="0095397F">
            <w:pPr>
              <w:spacing w:after="0" w:line="240" w:lineRule="auto"/>
              <w:rPr>
                <w:rFonts w:eastAsia="Times New Roman" w:cs="Calibri"/>
                <w:color w:val="000000"/>
                <w:lang w:eastAsia="en-AU"/>
              </w:rPr>
            </w:pPr>
            <w:r w:rsidRPr="000C53B4">
              <w:rPr>
                <w:rFonts w:eastAsia="Times New Roman" w:cs="Calibri"/>
                <w:color w:val="000000"/>
                <w:lang w:eastAsia="en-AU"/>
              </w:rPr>
              <w:t>Yallakool Creek</w:t>
            </w:r>
          </w:p>
        </w:tc>
        <w:tc>
          <w:tcPr>
            <w:tcW w:w="1017" w:type="dxa"/>
            <w:tcBorders>
              <w:top w:val="nil"/>
              <w:left w:val="nil"/>
              <w:bottom w:val="single" w:sz="8" w:space="0" w:color="auto"/>
              <w:right w:val="nil"/>
            </w:tcBorders>
            <w:shd w:val="clear" w:color="auto" w:fill="auto"/>
            <w:noWrap/>
            <w:vAlign w:val="bottom"/>
            <w:hideMark/>
          </w:tcPr>
          <w:p w14:paraId="67E2262C" w14:textId="77777777" w:rsidR="006501A4" w:rsidRPr="000C53B4" w:rsidRDefault="006501A4" w:rsidP="0095397F">
            <w:pPr>
              <w:spacing w:after="0" w:line="240" w:lineRule="auto"/>
              <w:jc w:val="center"/>
              <w:rPr>
                <w:rFonts w:eastAsia="Times New Roman" w:cs="Calibri"/>
                <w:color w:val="000000"/>
                <w:lang w:eastAsia="en-AU"/>
              </w:rPr>
            </w:pPr>
            <w:r w:rsidRPr="000C53B4">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69DF4C7C"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6862BD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44D3F3B"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27FAFFF"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78FA340"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C76B162" w14:textId="77777777" w:rsidR="006501A4" w:rsidRPr="000C53B4" w:rsidRDefault="006501A4" w:rsidP="0095397F">
            <w:pPr>
              <w:spacing w:after="0" w:line="240" w:lineRule="auto"/>
              <w:jc w:val="center"/>
              <w:rPr>
                <w:rFonts w:eastAsia="Times New Roman" w:cs="Calibri"/>
                <w:color w:val="9C0006"/>
                <w:lang w:eastAsia="en-AU"/>
              </w:rPr>
            </w:pPr>
            <w:r w:rsidRPr="000C53B4">
              <w:rPr>
                <w:rFonts w:eastAsia="Times New Roman" w:cs="Calibri"/>
                <w:color w:val="9C0006"/>
                <w:lang w:eastAsia="en-AU"/>
              </w:rPr>
              <w:t>×</w:t>
            </w:r>
          </w:p>
        </w:tc>
      </w:tr>
    </w:tbl>
    <w:p w14:paraId="7F5BCC5F" w14:textId="77777777" w:rsidR="006501A4" w:rsidRPr="00364C60"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pPr>
    </w:p>
    <w:p w14:paraId="7FBC5530" w14:textId="77777777" w:rsidR="006501A4" w:rsidRPr="00364C60"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Calibri"/>
          <w:color w:val="201F1E"/>
          <w:sz w:val="22"/>
          <w:szCs w:val="22"/>
          <w:bdr w:val="none" w:sz="0" w:space="0" w:color="auto" w:frame="1"/>
        </w:rPr>
      </w:pPr>
    </w:p>
    <w:p w14:paraId="771D1C3A" w14:textId="77777777" w:rsidR="006501A4" w:rsidRDefault="006501A4" w:rsidP="006501A4">
      <w:pPr>
        <w:rPr>
          <w:rFonts w:eastAsia="Times New Roman"/>
          <w:b/>
          <w:color w:val="201F1E"/>
          <w:sz w:val="20"/>
          <w:bdr w:val="none" w:sz="0" w:space="0" w:color="auto" w:frame="1"/>
          <w:lang w:eastAsia="en-AU"/>
        </w:rPr>
      </w:pPr>
      <w:r>
        <w:rPr>
          <w:b/>
          <w:color w:val="201F1E"/>
          <w:sz w:val="20"/>
          <w:bdr w:val="none" w:sz="0" w:space="0" w:color="auto" w:frame="1"/>
        </w:rPr>
        <w:br w:type="page"/>
      </w:r>
    </w:p>
    <w:p w14:paraId="32D0DEC6" w14:textId="77777777" w:rsidR="006501A4" w:rsidRDefault="006501A4" w:rsidP="006501A4">
      <w:pPr>
        <w:pStyle w:val="xmsonormal"/>
        <w:shd w:val="clear" w:color="auto" w:fill="FFFFFF"/>
        <w:spacing w:before="0" w:beforeAutospacing="0" w:after="0" w:afterAutospacing="0"/>
        <w:textAlignment w:val="baseline"/>
        <w:rPr>
          <w:rFonts w:asciiTheme="minorHAnsi" w:hAnsiTheme="minorHAnsi"/>
          <w:color w:val="201F1E"/>
          <w:sz w:val="20"/>
          <w:szCs w:val="20"/>
          <w:bdr w:val="none" w:sz="0" w:space="0" w:color="auto" w:frame="1"/>
        </w:rPr>
      </w:pPr>
      <w:r w:rsidRPr="002967FF">
        <w:rPr>
          <w:rFonts w:asciiTheme="minorHAnsi" w:hAnsiTheme="minorHAnsi"/>
          <w:b/>
          <w:color w:val="201F1E"/>
          <w:sz w:val="20"/>
          <w:szCs w:val="20"/>
          <w:bdr w:val="none" w:sz="0" w:space="0" w:color="auto" w:frame="1"/>
        </w:rPr>
        <w:t xml:space="preserve">Appendix </w:t>
      </w:r>
      <w:r>
        <w:rPr>
          <w:rFonts w:asciiTheme="minorHAnsi" w:hAnsiTheme="minorHAnsi"/>
          <w:b/>
          <w:bCs/>
          <w:color w:val="201F1E"/>
          <w:sz w:val="20"/>
          <w:szCs w:val="20"/>
          <w:bdr w:val="none" w:sz="0" w:space="0" w:color="auto" w:frame="1"/>
        </w:rPr>
        <w:t>12.9</w:t>
      </w:r>
      <w:r>
        <w:rPr>
          <w:rFonts w:asciiTheme="minorHAnsi" w:hAnsiTheme="minorHAnsi"/>
          <w:b/>
          <w:color w:val="201F1E"/>
          <w:sz w:val="20"/>
          <w:szCs w:val="20"/>
          <w:bdr w:val="none" w:sz="0" w:space="0" w:color="auto" w:frame="1"/>
        </w:rPr>
        <w:t xml:space="preserve"> </w:t>
      </w:r>
      <w:r w:rsidRPr="002967FF">
        <w:rPr>
          <w:rFonts w:asciiTheme="minorHAnsi" w:hAnsiTheme="minorHAnsi"/>
          <w:color w:val="201F1E"/>
          <w:sz w:val="20"/>
          <w:szCs w:val="20"/>
          <w:bdr w:val="none" w:sz="0" w:space="0" w:color="auto" w:frame="1"/>
        </w:rPr>
        <w:t xml:space="preserve">Positive detections of </w:t>
      </w:r>
      <w:r>
        <w:rPr>
          <w:rFonts w:asciiTheme="minorHAnsi" w:hAnsiTheme="minorHAnsi"/>
          <w:color w:val="201F1E"/>
          <w:sz w:val="20"/>
          <w:szCs w:val="20"/>
          <w:bdr w:val="none" w:sz="0" w:space="0" w:color="auto" w:frame="1"/>
        </w:rPr>
        <w:t>dwarf flathead gudgeon</w:t>
      </w:r>
      <w:r w:rsidRPr="002967FF">
        <w:rPr>
          <w:rFonts w:asciiTheme="minorHAnsi" w:hAnsiTheme="minorHAnsi"/>
          <w:color w:val="201F1E"/>
          <w:sz w:val="20"/>
          <w:szCs w:val="20"/>
          <w:bdr w:val="none" w:sz="0" w:space="0" w:color="auto" w:frame="1"/>
        </w:rPr>
        <w:t xml:space="preserve"> at the ten sampling locations. </w:t>
      </w:r>
      <w:r>
        <w:rPr>
          <w:rFonts w:asciiTheme="minorHAnsi" w:hAnsiTheme="minorHAnsi"/>
          <w:color w:val="201F1E"/>
          <w:sz w:val="20"/>
          <w:szCs w:val="20"/>
          <w:bdr w:val="none" w:sz="0" w:space="0" w:color="auto" w:frame="1"/>
        </w:rPr>
        <w:t xml:space="preserve">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w:t>
      </w:r>
      <w:r w:rsidRPr="00B64CC2">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p w14:paraId="11FF1598" w14:textId="77777777" w:rsidR="006501A4" w:rsidRDefault="006501A4" w:rsidP="006501A4">
      <w:pPr>
        <w:pStyle w:val="xmsonormal"/>
        <w:shd w:val="clear" w:color="auto" w:fill="FFFFFF"/>
        <w:spacing w:before="0" w:beforeAutospacing="0" w:after="0" w:afterAutospacing="0"/>
        <w:textAlignment w:val="baseline"/>
        <w:rPr>
          <w:rFonts w:asciiTheme="minorHAnsi" w:hAnsiTheme="minorHAnsi"/>
          <w:color w:val="201F1E"/>
          <w:sz w:val="20"/>
          <w:szCs w:val="20"/>
          <w:bdr w:val="none" w:sz="0" w:space="0" w:color="auto" w:frame="1"/>
        </w:rPr>
      </w:pPr>
    </w:p>
    <w:tbl>
      <w:tblPr>
        <w:tblW w:w="9240" w:type="dxa"/>
        <w:tblLook w:val="04A0" w:firstRow="1" w:lastRow="0" w:firstColumn="1" w:lastColumn="0" w:noHBand="0" w:noVBand="1"/>
      </w:tblPr>
      <w:tblGrid>
        <w:gridCol w:w="2835"/>
        <w:gridCol w:w="2268"/>
        <w:gridCol w:w="1017"/>
        <w:gridCol w:w="520"/>
        <w:gridCol w:w="520"/>
        <w:gridCol w:w="520"/>
        <w:gridCol w:w="520"/>
        <w:gridCol w:w="520"/>
        <w:gridCol w:w="520"/>
      </w:tblGrid>
      <w:tr w:rsidR="006501A4" w:rsidRPr="008C265B" w14:paraId="0B53C33E" w14:textId="77777777" w:rsidTr="0095397F">
        <w:trPr>
          <w:trHeight w:val="315"/>
        </w:trPr>
        <w:tc>
          <w:tcPr>
            <w:tcW w:w="2835" w:type="dxa"/>
            <w:tcBorders>
              <w:top w:val="nil"/>
              <w:left w:val="nil"/>
              <w:bottom w:val="single" w:sz="8" w:space="0" w:color="auto"/>
              <w:right w:val="nil"/>
            </w:tcBorders>
            <w:shd w:val="clear" w:color="auto" w:fill="92CDDC"/>
            <w:noWrap/>
            <w:vAlign w:val="bottom"/>
            <w:hideMark/>
          </w:tcPr>
          <w:bookmarkEnd w:id="216"/>
          <w:p w14:paraId="01EC1C8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Sample ID</w:t>
            </w:r>
          </w:p>
        </w:tc>
        <w:tc>
          <w:tcPr>
            <w:tcW w:w="2268" w:type="dxa"/>
            <w:tcBorders>
              <w:top w:val="nil"/>
              <w:left w:val="nil"/>
              <w:bottom w:val="single" w:sz="8" w:space="0" w:color="auto"/>
              <w:right w:val="nil"/>
            </w:tcBorders>
            <w:shd w:val="clear" w:color="auto" w:fill="92CDDC"/>
            <w:noWrap/>
            <w:vAlign w:val="bottom"/>
            <w:hideMark/>
          </w:tcPr>
          <w:p w14:paraId="5A0EEBE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Waterway</w:t>
            </w:r>
          </w:p>
        </w:tc>
        <w:tc>
          <w:tcPr>
            <w:tcW w:w="1017" w:type="dxa"/>
            <w:tcBorders>
              <w:top w:val="nil"/>
              <w:left w:val="nil"/>
              <w:bottom w:val="single" w:sz="8" w:space="0" w:color="auto"/>
              <w:right w:val="nil"/>
            </w:tcBorders>
            <w:shd w:val="clear" w:color="auto" w:fill="92CDDC"/>
            <w:noWrap/>
            <w:vAlign w:val="bottom"/>
            <w:hideMark/>
          </w:tcPr>
          <w:p w14:paraId="097D426F"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Pos reps</w:t>
            </w:r>
          </w:p>
        </w:tc>
        <w:tc>
          <w:tcPr>
            <w:tcW w:w="520" w:type="dxa"/>
            <w:tcBorders>
              <w:top w:val="nil"/>
              <w:left w:val="nil"/>
              <w:bottom w:val="single" w:sz="8" w:space="0" w:color="auto"/>
              <w:right w:val="nil"/>
            </w:tcBorders>
            <w:shd w:val="clear" w:color="auto" w:fill="92CDDC"/>
            <w:noWrap/>
            <w:vAlign w:val="bottom"/>
            <w:hideMark/>
          </w:tcPr>
          <w:p w14:paraId="256A5F5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n1</w:t>
            </w:r>
          </w:p>
        </w:tc>
        <w:tc>
          <w:tcPr>
            <w:tcW w:w="520" w:type="dxa"/>
            <w:tcBorders>
              <w:top w:val="nil"/>
              <w:left w:val="nil"/>
              <w:bottom w:val="single" w:sz="8" w:space="0" w:color="auto"/>
              <w:right w:val="nil"/>
            </w:tcBorders>
            <w:shd w:val="clear" w:color="auto" w:fill="92CDDC"/>
            <w:noWrap/>
            <w:vAlign w:val="bottom"/>
            <w:hideMark/>
          </w:tcPr>
          <w:p w14:paraId="7CD7425F"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n2</w:t>
            </w:r>
          </w:p>
        </w:tc>
        <w:tc>
          <w:tcPr>
            <w:tcW w:w="520" w:type="dxa"/>
            <w:tcBorders>
              <w:top w:val="nil"/>
              <w:left w:val="nil"/>
              <w:bottom w:val="single" w:sz="8" w:space="0" w:color="auto"/>
              <w:right w:val="nil"/>
            </w:tcBorders>
            <w:shd w:val="clear" w:color="auto" w:fill="92CDDC"/>
            <w:noWrap/>
            <w:vAlign w:val="bottom"/>
            <w:hideMark/>
          </w:tcPr>
          <w:p w14:paraId="691A2D3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n3</w:t>
            </w:r>
          </w:p>
        </w:tc>
        <w:tc>
          <w:tcPr>
            <w:tcW w:w="520" w:type="dxa"/>
            <w:tcBorders>
              <w:top w:val="nil"/>
              <w:left w:val="nil"/>
              <w:bottom w:val="single" w:sz="8" w:space="0" w:color="auto"/>
              <w:right w:val="nil"/>
            </w:tcBorders>
            <w:shd w:val="clear" w:color="auto" w:fill="92CDDC"/>
            <w:noWrap/>
            <w:vAlign w:val="bottom"/>
            <w:hideMark/>
          </w:tcPr>
          <w:p w14:paraId="2C44CC94"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n4</w:t>
            </w:r>
          </w:p>
        </w:tc>
        <w:tc>
          <w:tcPr>
            <w:tcW w:w="520" w:type="dxa"/>
            <w:tcBorders>
              <w:top w:val="nil"/>
              <w:left w:val="nil"/>
              <w:bottom w:val="single" w:sz="8" w:space="0" w:color="auto"/>
              <w:right w:val="nil"/>
            </w:tcBorders>
            <w:shd w:val="clear" w:color="auto" w:fill="92CDDC"/>
            <w:noWrap/>
            <w:vAlign w:val="bottom"/>
            <w:hideMark/>
          </w:tcPr>
          <w:p w14:paraId="6669157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n5</w:t>
            </w:r>
          </w:p>
        </w:tc>
        <w:tc>
          <w:tcPr>
            <w:tcW w:w="520" w:type="dxa"/>
            <w:tcBorders>
              <w:top w:val="nil"/>
              <w:left w:val="nil"/>
              <w:bottom w:val="single" w:sz="8" w:space="0" w:color="auto"/>
              <w:right w:val="nil"/>
            </w:tcBorders>
            <w:shd w:val="clear" w:color="auto" w:fill="92CDDC"/>
            <w:noWrap/>
            <w:vAlign w:val="bottom"/>
            <w:hideMark/>
          </w:tcPr>
          <w:p w14:paraId="68687B6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n6</w:t>
            </w:r>
          </w:p>
        </w:tc>
      </w:tr>
      <w:tr w:rsidR="006501A4" w:rsidRPr="008C265B" w14:paraId="6E59A49A" w14:textId="77777777" w:rsidTr="0095397F">
        <w:trPr>
          <w:trHeight w:val="300"/>
        </w:trPr>
        <w:tc>
          <w:tcPr>
            <w:tcW w:w="2835" w:type="dxa"/>
            <w:tcBorders>
              <w:top w:val="nil"/>
              <w:left w:val="nil"/>
              <w:bottom w:val="nil"/>
              <w:right w:val="nil"/>
            </w:tcBorders>
            <w:shd w:val="clear" w:color="auto" w:fill="auto"/>
            <w:noWrap/>
            <w:vAlign w:val="bottom"/>
            <w:hideMark/>
          </w:tcPr>
          <w:p w14:paraId="2775CF4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1</w:t>
            </w:r>
          </w:p>
        </w:tc>
        <w:tc>
          <w:tcPr>
            <w:tcW w:w="2268" w:type="dxa"/>
            <w:tcBorders>
              <w:top w:val="nil"/>
              <w:left w:val="nil"/>
              <w:bottom w:val="nil"/>
              <w:right w:val="nil"/>
            </w:tcBorders>
            <w:shd w:val="clear" w:color="auto" w:fill="auto"/>
            <w:noWrap/>
            <w:vAlign w:val="bottom"/>
            <w:hideMark/>
          </w:tcPr>
          <w:p w14:paraId="6D9EBC8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DB25A2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E3A954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7D23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CB92E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CE83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9B77D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509B1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E1188F6" w14:textId="77777777" w:rsidTr="0095397F">
        <w:trPr>
          <w:trHeight w:val="300"/>
        </w:trPr>
        <w:tc>
          <w:tcPr>
            <w:tcW w:w="2835" w:type="dxa"/>
            <w:tcBorders>
              <w:top w:val="nil"/>
              <w:left w:val="nil"/>
              <w:bottom w:val="nil"/>
              <w:right w:val="nil"/>
            </w:tcBorders>
            <w:shd w:val="clear" w:color="auto" w:fill="auto"/>
            <w:noWrap/>
            <w:vAlign w:val="bottom"/>
            <w:hideMark/>
          </w:tcPr>
          <w:p w14:paraId="000CA87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2</w:t>
            </w:r>
          </w:p>
        </w:tc>
        <w:tc>
          <w:tcPr>
            <w:tcW w:w="2268" w:type="dxa"/>
            <w:tcBorders>
              <w:top w:val="nil"/>
              <w:left w:val="nil"/>
              <w:bottom w:val="nil"/>
              <w:right w:val="nil"/>
            </w:tcBorders>
            <w:shd w:val="clear" w:color="auto" w:fill="auto"/>
            <w:noWrap/>
            <w:vAlign w:val="bottom"/>
            <w:hideMark/>
          </w:tcPr>
          <w:p w14:paraId="00A70B0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35F2826"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493ECB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EC681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D61AFA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9D715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E116DD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AFD88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714182E" w14:textId="77777777" w:rsidTr="0095397F">
        <w:trPr>
          <w:trHeight w:val="300"/>
        </w:trPr>
        <w:tc>
          <w:tcPr>
            <w:tcW w:w="2835" w:type="dxa"/>
            <w:tcBorders>
              <w:top w:val="nil"/>
              <w:left w:val="nil"/>
              <w:bottom w:val="nil"/>
              <w:right w:val="nil"/>
            </w:tcBorders>
            <w:shd w:val="clear" w:color="auto" w:fill="auto"/>
            <w:noWrap/>
            <w:vAlign w:val="bottom"/>
            <w:hideMark/>
          </w:tcPr>
          <w:p w14:paraId="51BFEC8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3</w:t>
            </w:r>
          </w:p>
        </w:tc>
        <w:tc>
          <w:tcPr>
            <w:tcW w:w="2268" w:type="dxa"/>
            <w:tcBorders>
              <w:top w:val="nil"/>
              <w:left w:val="nil"/>
              <w:bottom w:val="nil"/>
              <w:right w:val="nil"/>
            </w:tcBorders>
            <w:shd w:val="clear" w:color="auto" w:fill="auto"/>
            <w:noWrap/>
            <w:vAlign w:val="bottom"/>
            <w:hideMark/>
          </w:tcPr>
          <w:p w14:paraId="4AE2DD5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C52906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67A769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23668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21185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AEBC0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6F77B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514D6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12604B9" w14:textId="77777777" w:rsidTr="0095397F">
        <w:trPr>
          <w:trHeight w:val="300"/>
        </w:trPr>
        <w:tc>
          <w:tcPr>
            <w:tcW w:w="2835" w:type="dxa"/>
            <w:tcBorders>
              <w:top w:val="nil"/>
              <w:left w:val="nil"/>
              <w:bottom w:val="nil"/>
              <w:right w:val="nil"/>
            </w:tcBorders>
            <w:shd w:val="clear" w:color="auto" w:fill="auto"/>
            <w:noWrap/>
            <w:vAlign w:val="bottom"/>
            <w:hideMark/>
          </w:tcPr>
          <w:p w14:paraId="28F05E6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4</w:t>
            </w:r>
          </w:p>
        </w:tc>
        <w:tc>
          <w:tcPr>
            <w:tcW w:w="2268" w:type="dxa"/>
            <w:tcBorders>
              <w:top w:val="nil"/>
              <w:left w:val="nil"/>
              <w:bottom w:val="nil"/>
              <w:right w:val="nil"/>
            </w:tcBorders>
            <w:shd w:val="clear" w:color="auto" w:fill="auto"/>
            <w:noWrap/>
            <w:vAlign w:val="bottom"/>
            <w:hideMark/>
          </w:tcPr>
          <w:p w14:paraId="28633A8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1C989CB"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BB7D31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28EDF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3F30A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3AF29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A78E52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FC6E7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3A10C13" w14:textId="77777777" w:rsidTr="0095397F">
        <w:trPr>
          <w:trHeight w:val="300"/>
        </w:trPr>
        <w:tc>
          <w:tcPr>
            <w:tcW w:w="2835" w:type="dxa"/>
            <w:tcBorders>
              <w:top w:val="nil"/>
              <w:left w:val="nil"/>
              <w:bottom w:val="nil"/>
              <w:right w:val="nil"/>
            </w:tcBorders>
            <w:shd w:val="clear" w:color="auto" w:fill="auto"/>
            <w:noWrap/>
            <w:vAlign w:val="bottom"/>
            <w:hideMark/>
          </w:tcPr>
          <w:p w14:paraId="1A9009F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5</w:t>
            </w:r>
          </w:p>
        </w:tc>
        <w:tc>
          <w:tcPr>
            <w:tcW w:w="2268" w:type="dxa"/>
            <w:tcBorders>
              <w:top w:val="nil"/>
              <w:left w:val="nil"/>
              <w:bottom w:val="nil"/>
              <w:right w:val="nil"/>
            </w:tcBorders>
            <w:shd w:val="clear" w:color="auto" w:fill="auto"/>
            <w:noWrap/>
            <w:vAlign w:val="bottom"/>
            <w:hideMark/>
          </w:tcPr>
          <w:p w14:paraId="22DB43F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0CC1308"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002F6B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C0B2E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79B7C7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02BE7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50CD6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E4551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CAD9DA2" w14:textId="77777777" w:rsidTr="0095397F">
        <w:trPr>
          <w:trHeight w:val="300"/>
        </w:trPr>
        <w:tc>
          <w:tcPr>
            <w:tcW w:w="2835" w:type="dxa"/>
            <w:tcBorders>
              <w:top w:val="nil"/>
              <w:left w:val="nil"/>
              <w:bottom w:val="nil"/>
              <w:right w:val="nil"/>
            </w:tcBorders>
            <w:shd w:val="clear" w:color="auto" w:fill="auto"/>
            <w:noWrap/>
            <w:vAlign w:val="bottom"/>
            <w:hideMark/>
          </w:tcPr>
          <w:p w14:paraId="3459220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6</w:t>
            </w:r>
          </w:p>
        </w:tc>
        <w:tc>
          <w:tcPr>
            <w:tcW w:w="2268" w:type="dxa"/>
            <w:tcBorders>
              <w:top w:val="nil"/>
              <w:left w:val="nil"/>
              <w:bottom w:val="nil"/>
              <w:right w:val="nil"/>
            </w:tcBorders>
            <w:shd w:val="clear" w:color="auto" w:fill="auto"/>
            <w:noWrap/>
            <w:vAlign w:val="bottom"/>
            <w:hideMark/>
          </w:tcPr>
          <w:p w14:paraId="5A7A1F7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A15B3F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DA5796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2FFFA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6F4DD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0AC07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879E3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CE0BF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C854B8F" w14:textId="77777777" w:rsidTr="0095397F">
        <w:trPr>
          <w:trHeight w:val="300"/>
        </w:trPr>
        <w:tc>
          <w:tcPr>
            <w:tcW w:w="2835" w:type="dxa"/>
            <w:tcBorders>
              <w:top w:val="nil"/>
              <w:left w:val="nil"/>
              <w:bottom w:val="nil"/>
              <w:right w:val="nil"/>
            </w:tcBorders>
            <w:shd w:val="clear" w:color="auto" w:fill="auto"/>
            <w:noWrap/>
            <w:vAlign w:val="bottom"/>
            <w:hideMark/>
          </w:tcPr>
          <w:p w14:paraId="4B850B5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7</w:t>
            </w:r>
          </w:p>
        </w:tc>
        <w:tc>
          <w:tcPr>
            <w:tcW w:w="2268" w:type="dxa"/>
            <w:tcBorders>
              <w:top w:val="nil"/>
              <w:left w:val="nil"/>
              <w:bottom w:val="nil"/>
              <w:right w:val="nil"/>
            </w:tcBorders>
            <w:shd w:val="clear" w:color="auto" w:fill="auto"/>
            <w:noWrap/>
            <w:vAlign w:val="bottom"/>
            <w:hideMark/>
          </w:tcPr>
          <w:p w14:paraId="4A11115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BD3702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98171F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FCD6C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C7B0C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D4EBF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6DA61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88C89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1D52B20"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0B097F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Four Posts 8</w:t>
            </w:r>
          </w:p>
        </w:tc>
        <w:tc>
          <w:tcPr>
            <w:tcW w:w="2268" w:type="dxa"/>
            <w:tcBorders>
              <w:top w:val="nil"/>
              <w:left w:val="nil"/>
              <w:bottom w:val="single" w:sz="8" w:space="0" w:color="auto"/>
              <w:right w:val="nil"/>
            </w:tcBorders>
            <w:shd w:val="clear" w:color="auto" w:fill="auto"/>
            <w:noWrap/>
            <w:vAlign w:val="bottom"/>
            <w:hideMark/>
          </w:tcPr>
          <w:p w14:paraId="11C2077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5BA43C7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6AF777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487834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DC4DDB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47B816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1208CC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8C4D2B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492F412" w14:textId="77777777" w:rsidTr="0095397F">
        <w:trPr>
          <w:trHeight w:val="300"/>
        </w:trPr>
        <w:tc>
          <w:tcPr>
            <w:tcW w:w="2835" w:type="dxa"/>
            <w:tcBorders>
              <w:top w:val="nil"/>
              <w:left w:val="nil"/>
              <w:bottom w:val="nil"/>
              <w:right w:val="nil"/>
            </w:tcBorders>
            <w:shd w:val="clear" w:color="auto" w:fill="auto"/>
            <w:noWrap/>
            <w:vAlign w:val="bottom"/>
            <w:hideMark/>
          </w:tcPr>
          <w:p w14:paraId="39E42BB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1</w:t>
            </w:r>
          </w:p>
        </w:tc>
        <w:tc>
          <w:tcPr>
            <w:tcW w:w="2268" w:type="dxa"/>
            <w:tcBorders>
              <w:top w:val="nil"/>
              <w:left w:val="nil"/>
              <w:bottom w:val="nil"/>
              <w:right w:val="nil"/>
            </w:tcBorders>
            <w:shd w:val="clear" w:color="auto" w:fill="auto"/>
            <w:noWrap/>
            <w:vAlign w:val="bottom"/>
            <w:hideMark/>
          </w:tcPr>
          <w:p w14:paraId="016EC59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19EA964"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ED5270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46809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BFB83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0A331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D57B2A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6E251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58B16D5" w14:textId="77777777" w:rsidTr="0095397F">
        <w:trPr>
          <w:trHeight w:val="300"/>
        </w:trPr>
        <w:tc>
          <w:tcPr>
            <w:tcW w:w="2835" w:type="dxa"/>
            <w:tcBorders>
              <w:top w:val="nil"/>
              <w:left w:val="nil"/>
              <w:bottom w:val="nil"/>
              <w:right w:val="nil"/>
            </w:tcBorders>
            <w:shd w:val="clear" w:color="auto" w:fill="auto"/>
            <w:noWrap/>
            <w:vAlign w:val="bottom"/>
            <w:hideMark/>
          </w:tcPr>
          <w:p w14:paraId="44AA404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2</w:t>
            </w:r>
          </w:p>
        </w:tc>
        <w:tc>
          <w:tcPr>
            <w:tcW w:w="2268" w:type="dxa"/>
            <w:tcBorders>
              <w:top w:val="nil"/>
              <w:left w:val="nil"/>
              <w:bottom w:val="nil"/>
              <w:right w:val="nil"/>
            </w:tcBorders>
            <w:shd w:val="clear" w:color="auto" w:fill="auto"/>
            <w:noWrap/>
            <w:vAlign w:val="bottom"/>
            <w:hideMark/>
          </w:tcPr>
          <w:p w14:paraId="52702F9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4DDB6BA"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8B7CA5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DDB7F5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B03A5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BAF57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66E81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E26D6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8FF6AA3" w14:textId="77777777" w:rsidTr="0095397F">
        <w:trPr>
          <w:trHeight w:val="300"/>
        </w:trPr>
        <w:tc>
          <w:tcPr>
            <w:tcW w:w="2835" w:type="dxa"/>
            <w:tcBorders>
              <w:top w:val="nil"/>
              <w:left w:val="nil"/>
              <w:bottom w:val="nil"/>
              <w:right w:val="nil"/>
            </w:tcBorders>
            <w:shd w:val="clear" w:color="auto" w:fill="auto"/>
            <w:noWrap/>
            <w:vAlign w:val="bottom"/>
            <w:hideMark/>
          </w:tcPr>
          <w:p w14:paraId="43F78EC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3</w:t>
            </w:r>
          </w:p>
        </w:tc>
        <w:tc>
          <w:tcPr>
            <w:tcW w:w="2268" w:type="dxa"/>
            <w:tcBorders>
              <w:top w:val="nil"/>
              <w:left w:val="nil"/>
              <w:bottom w:val="nil"/>
              <w:right w:val="nil"/>
            </w:tcBorders>
            <w:shd w:val="clear" w:color="auto" w:fill="auto"/>
            <w:noWrap/>
            <w:vAlign w:val="bottom"/>
            <w:hideMark/>
          </w:tcPr>
          <w:p w14:paraId="0B2CE78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4BBA06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D047DC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059511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D89DD5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FD2CB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AA629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E9443F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B459F91" w14:textId="77777777" w:rsidTr="0095397F">
        <w:trPr>
          <w:trHeight w:val="300"/>
        </w:trPr>
        <w:tc>
          <w:tcPr>
            <w:tcW w:w="2835" w:type="dxa"/>
            <w:tcBorders>
              <w:top w:val="nil"/>
              <w:left w:val="nil"/>
              <w:bottom w:val="nil"/>
              <w:right w:val="nil"/>
            </w:tcBorders>
            <w:shd w:val="clear" w:color="auto" w:fill="auto"/>
            <w:noWrap/>
            <w:vAlign w:val="bottom"/>
            <w:hideMark/>
          </w:tcPr>
          <w:p w14:paraId="39AAD33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4</w:t>
            </w:r>
          </w:p>
        </w:tc>
        <w:tc>
          <w:tcPr>
            <w:tcW w:w="2268" w:type="dxa"/>
            <w:tcBorders>
              <w:top w:val="nil"/>
              <w:left w:val="nil"/>
              <w:bottom w:val="nil"/>
              <w:right w:val="nil"/>
            </w:tcBorders>
            <w:shd w:val="clear" w:color="auto" w:fill="auto"/>
            <w:noWrap/>
            <w:vAlign w:val="bottom"/>
            <w:hideMark/>
          </w:tcPr>
          <w:p w14:paraId="6976DE2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036000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2AAB47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9D97F4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F5EA3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2836A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C4536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C0172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2D296D1" w14:textId="77777777" w:rsidTr="0095397F">
        <w:trPr>
          <w:trHeight w:val="300"/>
        </w:trPr>
        <w:tc>
          <w:tcPr>
            <w:tcW w:w="2835" w:type="dxa"/>
            <w:tcBorders>
              <w:top w:val="nil"/>
              <w:left w:val="nil"/>
              <w:bottom w:val="nil"/>
              <w:right w:val="nil"/>
            </w:tcBorders>
            <w:shd w:val="clear" w:color="auto" w:fill="auto"/>
            <w:noWrap/>
            <w:vAlign w:val="bottom"/>
            <w:hideMark/>
          </w:tcPr>
          <w:p w14:paraId="49075A7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5</w:t>
            </w:r>
          </w:p>
        </w:tc>
        <w:tc>
          <w:tcPr>
            <w:tcW w:w="2268" w:type="dxa"/>
            <w:tcBorders>
              <w:top w:val="nil"/>
              <w:left w:val="nil"/>
              <w:bottom w:val="nil"/>
              <w:right w:val="nil"/>
            </w:tcBorders>
            <w:shd w:val="clear" w:color="auto" w:fill="auto"/>
            <w:noWrap/>
            <w:vAlign w:val="bottom"/>
            <w:hideMark/>
          </w:tcPr>
          <w:p w14:paraId="3A254F9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46AD94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21D491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89ACD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B91B8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631A2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0EF6F3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8B308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EF555DC" w14:textId="77777777" w:rsidTr="0095397F">
        <w:trPr>
          <w:trHeight w:val="300"/>
        </w:trPr>
        <w:tc>
          <w:tcPr>
            <w:tcW w:w="2835" w:type="dxa"/>
            <w:tcBorders>
              <w:top w:val="nil"/>
              <w:left w:val="nil"/>
              <w:bottom w:val="nil"/>
              <w:right w:val="nil"/>
            </w:tcBorders>
            <w:shd w:val="clear" w:color="auto" w:fill="auto"/>
            <w:noWrap/>
            <w:vAlign w:val="bottom"/>
            <w:hideMark/>
          </w:tcPr>
          <w:p w14:paraId="13F0CAF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6</w:t>
            </w:r>
          </w:p>
        </w:tc>
        <w:tc>
          <w:tcPr>
            <w:tcW w:w="2268" w:type="dxa"/>
            <w:tcBorders>
              <w:top w:val="nil"/>
              <w:left w:val="nil"/>
              <w:bottom w:val="nil"/>
              <w:right w:val="nil"/>
            </w:tcBorders>
            <w:shd w:val="clear" w:color="auto" w:fill="auto"/>
            <w:noWrap/>
            <w:vAlign w:val="bottom"/>
            <w:hideMark/>
          </w:tcPr>
          <w:p w14:paraId="17A6FCB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C3A891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CA94A0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58A14A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4765B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15306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EE0DD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95128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5C80488" w14:textId="77777777" w:rsidTr="0095397F">
        <w:trPr>
          <w:trHeight w:val="300"/>
        </w:trPr>
        <w:tc>
          <w:tcPr>
            <w:tcW w:w="2835" w:type="dxa"/>
            <w:tcBorders>
              <w:top w:val="nil"/>
              <w:left w:val="nil"/>
              <w:bottom w:val="nil"/>
              <w:right w:val="nil"/>
            </w:tcBorders>
            <w:shd w:val="clear" w:color="auto" w:fill="auto"/>
            <w:noWrap/>
            <w:vAlign w:val="bottom"/>
            <w:hideMark/>
          </w:tcPr>
          <w:p w14:paraId="44EB99F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7</w:t>
            </w:r>
          </w:p>
        </w:tc>
        <w:tc>
          <w:tcPr>
            <w:tcW w:w="2268" w:type="dxa"/>
            <w:tcBorders>
              <w:top w:val="nil"/>
              <w:left w:val="nil"/>
              <w:bottom w:val="nil"/>
              <w:right w:val="nil"/>
            </w:tcBorders>
            <w:shd w:val="clear" w:color="auto" w:fill="auto"/>
            <w:noWrap/>
            <w:vAlign w:val="bottom"/>
            <w:hideMark/>
          </w:tcPr>
          <w:p w14:paraId="1D7E3F5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F4FF52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97D5E4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973DC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29258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907A2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AB6ED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C899F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5016998"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562A0C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Eastman Bridge 8</w:t>
            </w:r>
          </w:p>
        </w:tc>
        <w:tc>
          <w:tcPr>
            <w:tcW w:w="2268" w:type="dxa"/>
            <w:tcBorders>
              <w:top w:val="nil"/>
              <w:left w:val="nil"/>
              <w:bottom w:val="single" w:sz="8" w:space="0" w:color="auto"/>
              <w:right w:val="nil"/>
            </w:tcBorders>
            <w:shd w:val="clear" w:color="auto" w:fill="auto"/>
            <w:noWrap/>
            <w:vAlign w:val="bottom"/>
            <w:hideMark/>
          </w:tcPr>
          <w:p w14:paraId="23BF0E8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739CD37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626868B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A855BF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926E54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435E17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217F09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B76BB6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081C2BC" w14:textId="77777777" w:rsidTr="0095397F">
        <w:trPr>
          <w:trHeight w:val="300"/>
        </w:trPr>
        <w:tc>
          <w:tcPr>
            <w:tcW w:w="2835" w:type="dxa"/>
            <w:tcBorders>
              <w:top w:val="nil"/>
              <w:left w:val="nil"/>
              <w:bottom w:val="nil"/>
              <w:right w:val="nil"/>
            </w:tcBorders>
            <w:shd w:val="clear" w:color="auto" w:fill="auto"/>
            <w:noWrap/>
            <w:vAlign w:val="bottom"/>
            <w:hideMark/>
          </w:tcPr>
          <w:p w14:paraId="723C9EC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1</w:t>
            </w:r>
          </w:p>
        </w:tc>
        <w:tc>
          <w:tcPr>
            <w:tcW w:w="2268" w:type="dxa"/>
            <w:tcBorders>
              <w:top w:val="nil"/>
              <w:left w:val="nil"/>
              <w:bottom w:val="nil"/>
              <w:right w:val="nil"/>
            </w:tcBorders>
            <w:shd w:val="clear" w:color="auto" w:fill="auto"/>
            <w:noWrap/>
            <w:vAlign w:val="bottom"/>
            <w:hideMark/>
          </w:tcPr>
          <w:p w14:paraId="1AA4C2E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DD56318"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E47676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56085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8C025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D41ED8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419FB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9A1E1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1E00444" w14:textId="77777777" w:rsidTr="0095397F">
        <w:trPr>
          <w:trHeight w:val="300"/>
        </w:trPr>
        <w:tc>
          <w:tcPr>
            <w:tcW w:w="2835" w:type="dxa"/>
            <w:tcBorders>
              <w:top w:val="nil"/>
              <w:left w:val="nil"/>
              <w:bottom w:val="nil"/>
              <w:right w:val="nil"/>
            </w:tcBorders>
            <w:shd w:val="clear" w:color="auto" w:fill="auto"/>
            <w:noWrap/>
            <w:vAlign w:val="bottom"/>
            <w:hideMark/>
          </w:tcPr>
          <w:p w14:paraId="2D18605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2</w:t>
            </w:r>
          </w:p>
        </w:tc>
        <w:tc>
          <w:tcPr>
            <w:tcW w:w="2268" w:type="dxa"/>
            <w:tcBorders>
              <w:top w:val="nil"/>
              <w:left w:val="nil"/>
              <w:bottom w:val="nil"/>
              <w:right w:val="nil"/>
            </w:tcBorders>
            <w:shd w:val="clear" w:color="auto" w:fill="auto"/>
            <w:noWrap/>
            <w:vAlign w:val="bottom"/>
            <w:hideMark/>
          </w:tcPr>
          <w:p w14:paraId="1B35C73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9289DB6"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6373E5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5E4BD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8F791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724BA2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0715E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5DF482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EB93F96" w14:textId="77777777" w:rsidTr="0095397F">
        <w:trPr>
          <w:trHeight w:val="300"/>
        </w:trPr>
        <w:tc>
          <w:tcPr>
            <w:tcW w:w="2835" w:type="dxa"/>
            <w:tcBorders>
              <w:top w:val="nil"/>
              <w:left w:val="nil"/>
              <w:bottom w:val="nil"/>
              <w:right w:val="nil"/>
            </w:tcBorders>
            <w:shd w:val="clear" w:color="auto" w:fill="auto"/>
            <w:noWrap/>
            <w:vAlign w:val="bottom"/>
            <w:hideMark/>
          </w:tcPr>
          <w:p w14:paraId="4A10877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3</w:t>
            </w:r>
          </w:p>
        </w:tc>
        <w:tc>
          <w:tcPr>
            <w:tcW w:w="2268" w:type="dxa"/>
            <w:tcBorders>
              <w:top w:val="nil"/>
              <w:left w:val="nil"/>
              <w:bottom w:val="nil"/>
              <w:right w:val="nil"/>
            </w:tcBorders>
            <w:shd w:val="clear" w:color="auto" w:fill="auto"/>
            <w:noWrap/>
            <w:vAlign w:val="bottom"/>
            <w:hideMark/>
          </w:tcPr>
          <w:p w14:paraId="77297CC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DA4C00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466947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59A81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92498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1CA64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23B58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F7E92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E04A7A8" w14:textId="77777777" w:rsidTr="0095397F">
        <w:trPr>
          <w:trHeight w:val="300"/>
        </w:trPr>
        <w:tc>
          <w:tcPr>
            <w:tcW w:w="2835" w:type="dxa"/>
            <w:tcBorders>
              <w:top w:val="nil"/>
              <w:left w:val="nil"/>
              <w:bottom w:val="nil"/>
              <w:right w:val="nil"/>
            </w:tcBorders>
            <w:shd w:val="clear" w:color="auto" w:fill="auto"/>
            <w:noWrap/>
            <w:vAlign w:val="bottom"/>
            <w:hideMark/>
          </w:tcPr>
          <w:p w14:paraId="43C927F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4</w:t>
            </w:r>
          </w:p>
        </w:tc>
        <w:tc>
          <w:tcPr>
            <w:tcW w:w="2268" w:type="dxa"/>
            <w:tcBorders>
              <w:top w:val="nil"/>
              <w:left w:val="nil"/>
              <w:bottom w:val="nil"/>
              <w:right w:val="nil"/>
            </w:tcBorders>
            <w:shd w:val="clear" w:color="auto" w:fill="auto"/>
            <w:noWrap/>
            <w:vAlign w:val="bottom"/>
            <w:hideMark/>
          </w:tcPr>
          <w:p w14:paraId="170F5B1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3256C53"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DB97B2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FB565B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0B4D2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9BDC2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759E88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3BA3B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10B9858" w14:textId="77777777" w:rsidTr="0095397F">
        <w:trPr>
          <w:trHeight w:val="300"/>
        </w:trPr>
        <w:tc>
          <w:tcPr>
            <w:tcW w:w="2835" w:type="dxa"/>
            <w:tcBorders>
              <w:top w:val="nil"/>
              <w:left w:val="nil"/>
              <w:bottom w:val="nil"/>
              <w:right w:val="nil"/>
            </w:tcBorders>
            <w:shd w:val="clear" w:color="auto" w:fill="auto"/>
            <w:noWrap/>
            <w:vAlign w:val="bottom"/>
            <w:hideMark/>
          </w:tcPr>
          <w:p w14:paraId="63A09B6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5</w:t>
            </w:r>
          </w:p>
        </w:tc>
        <w:tc>
          <w:tcPr>
            <w:tcW w:w="2268" w:type="dxa"/>
            <w:tcBorders>
              <w:top w:val="nil"/>
              <w:left w:val="nil"/>
              <w:bottom w:val="nil"/>
              <w:right w:val="nil"/>
            </w:tcBorders>
            <w:shd w:val="clear" w:color="auto" w:fill="auto"/>
            <w:noWrap/>
            <w:vAlign w:val="bottom"/>
            <w:hideMark/>
          </w:tcPr>
          <w:p w14:paraId="2376307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82EC0C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4A5F02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F9DC0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7BFC8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9368D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D29B08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65521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FB4ACD0" w14:textId="77777777" w:rsidTr="0095397F">
        <w:trPr>
          <w:trHeight w:val="300"/>
        </w:trPr>
        <w:tc>
          <w:tcPr>
            <w:tcW w:w="2835" w:type="dxa"/>
            <w:tcBorders>
              <w:top w:val="nil"/>
              <w:left w:val="nil"/>
              <w:bottom w:val="nil"/>
              <w:right w:val="nil"/>
            </w:tcBorders>
            <w:shd w:val="clear" w:color="auto" w:fill="auto"/>
            <w:noWrap/>
            <w:vAlign w:val="bottom"/>
            <w:hideMark/>
          </w:tcPr>
          <w:p w14:paraId="64E04D3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6</w:t>
            </w:r>
          </w:p>
        </w:tc>
        <w:tc>
          <w:tcPr>
            <w:tcW w:w="2268" w:type="dxa"/>
            <w:tcBorders>
              <w:top w:val="nil"/>
              <w:left w:val="nil"/>
              <w:bottom w:val="nil"/>
              <w:right w:val="nil"/>
            </w:tcBorders>
            <w:shd w:val="clear" w:color="auto" w:fill="auto"/>
            <w:noWrap/>
            <w:vAlign w:val="bottom"/>
            <w:hideMark/>
          </w:tcPr>
          <w:p w14:paraId="0BFE604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8C0CAA7"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72B455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1081F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5776C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74FFD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87E0D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C9EDC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2DC5616" w14:textId="77777777" w:rsidTr="0095397F">
        <w:trPr>
          <w:trHeight w:val="300"/>
        </w:trPr>
        <w:tc>
          <w:tcPr>
            <w:tcW w:w="2835" w:type="dxa"/>
            <w:tcBorders>
              <w:top w:val="nil"/>
              <w:left w:val="nil"/>
              <w:bottom w:val="nil"/>
              <w:right w:val="nil"/>
            </w:tcBorders>
            <w:shd w:val="clear" w:color="auto" w:fill="auto"/>
            <w:noWrap/>
            <w:vAlign w:val="bottom"/>
            <w:hideMark/>
          </w:tcPr>
          <w:p w14:paraId="11566B2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7</w:t>
            </w:r>
          </w:p>
        </w:tc>
        <w:tc>
          <w:tcPr>
            <w:tcW w:w="2268" w:type="dxa"/>
            <w:tcBorders>
              <w:top w:val="nil"/>
              <w:left w:val="nil"/>
              <w:bottom w:val="nil"/>
              <w:right w:val="nil"/>
            </w:tcBorders>
            <w:shd w:val="clear" w:color="auto" w:fill="auto"/>
            <w:noWrap/>
            <w:vAlign w:val="bottom"/>
            <w:hideMark/>
          </w:tcPr>
          <w:p w14:paraId="3B59648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F715837"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A522E6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DCA884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DAA60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1FD77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9A05A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D71F6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1671877"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19DF4F2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Balpool 8</w:t>
            </w:r>
          </w:p>
        </w:tc>
        <w:tc>
          <w:tcPr>
            <w:tcW w:w="2268" w:type="dxa"/>
            <w:tcBorders>
              <w:top w:val="nil"/>
              <w:left w:val="nil"/>
              <w:bottom w:val="single" w:sz="8" w:space="0" w:color="auto"/>
              <w:right w:val="nil"/>
            </w:tcBorders>
            <w:shd w:val="clear" w:color="auto" w:fill="auto"/>
            <w:noWrap/>
            <w:vAlign w:val="bottom"/>
            <w:hideMark/>
          </w:tcPr>
          <w:p w14:paraId="26EC57B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53EF064A"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13D11EC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89750C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001AB0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B0AAD6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3ABAA1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BA9852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AF97B5A" w14:textId="77777777" w:rsidTr="0095397F">
        <w:trPr>
          <w:trHeight w:val="300"/>
        </w:trPr>
        <w:tc>
          <w:tcPr>
            <w:tcW w:w="2835" w:type="dxa"/>
            <w:tcBorders>
              <w:top w:val="nil"/>
              <w:left w:val="nil"/>
              <w:bottom w:val="nil"/>
              <w:right w:val="nil"/>
            </w:tcBorders>
            <w:shd w:val="clear" w:color="auto" w:fill="auto"/>
            <w:noWrap/>
            <w:vAlign w:val="bottom"/>
            <w:hideMark/>
          </w:tcPr>
          <w:p w14:paraId="4B2276A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1</w:t>
            </w:r>
          </w:p>
        </w:tc>
        <w:tc>
          <w:tcPr>
            <w:tcW w:w="2268" w:type="dxa"/>
            <w:tcBorders>
              <w:top w:val="nil"/>
              <w:left w:val="nil"/>
              <w:bottom w:val="nil"/>
              <w:right w:val="nil"/>
            </w:tcBorders>
            <w:shd w:val="clear" w:color="auto" w:fill="auto"/>
            <w:noWrap/>
            <w:vAlign w:val="bottom"/>
            <w:hideMark/>
          </w:tcPr>
          <w:p w14:paraId="042ED45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393CD4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836792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D1AF2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38F53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23D92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4DAFE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617CB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4C1558D" w14:textId="77777777" w:rsidTr="0095397F">
        <w:trPr>
          <w:trHeight w:val="300"/>
        </w:trPr>
        <w:tc>
          <w:tcPr>
            <w:tcW w:w="2835" w:type="dxa"/>
            <w:tcBorders>
              <w:top w:val="nil"/>
              <w:left w:val="nil"/>
              <w:bottom w:val="nil"/>
              <w:right w:val="nil"/>
            </w:tcBorders>
            <w:shd w:val="clear" w:color="auto" w:fill="auto"/>
            <w:noWrap/>
            <w:vAlign w:val="bottom"/>
            <w:hideMark/>
          </w:tcPr>
          <w:p w14:paraId="3FFDF87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2</w:t>
            </w:r>
          </w:p>
        </w:tc>
        <w:tc>
          <w:tcPr>
            <w:tcW w:w="2268" w:type="dxa"/>
            <w:tcBorders>
              <w:top w:val="nil"/>
              <w:left w:val="nil"/>
              <w:bottom w:val="nil"/>
              <w:right w:val="nil"/>
            </w:tcBorders>
            <w:shd w:val="clear" w:color="auto" w:fill="auto"/>
            <w:noWrap/>
            <w:vAlign w:val="bottom"/>
            <w:hideMark/>
          </w:tcPr>
          <w:p w14:paraId="0D3300F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8B81176"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882DBF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3E907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39F6D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C01B8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ED008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39356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228326D" w14:textId="77777777" w:rsidTr="0095397F">
        <w:trPr>
          <w:trHeight w:val="300"/>
        </w:trPr>
        <w:tc>
          <w:tcPr>
            <w:tcW w:w="2835" w:type="dxa"/>
            <w:tcBorders>
              <w:top w:val="nil"/>
              <w:left w:val="nil"/>
              <w:bottom w:val="nil"/>
              <w:right w:val="nil"/>
            </w:tcBorders>
            <w:shd w:val="clear" w:color="auto" w:fill="auto"/>
            <w:noWrap/>
            <w:vAlign w:val="bottom"/>
            <w:hideMark/>
          </w:tcPr>
          <w:p w14:paraId="47FBEC7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3</w:t>
            </w:r>
          </w:p>
        </w:tc>
        <w:tc>
          <w:tcPr>
            <w:tcW w:w="2268" w:type="dxa"/>
            <w:tcBorders>
              <w:top w:val="nil"/>
              <w:left w:val="nil"/>
              <w:bottom w:val="nil"/>
              <w:right w:val="nil"/>
            </w:tcBorders>
            <w:shd w:val="clear" w:color="auto" w:fill="auto"/>
            <w:noWrap/>
            <w:vAlign w:val="bottom"/>
            <w:hideMark/>
          </w:tcPr>
          <w:p w14:paraId="26ABBE2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5AB33CA"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3EEA0C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99D3D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5FF29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EB23E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CD885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F57F7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7683C0E" w14:textId="77777777" w:rsidTr="0095397F">
        <w:trPr>
          <w:trHeight w:val="300"/>
        </w:trPr>
        <w:tc>
          <w:tcPr>
            <w:tcW w:w="2835" w:type="dxa"/>
            <w:tcBorders>
              <w:top w:val="nil"/>
              <w:left w:val="nil"/>
              <w:bottom w:val="nil"/>
              <w:right w:val="nil"/>
            </w:tcBorders>
            <w:shd w:val="clear" w:color="auto" w:fill="auto"/>
            <w:noWrap/>
            <w:vAlign w:val="bottom"/>
            <w:hideMark/>
          </w:tcPr>
          <w:p w14:paraId="1B2367E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4</w:t>
            </w:r>
          </w:p>
        </w:tc>
        <w:tc>
          <w:tcPr>
            <w:tcW w:w="2268" w:type="dxa"/>
            <w:tcBorders>
              <w:top w:val="nil"/>
              <w:left w:val="nil"/>
              <w:bottom w:val="nil"/>
              <w:right w:val="nil"/>
            </w:tcBorders>
            <w:shd w:val="clear" w:color="auto" w:fill="auto"/>
            <w:noWrap/>
            <w:vAlign w:val="bottom"/>
            <w:hideMark/>
          </w:tcPr>
          <w:p w14:paraId="3855CD6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EB5C30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E06EE5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F2EF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DEB8E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68DE4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23E12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C82223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AC78AEB" w14:textId="77777777" w:rsidTr="0095397F">
        <w:trPr>
          <w:trHeight w:val="300"/>
        </w:trPr>
        <w:tc>
          <w:tcPr>
            <w:tcW w:w="2835" w:type="dxa"/>
            <w:tcBorders>
              <w:top w:val="nil"/>
              <w:left w:val="nil"/>
              <w:bottom w:val="nil"/>
              <w:right w:val="nil"/>
            </w:tcBorders>
            <w:shd w:val="clear" w:color="auto" w:fill="auto"/>
            <w:noWrap/>
            <w:vAlign w:val="bottom"/>
            <w:hideMark/>
          </w:tcPr>
          <w:p w14:paraId="44D499E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5</w:t>
            </w:r>
          </w:p>
        </w:tc>
        <w:tc>
          <w:tcPr>
            <w:tcW w:w="2268" w:type="dxa"/>
            <w:tcBorders>
              <w:top w:val="nil"/>
              <w:left w:val="nil"/>
              <w:bottom w:val="nil"/>
              <w:right w:val="nil"/>
            </w:tcBorders>
            <w:shd w:val="clear" w:color="auto" w:fill="auto"/>
            <w:noWrap/>
            <w:vAlign w:val="bottom"/>
            <w:hideMark/>
          </w:tcPr>
          <w:p w14:paraId="2B215BA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9C617F8"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F925A0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95F0E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47A6B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D350F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D5B3B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5CAF8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11C894D" w14:textId="77777777" w:rsidTr="0095397F">
        <w:trPr>
          <w:trHeight w:val="300"/>
        </w:trPr>
        <w:tc>
          <w:tcPr>
            <w:tcW w:w="2835" w:type="dxa"/>
            <w:tcBorders>
              <w:top w:val="nil"/>
              <w:left w:val="nil"/>
              <w:bottom w:val="nil"/>
              <w:right w:val="nil"/>
            </w:tcBorders>
            <w:shd w:val="clear" w:color="auto" w:fill="auto"/>
            <w:noWrap/>
            <w:vAlign w:val="bottom"/>
            <w:hideMark/>
          </w:tcPr>
          <w:p w14:paraId="742912E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6</w:t>
            </w:r>
          </w:p>
        </w:tc>
        <w:tc>
          <w:tcPr>
            <w:tcW w:w="2268" w:type="dxa"/>
            <w:tcBorders>
              <w:top w:val="nil"/>
              <w:left w:val="nil"/>
              <w:bottom w:val="nil"/>
              <w:right w:val="nil"/>
            </w:tcBorders>
            <w:shd w:val="clear" w:color="auto" w:fill="auto"/>
            <w:noWrap/>
            <w:vAlign w:val="bottom"/>
            <w:hideMark/>
          </w:tcPr>
          <w:p w14:paraId="66C7880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FBA597A"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B07442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CDA9A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F1B1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371D2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6795C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0E9B6F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62E4371" w14:textId="77777777" w:rsidTr="0095397F">
        <w:trPr>
          <w:trHeight w:val="300"/>
        </w:trPr>
        <w:tc>
          <w:tcPr>
            <w:tcW w:w="2835" w:type="dxa"/>
            <w:tcBorders>
              <w:top w:val="nil"/>
              <w:left w:val="nil"/>
              <w:bottom w:val="nil"/>
              <w:right w:val="nil"/>
            </w:tcBorders>
            <w:shd w:val="clear" w:color="auto" w:fill="auto"/>
            <w:noWrap/>
            <w:vAlign w:val="bottom"/>
            <w:hideMark/>
          </w:tcPr>
          <w:p w14:paraId="6ECC46E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7</w:t>
            </w:r>
          </w:p>
        </w:tc>
        <w:tc>
          <w:tcPr>
            <w:tcW w:w="2268" w:type="dxa"/>
            <w:tcBorders>
              <w:top w:val="nil"/>
              <w:left w:val="nil"/>
              <w:bottom w:val="nil"/>
              <w:right w:val="nil"/>
            </w:tcBorders>
            <w:shd w:val="clear" w:color="auto" w:fill="auto"/>
            <w:noWrap/>
            <w:vAlign w:val="bottom"/>
            <w:hideMark/>
          </w:tcPr>
          <w:p w14:paraId="2DCA115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C07502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F9BC2E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923CF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638B59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9BBCC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A6AE8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81873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3CF7CD4"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17DE31C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Kyalite State Forest 8</w:t>
            </w:r>
          </w:p>
        </w:tc>
        <w:tc>
          <w:tcPr>
            <w:tcW w:w="2268" w:type="dxa"/>
            <w:tcBorders>
              <w:top w:val="nil"/>
              <w:left w:val="nil"/>
              <w:bottom w:val="single" w:sz="8" w:space="0" w:color="auto"/>
              <w:right w:val="nil"/>
            </w:tcBorders>
            <w:shd w:val="clear" w:color="auto" w:fill="auto"/>
            <w:noWrap/>
            <w:vAlign w:val="bottom"/>
            <w:hideMark/>
          </w:tcPr>
          <w:p w14:paraId="4229409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439FC6C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6398DB8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A2A250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DDB61B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2440CA8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4A577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AEA266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8A96F10" w14:textId="77777777" w:rsidTr="0095397F">
        <w:trPr>
          <w:trHeight w:val="300"/>
        </w:trPr>
        <w:tc>
          <w:tcPr>
            <w:tcW w:w="2835" w:type="dxa"/>
            <w:tcBorders>
              <w:top w:val="nil"/>
              <w:left w:val="nil"/>
              <w:bottom w:val="nil"/>
              <w:right w:val="nil"/>
            </w:tcBorders>
            <w:shd w:val="clear" w:color="auto" w:fill="auto"/>
            <w:noWrap/>
            <w:vAlign w:val="bottom"/>
            <w:hideMark/>
          </w:tcPr>
          <w:p w14:paraId="09F4BB3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1</w:t>
            </w:r>
          </w:p>
        </w:tc>
        <w:tc>
          <w:tcPr>
            <w:tcW w:w="2268" w:type="dxa"/>
            <w:tcBorders>
              <w:top w:val="nil"/>
              <w:left w:val="nil"/>
              <w:bottom w:val="nil"/>
              <w:right w:val="nil"/>
            </w:tcBorders>
            <w:shd w:val="clear" w:color="auto" w:fill="auto"/>
            <w:noWrap/>
            <w:vAlign w:val="bottom"/>
            <w:hideMark/>
          </w:tcPr>
          <w:p w14:paraId="0CBE090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16D8DF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2ECF61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A94F1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54BAF1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891D1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E2DA80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935ED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A7FD1A1" w14:textId="77777777" w:rsidTr="0095397F">
        <w:trPr>
          <w:trHeight w:val="300"/>
        </w:trPr>
        <w:tc>
          <w:tcPr>
            <w:tcW w:w="2835" w:type="dxa"/>
            <w:tcBorders>
              <w:top w:val="nil"/>
              <w:left w:val="nil"/>
              <w:bottom w:val="nil"/>
              <w:right w:val="nil"/>
            </w:tcBorders>
            <w:shd w:val="clear" w:color="auto" w:fill="auto"/>
            <w:noWrap/>
            <w:vAlign w:val="bottom"/>
            <w:hideMark/>
          </w:tcPr>
          <w:p w14:paraId="07168B5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2</w:t>
            </w:r>
          </w:p>
        </w:tc>
        <w:tc>
          <w:tcPr>
            <w:tcW w:w="2268" w:type="dxa"/>
            <w:tcBorders>
              <w:top w:val="nil"/>
              <w:left w:val="nil"/>
              <w:bottom w:val="nil"/>
              <w:right w:val="nil"/>
            </w:tcBorders>
            <w:shd w:val="clear" w:color="auto" w:fill="auto"/>
            <w:noWrap/>
            <w:vAlign w:val="bottom"/>
            <w:hideMark/>
          </w:tcPr>
          <w:p w14:paraId="06EB2F0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77773B7"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C9EDCF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590C7E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50C0C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007B6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8B8BA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78EF4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903D1DF" w14:textId="77777777" w:rsidTr="0095397F">
        <w:trPr>
          <w:trHeight w:val="300"/>
        </w:trPr>
        <w:tc>
          <w:tcPr>
            <w:tcW w:w="2835" w:type="dxa"/>
            <w:tcBorders>
              <w:top w:val="nil"/>
              <w:left w:val="nil"/>
              <w:bottom w:val="nil"/>
              <w:right w:val="nil"/>
            </w:tcBorders>
            <w:shd w:val="clear" w:color="auto" w:fill="auto"/>
            <w:noWrap/>
            <w:vAlign w:val="bottom"/>
            <w:hideMark/>
          </w:tcPr>
          <w:p w14:paraId="2499E3B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3</w:t>
            </w:r>
          </w:p>
        </w:tc>
        <w:tc>
          <w:tcPr>
            <w:tcW w:w="2268" w:type="dxa"/>
            <w:tcBorders>
              <w:top w:val="nil"/>
              <w:left w:val="nil"/>
              <w:bottom w:val="nil"/>
              <w:right w:val="nil"/>
            </w:tcBorders>
            <w:shd w:val="clear" w:color="auto" w:fill="auto"/>
            <w:noWrap/>
            <w:vAlign w:val="bottom"/>
            <w:hideMark/>
          </w:tcPr>
          <w:p w14:paraId="3EC2596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0EC5713"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5D5568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464949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A4424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58ED80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02A6F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CD09F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C3FDE4E" w14:textId="77777777" w:rsidTr="0095397F">
        <w:trPr>
          <w:trHeight w:val="300"/>
        </w:trPr>
        <w:tc>
          <w:tcPr>
            <w:tcW w:w="2835" w:type="dxa"/>
            <w:tcBorders>
              <w:top w:val="nil"/>
              <w:left w:val="nil"/>
              <w:bottom w:val="nil"/>
              <w:right w:val="nil"/>
            </w:tcBorders>
            <w:shd w:val="clear" w:color="auto" w:fill="auto"/>
            <w:noWrap/>
            <w:vAlign w:val="bottom"/>
            <w:hideMark/>
          </w:tcPr>
          <w:p w14:paraId="0297380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4</w:t>
            </w:r>
          </w:p>
        </w:tc>
        <w:tc>
          <w:tcPr>
            <w:tcW w:w="2268" w:type="dxa"/>
            <w:tcBorders>
              <w:top w:val="nil"/>
              <w:left w:val="nil"/>
              <w:bottom w:val="nil"/>
              <w:right w:val="nil"/>
            </w:tcBorders>
            <w:shd w:val="clear" w:color="auto" w:fill="auto"/>
            <w:noWrap/>
            <w:vAlign w:val="bottom"/>
            <w:hideMark/>
          </w:tcPr>
          <w:p w14:paraId="7E4BFF4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48C8E13"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F334C7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0A2C3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4F9E9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83C17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DA1346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64A5F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48E6A8E" w14:textId="77777777" w:rsidTr="0095397F">
        <w:trPr>
          <w:trHeight w:val="300"/>
        </w:trPr>
        <w:tc>
          <w:tcPr>
            <w:tcW w:w="2835" w:type="dxa"/>
            <w:tcBorders>
              <w:top w:val="nil"/>
              <w:left w:val="nil"/>
              <w:bottom w:val="nil"/>
              <w:right w:val="nil"/>
            </w:tcBorders>
            <w:shd w:val="clear" w:color="auto" w:fill="auto"/>
            <w:noWrap/>
            <w:vAlign w:val="bottom"/>
            <w:hideMark/>
          </w:tcPr>
          <w:p w14:paraId="79402DA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5</w:t>
            </w:r>
          </w:p>
        </w:tc>
        <w:tc>
          <w:tcPr>
            <w:tcW w:w="2268" w:type="dxa"/>
            <w:tcBorders>
              <w:top w:val="nil"/>
              <w:left w:val="nil"/>
              <w:bottom w:val="nil"/>
              <w:right w:val="nil"/>
            </w:tcBorders>
            <w:shd w:val="clear" w:color="auto" w:fill="auto"/>
            <w:noWrap/>
            <w:vAlign w:val="bottom"/>
            <w:hideMark/>
          </w:tcPr>
          <w:p w14:paraId="2E23446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A0488E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B05AD9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3E123E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F2AB7D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DBC76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E7D0CB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E5D83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146DC20" w14:textId="77777777" w:rsidTr="0095397F">
        <w:trPr>
          <w:trHeight w:val="300"/>
        </w:trPr>
        <w:tc>
          <w:tcPr>
            <w:tcW w:w="2835" w:type="dxa"/>
            <w:tcBorders>
              <w:top w:val="nil"/>
              <w:left w:val="nil"/>
              <w:bottom w:val="nil"/>
              <w:right w:val="nil"/>
            </w:tcBorders>
            <w:shd w:val="clear" w:color="auto" w:fill="auto"/>
            <w:noWrap/>
            <w:vAlign w:val="bottom"/>
            <w:hideMark/>
          </w:tcPr>
          <w:p w14:paraId="169AD1F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6</w:t>
            </w:r>
          </w:p>
        </w:tc>
        <w:tc>
          <w:tcPr>
            <w:tcW w:w="2268" w:type="dxa"/>
            <w:tcBorders>
              <w:top w:val="nil"/>
              <w:left w:val="nil"/>
              <w:bottom w:val="nil"/>
              <w:right w:val="nil"/>
            </w:tcBorders>
            <w:shd w:val="clear" w:color="auto" w:fill="auto"/>
            <w:noWrap/>
            <w:vAlign w:val="bottom"/>
            <w:hideMark/>
          </w:tcPr>
          <w:p w14:paraId="4C756DF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008348F"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5D522A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9F05D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AF99D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ACADC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D94B19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6DF46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6375569" w14:textId="77777777" w:rsidTr="0095397F">
        <w:trPr>
          <w:trHeight w:val="300"/>
        </w:trPr>
        <w:tc>
          <w:tcPr>
            <w:tcW w:w="2835" w:type="dxa"/>
            <w:tcBorders>
              <w:top w:val="nil"/>
              <w:left w:val="nil"/>
              <w:bottom w:val="nil"/>
              <w:right w:val="nil"/>
            </w:tcBorders>
            <w:shd w:val="clear" w:color="auto" w:fill="auto"/>
            <w:noWrap/>
            <w:vAlign w:val="bottom"/>
            <w:hideMark/>
          </w:tcPr>
          <w:p w14:paraId="7677B25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7</w:t>
            </w:r>
          </w:p>
        </w:tc>
        <w:tc>
          <w:tcPr>
            <w:tcW w:w="2268" w:type="dxa"/>
            <w:tcBorders>
              <w:top w:val="nil"/>
              <w:left w:val="nil"/>
              <w:bottom w:val="nil"/>
              <w:right w:val="nil"/>
            </w:tcBorders>
            <w:shd w:val="clear" w:color="auto" w:fill="auto"/>
            <w:noWrap/>
            <w:vAlign w:val="bottom"/>
            <w:hideMark/>
          </w:tcPr>
          <w:p w14:paraId="69023B2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5A33463"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11D73D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F0AEB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6C104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1BA480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6AA15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FBB79A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FD8C3B3"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3D4712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Widgee 8</w:t>
            </w:r>
          </w:p>
        </w:tc>
        <w:tc>
          <w:tcPr>
            <w:tcW w:w="2268" w:type="dxa"/>
            <w:tcBorders>
              <w:top w:val="nil"/>
              <w:left w:val="nil"/>
              <w:bottom w:val="single" w:sz="8" w:space="0" w:color="auto"/>
              <w:right w:val="nil"/>
            </w:tcBorders>
            <w:shd w:val="clear" w:color="auto" w:fill="auto"/>
            <w:noWrap/>
            <w:vAlign w:val="bottom"/>
            <w:hideMark/>
          </w:tcPr>
          <w:p w14:paraId="78053D4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7C0DC14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36BBFEC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52A179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AD8135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E6B94E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03C2BA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F634EF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F43D759" w14:textId="77777777" w:rsidTr="0095397F">
        <w:trPr>
          <w:trHeight w:val="300"/>
        </w:trPr>
        <w:tc>
          <w:tcPr>
            <w:tcW w:w="2835" w:type="dxa"/>
            <w:tcBorders>
              <w:top w:val="nil"/>
              <w:left w:val="nil"/>
              <w:bottom w:val="nil"/>
              <w:right w:val="nil"/>
            </w:tcBorders>
            <w:shd w:val="clear" w:color="auto" w:fill="auto"/>
            <w:noWrap/>
            <w:vAlign w:val="bottom"/>
            <w:hideMark/>
          </w:tcPr>
          <w:p w14:paraId="69D89AC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1</w:t>
            </w:r>
          </w:p>
        </w:tc>
        <w:tc>
          <w:tcPr>
            <w:tcW w:w="2268" w:type="dxa"/>
            <w:tcBorders>
              <w:top w:val="nil"/>
              <w:left w:val="nil"/>
              <w:bottom w:val="nil"/>
              <w:right w:val="nil"/>
            </w:tcBorders>
            <w:shd w:val="clear" w:color="auto" w:fill="auto"/>
            <w:noWrap/>
            <w:vAlign w:val="bottom"/>
            <w:hideMark/>
          </w:tcPr>
          <w:p w14:paraId="35B745D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2FE6E97"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5E586E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74080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65E24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A63B1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35F33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C15E1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AE1C1ED" w14:textId="77777777" w:rsidTr="0095397F">
        <w:trPr>
          <w:trHeight w:val="300"/>
        </w:trPr>
        <w:tc>
          <w:tcPr>
            <w:tcW w:w="2835" w:type="dxa"/>
            <w:tcBorders>
              <w:top w:val="nil"/>
              <w:left w:val="nil"/>
              <w:bottom w:val="nil"/>
              <w:right w:val="nil"/>
            </w:tcBorders>
            <w:shd w:val="clear" w:color="auto" w:fill="auto"/>
            <w:noWrap/>
            <w:vAlign w:val="bottom"/>
            <w:hideMark/>
          </w:tcPr>
          <w:p w14:paraId="48A94B3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2</w:t>
            </w:r>
          </w:p>
        </w:tc>
        <w:tc>
          <w:tcPr>
            <w:tcW w:w="2268" w:type="dxa"/>
            <w:tcBorders>
              <w:top w:val="nil"/>
              <w:left w:val="nil"/>
              <w:bottom w:val="nil"/>
              <w:right w:val="nil"/>
            </w:tcBorders>
            <w:shd w:val="clear" w:color="auto" w:fill="auto"/>
            <w:noWrap/>
            <w:vAlign w:val="bottom"/>
            <w:hideMark/>
          </w:tcPr>
          <w:p w14:paraId="21B8888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F5A785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1/6</w:t>
            </w:r>
          </w:p>
        </w:tc>
        <w:tc>
          <w:tcPr>
            <w:tcW w:w="520" w:type="dxa"/>
            <w:tcBorders>
              <w:top w:val="nil"/>
              <w:left w:val="nil"/>
              <w:bottom w:val="nil"/>
              <w:right w:val="nil"/>
            </w:tcBorders>
            <w:shd w:val="clear" w:color="000000" w:fill="FFC7CE"/>
            <w:noWrap/>
            <w:vAlign w:val="bottom"/>
            <w:hideMark/>
          </w:tcPr>
          <w:p w14:paraId="0CC663A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1EA38F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991FA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EB9C"/>
            <w:noWrap/>
            <w:vAlign w:val="bottom"/>
            <w:hideMark/>
          </w:tcPr>
          <w:p w14:paraId="6A5FDFB2" w14:textId="77777777" w:rsidR="006501A4" w:rsidRPr="008C265B" w:rsidRDefault="006501A4" w:rsidP="0095397F">
            <w:pPr>
              <w:spacing w:after="0" w:line="240" w:lineRule="auto"/>
              <w:jc w:val="center"/>
              <w:rPr>
                <w:rFonts w:ascii="Wingdings" w:eastAsia="Times New Roman" w:hAnsi="Wingdings" w:cs="Calibri"/>
                <w:color w:val="9C5700"/>
                <w:lang w:eastAsia="en-AU"/>
              </w:rPr>
            </w:pPr>
            <w:r w:rsidRPr="008C265B">
              <w:rPr>
                <w:rFonts w:ascii="Wingdings" w:eastAsia="Times New Roman" w:hAnsi="Wingdings" w:cs="Calibri"/>
                <w:color w:val="9C5700"/>
                <w:lang w:eastAsia="en-AU"/>
              </w:rPr>
              <w:t></w:t>
            </w:r>
          </w:p>
        </w:tc>
        <w:tc>
          <w:tcPr>
            <w:tcW w:w="520" w:type="dxa"/>
            <w:tcBorders>
              <w:top w:val="nil"/>
              <w:left w:val="nil"/>
              <w:bottom w:val="nil"/>
              <w:right w:val="nil"/>
            </w:tcBorders>
            <w:shd w:val="clear" w:color="000000" w:fill="FFC7CE"/>
            <w:noWrap/>
            <w:vAlign w:val="bottom"/>
            <w:hideMark/>
          </w:tcPr>
          <w:p w14:paraId="7B1598F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991C5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E4E374C" w14:textId="77777777" w:rsidTr="0095397F">
        <w:trPr>
          <w:trHeight w:val="300"/>
        </w:trPr>
        <w:tc>
          <w:tcPr>
            <w:tcW w:w="2835" w:type="dxa"/>
            <w:tcBorders>
              <w:top w:val="nil"/>
              <w:left w:val="nil"/>
              <w:bottom w:val="nil"/>
              <w:right w:val="nil"/>
            </w:tcBorders>
            <w:shd w:val="clear" w:color="auto" w:fill="auto"/>
            <w:noWrap/>
            <w:vAlign w:val="bottom"/>
            <w:hideMark/>
          </w:tcPr>
          <w:p w14:paraId="01D9660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3</w:t>
            </w:r>
          </w:p>
        </w:tc>
        <w:tc>
          <w:tcPr>
            <w:tcW w:w="2268" w:type="dxa"/>
            <w:tcBorders>
              <w:top w:val="nil"/>
              <w:left w:val="nil"/>
              <w:bottom w:val="nil"/>
              <w:right w:val="nil"/>
            </w:tcBorders>
            <w:shd w:val="clear" w:color="auto" w:fill="auto"/>
            <w:noWrap/>
            <w:vAlign w:val="bottom"/>
            <w:hideMark/>
          </w:tcPr>
          <w:p w14:paraId="0C2C1EF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3ABDBD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31CD0B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7FA10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50A57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E7A01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2F65DF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808A8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6D81767" w14:textId="77777777" w:rsidTr="0095397F">
        <w:trPr>
          <w:trHeight w:val="300"/>
        </w:trPr>
        <w:tc>
          <w:tcPr>
            <w:tcW w:w="2835" w:type="dxa"/>
            <w:tcBorders>
              <w:top w:val="nil"/>
              <w:left w:val="nil"/>
              <w:bottom w:val="nil"/>
              <w:right w:val="nil"/>
            </w:tcBorders>
            <w:shd w:val="clear" w:color="auto" w:fill="auto"/>
            <w:noWrap/>
            <w:vAlign w:val="bottom"/>
            <w:hideMark/>
          </w:tcPr>
          <w:p w14:paraId="19AC66E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4</w:t>
            </w:r>
          </w:p>
        </w:tc>
        <w:tc>
          <w:tcPr>
            <w:tcW w:w="2268" w:type="dxa"/>
            <w:tcBorders>
              <w:top w:val="nil"/>
              <w:left w:val="nil"/>
              <w:bottom w:val="nil"/>
              <w:right w:val="nil"/>
            </w:tcBorders>
            <w:shd w:val="clear" w:color="auto" w:fill="auto"/>
            <w:noWrap/>
            <w:vAlign w:val="bottom"/>
            <w:hideMark/>
          </w:tcPr>
          <w:p w14:paraId="05F4955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3121A4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885D57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15A929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AB58CD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E89E2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407E3D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DBBC09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34191F4" w14:textId="77777777" w:rsidTr="0095397F">
        <w:trPr>
          <w:trHeight w:val="300"/>
        </w:trPr>
        <w:tc>
          <w:tcPr>
            <w:tcW w:w="2835" w:type="dxa"/>
            <w:tcBorders>
              <w:top w:val="nil"/>
              <w:left w:val="nil"/>
              <w:bottom w:val="nil"/>
              <w:right w:val="nil"/>
            </w:tcBorders>
            <w:shd w:val="clear" w:color="auto" w:fill="auto"/>
            <w:noWrap/>
            <w:vAlign w:val="bottom"/>
            <w:hideMark/>
          </w:tcPr>
          <w:p w14:paraId="0B06AD4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5</w:t>
            </w:r>
          </w:p>
        </w:tc>
        <w:tc>
          <w:tcPr>
            <w:tcW w:w="2268" w:type="dxa"/>
            <w:tcBorders>
              <w:top w:val="nil"/>
              <w:left w:val="nil"/>
              <w:bottom w:val="nil"/>
              <w:right w:val="nil"/>
            </w:tcBorders>
            <w:shd w:val="clear" w:color="auto" w:fill="auto"/>
            <w:noWrap/>
            <w:vAlign w:val="bottom"/>
            <w:hideMark/>
          </w:tcPr>
          <w:p w14:paraId="1A313A2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D8FE19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3CD993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7BEAD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EDDAE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F2C53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085139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4D79A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540468F" w14:textId="77777777" w:rsidTr="0095397F">
        <w:trPr>
          <w:trHeight w:val="300"/>
        </w:trPr>
        <w:tc>
          <w:tcPr>
            <w:tcW w:w="2835" w:type="dxa"/>
            <w:tcBorders>
              <w:top w:val="nil"/>
              <w:left w:val="nil"/>
              <w:bottom w:val="nil"/>
              <w:right w:val="nil"/>
            </w:tcBorders>
            <w:shd w:val="clear" w:color="auto" w:fill="auto"/>
            <w:noWrap/>
            <w:vAlign w:val="bottom"/>
            <w:hideMark/>
          </w:tcPr>
          <w:p w14:paraId="458908C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6</w:t>
            </w:r>
          </w:p>
        </w:tc>
        <w:tc>
          <w:tcPr>
            <w:tcW w:w="2268" w:type="dxa"/>
            <w:tcBorders>
              <w:top w:val="nil"/>
              <w:left w:val="nil"/>
              <w:bottom w:val="nil"/>
              <w:right w:val="nil"/>
            </w:tcBorders>
            <w:shd w:val="clear" w:color="auto" w:fill="auto"/>
            <w:noWrap/>
            <w:vAlign w:val="bottom"/>
            <w:hideMark/>
          </w:tcPr>
          <w:p w14:paraId="352334B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2A9B8E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426614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F6E12C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D3CC3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4E24F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EDAA9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B5606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7BACE63" w14:textId="77777777" w:rsidTr="0095397F">
        <w:trPr>
          <w:trHeight w:val="300"/>
        </w:trPr>
        <w:tc>
          <w:tcPr>
            <w:tcW w:w="2835" w:type="dxa"/>
            <w:tcBorders>
              <w:top w:val="nil"/>
              <w:left w:val="nil"/>
              <w:bottom w:val="nil"/>
              <w:right w:val="nil"/>
            </w:tcBorders>
            <w:shd w:val="clear" w:color="auto" w:fill="auto"/>
            <w:noWrap/>
            <w:vAlign w:val="bottom"/>
            <w:hideMark/>
          </w:tcPr>
          <w:p w14:paraId="5DDF881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7</w:t>
            </w:r>
          </w:p>
        </w:tc>
        <w:tc>
          <w:tcPr>
            <w:tcW w:w="2268" w:type="dxa"/>
            <w:tcBorders>
              <w:top w:val="nil"/>
              <w:left w:val="nil"/>
              <w:bottom w:val="nil"/>
              <w:right w:val="nil"/>
            </w:tcBorders>
            <w:shd w:val="clear" w:color="auto" w:fill="auto"/>
            <w:noWrap/>
            <w:vAlign w:val="bottom"/>
            <w:hideMark/>
          </w:tcPr>
          <w:p w14:paraId="637466F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39E192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3387CD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1ACF8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4982C1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CE00AC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0961E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FCF7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CFDFAE4"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248C62D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Gee Gee 8</w:t>
            </w:r>
          </w:p>
        </w:tc>
        <w:tc>
          <w:tcPr>
            <w:tcW w:w="2268" w:type="dxa"/>
            <w:tcBorders>
              <w:top w:val="nil"/>
              <w:left w:val="nil"/>
              <w:bottom w:val="single" w:sz="8" w:space="0" w:color="auto"/>
              <w:right w:val="nil"/>
            </w:tcBorders>
            <w:shd w:val="clear" w:color="auto" w:fill="auto"/>
            <w:noWrap/>
            <w:vAlign w:val="bottom"/>
            <w:hideMark/>
          </w:tcPr>
          <w:p w14:paraId="38B79DE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773186A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1/6</w:t>
            </w:r>
          </w:p>
        </w:tc>
        <w:tc>
          <w:tcPr>
            <w:tcW w:w="520" w:type="dxa"/>
            <w:tcBorders>
              <w:top w:val="nil"/>
              <w:left w:val="nil"/>
              <w:bottom w:val="single" w:sz="8" w:space="0" w:color="auto"/>
              <w:right w:val="nil"/>
            </w:tcBorders>
            <w:shd w:val="clear" w:color="000000" w:fill="FFEB9C"/>
            <w:noWrap/>
            <w:vAlign w:val="bottom"/>
            <w:hideMark/>
          </w:tcPr>
          <w:p w14:paraId="420879EF" w14:textId="77777777" w:rsidR="006501A4" w:rsidRPr="008C265B" w:rsidRDefault="006501A4" w:rsidP="0095397F">
            <w:pPr>
              <w:spacing w:after="0" w:line="240" w:lineRule="auto"/>
              <w:jc w:val="center"/>
              <w:rPr>
                <w:rFonts w:ascii="Wingdings" w:eastAsia="Times New Roman" w:hAnsi="Wingdings" w:cs="Calibri"/>
                <w:color w:val="9C5700"/>
                <w:lang w:eastAsia="en-AU"/>
              </w:rPr>
            </w:pPr>
            <w:r w:rsidRPr="008C265B">
              <w:rPr>
                <w:rFonts w:ascii="Wingdings" w:eastAsia="Times New Roman" w:hAnsi="Wingdings" w:cs="Calibri"/>
                <w:color w:val="9C5700"/>
                <w:lang w:eastAsia="en-AU"/>
              </w:rPr>
              <w:t></w:t>
            </w:r>
          </w:p>
        </w:tc>
        <w:tc>
          <w:tcPr>
            <w:tcW w:w="520" w:type="dxa"/>
            <w:tcBorders>
              <w:top w:val="nil"/>
              <w:left w:val="nil"/>
              <w:bottom w:val="single" w:sz="8" w:space="0" w:color="auto"/>
              <w:right w:val="nil"/>
            </w:tcBorders>
            <w:shd w:val="clear" w:color="000000" w:fill="FFC7CE"/>
            <w:noWrap/>
            <w:vAlign w:val="bottom"/>
            <w:hideMark/>
          </w:tcPr>
          <w:p w14:paraId="5A3A8CA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331EF4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DB55B1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175966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7185EE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53FBEEE" w14:textId="77777777" w:rsidTr="0095397F">
        <w:trPr>
          <w:trHeight w:val="300"/>
        </w:trPr>
        <w:tc>
          <w:tcPr>
            <w:tcW w:w="2835" w:type="dxa"/>
            <w:tcBorders>
              <w:top w:val="nil"/>
              <w:left w:val="nil"/>
              <w:bottom w:val="nil"/>
              <w:right w:val="nil"/>
            </w:tcBorders>
            <w:shd w:val="clear" w:color="auto" w:fill="auto"/>
            <w:noWrap/>
            <w:vAlign w:val="bottom"/>
            <w:hideMark/>
          </w:tcPr>
          <w:p w14:paraId="468EEC6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1</w:t>
            </w:r>
          </w:p>
        </w:tc>
        <w:tc>
          <w:tcPr>
            <w:tcW w:w="2268" w:type="dxa"/>
            <w:tcBorders>
              <w:top w:val="nil"/>
              <w:left w:val="nil"/>
              <w:bottom w:val="nil"/>
              <w:right w:val="nil"/>
            </w:tcBorders>
            <w:shd w:val="clear" w:color="auto" w:fill="auto"/>
            <w:noWrap/>
            <w:vAlign w:val="bottom"/>
            <w:hideMark/>
          </w:tcPr>
          <w:p w14:paraId="740FCA4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CD04C6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E10DFD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867362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A967A3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9DBABA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561D4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AE42A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4E9AE19" w14:textId="77777777" w:rsidTr="0095397F">
        <w:trPr>
          <w:trHeight w:val="300"/>
        </w:trPr>
        <w:tc>
          <w:tcPr>
            <w:tcW w:w="2835" w:type="dxa"/>
            <w:tcBorders>
              <w:top w:val="nil"/>
              <w:left w:val="nil"/>
              <w:bottom w:val="nil"/>
              <w:right w:val="nil"/>
            </w:tcBorders>
            <w:shd w:val="clear" w:color="auto" w:fill="auto"/>
            <w:noWrap/>
            <w:vAlign w:val="bottom"/>
            <w:hideMark/>
          </w:tcPr>
          <w:p w14:paraId="598CAE7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2</w:t>
            </w:r>
          </w:p>
        </w:tc>
        <w:tc>
          <w:tcPr>
            <w:tcW w:w="2268" w:type="dxa"/>
            <w:tcBorders>
              <w:top w:val="nil"/>
              <w:left w:val="nil"/>
              <w:bottom w:val="nil"/>
              <w:right w:val="nil"/>
            </w:tcBorders>
            <w:shd w:val="clear" w:color="auto" w:fill="auto"/>
            <w:noWrap/>
            <w:vAlign w:val="bottom"/>
            <w:hideMark/>
          </w:tcPr>
          <w:p w14:paraId="050EDF2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694C586"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46A690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4C89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04EC61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12A47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3B6A7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16FB11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4985736" w14:textId="77777777" w:rsidTr="0095397F">
        <w:trPr>
          <w:trHeight w:val="300"/>
        </w:trPr>
        <w:tc>
          <w:tcPr>
            <w:tcW w:w="2835" w:type="dxa"/>
            <w:tcBorders>
              <w:top w:val="nil"/>
              <w:left w:val="nil"/>
              <w:bottom w:val="nil"/>
              <w:right w:val="nil"/>
            </w:tcBorders>
            <w:shd w:val="clear" w:color="auto" w:fill="auto"/>
            <w:noWrap/>
            <w:vAlign w:val="bottom"/>
            <w:hideMark/>
          </w:tcPr>
          <w:p w14:paraId="23C8E0C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3</w:t>
            </w:r>
          </w:p>
        </w:tc>
        <w:tc>
          <w:tcPr>
            <w:tcW w:w="2268" w:type="dxa"/>
            <w:tcBorders>
              <w:top w:val="nil"/>
              <w:left w:val="nil"/>
              <w:bottom w:val="nil"/>
              <w:right w:val="nil"/>
            </w:tcBorders>
            <w:shd w:val="clear" w:color="auto" w:fill="auto"/>
            <w:noWrap/>
            <w:vAlign w:val="bottom"/>
            <w:hideMark/>
          </w:tcPr>
          <w:p w14:paraId="6C6326A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2CDB226"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838368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914B1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F9731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C1F24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27795D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0BBEDA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604B7C7" w14:textId="77777777" w:rsidTr="0095397F">
        <w:trPr>
          <w:trHeight w:val="300"/>
        </w:trPr>
        <w:tc>
          <w:tcPr>
            <w:tcW w:w="2835" w:type="dxa"/>
            <w:tcBorders>
              <w:top w:val="nil"/>
              <w:left w:val="nil"/>
              <w:bottom w:val="nil"/>
              <w:right w:val="nil"/>
            </w:tcBorders>
            <w:shd w:val="clear" w:color="auto" w:fill="auto"/>
            <w:noWrap/>
            <w:vAlign w:val="bottom"/>
            <w:hideMark/>
          </w:tcPr>
          <w:p w14:paraId="73569A0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4</w:t>
            </w:r>
          </w:p>
        </w:tc>
        <w:tc>
          <w:tcPr>
            <w:tcW w:w="2268" w:type="dxa"/>
            <w:tcBorders>
              <w:top w:val="nil"/>
              <w:left w:val="nil"/>
              <w:bottom w:val="nil"/>
              <w:right w:val="nil"/>
            </w:tcBorders>
            <w:shd w:val="clear" w:color="auto" w:fill="auto"/>
            <w:noWrap/>
            <w:vAlign w:val="bottom"/>
            <w:hideMark/>
          </w:tcPr>
          <w:p w14:paraId="5C5F7EC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68F140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9FFF67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9EBCE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C1879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7B830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5D53F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26C0B9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01C9120" w14:textId="77777777" w:rsidTr="0095397F">
        <w:trPr>
          <w:trHeight w:val="300"/>
        </w:trPr>
        <w:tc>
          <w:tcPr>
            <w:tcW w:w="2835" w:type="dxa"/>
            <w:tcBorders>
              <w:top w:val="nil"/>
              <w:left w:val="nil"/>
              <w:bottom w:val="nil"/>
              <w:right w:val="nil"/>
            </w:tcBorders>
            <w:shd w:val="clear" w:color="auto" w:fill="auto"/>
            <w:noWrap/>
            <w:vAlign w:val="bottom"/>
            <w:hideMark/>
          </w:tcPr>
          <w:p w14:paraId="2E0B420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5</w:t>
            </w:r>
          </w:p>
        </w:tc>
        <w:tc>
          <w:tcPr>
            <w:tcW w:w="2268" w:type="dxa"/>
            <w:tcBorders>
              <w:top w:val="nil"/>
              <w:left w:val="nil"/>
              <w:bottom w:val="nil"/>
              <w:right w:val="nil"/>
            </w:tcBorders>
            <w:shd w:val="clear" w:color="auto" w:fill="auto"/>
            <w:noWrap/>
            <w:vAlign w:val="bottom"/>
            <w:hideMark/>
          </w:tcPr>
          <w:p w14:paraId="00F106C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99C9F0F"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88EDBD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B94A0C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E975D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5AC11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6AECFF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6E436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154FC71" w14:textId="77777777" w:rsidTr="0095397F">
        <w:trPr>
          <w:trHeight w:val="300"/>
        </w:trPr>
        <w:tc>
          <w:tcPr>
            <w:tcW w:w="2835" w:type="dxa"/>
            <w:tcBorders>
              <w:top w:val="nil"/>
              <w:left w:val="nil"/>
              <w:bottom w:val="nil"/>
              <w:right w:val="nil"/>
            </w:tcBorders>
            <w:shd w:val="clear" w:color="auto" w:fill="auto"/>
            <w:noWrap/>
            <w:vAlign w:val="bottom"/>
            <w:hideMark/>
          </w:tcPr>
          <w:p w14:paraId="32F82FC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6</w:t>
            </w:r>
          </w:p>
        </w:tc>
        <w:tc>
          <w:tcPr>
            <w:tcW w:w="2268" w:type="dxa"/>
            <w:tcBorders>
              <w:top w:val="nil"/>
              <w:left w:val="nil"/>
              <w:bottom w:val="nil"/>
              <w:right w:val="nil"/>
            </w:tcBorders>
            <w:shd w:val="clear" w:color="auto" w:fill="auto"/>
            <w:noWrap/>
            <w:vAlign w:val="bottom"/>
            <w:hideMark/>
          </w:tcPr>
          <w:p w14:paraId="764D8CC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81EA3EF"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A83C23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BDBEB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4B834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F7DEC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29998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6F2F2B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8BF0F46" w14:textId="77777777" w:rsidTr="0095397F">
        <w:trPr>
          <w:trHeight w:val="300"/>
        </w:trPr>
        <w:tc>
          <w:tcPr>
            <w:tcW w:w="2835" w:type="dxa"/>
            <w:tcBorders>
              <w:top w:val="nil"/>
              <w:left w:val="nil"/>
              <w:bottom w:val="nil"/>
              <w:right w:val="nil"/>
            </w:tcBorders>
            <w:shd w:val="clear" w:color="auto" w:fill="auto"/>
            <w:noWrap/>
            <w:vAlign w:val="bottom"/>
            <w:hideMark/>
          </w:tcPr>
          <w:p w14:paraId="34653ED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7</w:t>
            </w:r>
          </w:p>
        </w:tc>
        <w:tc>
          <w:tcPr>
            <w:tcW w:w="2268" w:type="dxa"/>
            <w:tcBorders>
              <w:top w:val="nil"/>
              <w:left w:val="nil"/>
              <w:bottom w:val="nil"/>
              <w:right w:val="nil"/>
            </w:tcBorders>
            <w:shd w:val="clear" w:color="auto" w:fill="auto"/>
            <w:noWrap/>
            <w:vAlign w:val="bottom"/>
            <w:hideMark/>
          </w:tcPr>
          <w:p w14:paraId="2B29668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E4EF789"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67B249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D37809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54DACA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E53D3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692F0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63E228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9A8A7B2"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44B9CAC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Stoney Creek Crossing 8</w:t>
            </w:r>
          </w:p>
        </w:tc>
        <w:tc>
          <w:tcPr>
            <w:tcW w:w="2268" w:type="dxa"/>
            <w:tcBorders>
              <w:top w:val="nil"/>
              <w:left w:val="nil"/>
              <w:bottom w:val="single" w:sz="8" w:space="0" w:color="auto"/>
              <w:right w:val="nil"/>
            </w:tcBorders>
            <w:shd w:val="clear" w:color="auto" w:fill="auto"/>
            <w:noWrap/>
            <w:vAlign w:val="bottom"/>
            <w:hideMark/>
          </w:tcPr>
          <w:p w14:paraId="26A5A9D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3C713349"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5DC9485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DEA179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6898B73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5BA1A1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F86CA8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1147A6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33329B5" w14:textId="77777777" w:rsidTr="0095397F">
        <w:trPr>
          <w:trHeight w:val="300"/>
        </w:trPr>
        <w:tc>
          <w:tcPr>
            <w:tcW w:w="2835" w:type="dxa"/>
            <w:tcBorders>
              <w:top w:val="nil"/>
              <w:left w:val="nil"/>
              <w:bottom w:val="nil"/>
              <w:right w:val="nil"/>
            </w:tcBorders>
            <w:shd w:val="clear" w:color="auto" w:fill="auto"/>
            <w:noWrap/>
            <w:vAlign w:val="bottom"/>
            <w:hideMark/>
          </w:tcPr>
          <w:p w14:paraId="66362F2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1</w:t>
            </w:r>
          </w:p>
        </w:tc>
        <w:tc>
          <w:tcPr>
            <w:tcW w:w="2268" w:type="dxa"/>
            <w:tcBorders>
              <w:top w:val="nil"/>
              <w:left w:val="nil"/>
              <w:bottom w:val="nil"/>
              <w:right w:val="nil"/>
            </w:tcBorders>
            <w:shd w:val="clear" w:color="auto" w:fill="auto"/>
            <w:noWrap/>
            <w:vAlign w:val="bottom"/>
            <w:hideMark/>
          </w:tcPr>
          <w:p w14:paraId="47BCD78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2A5D58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EFE44D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BA38B9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C2E6B5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BD8690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431B8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183AA9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38B7982" w14:textId="77777777" w:rsidTr="0095397F">
        <w:trPr>
          <w:trHeight w:val="300"/>
        </w:trPr>
        <w:tc>
          <w:tcPr>
            <w:tcW w:w="2835" w:type="dxa"/>
            <w:tcBorders>
              <w:top w:val="nil"/>
              <w:left w:val="nil"/>
              <w:bottom w:val="nil"/>
              <w:right w:val="nil"/>
            </w:tcBorders>
            <w:shd w:val="clear" w:color="auto" w:fill="auto"/>
            <w:noWrap/>
            <w:vAlign w:val="bottom"/>
            <w:hideMark/>
          </w:tcPr>
          <w:p w14:paraId="1CD3E4F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2</w:t>
            </w:r>
          </w:p>
        </w:tc>
        <w:tc>
          <w:tcPr>
            <w:tcW w:w="2268" w:type="dxa"/>
            <w:tcBorders>
              <w:top w:val="nil"/>
              <w:left w:val="nil"/>
              <w:bottom w:val="nil"/>
              <w:right w:val="nil"/>
            </w:tcBorders>
            <w:shd w:val="clear" w:color="auto" w:fill="auto"/>
            <w:noWrap/>
            <w:vAlign w:val="bottom"/>
            <w:hideMark/>
          </w:tcPr>
          <w:p w14:paraId="080393E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C4DB2E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BD5F5C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43B32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3CDEC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43B124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939A23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10B8B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231D884" w14:textId="77777777" w:rsidTr="0095397F">
        <w:trPr>
          <w:trHeight w:val="300"/>
        </w:trPr>
        <w:tc>
          <w:tcPr>
            <w:tcW w:w="2835" w:type="dxa"/>
            <w:tcBorders>
              <w:top w:val="nil"/>
              <w:left w:val="nil"/>
              <w:bottom w:val="nil"/>
              <w:right w:val="nil"/>
            </w:tcBorders>
            <w:shd w:val="clear" w:color="auto" w:fill="auto"/>
            <w:noWrap/>
            <w:vAlign w:val="bottom"/>
            <w:hideMark/>
          </w:tcPr>
          <w:p w14:paraId="28C1441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3</w:t>
            </w:r>
          </w:p>
        </w:tc>
        <w:tc>
          <w:tcPr>
            <w:tcW w:w="2268" w:type="dxa"/>
            <w:tcBorders>
              <w:top w:val="nil"/>
              <w:left w:val="nil"/>
              <w:bottom w:val="nil"/>
              <w:right w:val="nil"/>
            </w:tcBorders>
            <w:shd w:val="clear" w:color="auto" w:fill="auto"/>
            <w:noWrap/>
            <w:vAlign w:val="bottom"/>
            <w:hideMark/>
          </w:tcPr>
          <w:p w14:paraId="195D4A3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AF429F8"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3FAE5B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B4B500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4B1A4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3CE77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89BFB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98C9B6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4D3AD31" w14:textId="77777777" w:rsidTr="0095397F">
        <w:trPr>
          <w:trHeight w:val="300"/>
        </w:trPr>
        <w:tc>
          <w:tcPr>
            <w:tcW w:w="2835" w:type="dxa"/>
            <w:tcBorders>
              <w:top w:val="nil"/>
              <w:left w:val="nil"/>
              <w:bottom w:val="nil"/>
              <w:right w:val="nil"/>
            </w:tcBorders>
            <w:shd w:val="clear" w:color="auto" w:fill="auto"/>
            <w:noWrap/>
            <w:vAlign w:val="bottom"/>
            <w:hideMark/>
          </w:tcPr>
          <w:p w14:paraId="3D4C189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4</w:t>
            </w:r>
          </w:p>
        </w:tc>
        <w:tc>
          <w:tcPr>
            <w:tcW w:w="2268" w:type="dxa"/>
            <w:tcBorders>
              <w:top w:val="nil"/>
              <w:left w:val="nil"/>
              <w:bottom w:val="nil"/>
              <w:right w:val="nil"/>
            </w:tcBorders>
            <w:shd w:val="clear" w:color="auto" w:fill="auto"/>
            <w:noWrap/>
            <w:vAlign w:val="bottom"/>
            <w:hideMark/>
          </w:tcPr>
          <w:p w14:paraId="2B58547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6AE0E02"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E5C515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A8948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56BB7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617A9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4A9214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76EE85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350FF38B" w14:textId="77777777" w:rsidTr="0095397F">
        <w:trPr>
          <w:trHeight w:val="300"/>
        </w:trPr>
        <w:tc>
          <w:tcPr>
            <w:tcW w:w="2835" w:type="dxa"/>
            <w:tcBorders>
              <w:top w:val="nil"/>
              <w:left w:val="nil"/>
              <w:bottom w:val="nil"/>
              <w:right w:val="nil"/>
            </w:tcBorders>
            <w:shd w:val="clear" w:color="auto" w:fill="auto"/>
            <w:noWrap/>
            <w:vAlign w:val="bottom"/>
            <w:hideMark/>
          </w:tcPr>
          <w:p w14:paraId="37A8000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5</w:t>
            </w:r>
          </w:p>
        </w:tc>
        <w:tc>
          <w:tcPr>
            <w:tcW w:w="2268" w:type="dxa"/>
            <w:tcBorders>
              <w:top w:val="nil"/>
              <w:left w:val="nil"/>
              <w:bottom w:val="nil"/>
              <w:right w:val="nil"/>
            </w:tcBorders>
            <w:shd w:val="clear" w:color="auto" w:fill="auto"/>
            <w:noWrap/>
            <w:vAlign w:val="bottom"/>
            <w:hideMark/>
          </w:tcPr>
          <w:p w14:paraId="4314D99D"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1ED3F2B"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59D140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15843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27D221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92BC5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94FBDC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330754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6BCD4F47" w14:textId="77777777" w:rsidTr="0095397F">
        <w:trPr>
          <w:trHeight w:val="300"/>
        </w:trPr>
        <w:tc>
          <w:tcPr>
            <w:tcW w:w="2835" w:type="dxa"/>
            <w:tcBorders>
              <w:top w:val="nil"/>
              <w:left w:val="nil"/>
              <w:bottom w:val="nil"/>
              <w:right w:val="nil"/>
            </w:tcBorders>
            <w:shd w:val="clear" w:color="auto" w:fill="auto"/>
            <w:noWrap/>
            <w:vAlign w:val="bottom"/>
            <w:hideMark/>
          </w:tcPr>
          <w:p w14:paraId="3FFEF1A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6</w:t>
            </w:r>
          </w:p>
        </w:tc>
        <w:tc>
          <w:tcPr>
            <w:tcW w:w="2268" w:type="dxa"/>
            <w:tcBorders>
              <w:top w:val="nil"/>
              <w:left w:val="nil"/>
              <w:bottom w:val="nil"/>
              <w:right w:val="nil"/>
            </w:tcBorders>
            <w:shd w:val="clear" w:color="auto" w:fill="auto"/>
            <w:noWrap/>
            <w:vAlign w:val="bottom"/>
            <w:hideMark/>
          </w:tcPr>
          <w:p w14:paraId="3289DC4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6DD366C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219DC5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526FAE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3744F1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00A7FF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DDC0E6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E227A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9B83C3B" w14:textId="77777777" w:rsidTr="0095397F">
        <w:trPr>
          <w:trHeight w:val="300"/>
        </w:trPr>
        <w:tc>
          <w:tcPr>
            <w:tcW w:w="2835" w:type="dxa"/>
            <w:tcBorders>
              <w:top w:val="nil"/>
              <w:left w:val="nil"/>
              <w:bottom w:val="nil"/>
              <w:right w:val="nil"/>
            </w:tcBorders>
            <w:shd w:val="clear" w:color="auto" w:fill="auto"/>
            <w:noWrap/>
            <w:vAlign w:val="bottom"/>
            <w:hideMark/>
          </w:tcPr>
          <w:p w14:paraId="3E6743F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7</w:t>
            </w:r>
          </w:p>
        </w:tc>
        <w:tc>
          <w:tcPr>
            <w:tcW w:w="2268" w:type="dxa"/>
            <w:tcBorders>
              <w:top w:val="nil"/>
              <w:left w:val="nil"/>
              <w:bottom w:val="nil"/>
              <w:right w:val="nil"/>
            </w:tcBorders>
            <w:shd w:val="clear" w:color="auto" w:fill="auto"/>
            <w:noWrap/>
            <w:vAlign w:val="bottom"/>
            <w:hideMark/>
          </w:tcPr>
          <w:p w14:paraId="1AA7273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998EDB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AE4FCF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DC98E5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867383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E452D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44A2F0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CFA4F1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FF00545"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BEB835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Calimo 8</w:t>
            </w:r>
          </w:p>
        </w:tc>
        <w:tc>
          <w:tcPr>
            <w:tcW w:w="2268" w:type="dxa"/>
            <w:tcBorders>
              <w:top w:val="nil"/>
              <w:left w:val="nil"/>
              <w:bottom w:val="single" w:sz="8" w:space="0" w:color="auto"/>
              <w:right w:val="nil"/>
            </w:tcBorders>
            <w:shd w:val="clear" w:color="auto" w:fill="auto"/>
            <w:noWrap/>
            <w:vAlign w:val="bottom"/>
            <w:hideMark/>
          </w:tcPr>
          <w:p w14:paraId="551A8DA0"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76B817FA"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0F7CBE6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FA0E3C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A50621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8D05A7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0C2C152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2332A7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7C31AF7" w14:textId="77777777" w:rsidTr="0095397F">
        <w:trPr>
          <w:trHeight w:val="300"/>
        </w:trPr>
        <w:tc>
          <w:tcPr>
            <w:tcW w:w="2835" w:type="dxa"/>
            <w:tcBorders>
              <w:top w:val="nil"/>
              <w:left w:val="nil"/>
              <w:bottom w:val="nil"/>
              <w:right w:val="nil"/>
            </w:tcBorders>
            <w:shd w:val="clear" w:color="auto" w:fill="auto"/>
            <w:noWrap/>
            <w:vAlign w:val="bottom"/>
            <w:hideMark/>
          </w:tcPr>
          <w:p w14:paraId="4607083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1</w:t>
            </w:r>
          </w:p>
        </w:tc>
        <w:tc>
          <w:tcPr>
            <w:tcW w:w="2268" w:type="dxa"/>
            <w:tcBorders>
              <w:top w:val="nil"/>
              <w:left w:val="nil"/>
              <w:bottom w:val="nil"/>
              <w:right w:val="nil"/>
            </w:tcBorders>
            <w:shd w:val="clear" w:color="auto" w:fill="auto"/>
            <w:noWrap/>
            <w:vAlign w:val="bottom"/>
            <w:hideMark/>
          </w:tcPr>
          <w:p w14:paraId="16D2681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0F012D9"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350FD62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B97E01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C7D0CE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465C4E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F3EAAF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321E5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56332DF" w14:textId="77777777" w:rsidTr="0095397F">
        <w:trPr>
          <w:trHeight w:val="300"/>
        </w:trPr>
        <w:tc>
          <w:tcPr>
            <w:tcW w:w="2835" w:type="dxa"/>
            <w:tcBorders>
              <w:top w:val="nil"/>
              <w:left w:val="nil"/>
              <w:bottom w:val="nil"/>
              <w:right w:val="nil"/>
            </w:tcBorders>
            <w:shd w:val="clear" w:color="auto" w:fill="auto"/>
            <w:noWrap/>
            <w:vAlign w:val="bottom"/>
            <w:hideMark/>
          </w:tcPr>
          <w:p w14:paraId="12EE5F6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2</w:t>
            </w:r>
          </w:p>
        </w:tc>
        <w:tc>
          <w:tcPr>
            <w:tcW w:w="2268" w:type="dxa"/>
            <w:tcBorders>
              <w:top w:val="nil"/>
              <w:left w:val="nil"/>
              <w:bottom w:val="nil"/>
              <w:right w:val="nil"/>
            </w:tcBorders>
            <w:shd w:val="clear" w:color="auto" w:fill="auto"/>
            <w:noWrap/>
            <w:vAlign w:val="bottom"/>
            <w:hideMark/>
          </w:tcPr>
          <w:p w14:paraId="5DCDEA9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FACD72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4C7C80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F51262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731AB2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78053E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11FC97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80C06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F3E9012" w14:textId="77777777" w:rsidTr="0095397F">
        <w:trPr>
          <w:trHeight w:val="300"/>
        </w:trPr>
        <w:tc>
          <w:tcPr>
            <w:tcW w:w="2835" w:type="dxa"/>
            <w:tcBorders>
              <w:top w:val="nil"/>
              <w:left w:val="nil"/>
              <w:bottom w:val="nil"/>
              <w:right w:val="nil"/>
            </w:tcBorders>
            <w:shd w:val="clear" w:color="auto" w:fill="auto"/>
            <w:noWrap/>
            <w:vAlign w:val="bottom"/>
            <w:hideMark/>
          </w:tcPr>
          <w:p w14:paraId="09A3790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3</w:t>
            </w:r>
          </w:p>
        </w:tc>
        <w:tc>
          <w:tcPr>
            <w:tcW w:w="2268" w:type="dxa"/>
            <w:tcBorders>
              <w:top w:val="nil"/>
              <w:left w:val="nil"/>
              <w:bottom w:val="nil"/>
              <w:right w:val="nil"/>
            </w:tcBorders>
            <w:shd w:val="clear" w:color="auto" w:fill="auto"/>
            <w:noWrap/>
            <w:vAlign w:val="bottom"/>
            <w:hideMark/>
          </w:tcPr>
          <w:p w14:paraId="5F67614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C0BC92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B31517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E0DEED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791381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92210B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AE728A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10F33A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ED5C7C1" w14:textId="77777777" w:rsidTr="0095397F">
        <w:trPr>
          <w:trHeight w:val="300"/>
        </w:trPr>
        <w:tc>
          <w:tcPr>
            <w:tcW w:w="2835" w:type="dxa"/>
            <w:tcBorders>
              <w:top w:val="nil"/>
              <w:left w:val="nil"/>
              <w:bottom w:val="nil"/>
              <w:right w:val="nil"/>
            </w:tcBorders>
            <w:shd w:val="clear" w:color="auto" w:fill="auto"/>
            <w:noWrap/>
            <w:vAlign w:val="bottom"/>
            <w:hideMark/>
          </w:tcPr>
          <w:p w14:paraId="7E29F80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4</w:t>
            </w:r>
          </w:p>
        </w:tc>
        <w:tc>
          <w:tcPr>
            <w:tcW w:w="2268" w:type="dxa"/>
            <w:tcBorders>
              <w:top w:val="nil"/>
              <w:left w:val="nil"/>
              <w:bottom w:val="nil"/>
              <w:right w:val="nil"/>
            </w:tcBorders>
            <w:shd w:val="clear" w:color="auto" w:fill="auto"/>
            <w:noWrap/>
            <w:vAlign w:val="bottom"/>
            <w:hideMark/>
          </w:tcPr>
          <w:p w14:paraId="2B1CF731"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143D3C4"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721FCC2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E919F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194F79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EA0DF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0261D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151813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082E414" w14:textId="77777777" w:rsidTr="0095397F">
        <w:trPr>
          <w:trHeight w:val="300"/>
        </w:trPr>
        <w:tc>
          <w:tcPr>
            <w:tcW w:w="2835" w:type="dxa"/>
            <w:tcBorders>
              <w:top w:val="nil"/>
              <w:left w:val="nil"/>
              <w:bottom w:val="nil"/>
              <w:right w:val="nil"/>
            </w:tcBorders>
            <w:shd w:val="clear" w:color="auto" w:fill="auto"/>
            <w:noWrap/>
            <w:vAlign w:val="bottom"/>
            <w:hideMark/>
          </w:tcPr>
          <w:p w14:paraId="6A5D359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5</w:t>
            </w:r>
          </w:p>
        </w:tc>
        <w:tc>
          <w:tcPr>
            <w:tcW w:w="2268" w:type="dxa"/>
            <w:tcBorders>
              <w:top w:val="nil"/>
              <w:left w:val="nil"/>
              <w:bottom w:val="nil"/>
              <w:right w:val="nil"/>
            </w:tcBorders>
            <w:shd w:val="clear" w:color="auto" w:fill="auto"/>
            <w:noWrap/>
            <w:vAlign w:val="bottom"/>
            <w:hideMark/>
          </w:tcPr>
          <w:p w14:paraId="14DDD31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CF744F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551E638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9DCB55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325A42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616FB9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BF2CF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32D00C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6351CDE" w14:textId="77777777" w:rsidTr="0095397F">
        <w:trPr>
          <w:trHeight w:val="300"/>
        </w:trPr>
        <w:tc>
          <w:tcPr>
            <w:tcW w:w="2835" w:type="dxa"/>
            <w:tcBorders>
              <w:top w:val="nil"/>
              <w:left w:val="nil"/>
              <w:bottom w:val="nil"/>
              <w:right w:val="nil"/>
            </w:tcBorders>
            <w:shd w:val="clear" w:color="auto" w:fill="auto"/>
            <w:noWrap/>
            <w:vAlign w:val="bottom"/>
            <w:hideMark/>
          </w:tcPr>
          <w:p w14:paraId="38747F53"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6</w:t>
            </w:r>
          </w:p>
        </w:tc>
        <w:tc>
          <w:tcPr>
            <w:tcW w:w="2268" w:type="dxa"/>
            <w:tcBorders>
              <w:top w:val="nil"/>
              <w:left w:val="nil"/>
              <w:bottom w:val="nil"/>
              <w:right w:val="nil"/>
            </w:tcBorders>
            <w:shd w:val="clear" w:color="auto" w:fill="auto"/>
            <w:noWrap/>
            <w:vAlign w:val="bottom"/>
            <w:hideMark/>
          </w:tcPr>
          <w:p w14:paraId="6845657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953B657"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B87157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84EC18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0644A3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7EF8F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C21FA4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8BD9F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FDB0346" w14:textId="77777777" w:rsidTr="0095397F">
        <w:trPr>
          <w:trHeight w:val="300"/>
        </w:trPr>
        <w:tc>
          <w:tcPr>
            <w:tcW w:w="2835" w:type="dxa"/>
            <w:tcBorders>
              <w:top w:val="nil"/>
              <w:left w:val="nil"/>
              <w:bottom w:val="nil"/>
              <w:right w:val="nil"/>
            </w:tcBorders>
            <w:shd w:val="clear" w:color="auto" w:fill="auto"/>
            <w:noWrap/>
            <w:vAlign w:val="bottom"/>
            <w:hideMark/>
          </w:tcPr>
          <w:p w14:paraId="0EA11F1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7</w:t>
            </w:r>
          </w:p>
        </w:tc>
        <w:tc>
          <w:tcPr>
            <w:tcW w:w="2268" w:type="dxa"/>
            <w:tcBorders>
              <w:top w:val="nil"/>
              <w:left w:val="nil"/>
              <w:bottom w:val="nil"/>
              <w:right w:val="nil"/>
            </w:tcBorders>
            <w:shd w:val="clear" w:color="auto" w:fill="auto"/>
            <w:noWrap/>
            <w:vAlign w:val="bottom"/>
            <w:hideMark/>
          </w:tcPr>
          <w:p w14:paraId="563319F6"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177D354"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6CF2F2A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534F1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0E6F6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6D5F11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88F755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95975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D3FC92E"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70197024"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Mallan School 8</w:t>
            </w:r>
          </w:p>
        </w:tc>
        <w:tc>
          <w:tcPr>
            <w:tcW w:w="2268" w:type="dxa"/>
            <w:tcBorders>
              <w:top w:val="nil"/>
              <w:left w:val="nil"/>
              <w:bottom w:val="single" w:sz="8" w:space="0" w:color="auto"/>
              <w:right w:val="nil"/>
            </w:tcBorders>
            <w:shd w:val="clear" w:color="auto" w:fill="auto"/>
            <w:noWrap/>
            <w:vAlign w:val="bottom"/>
            <w:hideMark/>
          </w:tcPr>
          <w:p w14:paraId="1AEFFB8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03906965"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5627FFE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7908A2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F108FB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967783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17BAA0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703786E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5E0637CD" w14:textId="77777777" w:rsidTr="0095397F">
        <w:trPr>
          <w:trHeight w:val="300"/>
        </w:trPr>
        <w:tc>
          <w:tcPr>
            <w:tcW w:w="2835" w:type="dxa"/>
            <w:tcBorders>
              <w:top w:val="nil"/>
              <w:left w:val="nil"/>
              <w:bottom w:val="nil"/>
              <w:right w:val="nil"/>
            </w:tcBorders>
            <w:shd w:val="clear" w:color="auto" w:fill="auto"/>
            <w:noWrap/>
            <w:vAlign w:val="bottom"/>
            <w:hideMark/>
          </w:tcPr>
          <w:p w14:paraId="33159B1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1</w:t>
            </w:r>
          </w:p>
        </w:tc>
        <w:tc>
          <w:tcPr>
            <w:tcW w:w="2268" w:type="dxa"/>
            <w:tcBorders>
              <w:top w:val="nil"/>
              <w:left w:val="nil"/>
              <w:bottom w:val="nil"/>
              <w:right w:val="nil"/>
            </w:tcBorders>
            <w:shd w:val="clear" w:color="auto" w:fill="auto"/>
            <w:noWrap/>
            <w:vAlign w:val="bottom"/>
            <w:hideMark/>
          </w:tcPr>
          <w:p w14:paraId="5EEB8FB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0DF5D2A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A9E07D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A0648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33E691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C515D9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80F87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6C9FD4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78C94655" w14:textId="77777777" w:rsidTr="0095397F">
        <w:trPr>
          <w:trHeight w:val="300"/>
        </w:trPr>
        <w:tc>
          <w:tcPr>
            <w:tcW w:w="2835" w:type="dxa"/>
            <w:tcBorders>
              <w:top w:val="nil"/>
              <w:left w:val="nil"/>
              <w:bottom w:val="nil"/>
              <w:right w:val="nil"/>
            </w:tcBorders>
            <w:shd w:val="clear" w:color="auto" w:fill="auto"/>
            <w:noWrap/>
            <w:vAlign w:val="bottom"/>
            <w:hideMark/>
          </w:tcPr>
          <w:p w14:paraId="2F97975A"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2</w:t>
            </w:r>
          </w:p>
        </w:tc>
        <w:tc>
          <w:tcPr>
            <w:tcW w:w="2268" w:type="dxa"/>
            <w:tcBorders>
              <w:top w:val="nil"/>
              <w:left w:val="nil"/>
              <w:bottom w:val="nil"/>
              <w:right w:val="nil"/>
            </w:tcBorders>
            <w:shd w:val="clear" w:color="auto" w:fill="auto"/>
            <w:noWrap/>
            <w:vAlign w:val="bottom"/>
            <w:hideMark/>
          </w:tcPr>
          <w:p w14:paraId="6596366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EB1FE09"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1D6B795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F1A987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A578D8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BDD69C2"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82EF8B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D094C8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564771C" w14:textId="77777777" w:rsidTr="0095397F">
        <w:trPr>
          <w:trHeight w:val="300"/>
        </w:trPr>
        <w:tc>
          <w:tcPr>
            <w:tcW w:w="2835" w:type="dxa"/>
            <w:tcBorders>
              <w:top w:val="nil"/>
              <w:left w:val="nil"/>
              <w:bottom w:val="nil"/>
              <w:right w:val="nil"/>
            </w:tcBorders>
            <w:shd w:val="clear" w:color="auto" w:fill="auto"/>
            <w:noWrap/>
            <w:vAlign w:val="bottom"/>
            <w:hideMark/>
          </w:tcPr>
          <w:p w14:paraId="5C9C17AC"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3</w:t>
            </w:r>
          </w:p>
        </w:tc>
        <w:tc>
          <w:tcPr>
            <w:tcW w:w="2268" w:type="dxa"/>
            <w:tcBorders>
              <w:top w:val="nil"/>
              <w:left w:val="nil"/>
              <w:bottom w:val="nil"/>
              <w:right w:val="nil"/>
            </w:tcBorders>
            <w:shd w:val="clear" w:color="auto" w:fill="auto"/>
            <w:noWrap/>
            <w:vAlign w:val="bottom"/>
            <w:hideMark/>
          </w:tcPr>
          <w:p w14:paraId="6B4517C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54AEBFA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4EFC56A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194C90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F0667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89785B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7F0EC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0B89CC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B70544F" w14:textId="77777777" w:rsidTr="0095397F">
        <w:trPr>
          <w:trHeight w:val="300"/>
        </w:trPr>
        <w:tc>
          <w:tcPr>
            <w:tcW w:w="2835" w:type="dxa"/>
            <w:tcBorders>
              <w:top w:val="nil"/>
              <w:left w:val="nil"/>
              <w:bottom w:val="nil"/>
              <w:right w:val="nil"/>
            </w:tcBorders>
            <w:shd w:val="clear" w:color="auto" w:fill="auto"/>
            <w:noWrap/>
            <w:vAlign w:val="bottom"/>
            <w:hideMark/>
          </w:tcPr>
          <w:p w14:paraId="1A3A32B5"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4</w:t>
            </w:r>
          </w:p>
        </w:tc>
        <w:tc>
          <w:tcPr>
            <w:tcW w:w="2268" w:type="dxa"/>
            <w:tcBorders>
              <w:top w:val="nil"/>
              <w:left w:val="nil"/>
              <w:bottom w:val="nil"/>
              <w:right w:val="nil"/>
            </w:tcBorders>
            <w:shd w:val="clear" w:color="auto" w:fill="auto"/>
            <w:noWrap/>
            <w:vAlign w:val="bottom"/>
            <w:hideMark/>
          </w:tcPr>
          <w:p w14:paraId="45B812CF"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1B66CDC"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E7B0FB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216802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3F132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12CDFDA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389DF7F"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4FB21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23DD6B0F" w14:textId="77777777" w:rsidTr="0095397F">
        <w:trPr>
          <w:trHeight w:val="300"/>
        </w:trPr>
        <w:tc>
          <w:tcPr>
            <w:tcW w:w="2835" w:type="dxa"/>
            <w:tcBorders>
              <w:top w:val="nil"/>
              <w:left w:val="nil"/>
              <w:bottom w:val="nil"/>
              <w:right w:val="nil"/>
            </w:tcBorders>
            <w:shd w:val="clear" w:color="auto" w:fill="auto"/>
            <w:noWrap/>
            <w:vAlign w:val="bottom"/>
            <w:hideMark/>
          </w:tcPr>
          <w:p w14:paraId="3F5F0B67"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5</w:t>
            </w:r>
          </w:p>
        </w:tc>
        <w:tc>
          <w:tcPr>
            <w:tcW w:w="2268" w:type="dxa"/>
            <w:tcBorders>
              <w:top w:val="nil"/>
              <w:left w:val="nil"/>
              <w:bottom w:val="nil"/>
              <w:right w:val="nil"/>
            </w:tcBorders>
            <w:shd w:val="clear" w:color="auto" w:fill="auto"/>
            <w:noWrap/>
            <w:vAlign w:val="bottom"/>
            <w:hideMark/>
          </w:tcPr>
          <w:p w14:paraId="3C454AC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9539940"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72B12F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A83DBC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F937520"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0134EE"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4583BF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8007034"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1A82963A" w14:textId="77777777" w:rsidTr="0095397F">
        <w:trPr>
          <w:trHeight w:val="300"/>
        </w:trPr>
        <w:tc>
          <w:tcPr>
            <w:tcW w:w="2835" w:type="dxa"/>
            <w:tcBorders>
              <w:top w:val="nil"/>
              <w:left w:val="nil"/>
              <w:bottom w:val="nil"/>
              <w:right w:val="nil"/>
            </w:tcBorders>
            <w:shd w:val="clear" w:color="auto" w:fill="auto"/>
            <w:noWrap/>
            <w:vAlign w:val="bottom"/>
            <w:hideMark/>
          </w:tcPr>
          <w:p w14:paraId="0060F512"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6</w:t>
            </w:r>
          </w:p>
        </w:tc>
        <w:tc>
          <w:tcPr>
            <w:tcW w:w="2268" w:type="dxa"/>
            <w:tcBorders>
              <w:top w:val="nil"/>
              <w:left w:val="nil"/>
              <w:bottom w:val="nil"/>
              <w:right w:val="nil"/>
            </w:tcBorders>
            <w:shd w:val="clear" w:color="auto" w:fill="auto"/>
            <w:noWrap/>
            <w:vAlign w:val="bottom"/>
            <w:hideMark/>
          </w:tcPr>
          <w:p w14:paraId="22A6661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64A857AD"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29387AB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76C88369"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566578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423947D6"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2A85BC8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79D599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0AE1658B" w14:textId="77777777" w:rsidTr="0095397F">
        <w:trPr>
          <w:trHeight w:val="300"/>
        </w:trPr>
        <w:tc>
          <w:tcPr>
            <w:tcW w:w="2835" w:type="dxa"/>
            <w:tcBorders>
              <w:top w:val="nil"/>
              <w:left w:val="nil"/>
              <w:bottom w:val="nil"/>
              <w:right w:val="nil"/>
            </w:tcBorders>
            <w:shd w:val="clear" w:color="auto" w:fill="auto"/>
            <w:noWrap/>
            <w:vAlign w:val="bottom"/>
            <w:hideMark/>
          </w:tcPr>
          <w:p w14:paraId="1EC9F488"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7</w:t>
            </w:r>
          </w:p>
        </w:tc>
        <w:tc>
          <w:tcPr>
            <w:tcW w:w="2268" w:type="dxa"/>
            <w:tcBorders>
              <w:top w:val="nil"/>
              <w:left w:val="nil"/>
              <w:bottom w:val="nil"/>
              <w:right w:val="nil"/>
            </w:tcBorders>
            <w:shd w:val="clear" w:color="auto" w:fill="auto"/>
            <w:noWrap/>
            <w:vAlign w:val="bottom"/>
            <w:hideMark/>
          </w:tcPr>
          <w:p w14:paraId="44B6C77E"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33100E8E"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nil"/>
              <w:right w:val="nil"/>
            </w:tcBorders>
            <w:shd w:val="clear" w:color="000000" w:fill="FFC7CE"/>
            <w:noWrap/>
            <w:vAlign w:val="bottom"/>
            <w:hideMark/>
          </w:tcPr>
          <w:p w14:paraId="0A0B3901"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6B967F8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7A83A2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5BCC0D23"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3E20D42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nil"/>
              <w:right w:val="nil"/>
            </w:tcBorders>
            <w:shd w:val="clear" w:color="000000" w:fill="FFC7CE"/>
            <w:noWrap/>
            <w:vAlign w:val="bottom"/>
            <w:hideMark/>
          </w:tcPr>
          <w:p w14:paraId="0C78A1BC"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r w:rsidR="006501A4" w:rsidRPr="008C265B" w14:paraId="4829F7C4"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4013A79"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Windra Vale2 8</w:t>
            </w:r>
          </w:p>
        </w:tc>
        <w:tc>
          <w:tcPr>
            <w:tcW w:w="2268" w:type="dxa"/>
            <w:tcBorders>
              <w:top w:val="nil"/>
              <w:left w:val="nil"/>
              <w:bottom w:val="single" w:sz="8" w:space="0" w:color="auto"/>
              <w:right w:val="nil"/>
            </w:tcBorders>
            <w:shd w:val="clear" w:color="auto" w:fill="auto"/>
            <w:noWrap/>
            <w:vAlign w:val="bottom"/>
            <w:hideMark/>
          </w:tcPr>
          <w:p w14:paraId="3E2CF78B" w14:textId="77777777" w:rsidR="006501A4" w:rsidRPr="008C265B" w:rsidRDefault="006501A4" w:rsidP="0095397F">
            <w:pPr>
              <w:spacing w:after="0" w:line="240" w:lineRule="auto"/>
              <w:rPr>
                <w:rFonts w:eastAsia="Times New Roman" w:cs="Calibri"/>
                <w:color w:val="000000"/>
                <w:lang w:eastAsia="en-AU"/>
              </w:rPr>
            </w:pPr>
            <w:r w:rsidRPr="008C265B">
              <w:rPr>
                <w:rFonts w:eastAsia="Times New Roman" w:cs="Calibri"/>
                <w:color w:val="000000"/>
                <w:lang w:eastAsia="en-AU"/>
              </w:rPr>
              <w:t>Yallakool Creek</w:t>
            </w:r>
          </w:p>
        </w:tc>
        <w:tc>
          <w:tcPr>
            <w:tcW w:w="1017" w:type="dxa"/>
            <w:tcBorders>
              <w:top w:val="nil"/>
              <w:left w:val="nil"/>
              <w:bottom w:val="single" w:sz="8" w:space="0" w:color="auto"/>
              <w:right w:val="nil"/>
            </w:tcBorders>
            <w:shd w:val="clear" w:color="auto" w:fill="auto"/>
            <w:noWrap/>
            <w:vAlign w:val="bottom"/>
            <w:hideMark/>
          </w:tcPr>
          <w:p w14:paraId="5E216331" w14:textId="77777777" w:rsidR="006501A4" w:rsidRPr="008C265B" w:rsidRDefault="006501A4" w:rsidP="0095397F">
            <w:pPr>
              <w:spacing w:after="0" w:line="240" w:lineRule="auto"/>
              <w:jc w:val="center"/>
              <w:rPr>
                <w:rFonts w:eastAsia="Times New Roman" w:cs="Calibri"/>
                <w:color w:val="000000"/>
                <w:lang w:eastAsia="en-AU"/>
              </w:rPr>
            </w:pPr>
            <w:r w:rsidRPr="008C265B">
              <w:rPr>
                <w:rFonts w:eastAsia="Times New Roman" w:cs="Calibri"/>
                <w:color w:val="000000"/>
                <w:lang w:eastAsia="en-AU"/>
              </w:rPr>
              <w:t>0/6</w:t>
            </w:r>
          </w:p>
        </w:tc>
        <w:tc>
          <w:tcPr>
            <w:tcW w:w="520" w:type="dxa"/>
            <w:tcBorders>
              <w:top w:val="nil"/>
              <w:left w:val="nil"/>
              <w:bottom w:val="single" w:sz="8" w:space="0" w:color="auto"/>
              <w:right w:val="nil"/>
            </w:tcBorders>
            <w:shd w:val="clear" w:color="000000" w:fill="FFC7CE"/>
            <w:noWrap/>
            <w:vAlign w:val="bottom"/>
            <w:hideMark/>
          </w:tcPr>
          <w:p w14:paraId="41E72485"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B70D45D"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128FC9A8"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3137EBA7"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4958334B"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c>
          <w:tcPr>
            <w:tcW w:w="520" w:type="dxa"/>
            <w:tcBorders>
              <w:top w:val="nil"/>
              <w:left w:val="nil"/>
              <w:bottom w:val="single" w:sz="8" w:space="0" w:color="auto"/>
              <w:right w:val="nil"/>
            </w:tcBorders>
            <w:shd w:val="clear" w:color="000000" w:fill="FFC7CE"/>
            <w:noWrap/>
            <w:vAlign w:val="bottom"/>
            <w:hideMark/>
          </w:tcPr>
          <w:p w14:paraId="57B4A4FA" w14:textId="77777777" w:rsidR="006501A4" w:rsidRPr="008C265B" w:rsidRDefault="006501A4" w:rsidP="0095397F">
            <w:pPr>
              <w:spacing w:after="0" w:line="240" w:lineRule="auto"/>
              <w:jc w:val="center"/>
              <w:rPr>
                <w:rFonts w:eastAsia="Times New Roman" w:cs="Calibri"/>
                <w:color w:val="9C0006"/>
                <w:lang w:eastAsia="en-AU"/>
              </w:rPr>
            </w:pPr>
            <w:r w:rsidRPr="008C265B">
              <w:rPr>
                <w:rFonts w:eastAsia="Times New Roman" w:cs="Calibri"/>
                <w:color w:val="9C0006"/>
                <w:lang w:eastAsia="en-AU"/>
              </w:rPr>
              <w:t>×</w:t>
            </w:r>
          </w:p>
        </w:tc>
      </w:tr>
    </w:tbl>
    <w:p w14:paraId="0D12F817" w14:textId="77777777" w:rsidR="006501A4"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stheme="minorHAnsi"/>
          <w:sz w:val="22"/>
          <w:szCs w:val="22"/>
        </w:rPr>
      </w:pPr>
    </w:p>
    <w:p w14:paraId="2BC454B0" w14:textId="77777777" w:rsidR="006501A4" w:rsidRDefault="006501A4" w:rsidP="006501A4">
      <w:pPr>
        <w:rPr>
          <w:rFonts w:eastAsia="Times New Roman"/>
          <w:b/>
          <w:color w:val="201F1E"/>
          <w:sz w:val="20"/>
          <w:bdr w:val="none" w:sz="0" w:space="0" w:color="auto" w:frame="1"/>
          <w:lang w:eastAsia="en-AU"/>
        </w:rPr>
      </w:pPr>
      <w:r>
        <w:rPr>
          <w:b/>
          <w:color w:val="201F1E"/>
          <w:sz w:val="20"/>
          <w:bdr w:val="none" w:sz="0" w:space="0" w:color="auto" w:frame="1"/>
        </w:rPr>
        <w:br w:type="page"/>
      </w:r>
    </w:p>
    <w:p w14:paraId="25F19E9C" w14:textId="77777777" w:rsidR="006501A4" w:rsidRPr="003D38B6" w:rsidRDefault="006501A4" w:rsidP="006501A4">
      <w:pPr>
        <w:pStyle w:val="xmsonormal"/>
        <w:shd w:val="clear" w:color="auto" w:fill="FFFFFF"/>
        <w:spacing w:before="0" w:beforeAutospacing="0" w:after="0" w:afterAutospacing="0"/>
        <w:textAlignment w:val="baseline"/>
        <w:rPr>
          <w:rFonts w:asciiTheme="minorHAnsi" w:hAnsiTheme="minorHAnsi"/>
          <w:color w:val="201F1E"/>
          <w:sz w:val="20"/>
          <w:szCs w:val="20"/>
          <w:bdr w:val="none" w:sz="0" w:space="0" w:color="auto" w:frame="1"/>
        </w:rPr>
      </w:pPr>
      <w:r w:rsidRPr="00B62A91">
        <w:rPr>
          <w:rFonts w:asciiTheme="minorHAnsi" w:hAnsiTheme="minorHAnsi"/>
          <w:b/>
          <w:color w:val="201F1E"/>
          <w:sz w:val="20"/>
          <w:szCs w:val="20"/>
          <w:bdr w:val="none" w:sz="0" w:space="0" w:color="auto" w:frame="1"/>
        </w:rPr>
        <w:t xml:space="preserve">Appendix </w:t>
      </w:r>
      <w:r w:rsidRPr="00B62A91">
        <w:rPr>
          <w:rFonts w:asciiTheme="minorHAnsi" w:hAnsiTheme="minorHAnsi"/>
          <w:b/>
          <w:bCs/>
          <w:color w:val="201F1E"/>
          <w:sz w:val="20"/>
          <w:szCs w:val="20"/>
          <w:bdr w:val="none" w:sz="0" w:space="0" w:color="auto" w:frame="1"/>
        </w:rPr>
        <w:t>12.</w:t>
      </w:r>
      <w:r>
        <w:rPr>
          <w:rFonts w:asciiTheme="minorHAnsi" w:hAnsiTheme="minorHAnsi"/>
          <w:b/>
          <w:bCs/>
          <w:color w:val="201F1E"/>
          <w:sz w:val="20"/>
          <w:szCs w:val="20"/>
          <w:bdr w:val="none" w:sz="0" w:space="0" w:color="auto" w:frame="1"/>
        </w:rPr>
        <w:t>10</w:t>
      </w:r>
      <w:r w:rsidRPr="003D38B6">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freshwater catfish a</w:t>
      </w:r>
      <w:r w:rsidRPr="003D38B6">
        <w:rPr>
          <w:rFonts w:asciiTheme="minorHAnsi" w:hAnsiTheme="minorHAnsi"/>
          <w:color w:val="201F1E"/>
          <w:sz w:val="20"/>
          <w:szCs w:val="20"/>
          <w:bdr w:val="none" w:sz="0" w:space="0" w:color="auto" w:frame="1"/>
        </w:rPr>
        <w:t>t the ten sampling locations</w:t>
      </w:r>
      <w:r>
        <w:rPr>
          <w:rFonts w:asciiTheme="minorHAnsi" w:hAnsiTheme="minorHAnsi"/>
          <w:color w:val="201F1E"/>
          <w:sz w:val="20"/>
          <w:szCs w:val="20"/>
          <w:bdr w:val="none" w:sz="0" w:space="0" w:color="auto" w:frame="1"/>
        </w:rPr>
        <w:t xml:space="preserve">. Red crosses are negative for the target species, green ticks are positive for the target species and yellow ticks are false positives (based on a </w:t>
      </w:r>
      <w:r w:rsidRPr="002967FF">
        <w:rPr>
          <w:rFonts w:asciiTheme="minorHAnsi" w:hAnsiTheme="minorHAnsi"/>
          <w:color w:val="201F1E"/>
          <w:sz w:val="20"/>
          <w:szCs w:val="20"/>
          <w:bdr w:val="none" w:sz="0" w:space="0" w:color="auto" w:frame="1"/>
        </w:rPr>
        <w:t xml:space="preserve">further 12 qPCR </w:t>
      </w:r>
      <w:r>
        <w:rPr>
          <w:rFonts w:asciiTheme="minorHAnsi" w:hAnsiTheme="minorHAnsi"/>
          <w:color w:val="201F1E"/>
          <w:sz w:val="20"/>
          <w:szCs w:val="20"/>
          <w:bdr w:val="none" w:sz="0" w:space="0" w:color="auto" w:frame="1"/>
        </w:rPr>
        <w:t>technical replicates).</w:t>
      </w:r>
      <w:r w:rsidRPr="00B64CC2">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tbl>
      <w:tblPr>
        <w:tblW w:w="9120" w:type="dxa"/>
        <w:tblLook w:val="04A0" w:firstRow="1" w:lastRow="0" w:firstColumn="1" w:lastColumn="0" w:noHBand="0" w:noVBand="1"/>
      </w:tblPr>
      <w:tblGrid>
        <w:gridCol w:w="2835"/>
        <w:gridCol w:w="2268"/>
        <w:gridCol w:w="1017"/>
        <w:gridCol w:w="500"/>
        <w:gridCol w:w="500"/>
        <w:gridCol w:w="500"/>
        <w:gridCol w:w="500"/>
        <w:gridCol w:w="500"/>
        <w:gridCol w:w="500"/>
      </w:tblGrid>
      <w:tr w:rsidR="006501A4" w:rsidRPr="002C0CBE" w14:paraId="639C1127" w14:textId="77777777" w:rsidTr="0095397F">
        <w:trPr>
          <w:trHeight w:val="300"/>
        </w:trPr>
        <w:tc>
          <w:tcPr>
            <w:tcW w:w="2835" w:type="dxa"/>
            <w:tcBorders>
              <w:top w:val="nil"/>
              <w:left w:val="nil"/>
              <w:bottom w:val="nil"/>
              <w:right w:val="nil"/>
            </w:tcBorders>
            <w:shd w:val="clear" w:color="auto" w:fill="92CDDC"/>
            <w:noWrap/>
            <w:vAlign w:val="bottom"/>
            <w:hideMark/>
          </w:tcPr>
          <w:p w14:paraId="415E82C4" w14:textId="77777777" w:rsidR="006501A4" w:rsidRPr="002C0CBE" w:rsidRDefault="006501A4" w:rsidP="0095397F">
            <w:pPr>
              <w:spacing w:after="0" w:line="240" w:lineRule="auto"/>
              <w:rPr>
                <w:rFonts w:eastAsia="Times New Roman" w:cs="Calibri"/>
                <w:color w:val="000000"/>
                <w:lang w:eastAsia="en-AU"/>
              </w:rPr>
            </w:pPr>
          </w:p>
        </w:tc>
        <w:tc>
          <w:tcPr>
            <w:tcW w:w="2268" w:type="dxa"/>
            <w:tcBorders>
              <w:top w:val="nil"/>
              <w:left w:val="nil"/>
              <w:bottom w:val="nil"/>
              <w:right w:val="nil"/>
            </w:tcBorders>
            <w:shd w:val="clear" w:color="auto" w:fill="92CDDC"/>
            <w:noWrap/>
            <w:vAlign w:val="bottom"/>
            <w:hideMark/>
          </w:tcPr>
          <w:p w14:paraId="61CB669A" w14:textId="77777777" w:rsidR="006501A4" w:rsidRPr="002C0CBE" w:rsidRDefault="006501A4" w:rsidP="0095397F">
            <w:pPr>
              <w:spacing w:after="0" w:line="240" w:lineRule="auto"/>
              <w:rPr>
                <w:rFonts w:eastAsia="Times New Roman" w:cs="Calibri"/>
                <w:color w:val="000000"/>
                <w:lang w:eastAsia="en-AU"/>
              </w:rPr>
            </w:pPr>
          </w:p>
        </w:tc>
        <w:tc>
          <w:tcPr>
            <w:tcW w:w="1017" w:type="dxa"/>
            <w:tcBorders>
              <w:top w:val="nil"/>
              <w:left w:val="nil"/>
              <w:bottom w:val="nil"/>
              <w:right w:val="nil"/>
            </w:tcBorders>
            <w:shd w:val="clear" w:color="auto" w:fill="92CDDC"/>
            <w:noWrap/>
            <w:vAlign w:val="bottom"/>
            <w:hideMark/>
          </w:tcPr>
          <w:p w14:paraId="532C1423" w14:textId="77777777" w:rsidR="006501A4" w:rsidRPr="002C0CBE" w:rsidRDefault="006501A4" w:rsidP="0095397F">
            <w:pPr>
              <w:spacing w:after="0" w:line="240" w:lineRule="auto"/>
              <w:rPr>
                <w:rFonts w:ascii="Times New Roman" w:eastAsia="Times New Roman" w:hAnsi="Times New Roman"/>
                <w:sz w:val="20"/>
                <w:lang w:eastAsia="en-AU"/>
              </w:rPr>
            </w:pPr>
          </w:p>
        </w:tc>
        <w:tc>
          <w:tcPr>
            <w:tcW w:w="3000" w:type="dxa"/>
            <w:gridSpan w:val="6"/>
            <w:tcBorders>
              <w:top w:val="nil"/>
              <w:left w:val="nil"/>
              <w:bottom w:val="nil"/>
              <w:right w:val="nil"/>
            </w:tcBorders>
            <w:shd w:val="clear" w:color="auto" w:fill="92CDDC"/>
            <w:noWrap/>
            <w:vAlign w:val="bottom"/>
            <w:hideMark/>
          </w:tcPr>
          <w:p w14:paraId="5D0D55A9" w14:textId="77777777" w:rsidR="006501A4" w:rsidRPr="002C0CBE" w:rsidRDefault="006501A4" w:rsidP="0095397F">
            <w:pPr>
              <w:spacing w:after="0" w:line="240" w:lineRule="auto"/>
              <w:jc w:val="center"/>
              <w:rPr>
                <w:rFonts w:eastAsia="Times New Roman" w:cs="Calibri"/>
                <w:color w:val="000000"/>
                <w:lang w:eastAsia="en-AU"/>
              </w:rPr>
            </w:pPr>
            <w:r>
              <w:rPr>
                <w:rFonts w:eastAsia="Times New Roman" w:cs="Calibri"/>
                <w:color w:val="000000"/>
                <w:lang w:eastAsia="en-AU"/>
              </w:rPr>
              <w:t>Technical replicates</w:t>
            </w:r>
          </w:p>
        </w:tc>
      </w:tr>
      <w:tr w:rsidR="006501A4" w:rsidRPr="002C0CBE" w14:paraId="299AA4B0" w14:textId="77777777" w:rsidTr="0095397F">
        <w:trPr>
          <w:trHeight w:val="315"/>
        </w:trPr>
        <w:tc>
          <w:tcPr>
            <w:tcW w:w="2835" w:type="dxa"/>
            <w:tcBorders>
              <w:top w:val="nil"/>
              <w:left w:val="nil"/>
              <w:bottom w:val="single" w:sz="8" w:space="0" w:color="auto"/>
              <w:right w:val="nil"/>
            </w:tcBorders>
            <w:shd w:val="clear" w:color="auto" w:fill="92CDDC"/>
            <w:noWrap/>
            <w:vAlign w:val="bottom"/>
            <w:hideMark/>
          </w:tcPr>
          <w:p w14:paraId="754B006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 </w:t>
            </w:r>
          </w:p>
        </w:tc>
        <w:tc>
          <w:tcPr>
            <w:tcW w:w="2268" w:type="dxa"/>
            <w:tcBorders>
              <w:top w:val="nil"/>
              <w:left w:val="nil"/>
              <w:bottom w:val="single" w:sz="8" w:space="0" w:color="auto"/>
              <w:right w:val="nil"/>
            </w:tcBorders>
            <w:shd w:val="clear" w:color="auto" w:fill="92CDDC"/>
            <w:noWrap/>
            <w:vAlign w:val="bottom"/>
            <w:hideMark/>
          </w:tcPr>
          <w:p w14:paraId="595C27B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Waterway</w:t>
            </w:r>
          </w:p>
        </w:tc>
        <w:tc>
          <w:tcPr>
            <w:tcW w:w="1017" w:type="dxa"/>
            <w:tcBorders>
              <w:top w:val="nil"/>
              <w:left w:val="nil"/>
              <w:bottom w:val="single" w:sz="8" w:space="0" w:color="auto"/>
              <w:right w:val="nil"/>
            </w:tcBorders>
            <w:shd w:val="clear" w:color="auto" w:fill="92CDDC"/>
            <w:noWrap/>
            <w:vAlign w:val="bottom"/>
            <w:hideMark/>
          </w:tcPr>
          <w:p w14:paraId="3F6C9AA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Pos reps</w:t>
            </w:r>
          </w:p>
        </w:tc>
        <w:tc>
          <w:tcPr>
            <w:tcW w:w="500" w:type="dxa"/>
            <w:tcBorders>
              <w:top w:val="nil"/>
              <w:left w:val="nil"/>
              <w:bottom w:val="single" w:sz="8" w:space="0" w:color="auto"/>
              <w:right w:val="nil"/>
            </w:tcBorders>
            <w:shd w:val="clear" w:color="auto" w:fill="92CDDC"/>
            <w:noWrap/>
            <w:vAlign w:val="bottom"/>
            <w:hideMark/>
          </w:tcPr>
          <w:p w14:paraId="4476E11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n1</w:t>
            </w:r>
          </w:p>
        </w:tc>
        <w:tc>
          <w:tcPr>
            <w:tcW w:w="500" w:type="dxa"/>
            <w:tcBorders>
              <w:top w:val="nil"/>
              <w:left w:val="nil"/>
              <w:bottom w:val="single" w:sz="8" w:space="0" w:color="auto"/>
              <w:right w:val="nil"/>
            </w:tcBorders>
            <w:shd w:val="clear" w:color="auto" w:fill="92CDDC"/>
            <w:noWrap/>
            <w:vAlign w:val="bottom"/>
            <w:hideMark/>
          </w:tcPr>
          <w:p w14:paraId="1FA563E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n2</w:t>
            </w:r>
          </w:p>
        </w:tc>
        <w:tc>
          <w:tcPr>
            <w:tcW w:w="500" w:type="dxa"/>
            <w:tcBorders>
              <w:top w:val="nil"/>
              <w:left w:val="nil"/>
              <w:bottom w:val="single" w:sz="8" w:space="0" w:color="auto"/>
              <w:right w:val="nil"/>
            </w:tcBorders>
            <w:shd w:val="clear" w:color="auto" w:fill="92CDDC"/>
            <w:noWrap/>
            <w:vAlign w:val="bottom"/>
            <w:hideMark/>
          </w:tcPr>
          <w:p w14:paraId="26F67221"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n3</w:t>
            </w:r>
          </w:p>
        </w:tc>
        <w:tc>
          <w:tcPr>
            <w:tcW w:w="500" w:type="dxa"/>
            <w:tcBorders>
              <w:top w:val="nil"/>
              <w:left w:val="nil"/>
              <w:bottom w:val="single" w:sz="8" w:space="0" w:color="auto"/>
              <w:right w:val="nil"/>
            </w:tcBorders>
            <w:shd w:val="clear" w:color="auto" w:fill="92CDDC"/>
            <w:noWrap/>
            <w:vAlign w:val="bottom"/>
            <w:hideMark/>
          </w:tcPr>
          <w:p w14:paraId="5785345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n4</w:t>
            </w:r>
          </w:p>
        </w:tc>
        <w:tc>
          <w:tcPr>
            <w:tcW w:w="500" w:type="dxa"/>
            <w:tcBorders>
              <w:top w:val="nil"/>
              <w:left w:val="nil"/>
              <w:bottom w:val="single" w:sz="8" w:space="0" w:color="auto"/>
              <w:right w:val="nil"/>
            </w:tcBorders>
            <w:shd w:val="clear" w:color="auto" w:fill="92CDDC"/>
            <w:noWrap/>
            <w:vAlign w:val="bottom"/>
            <w:hideMark/>
          </w:tcPr>
          <w:p w14:paraId="2C355A4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n5</w:t>
            </w:r>
          </w:p>
        </w:tc>
        <w:tc>
          <w:tcPr>
            <w:tcW w:w="500" w:type="dxa"/>
            <w:tcBorders>
              <w:top w:val="nil"/>
              <w:left w:val="nil"/>
              <w:bottom w:val="single" w:sz="8" w:space="0" w:color="auto"/>
              <w:right w:val="nil"/>
            </w:tcBorders>
            <w:shd w:val="clear" w:color="auto" w:fill="92CDDC"/>
            <w:noWrap/>
            <w:vAlign w:val="bottom"/>
            <w:hideMark/>
          </w:tcPr>
          <w:p w14:paraId="15D50E8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n6</w:t>
            </w:r>
          </w:p>
        </w:tc>
      </w:tr>
      <w:tr w:rsidR="006501A4" w:rsidRPr="002C0CBE" w14:paraId="760575AF" w14:textId="77777777" w:rsidTr="0095397F">
        <w:trPr>
          <w:trHeight w:val="300"/>
        </w:trPr>
        <w:tc>
          <w:tcPr>
            <w:tcW w:w="2835" w:type="dxa"/>
            <w:tcBorders>
              <w:top w:val="nil"/>
              <w:left w:val="nil"/>
              <w:bottom w:val="nil"/>
              <w:right w:val="nil"/>
            </w:tcBorders>
            <w:shd w:val="clear" w:color="auto" w:fill="auto"/>
            <w:noWrap/>
            <w:vAlign w:val="bottom"/>
            <w:hideMark/>
          </w:tcPr>
          <w:p w14:paraId="2CACB96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1</w:t>
            </w:r>
          </w:p>
        </w:tc>
        <w:tc>
          <w:tcPr>
            <w:tcW w:w="2268" w:type="dxa"/>
            <w:tcBorders>
              <w:top w:val="nil"/>
              <w:left w:val="nil"/>
              <w:bottom w:val="nil"/>
              <w:right w:val="nil"/>
            </w:tcBorders>
            <w:shd w:val="clear" w:color="auto" w:fill="auto"/>
            <w:noWrap/>
            <w:vAlign w:val="bottom"/>
            <w:hideMark/>
          </w:tcPr>
          <w:p w14:paraId="7951402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D1686DC"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440816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9B16AA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655ED9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87F6D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16940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D39307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58CD00F" w14:textId="77777777" w:rsidTr="0095397F">
        <w:trPr>
          <w:trHeight w:val="300"/>
        </w:trPr>
        <w:tc>
          <w:tcPr>
            <w:tcW w:w="2835" w:type="dxa"/>
            <w:tcBorders>
              <w:top w:val="nil"/>
              <w:left w:val="nil"/>
              <w:bottom w:val="nil"/>
              <w:right w:val="nil"/>
            </w:tcBorders>
            <w:shd w:val="clear" w:color="auto" w:fill="auto"/>
            <w:noWrap/>
            <w:vAlign w:val="bottom"/>
            <w:hideMark/>
          </w:tcPr>
          <w:p w14:paraId="4A80B1B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2</w:t>
            </w:r>
          </w:p>
        </w:tc>
        <w:tc>
          <w:tcPr>
            <w:tcW w:w="2268" w:type="dxa"/>
            <w:tcBorders>
              <w:top w:val="nil"/>
              <w:left w:val="nil"/>
              <w:bottom w:val="nil"/>
              <w:right w:val="nil"/>
            </w:tcBorders>
            <w:shd w:val="clear" w:color="auto" w:fill="auto"/>
            <w:noWrap/>
            <w:vAlign w:val="bottom"/>
            <w:hideMark/>
          </w:tcPr>
          <w:p w14:paraId="462E65C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D02D116"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01C44B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785B10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E3F23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9D0F29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FF6676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AEB078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999D948" w14:textId="77777777" w:rsidTr="0095397F">
        <w:trPr>
          <w:trHeight w:val="300"/>
        </w:trPr>
        <w:tc>
          <w:tcPr>
            <w:tcW w:w="2835" w:type="dxa"/>
            <w:tcBorders>
              <w:top w:val="nil"/>
              <w:left w:val="nil"/>
              <w:bottom w:val="nil"/>
              <w:right w:val="nil"/>
            </w:tcBorders>
            <w:shd w:val="clear" w:color="auto" w:fill="auto"/>
            <w:noWrap/>
            <w:vAlign w:val="bottom"/>
            <w:hideMark/>
          </w:tcPr>
          <w:p w14:paraId="3616BF9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3</w:t>
            </w:r>
          </w:p>
        </w:tc>
        <w:tc>
          <w:tcPr>
            <w:tcW w:w="2268" w:type="dxa"/>
            <w:tcBorders>
              <w:top w:val="nil"/>
              <w:left w:val="nil"/>
              <w:bottom w:val="nil"/>
              <w:right w:val="nil"/>
            </w:tcBorders>
            <w:shd w:val="clear" w:color="auto" w:fill="auto"/>
            <w:noWrap/>
            <w:vAlign w:val="bottom"/>
            <w:hideMark/>
          </w:tcPr>
          <w:p w14:paraId="21C1E71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6CB3D4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DFA205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FB84E4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C9FC00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95A16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5DF1B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0ED8A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790A1BA" w14:textId="77777777" w:rsidTr="0095397F">
        <w:trPr>
          <w:trHeight w:val="300"/>
        </w:trPr>
        <w:tc>
          <w:tcPr>
            <w:tcW w:w="2835" w:type="dxa"/>
            <w:tcBorders>
              <w:top w:val="nil"/>
              <w:left w:val="nil"/>
              <w:bottom w:val="nil"/>
              <w:right w:val="nil"/>
            </w:tcBorders>
            <w:shd w:val="clear" w:color="auto" w:fill="auto"/>
            <w:noWrap/>
            <w:vAlign w:val="bottom"/>
            <w:hideMark/>
          </w:tcPr>
          <w:p w14:paraId="3E31607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4</w:t>
            </w:r>
          </w:p>
        </w:tc>
        <w:tc>
          <w:tcPr>
            <w:tcW w:w="2268" w:type="dxa"/>
            <w:tcBorders>
              <w:top w:val="nil"/>
              <w:left w:val="nil"/>
              <w:bottom w:val="nil"/>
              <w:right w:val="nil"/>
            </w:tcBorders>
            <w:shd w:val="clear" w:color="auto" w:fill="auto"/>
            <w:noWrap/>
            <w:vAlign w:val="bottom"/>
            <w:hideMark/>
          </w:tcPr>
          <w:p w14:paraId="074FAA9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6508DD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B5E5E4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53963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7B6C6A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9F096A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CFE97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3C7CE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2D9C53D" w14:textId="77777777" w:rsidTr="0095397F">
        <w:trPr>
          <w:trHeight w:val="300"/>
        </w:trPr>
        <w:tc>
          <w:tcPr>
            <w:tcW w:w="2835" w:type="dxa"/>
            <w:tcBorders>
              <w:top w:val="nil"/>
              <w:left w:val="nil"/>
              <w:bottom w:val="nil"/>
              <w:right w:val="nil"/>
            </w:tcBorders>
            <w:shd w:val="clear" w:color="auto" w:fill="auto"/>
            <w:noWrap/>
            <w:vAlign w:val="bottom"/>
            <w:hideMark/>
          </w:tcPr>
          <w:p w14:paraId="6299476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5</w:t>
            </w:r>
          </w:p>
        </w:tc>
        <w:tc>
          <w:tcPr>
            <w:tcW w:w="2268" w:type="dxa"/>
            <w:tcBorders>
              <w:top w:val="nil"/>
              <w:left w:val="nil"/>
              <w:bottom w:val="nil"/>
              <w:right w:val="nil"/>
            </w:tcBorders>
            <w:shd w:val="clear" w:color="auto" w:fill="auto"/>
            <w:noWrap/>
            <w:vAlign w:val="bottom"/>
            <w:hideMark/>
          </w:tcPr>
          <w:p w14:paraId="2D55AE7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B12AF7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6E371A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8CF22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033C3F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F20BA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4CB5406F" w14:textId="77777777" w:rsidR="006501A4" w:rsidRPr="002C0CBE" w:rsidRDefault="006501A4" w:rsidP="0095397F">
            <w:pPr>
              <w:spacing w:after="0" w:line="240" w:lineRule="auto"/>
              <w:jc w:val="center"/>
              <w:rPr>
                <w:rFonts w:ascii="Wingdings" w:eastAsia="Times New Roman" w:hAnsi="Wingdings" w:cs="Calibri"/>
                <w:color w:val="9C5700"/>
                <w:lang w:eastAsia="en-AU"/>
              </w:rPr>
            </w:pPr>
            <w:r w:rsidRPr="002C0CBE">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6075D0D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294B4E1" w14:textId="77777777" w:rsidTr="0095397F">
        <w:trPr>
          <w:trHeight w:val="300"/>
        </w:trPr>
        <w:tc>
          <w:tcPr>
            <w:tcW w:w="2835" w:type="dxa"/>
            <w:tcBorders>
              <w:top w:val="nil"/>
              <w:left w:val="nil"/>
              <w:bottom w:val="nil"/>
              <w:right w:val="nil"/>
            </w:tcBorders>
            <w:shd w:val="clear" w:color="auto" w:fill="auto"/>
            <w:noWrap/>
            <w:vAlign w:val="bottom"/>
            <w:hideMark/>
          </w:tcPr>
          <w:p w14:paraId="177075A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6</w:t>
            </w:r>
          </w:p>
        </w:tc>
        <w:tc>
          <w:tcPr>
            <w:tcW w:w="2268" w:type="dxa"/>
            <w:tcBorders>
              <w:top w:val="nil"/>
              <w:left w:val="nil"/>
              <w:bottom w:val="nil"/>
              <w:right w:val="nil"/>
            </w:tcBorders>
            <w:shd w:val="clear" w:color="auto" w:fill="auto"/>
            <w:noWrap/>
            <w:vAlign w:val="bottom"/>
            <w:hideMark/>
          </w:tcPr>
          <w:p w14:paraId="505F306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ED004D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D56221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C65B32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495C15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281ED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3338C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E16FA7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65F435F" w14:textId="77777777" w:rsidTr="0095397F">
        <w:trPr>
          <w:trHeight w:val="300"/>
        </w:trPr>
        <w:tc>
          <w:tcPr>
            <w:tcW w:w="2835" w:type="dxa"/>
            <w:tcBorders>
              <w:top w:val="nil"/>
              <w:left w:val="nil"/>
              <w:bottom w:val="nil"/>
              <w:right w:val="nil"/>
            </w:tcBorders>
            <w:shd w:val="clear" w:color="auto" w:fill="auto"/>
            <w:noWrap/>
            <w:vAlign w:val="bottom"/>
            <w:hideMark/>
          </w:tcPr>
          <w:p w14:paraId="6DEBCDF0"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7</w:t>
            </w:r>
          </w:p>
        </w:tc>
        <w:tc>
          <w:tcPr>
            <w:tcW w:w="2268" w:type="dxa"/>
            <w:tcBorders>
              <w:top w:val="nil"/>
              <w:left w:val="nil"/>
              <w:bottom w:val="nil"/>
              <w:right w:val="nil"/>
            </w:tcBorders>
            <w:shd w:val="clear" w:color="auto" w:fill="auto"/>
            <w:noWrap/>
            <w:vAlign w:val="bottom"/>
            <w:hideMark/>
          </w:tcPr>
          <w:p w14:paraId="0A4864D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651D1F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BF1CC1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2FB83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FBB0DB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0A095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15ED2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636FB9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49CF271"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1FA87A1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Four Posts 8</w:t>
            </w:r>
          </w:p>
        </w:tc>
        <w:tc>
          <w:tcPr>
            <w:tcW w:w="2268" w:type="dxa"/>
            <w:tcBorders>
              <w:top w:val="nil"/>
              <w:left w:val="nil"/>
              <w:bottom w:val="single" w:sz="8" w:space="0" w:color="auto"/>
              <w:right w:val="nil"/>
            </w:tcBorders>
            <w:shd w:val="clear" w:color="auto" w:fill="auto"/>
            <w:noWrap/>
            <w:vAlign w:val="bottom"/>
            <w:hideMark/>
          </w:tcPr>
          <w:p w14:paraId="1D60916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1CB62BF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13C0F0D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BE3CFE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DABB76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FA8704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BE8C0B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B3613A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1B62791" w14:textId="77777777" w:rsidTr="0095397F">
        <w:trPr>
          <w:trHeight w:val="300"/>
        </w:trPr>
        <w:tc>
          <w:tcPr>
            <w:tcW w:w="2835" w:type="dxa"/>
            <w:tcBorders>
              <w:top w:val="nil"/>
              <w:left w:val="nil"/>
              <w:bottom w:val="nil"/>
              <w:right w:val="nil"/>
            </w:tcBorders>
            <w:shd w:val="clear" w:color="auto" w:fill="auto"/>
            <w:noWrap/>
            <w:vAlign w:val="bottom"/>
            <w:hideMark/>
          </w:tcPr>
          <w:p w14:paraId="040DADC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1</w:t>
            </w:r>
          </w:p>
        </w:tc>
        <w:tc>
          <w:tcPr>
            <w:tcW w:w="2268" w:type="dxa"/>
            <w:tcBorders>
              <w:top w:val="nil"/>
              <w:left w:val="nil"/>
              <w:bottom w:val="nil"/>
              <w:right w:val="nil"/>
            </w:tcBorders>
            <w:shd w:val="clear" w:color="auto" w:fill="auto"/>
            <w:noWrap/>
            <w:vAlign w:val="bottom"/>
            <w:hideMark/>
          </w:tcPr>
          <w:p w14:paraId="1BD12F4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310355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FDA8C4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43E1B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D383C7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173B60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1A476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327B6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8A33846" w14:textId="77777777" w:rsidTr="0095397F">
        <w:trPr>
          <w:trHeight w:val="300"/>
        </w:trPr>
        <w:tc>
          <w:tcPr>
            <w:tcW w:w="2835" w:type="dxa"/>
            <w:tcBorders>
              <w:top w:val="nil"/>
              <w:left w:val="nil"/>
              <w:bottom w:val="nil"/>
              <w:right w:val="nil"/>
            </w:tcBorders>
            <w:shd w:val="clear" w:color="auto" w:fill="auto"/>
            <w:noWrap/>
            <w:vAlign w:val="bottom"/>
            <w:hideMark/>
          </w:tcPr>
          <w:p w14:paraId="5418C22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2</w:t>
            </w:r>
          </w:p>
        </w:tc>
        <w:tc>
          <w:tcPr>
            <w:tcW w:w="2268" w:type="dxa"/>
            <w:tcBorders>
              <w:top w:val="nil"/>
              <w:left w:val="nil"/>
              <w:bottom w:val="nil"/>
              <w:right w:val="nil"/>
            </w:tcBorders>
            <w:shd w:val="clear" w:color="auto" w:fill="auto"/>
            <w:noWrap/>
            <w:vAlign w:val="bottom"/>
            <w:hideMark/>
          </w:tcPr>
          <w:p w14:paraId="54DC981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DC3D9B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D83104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814376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A9D57E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43418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36438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8CA015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97F19D1" w14:textId="77777777" w:rsidTr="0095397F">
        <w:trPr>
          <w:trHeight w:val="300"/>
        </w:trPr>
        <w:tc>
          <w:tcPr>
            <w:tcW w:w="2835" w:type="dxa"/>
            <w:tcBorders>
              <w:top w:val="nil"/>
              <w:left w:val="nil"/>
              <w:bottom w:val="nil"/>
              <w:right w:val="nil"/>
            </w:tcBorders>
            <w:shd w:val="clear" w:color="auto" w:fill="auto"/>
            <w:noWrap/>
            <w:vAlign w:val="bottom"/>
            <w:hideMark/>
          </w:tcPr>
          <w:p w14:paraId="48B28B5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3</w:t>
            </w:r>
          </w:p>
        </w:tc>
        <w:tc>
          <w:tcPr>
            <w:tcW w:w="2268" w:type="dxa"/>
            <w:tcBorders>
              <w:top w:val="nil"/>
              <w:left w:val="nil"/>
              <w:bottom w:val="nil"/>
              <w:right w:val="nil"/>
            </w:tcBorders>
            <w:shd w:val="clear" w:color="auto" w:fill="auto"/>
            <w:noWrap/>
            <w:vAlign w:val="bottom"/>
            <w:hideMark/>
          </w:tcPr>
          <w:p w14:paraId="049869C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61DC48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F08C6A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B9F88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F80BA5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879B79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8595E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FD42AE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4445B47" w14:textId="77777777" w:rsidTr="0095397F">
        <w:trPr>
          <w:trHeight w:val="300"/>
        </w:trPr>
        <w:tc>
          <w:tcPr>
            <w:tcW w:w="2835" w:type="dxa"/>
            <w:tcBorders>
              <w:top w:val="nil"/>
              <w:left w:val="nil"/>
              <w:bottom w:val="nil"/>
              <w:right w:val="nil"/>
            </w:tcBorders>
            <w:shd w:val="clear" w:color="auto" w:fill="auto"/>
            <w:noWrap/>
            <w:vAlign w:val="bottom"/>
            <w:hideMark/>
          </w:tcPr>
          <w:p w14:paraId="3C0E335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4</w:t>
            </w:r>
          </w:p>
        </w:tc>
        <w:tc>
          <w:tcPr>
            <w:tcW w:w="2268" w:type="dxa"/>
            <w:tcBorders>
              <w:top w:val="nil"/>
              <w:left w:val="nil"/>
              <w:bottom w:val="nil"/>
              <w:right w:val="nil"/>
            </w:tcBorders>
            <w:shd w:val="clear" w:color="auto" w:fill="auto"/>
            <w:noWrap/>
            <w:vAlign w:val="bottom"/>
            <w:hideMark/>
          </w:tcPr>
          <w:p w14:paraId="07D4E80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DD6105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83D8B2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0F73A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D5123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283FB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22103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D631E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D5D11BF" w14:textId="77777777" w:rsidTr="0095397F">
        <w:trPr>
          <w:trHeight w:val="300"/>
        </w:trPr>
        <w:tc>
          <w:tcPr>
            <w:tcW w:w="2835" w:type="dxa"/>
            <w:tcBorders>
              <w:top w:val="nil"/>
              <w:left w:val="nil"/>
              <w:bottom w:val="nil"/>
              <w:right w:val="nil"/>
            </w:tcBorders>
            <w:shd w:val="clear" w:color="auto" w:fill="auto"/>
            <w:noWrap/>
            <w:vAlign w:val="bottom"/>
            <w:hideMark/>
          </w:tcPr>
          <w:p w14:paraId="2D6EAB3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5</w:t>
            </w:r>
          </w:p>
        </w:tc>
        <w:tc>
          <w:tcPr>
            <w:tcW w:w="2268" w:type="dxa"/>
            <w:tcBorders>
              <w:top w:val="nil"/>
              <w:left w:val="nil"/>
              <w:bottom w:val="nil"/>
              <w:right w:val="nil"/>
            </w:tcBorders>
            <w:shd w:val="clear" w:color="auto" w:fill="auto"/>
            <w:noWrap/>
            <w:vAlign w:val="bottom"/>
            <w:hideMark/>
          </w:tcPr>
          <w:p w14:paraId="09AABFC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68B557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A5A5D7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C18B8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11C0C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1EA31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5634D5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9A23D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CC02F72" w14:textId="77777777" w:rsidTr="0095397F">
        <w:trPr>
          <w:trHeight w:val="300"/>
        </w:trPr>
        <w:tc>
          <w:tcPr>
            <w:tcW w:w="2835" w:type="dxa"/>
            <w:tcBorders>
              <w:top w:val="nil"/>
              <w:left w:val="nil"/>
              <w:bottom w:val="nil"/>
              <w:right w:val="nil"/>
            </w:tcBorders>
            <w:shd w:val="clear" w:color="auto" w:fill="auto"/>
            <w:noWrap/>
            <w:vAlign w:val="bottom"/>
            <w:hideMark/>
          </w:tcPr>
          <w:p w14:paraId="367E99C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6</w:t>
            </w:r>
          </w:p>
        </w:tc>
        <w:tc>
          <w:tcPr>
            <w:tcW w:w="2268" w:type="dxa"/>
            <w:tcBorders>
              <w:top w:val="nil"/>
              <w:left w:val="nil"/>
              <w:bottom w:val="nil"/>
              <w:right w:val="nil"/>
            </w:tcBorders>
            <w:shd w:val="clear" w:color="auto" w:fill="auto"/>
            <w:noWrap/>
            <w:vAlign w:val="bottom"/>
            <w:hideMark/>
          </w:tcPr>
          <w:p w14:paraId="31DEA63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59B389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ED5C91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A8FB2C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5CB0E4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F0AA2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BBFED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2B8CA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3260681" w14:textId="77777777" w:rsidTr="0095397F">
        <w:trPr>
          <w:trHeight w:val="300"/>
        </w:trPr>
        <w:tc>
          <w:tcPr>
            <w:tcW w:w="2835" w:type="dxa"/>
            <w:tcBorders>
              <w:top w:val="nil"/>
              <w:left w:val="nil"/>
              <w:bottom w:val="nil"/>
              <w:right w:val="nil"/>
            </w:tcBorders>
            <w:shd w:val="clear" w:color="auto" w:fill="auto"/>
            <w:noWrap/>
            <w:vAlign w:val="bottom"/>
            <w:hideMark/>
          </w:tcPr>
          <w:p w14:paraId="73E9128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7</w:t>
            </w:r>
          </w:p>
        </w:tc>
        <w:tc>
          <w:tcPr>
            <w:tcW w:w="2268" w:type="dxa"/>
            <w:tcBorders>
              <w:top w:val="nil"/>
              <w:left w:val="nil"/>
              <w:bottom w:val="nil"/>
              <w:right w:val="nil"/>
            </w:tcBorders>
            <w:shd w:val="clear" w:color="auto" w:fill="auto"/>
            <w:noWrap/>
            <w:vAlign w:val="bottom"/>
            <w:hideMark/>
          </w:tcPr>
          <w:p w14:paraId="4F780D3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BA01142"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6C2EAB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EB445B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4E3CE1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65C97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EF42F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6E8919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12010CA"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4D442A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Eastman Bridge 8</w:t>
            </w:r>
          </w:p>
        </w:tc>
        <w:tc>
          <w:tcPr>
            <w:tcW w:w="2268" w:type="dxa"/>
            <w:tcBorders>
              <w:top w:val="nil"/>
              <w:left w:val="nil"/>
              <w:bottom w:val="single" w:sz="8" w:space="0" w:color="auto"/>
              <w:right w:val="nil"/>
            </w:tcBorders>
            <w:shd w:val="clear" w:color="auto" w:fill="auto"/>
            <w:noWrap/>
            <w:vAlign w:val="bottom"/>
            <w:hideMark/>
          </w:tcPr>
          <w:p w14:paraId="4E0CE41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5F96484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235EA48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0DBA53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055F043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931201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CA84E6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FD59E2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C3A4C84" w14:textId="77777777" w:rsidTr="0095397F">
        <w:trPr>
          <w:trHeight w:val="300"/>
        </w:trPr>
        <w:tc>
          <w:tcPr>
            <w:tcW w:w="2835" w:type="dxa"/>
            <w:tcBorders>
              <w:top w:val="nil"/>
              <w:left w:val="nil"/>
              <w:bottom w:val="nil"/>
              <w:right w:val="nil"/>
            </w:tcBorders>
            <w:shd w:val="clear" w:color="auto" w:fill="auto"/>
            <w:noWrap/>
            <w:vAlign w:val="bottom"/>
            <w:hideMark/>
          </w:tcPr>
          <w:p w14:paraId="4630BCB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1</w:t>
            </w:r>
          </w:p>
        </w:tc>
        <w:tc>
          <w:tcPr>
            <w:tcW w:w="2268" w:type="dxa"/>
            <w:tcBorders>
              <w:top w:val="nil"/>
              <w:left w:val="nil"/>
              <w:bottom w:val="nil"/>
              <w:right w:val="nil"/>
            </w:tcBorders>
            <w:shd w:val="clear" w:color="auto" w:fill="auto"/>
            <w:noWrap/>
            <w:vAlign w:val="bottom"/>
            <w:hideMark/>
          </w:tcPr>
          <w:p w14:paraId="56C4C68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601B6C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ACE134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C5CDC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7510D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714843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921FA7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7928D0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55EFB53" w14:textId="77777777" w:rsidTr="0095397F">
        <w:trPr>
          <w:trHeight w:val="300"/>
        </w:trPr>
        <w:tc>
          <w:tcPr>
            <w:tcW w:w="2835" w:type="dxa"/>
            <w:tcBorders>
              <w:top w:val="nil"/>
              <w:left w:val="nil"/>
              <w:bottom w:val="nil"/>
              <w:right w:val="nil"/>
            </w:tcBorders>
            <w:shd w:val="clear" w:color="auto" w:fill="auto"/>
            <w:noWrap/>
            <w:vAlign w:val="bottom"/>
            <w:hideMark/>
          </w:tcPr>
          <w:p w14:paraId="43965C8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2</w:t>
            </w:r>
          </w:p>
        </w:tc>
        <w:tc>
          <w:tcPr>
            <w:tcW w:w="2268" w:type="dxa"/>
            <w:tcBorders>
              <w:top w:val="nil"/>
              <w:left w:val="nil"/>
              <w:bottom w:val="nil"/>
              <w:right w:val="nil"/>
            </w:tcBorders>
            <w:shd w:val="clear" w:color="auto" w:fill="auto"/>
            <w:noWrap/>
            <w:vAlign w:val="bottom"/>
            <w:hideMark/>
          </w:tcPr>
          <w:p w14:paraId="7A67F16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0A4877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2EC7BC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553B9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DBDAE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6ADCD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0A5F72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A08242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F29240B" w14:textId="77777777" w:rsidTr="0095397F">
        <w:trPr>
          <w:trHeight w:val="300"/>
        </w:trPr>
        <w:tc>
          <w:tcPr>
            <w:tcW w:w="2835" w:type="dxa"/>
            <w:tcBorders>
              <w:top w:val="nil"/>
              <w:left w:val="nil"/>
              <w:bottom w:val="nil"/>
              <w:right w:val="nil"/>
            </w:tcBorders>
            <w:shd w:val="clear" w:color="auto" w:fill="auto"/>
            <w:noWrap/>
            <w:vAlign w:val="bottom"/>
            <w:hideMark/>
          </w:tcPr>
          <w:p w14:paraId="57DC8A3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3</w:t>
            </w:r>
          </w:p>
        </w:tc>
        <w:tc>
          <w:tcPr>
            <w:tcW w:w="2268" w:type="dxa"/>
            <w:tcBorders>
              <w:top w:val="nil"/>
              <w:left w:val="nil"/>
              <w:bottom w:val="nil"/>
              <w:right w:val="nil"/>
            </w:tcBorders>
            <w:shd w:val="clear" w:color="auto" w:fill="auto"/>
            <w:noWrap/>
            <w:vAlign w:val="bottom"/>
            <w:hideMark/>
          </w:tcPr>
          <w:p w14:paraId="42AF9C4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60B1506"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232811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8F172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A77740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3AA1F9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89789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E3B87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572EB64" w14:textId="77777777" w:rsidTr="0095397F">
        <w:trPr>
          <w:trHeight w:val="300"/>
        </w:trPr>
        <w:tc>
          <w:tcPr>
            <w:tcW w:w="2835" w:type="dxa"/>
            <w:tcBorders>
              <w:top w:val="nil"/>
              <w:left w:val="nil"/>
              <w:bottom w:val="nil"/>
              <w:right w:val="nil"/>
            </w:tcBorders>
            <w:shd w:val="clear" w:color="auto" w:fill="auto"/>
            <w:noWrap/>
            <w:vAlign w:val="bottom"/>
            <w:hideMark/>
          </w:tcPr>
          <w:p w14:paraId="7858A04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4</w:t>
            </w:r>
          </w:p>
        </w:tc>
        <w:tc>
          <w:tcPr>
            <w:tcW w:w="2268" w:type="dxa"/>
            <w:tcBorders>
              <w:top w:val="nil"/>
              <w:left w:val="nil"/>
              <w:bottom w:val="nil"/>
              <w:right w:val="nil"/>
            </w:tcBorders>
            <w:shd w:val="clear" w:color="auto" w:fill="auto"/>
            <w:noWrap/>
            <w:vAlign w:val="bottom"/>
            <w:hideMark/>
          </w:tcPr>
          <w:p w14:paraId="7B0974F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4D847C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845508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2EA18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F7C67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D8641F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29E509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E85935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34A74C0" w14:textId="77777777" w:rsidTr="0095397F">
        <w:trPr>
          <w:trHeight w:val="300"/>
        </w:trPr>
        <w:tc>
          <w:tcPr>
            <w:tcW w:w="2835" w:type="dxa"/>
            <w:tcBorders>
              <w:top w:val="nil"/>
              <w:left w:val="nil"/>
              <w:bottom w:val="nil"/>
              <w:right w:val="nil"/>
            </w:tcBorders>
            <w:shd w:val="clear" w:color="auto" w:fill="auto"/>
            <w:noWrap/>
            <w:vAlign w:val="bottom"/>
            <w:hideMark/>
          </w:tcPr>
          <w:p w14:paraId="44BD334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5</w:t>
            </w:r>
          </w:p>
        </w:tc>
        <w:tc>
          <w:tcPr>
            <w:tcW w:w="2268" w:type="dxa"/>
            <w:tcBorders>
              <w:top w:val="nil"/>
              <w:left w:val="nil"/>
              <w:bottom w:val="nil"/>
              <w:right w:val="nil"/>
            </w:tcBorders>
            <w:shd w:val="clear" w:color="auto" w:fill="auto"/>
            <w:noWrap/>
            <w:vAlign w:val="bottom"/>
            <w:hideMark/>
          </w:tcPr>
          <w:p w14:paraId="2965A78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BD8B35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366086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5BFB9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CF392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BD065A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4D8CBC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0F555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12307AE" w14:textId="77777777" w:rsidTr="0095397F">
        <w:trPr>
          <w:trHeight w:val="300"/>
        </w:trPr>
        <w:tc>
          <w:tcPr>
            <w:tcW w:w="2835" w:type="dxa"/>
            <w:tcBorders>
              <w:top w:val="nil"/>
              <w:left w:val="nil"/>
              <w:bottom w:val="nil"/>
              <w:right w:val="nil"/>
            </w:tcBorders>
            <w:shd w:val="clear" w:color="auto" w:fill="auto"/>
            <w:noWrap/>
            <w:vAlign w:val="bottom"/>
            <w:hideMark/>
          </w:tcPr>
          <w:p w14:paraId="1A6DCAC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6</w:t>
            </w:r>
          </w:p>
        </w:tc>
        <w:tc>
          <w:tcPr>
            <w:tcW w:w="2268" w:type="dxa"/>
            <w:tcBorders>
              <w:top w:val="nil"/>
              <w:left w:val="nil"/>
              <w:bottom w:val="nil"/>
              <w:right w:val="nil"/>
            </w:tcBorders>
            <w:shd w:val="clear" w:color="auto" w:fill="auto"/>
            <w:noWrap/>
            <w:vAlign w:val="bottom"/>
            <w:hideMark/>
          </w:tcPr>
          <w:p w14:paraId="01093D1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A7A4EE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133190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538CD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4FCF0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C62A1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49996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B90128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57C5D24" w14:textId="77777777" w:rsidTr="0095397F">
        <w:trPr>
          <w:trHeight w:val="300"/>
        </w:trPr>
        <w:tc>
          <w:tcPr>
            <w:tcW w:w="2835" w:type="dxa"/>
            <w:tcBorders>
              <w:top w:val="nil"/>
              <w:left w:val="nil"/>
              <w:bottom w:val="nil"/>
              <w:right w:val="nil"/>
            </w:tcBorders>
            <w:shd w:val="clear" w:color="auto" w:fill="auto"/>
            <w:noWrap/>
            <w:vAlign w:val="bottom"/>
            <w:hideMark/>
          </w:tcPr>
          <w:p w14:paraId="27EA5AC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7</w:t>
            </w:r>
          </w:p>
        </w:tc>
        <w:tc>
          <w:tcPr>
            <w:tcW w:w="2268" w:type="dxa"/>
            <w:tcBorders>
              <w:top w:val="nil"/>
              <w:left w:val="nil"/>
              <w:bottom w:val="nil"/>
              <w:right w:val="nil"/>
            </w:tcBorders>
            <w:shd w:val="clear" w:color="auto" w:fill="auto"/>
            <w:noWrap/>
            <w:vAlign w:val="bottom"/>
            <w:hideMark/>
          </w:tcPr>
          <w:p w14:paraId="64A86EF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CB5ACD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0B43C9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849B0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33C749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52D51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1C6EC8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6D41A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CA088B7"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7F0DEDD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Balpool 8</w:t>
            </w:r>
          </w:p>
        </w:tc>
        <w:tc>
          <w:tcPr>
            <w:tcW w:w="2268" w:type="dxa"/>
            <w:tcBorders>
              <w:top w:val="nil"/>
              <w:left w:val="nil"/>
              <w:bottom w:val="single" w:sz="8" w:space="0" w:color="auto"/>
              <w:right w:val="nil"/>
            </w:tcBorders>
            <w:shd w:val="clear" w:color="auto" w:fill="auto"/>
            <w:noWrap/>
            <w:vAlign w:val="bottom"/>
            <w:hideMark/>
          </w:tcPr>
          <w:p w14:paraId="546A410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0B4E519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569CB45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4C061E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3798A8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8C4372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A85CD5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A2305C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E8EC1BF" w14:textId="77777777" w:rsidTr="0095397F">
        <w:trPr>
          <w:trHeight w:val="300"/>
        </w:trPr>
        <w:tc>
          <w:tcPr>
            <w:tcW w:w="2835" w:type="dxa"/>
            <w:tcBorders>
              <w:top w:val="nil"/>
              <w:left w:val="nil"/>
              <w:bottom w:val="nil"/>
              <w:right w:val="nil"/>
            </w:tcBorders>
            <w:shd w:val="clear" w:color="auto" w:fill="auto"/>
            <w:noWrap/>
            <w:vAlign w:val="bottom"/>
            <w:hideMark/>
          </w:tcPr>
          <w:p w14:paraId="65A9B8E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1</w:t>
            </w:r>
          </w:p>
        </w:tc>
        <w:tc>
          <w:tcPr>
            <w:tcW w:w="2268" w:type="dxa"/>
            <w:tcBorders>
              <w:top w:val="nil"/>
              <w:left w:val="nil"/>
              <w:bottom w:val="nil"/>
              <w:right w:val="nil"/>
            </w:tcBorders>
            <w:shd w:val="clear" w:color="auto" w:fill="auto"/>
            <w:noWrap/>
            <w:vAlign w:val="bottom"/>
            <w:hideMark/>
          </w:tcPr>
          <w:p w14:paraId="3B269F3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3B747D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94BDFC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D53CA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8568B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0F840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49064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C83277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F8BA5B0" w14:textId="77777777" w:rsidTr="0095397F">
        <w:trPr>
          <w:trHeight w:val="300"/>
        </w:trPr>
        <w:tc>
          <w:tcPr>
            <w:tcW w:w="2835" w:type="dxa"/>
            <w:tcBorders>
              <w:top w:val="nil"/>
              <w:left w:val="nil"/>
              <w:bottom w:val="nil"/>
              <w:right w:val="nil"/>
            </w:tcBorders>
            <w:shd w:val="clear" w:color="auto" w:fill="auto"/>
            <w:noWrap/>
            <w:vAlign w:val="bottom"/>
            <w:hideMark/>
          </w:tcPr>
          <w:p w14:paraId="55ABA66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2</w:t>
            </w:r>
          </w:p>
        </w:tc>
        <w:tc>
          <w:tcPr>
            <w:tcW w:w="2268" w:type="dxa"/>
            <w:tcBorders>
              <w:top w:val="nil"/>
              <w:left w:val="nil"/>
              <w:bottom w:val="nil"/>
              <w:right w:val="nil"/>
            </w:tcBorders>
            <w:shd w:val="clear" w:color="auto" w:fill="auto"/>
            <w:noWrap/>
            <w:vAlign w:val="bottom"/>
            <w:hideMark/>
          </w:tcPr>
          <w:p w14:paraId="351BE4C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A25AAC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216268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6D101C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3D147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147F54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994D8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41133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253CAD4" w14:textId="77777777" w:rsidTr="0095397F">
        <w:trPr>
          <w:trHeight w:val="300"/>
        </w:trPr>
        <w:tc>
          <w:tcPr>
            <w:tcW w:w="2835" w:type="dxa"/>
            <w:tcBorders>
              <w:top w:val="nil"/>
              <w:left w:val="nil"/>
              <w:bottom w:val="nil"/>
              <w:right w:val="nil"/>
            </w:tcBorders>
            <w:shd w:val="clear" w:color="auto" w:fill="auto"/>
            <w:noWrap/>
            <w:vAlign w:val="bottom"/>
            <w:hideMark/>
          </w:tcPr>
          <w:p w14:paraId="1B600FF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3</w:t>
            </w:r>
          </w:p>
        </w:tc>
        <w:tc>
          <w:tcPr>
            <w:tcW w:w="2268" w:type="dxa"/>
            <w:tcBorders>
              <w:top w:val="nil"/>
              <w:left w:val="nil"/>
              <w:bottom w:val="nil"/>
              <w:right w:val="nil"/>
            </w:tcBorders>
            <w:shd w:val="clear" w:color="auto" w:fill="auto"/>
            <w:noWrap/>
            <w:vAlign w:val="bottom"/>
            <w:hideMark/>
          </w:tcPr>
          <w:p w14:paraId="4F50D44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AEBF94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9C660E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A801E3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13E28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E6E20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7A508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7136E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C0BFC98" w14:textId="77777777" w:rsidTr="0095397F">
        <w:trPr>
          <w:trHeight w:val="300"/>
        </w:trPr>
        <w:tc>
          <w:tcPr>
            <w:tcW w:w="2835" w:type="dxa"/>
            <w:tcBorders>
              <w:top w:val="nil"/>
              <w:left w:val="nil"/>
              <w:bottom w:val="nil"/>
              <w:right w:val="nil"/>
            </w:tcBorders>
            <w:shd w:val="clear" w:color="auto" w:fill="auto"/>
            <w:noWrap/>
            <w:vAlign w:val="bottom"/>
            <w:hideMark/>
          </w:tcPr>
          <w:p w14:paraId="7399067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4</w:t>
            </w:r>
          </w:p>
        </w:tc>
        <w:tc>
          <w:tcPr>
            <w:tcW w:w="2268" w:type="dxa"/>
            <w:tcBorders>
              <w:top w:val="nil"/>
              <w:left w:val="nil"/>
              <w:bottom w:val="nil"/>
              <w:right w:val="nil"/>
            </w:tcBorders>
            <w:shd w:val="clear" w:color="auto" w:fill="auto"/>
            <w:noWrap/>
            <w:vAlign w:val="bottom"/>
            <w:hideMark/>
          </w:tcPr>
          <w:p w14:paraId="509A398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79DEDB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0B4B6F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FDBA10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BE7DF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F230B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344804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F8FCE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406A0CD" w14:textId="77777777" w:rsidTr="0095397F">
        <w:trPr>
          <w:trHeight w:val="300"/>
        </w:trPr>
        <w:tc>
          <w:tcPr>
            <w:tcW w:w="2835" w:type="dxa"/>
            <w:tcBorders>
              <w:top w:val="nil"/>
              <w:left w:val="nil"/>
              <w:bottom w:val="nil"/>
              <w:right w:val="nil"/>
            </w:tcBorders>
            <w:shd w:val="clear" w:color="auto" w:fill="auto"/>
            <w:noWrap/>
            <w:vAlign w:val="bottom"/>
            <w:hideMark/>
          </w:tcPr>
          <w:p w14:paraId="32E62DA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5</w:t>
            </w:r>
          </w:p>
        </w:tc>
        <w:tc>
          <w:tcPr>
            <w:tcW w:w="2268" w:type="dxa"/>
            <w:tcBorders>
              <w:top w:val="nil"/>
              <w:left w:val="nil"/>
              <w:bottom w:val="nil"/>
              <w:right w:val="nil"/>
            </w:tcBorders>
            <w:shd w:val="clear" w:color="auto" w:fill="auto"/>
            <w:noWrap/>
            <w:vAlign w:val="bottom"/>
            <w:hideMark/>
          </w:tcPr>
          <w:p w14:paraId="4372691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17364FC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99F568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C6DBE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7EEC72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5A9FF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5B6E80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EFF13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0A17AA0" w14:textId="77777777" w:rsidTr="0095397F">
        <w:trPr>
          <w:trHeight w:val="300"/>
        </w:trPr>
        <w:tc>
          <w:tcPr>
            <w:tcW w:w="2835" w:type="dxa"/>
            <w:tcBorders>
              <w:top w:val="nil"/>
              <w:left w:val="nil"/>
              <w:bottom w:val="nil"/>
              <w:right w:val="nil"/>
            </w:tcBorders>
            <w:shd w:val="clear" w:color="auto" w:fill="auto"/>
            <w:noWrap/>
            <w:vAlign w:val="bottom"/>
            <w:hideMark/>
          </w:tcPr>
          <w:p w14:paraId="6D53CB0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6</w:t>
            </w:r>
          </w:p>
        </w:tc>
        <w:tc>
          <w:tcPr>
            <w:tcW w:w="2268" w:type="dxa"/>
            <w:tcBorders>
              <w:top w:val="nil"/>
              <w:left w:val="nil"/>
              <w:bottom w:val="nil"/>
              <w:right w:val="nil"/>
            </w:tcBorders>
            <w:shd w:val="clear" w:color="auto" w:fill="auto"/>
            <w:noWrap/>
            <w:vAlign w:val="bottom"/>
            <w:hideMark/>
          </w:tcPr>
          <w:p w14:paraId="42A10E0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7A51D9B"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46D9A1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BBCB1C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FD083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30250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009669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3B1A20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10B8851" w14:textId="77777777" w:rsidTr="0095397F">
        <w:trPr>
          <w:trHeight w:val="300"/>
        </w:trPr>
        <w:tc>
          <w:tcPr>
            <w:tcW w:w="2835" w:type="dxa"/>
            <w:tcBorders>
              <w:top w:val="nil"/>
              <w:left w:val="nil"/>
              <w:bottom w:val="nil"/>
              <w:right w:val="nil"/>
            </w:tcBorders>
            <w:shd w:val="clear" w:color="auto" w:fill="auto"/>
            <w:noWrap/>
            <w:vAlign w:val="bottom"/>
            <w:hideMark/>
          </w:tcPr>
          <w:p w14:paraId="3DEA19A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7</w:t>
            </w:r>
          </w:p>
        </w:tc>
        <w:tc>
          <w:tcPr>
            <w:tcW w:w="2268" w:type="dxa"/>
            <w:tcBorders>
              <w:top w:val="nil"/>
              <w:left w:val="nil"/>
              <w:bottom w:val="nil"/>
              <w:right w:val="nil"/>
            </w:tcBorders>
            <w:shd w:val="clear" w:color="auto" w:fill="auto"/>
            <w:noWrap/>
            <w:vAlign w:val="bottom"/>
            <w:hideMark/>
          </w:tcPr>
          <w:p w14:paraId="58E7DB9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1E0E0B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B1A902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19B5D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61A20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91540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51BC4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B0D5E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2B5C884"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2794D4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Kyalite State Forest 8</w:t>
            </w:r>
          </w:p>
        </w:tc>
        <w:tc>
          <w:tcPr>
            <w:tcW w:w="2268" w:type="dxa"/>
            <w:tcBorders>
              <w:top w:val="nil"/>
              <w:left w:val="nil"/>
              <w:bottom w:val="single" w:sz="8" w:space="0" w:color="auto"/>
              <w:right w:val="nil"/>
            </w:tcBorders>
            <w:shd w:val="clear" w:color="auto" w:fill="auto"/>
            <w:noWrap/>
            <w:vAlign w:val="bottom"/>
            <w:hideMark/>
          </w:tcPr>
          <w:p w14:paraId="0296DCC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709FE640"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41512C0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2136B8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E0FEE9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44199B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3B38A9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9D81BF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5172F61" w14:textId="77777777" w:rsidTr="0095397F">
        <w:trPr>
          <w:trHeight w:val="300"/>
        </w:trPr>
        <w:tc>
          <w:tcPr>
            <w:tcW w:w="2835" w:type="dxa"/>
            <w:tcBorders>
              <w:top w:val="nil"/>
              <w:left w:val="nil"/>
              <w:bottom w:val="nil"/>
              <w:right w:val="nil"/>
            </w:tcBorders>
            <w:shd w:val="clear" w:color="auto" w:fill="auto"/>
            <w:noWrap/>
            <w:vAlign w:val="bottom"/>
            <w:hideMark/>
          </w:tcPr>
          <w:p w14:paraId="22DA5E7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1</w:t>
            </w:r>
          </w:p>
        </w:tc>
        <w:tc>
          <w:tcPr>
            <w:tcW w:w="2268" w:type="dxa"/>
            <w:tcBorders>
              <w:top w:val="nil"/>
              <w:left w:val="nil"/>
              <w:bottom w:val="nil"/>
              <w:right w:val="nil"/>
            </w:tcBorders>
            <w:shd w:val="clear" w:color="auto" w:fill="auto"/>
            <w:noWrap/>
            <w:vAlign w:val="bottom"/>
            <w:hideMark/>
          </w:tcPr>
          <w:p w14:paraId="2E671EB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512861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2AEBC8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4836C4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DD7C3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BF2379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4AB8B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B9D858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959D115" w14:textId="77777777" w:rsidTr="0095397F">
        <w:trPr>
          <w:trHeight w:val="300"/>
        </w:trPr>
        <w:tc>
          <w:tcPr>
            <w:tcW w:w="2835" w:type="dxa"/>
            <w:tcBorders>
              <w:top w:val="nil"/>
              <w:left w:val="nil"/>
              <w:bottom w:val="nil"/>
              <w:right w:val="nil"/>
            </w:tcBorders>
            <w:shd w:val="clear" w:color="auto" w:fill="auto"/>
            <w:noWrap/>
            <w:vAlign w:val="bottom"/>
            <w:hideMark/>
          </w:tcPr>
          <w:p w14:paraId="558178B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2</w:t>
            </w:r>
          </w:p>
        </w:tc>
        <w:tc>
          <w:tcPr>
            <w:tcW w:w="2268" w:type="dxa"/>
            <w:tcBorders>
              <w:top w:val="nil"/>
              <w:left w:val="nil"/>
              <w:bottom w:val="nil"/>
              <w:right w:val="nil"/>
            </w:tcBorders>
            <w:shd w:val="clear" w:color="auto" w:fill="auto"/>
            <w:noWrap/>
            <w:vAlign w:val="bottom"/>
            <w:hideMark/>
          </w:tcPr>
          <w:p w14:paraId="63004A6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D3380C1"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BDF211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A0532F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4801B3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A2159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223AD5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DBE51E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377DC6E" w14:textId="77777777" w:rsidTr="0095397F">
        <w:trPr>
          <w:trHeight w:val="300"/>
        </w:trPr>
        <w:tc>
          <w:tcPr>
            <w:tcW w:w="2835" w:type="dxa"/>
            <w:tcBorders>
              <w:top w:val="nil"/>
              <w:left w:val="nil"/>
              <w:bottom w:val="nil"/>
              <w:right w:val="nil"/>
            </w:tcBorders>
            <w:shd w:val="clear" w:color="auto" w:fill="auto"/>
            <w:noWrap/>
            <w:vAlign w:val="bottom"/>
            <w:hideMark/>
          </w:tcPr>
          <w:p w14:paraId="15B6E04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3</w:t>
            </w:r>
          </w:p>
        </w:tc>
        <w:tc>
          <w:tcPr>
            <w:tcW w:w="2268" w:type="dxa"/>
            <w:tcBorders>
              <w:top w:val="nil"/>
              <w:left w:val="nil"/>
              <w:bottom w:val="nil"/>
              <w:right w:val="nil"/>
            </w:tcBorders>
            <w:shd w:val="clear" w:color="auto" w:fill="auto"/>
            <w:noWrap/>
            <w:vAlign w:val="bottom"/>
            <w:hideMark/>
          </w:tcPr>
          <w:p w14:paraId="23C5FE5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DBB62E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8CE88E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66839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5D3463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39B0A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3BD0F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CD425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DD77C7F" w14:textId="77777777" w:rsidTr="0095397F">
        <w:trPr>
          <w:trHeight w:val="300"/>
        </w:trPr>
        <w:tc>
          <w:tcPr>
            <w:tcW w:w="2835" w:type="dxa"/>
            <w:tcBorders>
              <w:top w:val="nil"/>
              <w:left w:val="nil"/>
              <w:bottom w:val="nil"/>
              <w:right w:val="nil"/>
            </w:tcBorders>
            <w:shd w:val="clear" w:color="auto" w:fill="auto"/>
            <w:noWrap/>
            <w:vAlign w:val="bottom"/>
            <w:hideMark/>
          </w:tcPr>
          <w:p w14:paraId="785017F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4</w:t>
            </w:r>
          </w:p>
        </w:tc>
        <w:tc>
          <w:tcPr>
            <w:tcW w:w="2268" w:type="dxa"/>
            <w:tcBorders>
              <w:top w:val="nil"/>
              <w:left w:val="nil"/>
              <w:bottom w:val="nil"/>
              <w:right w:val="nil"/>
            </w:tcBorders>
            <w:shd w:val="clear" w:color="auto" w:fill="auto"/>
            <w:noWrap/>
            <w:vAlign w:val="bottom"/>
            <w:hideMark/>
          </w:tcPr>
          <w:p w14:paraId="33B52F4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8E4C0D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AC6DB7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DE122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6B95F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5662F1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C28EB2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8D13B2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D4C3F27" w14:textId="77777777" w:rsidTr="0095397F">
        <w:trPr>
          <w:trHeight w:val="300"/>
        </w:trPr>
        <w:tc>
          <w:tcPr>
            <w:tcW w:w="2835" w:type="dxa"/>
            <w:tcBorders>
              <w:top w:val="nil"/>
              <w:left w:val="nil"/>
              <w:bottom w:val="nil"/>
              <w:right w:val="nil"/>
            </w:tcBorders>
            <w:shd w:val="clear" w:color="auto" w:fill="auto"/>
            <w:noWrap/>
            <w:vAlign w:val="bottom"/>
            <w:hideMark/>
          </w:tcPr>
          <w:p w14:paraId="0ECFDD7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5</w:t>
            </w:r>
          </w:p>
        </w:tc>
        <w:tc>
          <w:tcPr>
            <w:tcW w:w="2268" w:type="dxa"/>
            <w:tcBorders>
              <w:top w:val="nil"/>
              <w:left w:val="nil"/>
              <w:bottom w:val="nil"/>
              <w:right w:val="nil"/>
            </w:tcBorders>
            <w:shd w:val="clear" w:color="auto" w:fill="auto"/>
            <w:noWrap/>
            <w:vAlign w:val="bottom"/>
            <w:hideMark/>
          </w:tcPr>
          <w:p w14:paraId="5770FDF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4CAF83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9A144E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DC189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8A95E0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8943A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F63DD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AEE32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308197E" w14:textId="77777777" w:rsidTr="0095397F">
        <w:trPr>
          <w:trHeight w:val="300"/>
        </w:trPr>
        <w:tc>
          <w:tcPr>
            <w:tcW w:w="2835" w:type="dxa"/>
            <w:tcBorders>
              <w:top w:val="nil"/>
              <w:left w:val="nil"/>
              <w:bottom w:val="nil"/>
              <w:right w:val="nil"/>
            </w:tcBorders>
            <w:shd w:val="clear" w:color="auto" w:fill="auto"/>
            <w:noWrap/>
            <w:vAlign w:val="bottom"/>
            <w:hideMark/>
          </w:tcPr>
          <w:p w14:paraId="211FB70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6</w:t>
            </w:r>
          </w:p>
        </w:tc>
        <w:tc>
          <w:tcPr>
            <w:tcW w:w="2268" w:type="dxa"/>
            <w:tcBorders>
              <w:top w:val="nil"/>
              <w:left w:val="nil"/>
              <w:bottom w:val="nil"/>
              <w:right w:val="nil"/>
            </w:tcBorders>
            <w:shd w:val="clear" w:color="auto" w:fill="auto"/>
            <w:noWrap/>
            <w:vAlign w:val="bottom"/>
            <w:hideMark/>
          </w:tcPr>
          <w:p w14:paraId="58BD44C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003AFAC"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8775A9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5DB052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60BE9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7DA88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B67FD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52EAD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CF6BD54" w14:textId="77777777" w:rsidTr="0095397F">
        <w:trPr>
          <w:trHeight w:val="300"/>
        </w:trPr>
        <w:tc>
          <w:tcPr>
            <w:tcW w:w="2835" w:type="dxa"/>
            <w:tcBorders>
              <w:top w:val="nil"/>
              <w:left w:val="nil"/>
              <w:bottom w:val="nil"/>
              <w:right w:val="nil"/>
            </w:tcBorders>
            <w:shd w:val="clear" w:color="auto" w:fill="auto"/>
            <w:noWrap/>
            <w:vAlign w:val="bottom"/>
            <w:hideMark/>
          </w:tcPr>
          <w:p w14:paraId="08C6B30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7</w:t>
            </w:r>
          </w:p>
        </w:tc>
        <w:tc>
          <w:tcPr>
            <w:tcW w:w="2268" w:type="dxa"/>
            <w:tcBorders>
              <w:top w:val="nil"/>
              <w:left w:val="nil"/>
              <w:bottom w:val="nil"/>
              <w:right w:val="nil"/>
            </w:tcBorders>
            <w:shd w:val="clear" w:color="auto" w:fill="auto"/>
            <w:noWrap/>
            <w:vAlign w:val="bottom"/>
            <w:hideMark/>
          </w:tcPr>
          <w:p w14:paraId="49CE7BC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16FDE56"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BB1369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8877B1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8B264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5497A9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EEFECD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55C9CC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2B3E868"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50CA2D3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Widgee 8</w:t>
            </w:r>
          </w:p>
        </w:tc>
        <w:tc>
          <w:tcPr>
            <w:tcW w:w="2268" w:type="dxa"/>
            <w:tcBorders>
              <w:top w:val="nil"/>
              <w:left w:val="nil"/>
              <w:bottom w:val="single" w:sz="8" w:space="0" w:color="auto"/>
              <w:right w:val="nil"/>
            </w:tcBorders>
            <w:shd w:val="clear" w:color="auto" w:fill="auto"/>
            <w:noWrap/>
            <w:vAlign w:val="bottom"/>
            <w:hideMark/>
          </w:tcPr>
          <w:p w14:paraId="7735477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5203415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61EED84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2EB4F8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856583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383FB7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953063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122E4E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AE12D70" w14:textId="77777777" w:rsidTr="0095397F">
        <w:trPr>
          <w:trHeight w:val="300"/>
        </w:trPr>
        <w:tc>
          <w:tcPr>
            <w:tcW w:w="2835" w:type="dxa"/>
            <w:tcBorders>
              <w:top w:val="nil"/>
              <w:left w:val="nil"/>
              <w:bottom w:val="nil"/>
              <w:right w:val="nil"/>
            </w:tcBorders>
            <w:shd w:val="clear" w:color="auto" w:fill="auto"/>
            <w:noWrap/>
            <w:vAlign w:val="bottom"/>
            <w:hideMark/>
          </w:tcPr>
          <w:p w14:paraId="1AE78EA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1</w:t>
            </w:r>
          </w:p>
        </w:tc>
        <w:tc>
          <w:tcPr>
            <w:tcW w:w="2268" w:type="dxa"/>
            <w:tcBorders>
              <w:top w:val="nil"/>
              <w:left w:val="nil"/>
              <w:bottom w:val="nil"/>
              <w:right w:val="nil"/>
            </w:tcBorders>
            <w:shd w:val="clear" w:color="auto" w:fill="auto"/>
            <w:noWrap/>
            <w:vAlign w:val="bottom"/>
            <w:hideMark/>
          </w:tcPr>
          <w:p w14:paraId="4057C72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280D986"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425AAC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41601A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B4AD86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5C0A9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30ECE0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02722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CE9ED02" w14:textId="77777777" w:rsidTr="0095397F">
        <w:trPr>
          <w:trHeight w:val="300"/>
        </w:trPr>
        <w:tc>
          <w:tcPr>
            <w:tcW w:w="2835" w:type="dxa"/>
            <w:tcBorders>
              <w:top w:val="nil"/>
              <w:left w:val="nil"/>
              <w:bottom w:val="nil"/>
              <w:right w:val="nil"/>
            </w:tcBorders>
            <w:shd w:val="clear" w:color="auto" w:fill="auto"/>
            <w:noWrap/>
            <w:vAlign w:val="bottom"/>
            <w:hideMark/>
          </w:tcPr>
          <w:p w14:paraId="1B98E62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2</w:t>
            </w:r>
          </w:p>
        </w:tc>
        <w:tc>
          <w:tcPr>
            <w:tcW w:w="2268" w:type="dxa"/>
            <w:tcBorders>
              <w:top w:val="nil"/>
              <w:left w:val="nil"/>
              <w:bottom w:val="nil"/>
              <w:right w:val="nil"/>
            </w:tcBorders>
            <w:shd w:val="clear" w:color="auto" w:fill="auto"/>
            <w:noWrap/>
            <w:vAlign w:val="bottom"/>
            <w:hideMark/>
          </w:tcPr>
          <w:p w14:paraId="53C3009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AF9D207"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CFB537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0BD34D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5A0588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370C64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874459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F9EDF5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0B19827" w14:textId="77777777" w:rsidTr="0095397F">
        <w:trPr>
          <w:trHeight w:val="300"/>
        </w:trPr>
        <w:tc>
          <w:tcPr>
            <w:tcW w:w="2835" w:type="dxa"/>
            <w:tcBorders>
              <w:top w:val="nil"/>
              <w:left w:val="nil"/>
              <w:bottom w:val="nil"/>
              <w:right w:val="nil"/>
            </w:tcBorders>
            <w:shd w:val="clear" w:color="auto" w:fill="auto"/>
            <w:noWrap/>
            <w:vAlign w:val="bottom"/>
            <w:hideMark/>
          </w:tcPr>
          <w:p w14:paraId="1536439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3</w:t>
            </w:r>
          </w:p>
        </w:tc>
        <w:tc>
          <w:tcPr>
            <w:tcW w:w="2268" w:type="dxa"/>
            <w:tcBorders>
              <w:top w:val="nil"/>
              <w:left w:val="nil"/>
              <w:bottom w:val="nil"/>
              <w:right w:val="nil"/>
            </w:tcBorders>
            <w:shd w:val="clear" w:color="auto" w:fill="auto"/>
            <w:noWrap/>
            <w:vAlign w:val="bottom"/>
            <w:hideMark/>
          </w:tcPr>
          <w:p w14:paraId="5DCCA85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F63D8D2"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481AC6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BEF90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63673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7A95B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BCF9D2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CC8FB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B6FCD4B" w14:textId="77777777" w:rsidTr="0095397F">
        <w:trPr>
          <w:trHeight w:val="300"/>
        </w:trPr>
        <w:tc>
          <w:tcPr>
            <w:tcW w:w="2835" w:type="dxa"/>
            <w:tcBorders>
              <w:top w:val="nil"/>
              <w:left w:val="nil"/>
              <w:bottom w:val="nil"/>
              <w:right w:val="nil"/>
            </w:tcBorders>
            <w:shd w:val="clear" w:color="auto" w:fill="auto"/>
            <w:noWrap/>
            <w:vAlign w:val="bottom"/>
            <w:hideMark/>
          </w:tcPr>
          <w:p w14:paraId="3826C6A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4</w:t>
            </w:r>
          </w:p>
        </w:tc>
        <w:tc>
          <w:tcPr>
            <w:tcW w:w="2268" w:type="dxa"/>
            <w:tcBorders>
              <w:top w:val="nil"/>
              <w:left w:val="nil"/>
              <w:bottom w:val="nil"/>
              <w:right w:val="nil"/>
            </w:tcBorders>
            <w:shd w:val="clear" w:color="auto" w:fill="auto"/>
            <w:noWrap/>
            <w:vAlign w:val="bottom"/>
            <w:hideMark/>
          </w:tcPr>
          <w:p w14:paraId="429F5D7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6D09183"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A6B4A2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085B8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8AB83E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F05AE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DB76D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6A7DF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FA6A0B0" w14:textId="77777777" w:rsidTr="0095397F">
        <w:trPr>
          <w:trHeight w:val="300"/>
        </w:trPr>
        <w:tc>
          <w:tcPr>
            <w:tcW w:w="2835" w:type="dxa"/>
            <w:tcBorders>
              <w:top w:val="nil"/>
              <w:left w:val="nil"/>
              <w:bottom w:val="nil"/>
              <w:right w:val="nil"/>
            </w:tcBorders>
            <w:shd w:val="clear" w:color="auto" w:fill="auto"/>
            <w:noWrap/>
            <w:vAlign w:val="bottom"/>
            <w:hideMark/>
          </w:tcPr>
          <w:p w14:paraId="7B23782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5</w:t>
            </w:r>
          </w:p>
        </w:tc>
        <w:tc>
          <w:tcPr>
            <w:tcW w:w="2268" w:type="dxa"/>
            <w:tcBorders>
              <w:top w:val="nil"/>
              <w:left w:val="nil"/>
              <w:bottom w:val="nil"/>
              <w:right w:val="nil"/>
            </w:tcBorders>
            <w:shd w:val="clear" w:color="auto" w:fill="auto"/>
            <w:noWrap/>
            <w:vAlign w:val="bottom"/>
            <w:hideMark/>
          </w:tcPr>
          <w:p w14:paraId="1AC676E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ACCF91A"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47D2B3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EFD5D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EB726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91607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E2F91A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F358E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1C727C9" w14:textId="77777777" w:rsidTr="0095397F">
        <w:trPr>
          <w:trHeight w:val="300"/>
        </w:trPr>
        <w:tc>
          <w:tcPr>
            <w:tcW w:w="2835" w:type="dxa"/>
            <w:tcBorders>
              <w:top w:val="nil"/>
              <w:left w:val="nil"/>
              <w:bottom w:val="nil"/>
              <w:right w:val="nil"/>
            </w:tcBorders>
            <w:shd w:val="clear" w:color="auto" w:fill="auto"/>
            <w:noWrap/>
            <w:vAlign w:val="bottom"/>
            <w:hideMark/>
          </w:tcPr>
          <w:p w14:paraId="266F42B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6</w:t>
            </w:r>
          </w:p>
        </w:tc>
        <w:tc>
          <w:tcPr>
            <w:tcW w:w="2268" w:type="dxa"/>
            <w:tcBorders>
              <w:top w:val="nil"/>
              <w:left w:val="nil"/>
              <w:bottom w:val="nil"/>
              <w:right w:val="nil"/>
            </w:tcBorders>
            <w:shd w:val="clear" w:color="auto" w:fill="auto"/>
            <w:noWrap/>
            <w:vAlign w:val="bottom"/>
            <w:hideMark/>
          </w:tcPr>
          <w:p w14:paraId="155EA0C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A4B8ECB"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FB1F60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9388D8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99B72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132CF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B1514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88F90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B632E09" w14:textId="77777777" w:rsidTr="0095397F">
        <w:trPr>
          <w:trHeight w:val="300"/>
        </w:trPr>
        <w:tc>
          <w:tcPr>
            <w:tcW w:w="2835" w:type="dxa"/>
            <w:tcBorders>
              <w:top w:val="nil"/>
              <w:left w:val="nil"/>
              <w:bottom w:val="nil"/>
              <w:right w:val="nil"/>
            </w:tcBorders>
            <w:shd w:val="clear" w:color="auto" w:fill="auto"/>
            <w:noWrap/>
            <w:vAlign w:val="bottom"/>
            <w:hideMark/>
          </w:tcPr>
          <w:p w14:paraId="004E2F7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7</w:t>
            </w:r>
          </w:p>
        </w:tc>
        <w:tc>
          <w:tcPr>
            <w:tcW w:w="2268" w:type="dxa"/>
            <w:tcBorders>
              <w:top w:val="nil"/>
              <w:left w:val="nil"/>
              <w:bottom w:val="nil"/>
              <w:right w:val="nil"/>
            </w:tcBorders>
            <w:shd w:val="clear" w:color="auto" w:fill="auto"/>
            <w:noWrap/>
            <w:vAlign w:val="bottom"/>
            <w:hideMark/>
          </w:tcPr>
          <w:p w14:paraId="52800CB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573FD6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DCD407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630071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8C53E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17C4D6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8B2BCB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FD9C5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FD40958"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6EA023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Gee Gee 8</w:t>
            </w:r>
          </w:p>
        </w:tc>
        <w:tc>
          <w:tcPr>
            <w:tcW w:w="2268" w:type="dxa"/>
            <w:tcBorders>
              <w:top w:val="nil"/>
              <w:left w:val="nil"/>
              <w:bottom w:val="single" w:sz="8" w:space="0" w:color="auto"/>
              <w:right w:val="nil"/>
            </w:tcBorders>
            <w:shd w:val="clear" w:color="auto" w:fill="auto"/>
            <w:noWrap/>
            <w:vAlign w:val="bottom"/>
            <w:hideMark/>
          </w:tcPr>
          <w:p w14:paraId="5A639D8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3A9ED13B"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79CD9D1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00FB72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5F2E1B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1CABF7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A200DB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ABB55B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81DB1CD" w14:textId="77777777" w:rsidTr="0095397F">
        <w:trPr>
          <w:trHeight w:val="300"/>
        </w:trPr>
        <w:tc>
          <w:tcPr>
            <w:tcW w:w="2835" w:type="dxa"/>
            <w:tcBorders>
              <w:top w:val="nil"/>
              <w:left w:val="nil"/>
              <w:bottom w:val="nil"/>
              <w:right w:val="nil"/>
            </w:tcBorders>
            <w:shd w:val="clear" w:color="auto" w:fill="auto"/>
            <w:noWrap/>
            <w:vAlign w:val="bottom"/>
            <w:hideMark/>
          </w:tcPr>
          <w:p w14:paraId="04777A4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1</w:t>
            </w:r>
          </w:p>
        </w:tc>
        <w:tc>
          <w:tcPr>
            <w:tcW w:w="2268" w:type="dxa"/>
            <w:tcBorders>
              <w:top w:val="nil"/>
              <w:left w:val="nil"/>
              <w:bottom w:val="nil"/>
              <w:right w:val="nil"/>
            </w:tcBorders>
            <w:shd w:val="clear" w:color="auto" w:fill="auto"/>
            <w:noWrap/>
            <w:vAlign w:val="bottom"/>
            <w:hideMark/>
          </w:tcPr>
          <w:p w14:paraId="769A61E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BAC08DC"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1DC9D4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8AF0A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83F2F8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0F276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F689B8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243BF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34769E9" w14:textId="77777777" w:rsidTr="0095397F">
        <w:trPr>
          <w:trHeight w:val="300"/>
        </w:trPr>
        <w:tc>
          <w:tcPr>
            <w:tcW w:w="2835" w:type="dxa"/>
            <w:tcBorders>
              <w:top w:val="nil"/>
              <w:left w:val="nil"/>
              <w:bottom w:val="nil"/>
              <w:right w:val="nil"/>
            </w:tcBorders>
            <w:shd w:val="clear" w:color="auto" w:fill="auto"/>
            <w:noWrap/>
            <w:vAlign w:val="bottom"/>
            <w:hideMark/>
          </w:tcPr>
          <w:p w14:paraId="463ABFF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2</w:t>
            </w:r>
          </w:p>
        </w:tc>
        <w:tc>
          <w:tcPr>
            <w:tcW w:w="2268" w:type="dxa"/>
            <w:tcBorders>
              <w:top w:val="nil"/>
              <w:left w:val="nil"/>
              <w:bottom w:val="nil"/>
              <w:right w:val="nil"/>
            </w:tcBorders>
            <w:shd w:val="clear" w:color="auto" w:fill="auto"/>
            <w:noWrap/>
            <w:vAlign w:val="bottom"/>
            <w:hideMark/>
          </w:tcPr>
          <w:p w14:paraId="56E447C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EA30C6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201F236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59E26C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F42332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29B2167F" w14:textId="77777777" w:rsidR="006501A4" w:rsidRPr="002C0CBE" w:rsidRDefault="006501A4" w:rsidP="0095397F">
            <w:pPr>
              <w:spacing w:after="0" w:line="240" w:lineRule="auto"/>
              <w:jc w:val="center"/>
              <w:rPr>
                <w:rFonts w:ascii="Wingdings" w:eastAsia="Times New Roman" w:hAnsi="Wingdings" w:cs="Calibri"/>
                <w:color w:val="9C5700"/>
                <w:lang w:eastAsia="en-AU"/>
              </w:rPr>
            </w:pPr>
            <w:r w:rsidRPr="002C0CBE">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3015D53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0A05E1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AC02013" w14:textId="77777777" w:rsidTr="0095397F">
        <w:trPr>
          <w:trHeight w:val="300"/>
        </w:trPr>
        <w:tc>
          <w:tcPr>
            <w:tcW w:w="2835" w:type="dxa"/>
            <w:tcBorders>
              <w:top w:val="nil"/>
              <w:left w:val="nil"/>
              <w:bottom w:val="nil"/>
              <w:right w:val="nil"/>
            </w:tcBorders>
            <w:shd w:val="clear" w:color="auto" w:fill="auto"/>
            <w:noWrap/>
            <w:vAlign w:val="bottom"/>
            <w:hideMark/>
          </w:tcPr>
          <w:p w14:paraId="55B6CE4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3</w:t>
            </w:r>
          </w:p>
        </w:tc>
        <w:tc>
          <w:tcPr>
            <w:tcW w:w="2268" w:type="dxa"/>
            <w:tcBorders>
              <w:top w:val="nil"/>
              <w:left w:val="nil"/>
              <w:bottom w:val="nil"/>
              <w:right w:val="nil"/>
            </w:tcBorders>
            <w:shd w:val="clear" w:color="auto" w:fill="auto"/>
            <w:noWrap/>
            <w:vAlign w:val="bottom"/>
            <w:hideMark/>
          </w:tcPr>
          <w:p w14:paraId="61149AA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E7E44EC"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D26F16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086E0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732DB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DAD670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571F9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9638A5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96B2FC3" w14:textId="77777777" w:rsidTr="0095397F">
        <w:trPr>
          <w:trHeight w:val="300"/>
        </w:trPr>
        <w:tc>
          <w:tcPr>
            <w:tcW w:w="2835" w:type="dxa"/>
            <w:tcBorders>
              <w:top w:val="nil"/>
              <w:left w:val="nil"/>
              <w:bottom w:val="nil"/>
              <w:right w:val="nil"/>
            </w:tcBorders>
            <w:shd w:val="clear" w:color="auto" w:fill="auto"/>
            <w:noWrap/>
            <w:vAlign w:val="bottom"/>
            <w:hideMark/>
          </w:tcPr>
          <w:p w14:paraId="179B504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4</w:t>
            </w:r>
          </w:p>
        </w:tc>
        <w:tc>
          <w:tcPr>
            <w:tcW w:w="2268" w:type="dxa"/>
            <w:tcBorders>
              <w:top w:val="nil"/>
              <w:left w:val="nil"/>
              <w:bottom w:val="nil"/>
              <w:right w:val="nil"/>
            </w:tcBorders>
            <w:shd w:val="clear" w:color="auto" w:fill="auto"/>
            <w:noWrap/>
            <w:vAlign w:val="bottom"/>
            <w:hideMark/>
          </w:tcPr>
          <w:p w14:paraId="3C6338F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58D23A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29DF29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718AA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E076F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441B7B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8314E8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69E7E9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EE9B125" w14:textId="77777777" w:rsidTr="0095397F">
        <w:trPr>
          <w:trHeight w:val="300"/>
        </w:trPr>
        <w:tc>
          <w:tcPr>
            <w:tcW w:w="2835" w:type="dxa"/>
            <w:tcBorders>
              <w:top w:val="nil"/>
              <w:left w:val="nil"/>
              <w:bottom w:val="nil"/>
              <w:right w:val="nil"/>
            </w:tcBorders>
            <w:shd w:val="clear" w:color="auto" w:fill="auto"/>
            <w:noWrap/>
            <w:vAlign w:val="bottom"/>
            <w:hideMark/>
          </w:tcPr>
          <w:p w14:paraId="60141BA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5</w:t>
            </w:r>
          </w:p>
        </w:tc>
        <w:tc>
          <w:tcPr>
            <w:tcW w:w="2268" w:type="dxa"/>
            <w:tcBorders>
              <w:top w:val="nil"/>
              <w:left w:val="nil"/>
              <w:bottom w:val="nil"/>
              <w:right w:val="nil"/>
            </w:tcBorders>
            <w:shd w:val="clear" w:color="auto" w:fill="auto"/>
            <w:noWrap/>
            <w:vAlign w:val="bottom"/>
            <w:hideMark/>
          </w:tcPr>
          <w:p w14:paraId="7E75273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F6E2B24"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079ECE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82384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B4E37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C871B8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637049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B8282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AA04BBC" w14:textId="77777777" w:rsidTr="0095397F">
        <w:trPr>
          <w:trHeight w:val="300"/>
        </w:trPr>
        <w:tc>
          <w:tcPr>
            <w:tcW w:w="2835" w:type="dxa"/>
            <w:tcBorders>
              <w:top w:val="nil"/>
              <w:left w:val="nil"/>
              <w:bottom w:val="nil"/>
              <w:right w:val="nil"/>
            </w:tcBorders>
            <w:shd w:val="clear" w:color="auto" w:fill="auto"/>
            <w:noWrap/>
            <w:vAlign w:val="bottom"/>
            <w:hideMark/>
          </w:tcPr>
          <w:p w14:paraId="363DA2C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6</w:t>
            </w:r>
          </w:p>
        </w:tc>
        <w:tc>
          <w:tcPr>
            <w:tcW w:w="2268" w:type="dxa"/>
            <w:tcBorders>
              <w:top w:val="nil"/>
              <w:left w:val="nil"/>
              <w:bottom w:val="nil"/>
              <w:right w:val="nil"/>
            </w:tcBorders>
            <w:shd w:val="clear" w:color="auto" w:fill="auto"/>
            <w:noWrap/>
            <w:vAlign w:val="bottom"/>
            <w:hideMark/>
          </w:tcPr>
          <w:p w14:paraId="759A409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9AD100A"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F4D1D2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656DD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A339BD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8ED31B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98E0F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FB595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3210829" w14:textId="77777777" w:rsidTr="0095397F">
        <w:trPr>
          <w:trHeight w:val="300"/>
        </w:trPr>
        <w:tc>
          <w:tcPr>
            <w:tcW w:w="2835" w:type="dxa"/>
            <w:tcBorders>
              <w:top w:val="nil"/>
              <w:left w:val="nil"/>
              <w:bottom w:val="nil"/>
              <w:right w:val="nil"/>
            </w:tcBorders>
            <w:shd w:val="clear" w:color="auto" w:fill="auto"/>
            <w:noWrap/>
            <w:vAlign w:val="bottom"/>
            <w:hideMark/>
          </w:tcPr>
          <w:p w14:paraId="628623F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7</w:t>
            </w:r>
          </w:p>
        </w:tc>
        <w:tc>
          <w:tcPr>
            <w:tcW w:w="2268" w:type="dxa"/>
            <w:tcBorders>
              <w:top w:val="nil"/>
              <w:left w:val="nil"/>
              <w:bottom w:val="nil"/>
              <w:right w:val="nil"/>
            </w:tcBorders>
            <w:shd w:val="clear" w:color="auto" w:fill="auto"/>
            <w:noWrap/>
            <w:vAlign w:val="bottom"/>
            <w:hideMark/>
          </w:tcPr>
          <w:p w14:paraId="4F1DBAA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28F6ECA"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39A237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B4F24C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643E2D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562B43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6A9695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C3B1EF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28C8BBC"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7542D97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Stoney Creek Crossing 8</w:t>
            </w:r>
          </w:p>
        </w:tc>
        <w:tc>
          <w:tcPr>
            <w:tcW w:w="2268" w:type="dxa"/>
            <w:tcBorders>
              <w:top w:val="nil"/>
              <w:left w:val="nil"/>
              <w:bottom w:val="single" w:sz="8" w:space="0" w:color="auto"/>
              <w:right w:val="nil"/>
            </w:tcBorders>
            <w:shd w:val="clear" w:color="auto" w:fill="auto"/>
            <w:noWrap/>
            <w:vAlign w:val="bottom"/>
            <w:hideMark/>
          </w:tcPr>
          <w:p w14:paraId="209DC2D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5F494BE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19F2094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559D3C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21DAED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7C84CC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A36921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A8F326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F58017B" w14:textId="77777777" w:rsidTr="0095397F">
        <w:trPr>
          <w:trHeight w:val="300"/>
        </w:trPr>
        <w:tc>
          <w:tcPr>
            <w:tcW w:w="2835" w:type="dxa"/>
            <w:tcBorders>
              <w:top w:val="nil"/>
              <w:left w:val="nil"/>
              <w:bottom w:val="nil"/>
              <w:right w:val="nil"/>
            </w:tcBorders>
            <w:shd w:val="clear" w:color="auto" w:fill="auto"/>
            <w:noWrap/>
            <w:vAlign w:val="bottom"/>
            <w:hideMark/>
          </w:tcPr>
          <w:p w14:paraId="64D94C4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1</w:t>
            </w:r>
          </w:p>
        </w:tc>
        <w:tc>
          <w:tcPr>
            <w:tcW w:w="2268" w:type="dxa"/>
            <w:tcBorders>
              <w:top w:val="nil"/>
              <w:left w:val="nil"/>
              <w:bottom w:val="nil"/>
              <w:right w:val="nil"/>
            </w:tcBorders>
            <w:shd w:val="clear" w:color="auto" w:fill="auto"/>
            <w:noWrap/>
            <w:vAlign w:val="bottom"/>
            <w:hideMark/>
          </w:tcPr>
          <w:p w14:paraId="7F4FA38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D42105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A79DBC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FF0688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4E6249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1559E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27494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033693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D6715F9" w14:textId="77777777" w:rsidTr="0095397F">
        <w:trPr>
          <w:trHeight w:val="300"/>
        </w:trPr>
        <w:tc>
          <w:tcPr>
            <w:tcW w:w="2835" w:type="dxa"/>
            <w:tcBorders>
              <w:top w:val="nil"/>
              <w:left w:val="nil"/>
              <w:bottom w:val="nil"/>
              <w:right w:val="nil"/>
            </w:tcBorders>
            <w:shd w:val="clear" w:color="auto" w:fill="auto"/>
            <w:noWrap/>
            <w:vAlign w:val="bottom"/>
            <w:hideMark/>
          </w:tcPr>
          <w:p w14:paraId="0E3D7C6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2</w:t>
            </w:r>
          </w:p>
        </w:tc>
        <w:tc>
          <w:tcPr>
            <w:tcW w:w="2268" w:type="dxa"/>
            <w:tcBorders>
              <w:top w:val="nil"/>
              <w:left w:val="nil"/>
              <w:bottom w:val="nil"/>
              <w:right w:val="nil"/>
            </w:tcBorders>
            <w:shd w:val="clear" w:color="auto" w:fill="auto"/>
            <w:noWrap/>
            <w:vAlign w:val="bottom"/>
            <w:hideMark/>
          </w:tcPr>
          <w:p w14:paraId="67D9BE5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7685B1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97C27E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137D8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5C31E6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972FD8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75449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CD61EC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96A914C" w14:textId="77777777" w:rsidTr="0095397F">
        <w:trPr>
          <w:trHeight w:val="300"/>
        </w:trPr>
        <w:tc>
          <w:tcPr>
            <w:tcW w:w="2835" w:type="dxa"/>
            <w:tcBorders>
              <w:top w:val="nil"/>
              <w:left w:val="nil"/>
              <w:bottom w:val="nil"/>
              <w:right w:val="nil"/>
            </w:tcBorders>
            <w:shd w:val="clear" w:color="auto" w:fill="auto"/>
            <w:noWrap/>
            <w:vAlign w:val="bottom"/>
            <w:hideMark/>
          </w:tcPr>
          <w:p w14:paraId="26C2EA7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3</w:t>
            </w:r>
          </w:p>
        </w:tc>
        <w:tc>
          <w:tcPr>
            <w:tcW w:w="2268" w:type="dxa"/>
            <w:tcBorders>
              <w:top w:val="nil"/>
              <w:left w:val="nil"/>
              <w:bottom w:val="nil"/>
              <w:right w:val="nil"/>
            </w:tcBorders>
            <w:shd w:val="clear" w:color="auto" w:fill="auto"/>
            <w:noWrap/>
            <w:vAlign w:val="bottom"/>
            <w:hideMark/>
          </w:tcPr>
          <w:p w14:paraId="1EA9BE8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10039E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0BB525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52258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3766AA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0E78FB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E815F1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4298F4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35DDC6F" w14:textId="77777777" w:rsidTr="0095397F">
        <w:trPr>
          <w:trHeight w:val="300"/>
        </w:trPr>
        <w:tc>
          <w:tcPr>
            <w:tcW w:w="2835" w:type="dxa"/>
            <w:tcBorders>
              <w:top w:val="nil"/>
              <w:left w:val="nil"/>
              <w:bottom w:val="nil"/>
              <w:right w:val="nil"/>
            </w:tcBorders>
            <w:shd w:val="clear" w:color="auto" w:fill="auto"/>
            <w:noWrap/>
            <w:vAlign w:val="bottom"/>
            <w:hideMark/>
          </w:tcPr>
          <w:p w14:paraId="0855103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4</w:t>
            </w:r>
          </w:p>
        </w:tc>
        <w:tc>
          <w:tcPr>
            <w:tcW w:w="2268" w:type="dxa"/>
            <w:tcBorders>
              <w:top w:val="nil"/>
              <w:left w:val="nil"/>
              <w:bottom w:val="nil"/>
              <w:right w:val="nil"/>
            </w:tcBorders>
            <w:shd w:val="clear" w:color="auto" w:fill="auto"/>
            <w:noWrap/>
            <w:vAlign w:val="bottom"/>
            <w:hideMark/>
          </w:tcPr>
          <w:p w14:paraId="425BCE5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707E0E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44CF7E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7D04DC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D4405B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59AEE4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3B4F71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78BFA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A762657" w14:textId="77777777" w:rsidTr="0095397F">
        <w:trPr>
          <w:trHeight w:val="300"/>
        </w:trPr>
        <w:tc>
          <w:tcPr>
            <w:tcW w:w="2835" w:type="dxa"/>
            <w:tcBorders>
              <w:top w:val="nil"/>
              <w:left w:val="nil"/>
              <w:bottom w:val="nil"/>
              <w:right w:val="nil"/>
            </w:tcBorders>
            <w:shd w:val="clear" w:color="auto" w:fill="auto"/>
            <w:noWrap/>
            <w:vAlign w:val="bottom"/>
            <w:hideMark/>
          </w:tcPr>
          <w:p w14:paraId="22DE7BF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5</w:t>
            </w:r>
          </w:p>
        </w:tc>
        <w:tc>
          <w:tcPr>
            <w:tcW w:w="2268" w:type="dxa"/>
            <w:tcBorders>
              <w:top w:val="nil"/>
              <w:left w:val="nil"/>
              <w:bottom w:val="nil"/>
              <w:right w:val="nil"/>
            </w:tcBorders>
            <w:shd w:val="clear" w:color="auto" w:fill="auto"/>
            <w:noWrap/>
            <w:vAlign w:val="bottom"/>
            <w:hideMark/>
          </w:tcPr>
          <w:p w14:paraId="4C45C2C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B4E8AF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F36C9F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3EE586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9C23B4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B685D1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DC74C4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1C76B8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0A6DBA8" w14:textId="77777777" w:rsidTr="0095397F">
        <w:trPr>
          <w:trHeight w:val="300"/>
        </w:trPr>
        <w:tc>
          <w:tcPr>
            <w:tcW w:w="2835" w:type="dxa"/>
            <w:tcBorders>
              <w:top w:val="nil"/>
              <w:left w:val="nil"/>
              <w:bottom w:val="nil"/>
              <w:right w:val="nil"/>
            </w:tcBorders>
            <w:shd w:val="clear" w:color="auto" w:fill="auto"/>
            <w:noWrap/>
            <w:vAlign w:val="bottom"/>
            <w:hideMark/>
          </w:tcPr>
          <w:p w14:paraId="61A9A5D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6</w:t>
            </w:r>
          </w:p>
        </w:tc>
        <w:tc>
          <w:tcPr>
            <w:tcW w:w="2268" w:type="dxa"/>
            <w:tcBorders>
              <w:top w:val="nil"/>
              <w:left w:val="nil"/>
              <w:bottom w:val="nil"/>
              <w:right w:val="nil"/>
            </w:tcBorders>
            <w:shd w:val="clear" w:color="auto" w:fill="auto"/>
            <w:noWrap/>
            <w:vAlign w:val="bottom"/>
            <w:hideMark/>
          </w:tcPr>
          <w:p w14:paraId="444BA82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57DEC5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AE0336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620A49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D56710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83BA47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32036A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DE6A7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367EA3C" w14:textId="77777777" w:rsidTr="0095397F">
        <w:trPr>
          <w:trHeight w:val="300"/>
        </w:trPr>
        <w:tc>
          <w:tcPr>
            <w:tcW w:w="2835" w:type="dxa"/>
            <w:tcBorders>
              <w:top w:val="nil"/>
              <w:left w:val="nil"/>
              <w:bottom w:val="nil"/>
              <w:right w:val="nil"/>
            </w:tcBorders>
            <w:shd w:val="clear" w:color="auto" w:fill="auto"/>
            <w:noWrap/>
            <w:vAlign w:val="bottom"/>
            <w:hideMark/>
          </w:tcPr>
          <w:p w14:paraId="1C4564A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7</w:t>
            </w:r>
          </w:p>
        </w:tc>
        <w:tc>
          <w:tcPr>
            <w:tcW w:w="2268" w:type="dxa"/>
            <w:tcBorders>
              <w:top w:val="nil"/>
              <w:left w:val="nil"/>
              <w:bottom w:val="nil"/>
              <w:right w:val="nil"/>
            </w:tcBorders>
            <w:shd w:val="clear" w:color="auto" w:fill="auto"/>
            <w:noWrap/>
            <w:vAlign w:val="bottom"/>
            <w:hideMark/>
          </w:tcPr>
          <w:p w14:paraId="2D32D2A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1C8254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64BC7E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40278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39DA0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26D68C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A58686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AA7C1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85A8E63"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4491ABC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Calimo 8</w:t>
            </w:r>
          </w:p>
        </w:tc>
        <w:tc>
          <w:tcPr>
            <w:tcW w:w="2268" w:type="dxa"/>
            <w:tcBorders>
              <w:top w:val="nil"/>
              <w:left w:val="nil"/>
              <w:bottom w:val="single" w:sz="8" w:space="0" w:color="auto"/>
              <w:right w:val="nil"/>
            </w:tcBorders>
            <w:shd w:val="clear" w:color="auto" w:fill="auto"/>
            <w:noWrap/>
            <w:vAlign w:val="bottom"/>
            <w:hideMark/>
          </w:tcPr>
          <w:p w14:paraId="2377E30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494D9FC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41F717B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F54B3F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F88322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6F95AA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716EFD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5FBCFA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194B903B" w14:textId="77777777" w:rsidTr="0095397F">
        <w:trPr>
          <w:trHeight w:val="300"/>
        </w:trPr>
        <w:tc>
          <w:tcPr>
            <w:tcW w:w="2835" w:type="dxa"/>
            <w:tcBorders>
              <w:top w:val="nil"/>
              <w:left w:val="nil"/>
              <w:bottom w:val="nil"/>
              <w:right w:val="nil"/>
            </w:tcBorders>
            <w:shd w:val="clear" w:color="auto" w:fill="auto"/>
            <w:noWrap/>
            <w:vAlign w:val="bottom"/>
            <w:hideMark/>
          </w:tcPr>
          <w:p w14:paraId="75155FC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1</w:t>
            </w:r>
          </w:p>
        </w:tc>
        <w:tc>
          <w:tcPr>
            <w:tcW w:w="2268" w:type="dxa"/>
            <w:tcBorders>
              <w:top w:val="nil"/>
              <w:left w:val="nil"/>
              <w:bottom w:val="nil"/>
              <w:right w:val="nil"/>
            </w:tcBorders>
            <w:shd w:val="clear" w:color="auto" w:fill="auto"/>
            <w:noWrap/>
            <w:vAlign w:val="bottom"/>
            <w:hideMark/>
          </w:tcPr>
          <w:p w14:paraId="500934A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C34F9C1"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75E1ED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0D284D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73DDD7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B65865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DF208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EFB6F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DB44B54" w14:textId="77777777" w:rsidTr="0095397F">
        <w:trPr>
          <w:trHeight w:val="300"/>
        </w:trPr>
        <w:tc>
          <w:tcPr>
            <w:tcW w:w="2835" w:type="dxa"/>
            <w:tcBorders>
              <w:top w:val="nil"/>
              <w:left w:val="nil"/>
              <w:bottom w:val="nil"/>
              <w:right w:val="nil"/>
            </w:tcBorders>
            <w:shd w:val="clear" w:color="auto" w:fill="auto"/>
            <w:noWrap/>
            <w:vAlign w:val="bottom"/>
            <w:hideMark/>
          </w:tcPr>
          <w:p w14:paraId="02E8E12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2</w:t>
            </w:r>
          </w:p>
        </w:tc>
        <w:tc>
          <w:tcPr>
            <w:tcW w:w="2268" w:type="dxa"/>
            <w:tcBorders>
              <w:top w:val="nil"/>
              <w:left w:val="nil"/>
              <w:bottom w:val="nil"/>
              <w:right w:val="nil"/>
            </w:tcBorders>
            <w:shd w:val="clear" w:color="auto" w:fill="auto"/>
            <w:noWrap/>
            <w:vAlign w:val="bottom"/>
            <w:hideMark/>
          </w:tcPr>
          <w:p w14:paraId="3B11839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9F1C7B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B88A1F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3BB11D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A8686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9B9341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0F606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5F2C67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D9B6A59" w14:textId="77777777" w:rsidTr="0095397F">
        <w:trPr>
          <w:trHeight w:val="300"/>
        </w:trPr>
        <w:tc>
          <w:tcPr>
            <w:tcW w:w="2835" w:type="dxa"/>
            <w:tcBorders>
              <w:top w:val="nil"/>
              <w:left w:val="nil"/>
              <w:bottom w:val="nil"/>
              <w:right w:val="nil"/>
            </w:tcBorders>
            <w:shd w:val="clear" w:color="auto" w:fill="auto"/>
            <w:noWrap/>
            <w:vAlign w:val="bottom"/>
            <w:hideMark/>
          </w:tcPr>
          <w:p w14:paraId="58BA85C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3</w:t>
            </w:r>
          </w:p>
        </w:tc>
        <w:tc>
          <w:tcPr>
            <w:tcW w:w="2268" w:type="dxa"/>
            <w:tcBorders>
              <w:top w:val="nil"/>
              <w:left w:val="nil"/>
              <w:bottom w:val="nil"/>
              <w:right w:val="nil"/>
            </w:tcBorders>
            <w:shd w:val="clear" w:color="auto" w:fill="auto"/>
            <w:noWrap/>
            <w:vAlign w:val="bottom"/>
            <w:hideMark/>
          </w:tcPr>
          <w:p w14:paraId="06AAAF8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D1BD901"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060DFD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782B3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1E132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CD2827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2E4A07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7EDEC9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EBCEFDC" w14:textId="77777777" w:rsidTr="0095397F">
        <w:trPr>
          <w:trHeight w:val="300"/>
        </w:trPr>
        <w:tc>
          <w:tcPr>
            <w:tcW w:w="2835" w:type="dxa"/>
            <w:tcBorders>
              <w:top w:val="nil"/>
              <w:left w:val="nil"/>
              <w:bottom w:val="nil"/>
              <w:right w:val="nil"/>
            </w:tcBorders>
            <w:shd w:val="clear" w:color="auto" w:fill="auto"/>
            <w:noWrap/>
            <w:vAlign w:val="bottom"/>
            <w:hideMark/>
          </w:tcPr>
          <w:p w14:paraId="2E4BC95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4</w:t>
            </w:r>
          </w:p>
        </w:tc>
        <w:tc>
          <w:tcPr>
            <w:tcW w:w="2268" w:type="dxa"/>
            <w:tcBorders>
              <w:top w:val="nil"/>
              <w:left w:val="nil"/>
              <w:bottom w:val="nil"/>
              <w:right w:val="nil"/>
            </w:tcBorders>
            <w:shd w:val="clear" w:color="auto" w:fill="auto"/>
            <w:noWrap/>
            <w:vAlign w:val="bottom"/>
            <w:hideMark/>
          </w:tcPr>
          <w:p w14:paraId="2C774BB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79FBDA2"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63AE51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C746DB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9A1D9B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129882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159688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0C08D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0BF89B41" w14:textId="77777777" w:rsidTr="0095397F">
        <w:trPr>
          <w:trHeight w:val="300"/>
        </w:trPr>
        <w:tc>
          <w:tcPr>
            <w:tcW w:w="2835" w:type="dxa"/>
            <w:tcBorders>
              <w:top w:val="nil"/>
              <w:left w:val="nil"/>
              <w:bottom w:val="nil"/>
              <w:right w:val="nil"/>
            </w:tcBorders>
            <w:shd w:val="clear" w:color="auto" w:fill="auto"/>
            <w:noWrap/>
            <w:vAlign w:val="bottom"/>
            <w:hideMark/>
          </w:tcPr>
          <w:p w14:paraId="414AA223"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5</w:t>
            </w:r>
          </w:p>
        </w:tc>
        <w:tc>
          <w:tcPr>
            <w:tcW w:w="2268" w:type="dxa"/>
            <w:tcBorders>
              <w:top w:val="nil"/>
              <w:left w:val="nil"/>
              <w:bottom w:val="nil"/>
              <w:right w:val="nil"/>
            </w:tcBorders>
            <w:shd w:val="clear" w:color="auto" w:fill="auto"/>
            <w:noWrap/>
            <w:vAlign w:val="bottom"/>
            <w:hideMark/>
          </w:tcPr>
          <w:p w14:paraId="673B030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5DF066C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AA4D44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071D4F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A048BC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B7449E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433A1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918802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C75598C" w14:textId="77777777" w:rsidTr="0095397F">
        <w:trPr>
          <w:trHeight w:val="300"/>
        </w:trPr>
        <w:tc>
          <w:tcPr>
            <w:tcW w:w="2835" w:type="dxa"/>
            <w:tcBorders>
              <w:top w:val="nil"/>
              <w:left w:val="nil"/>
              <w:bottom w:val="nil"/>
              <w:right w:val="nil"/>
            </w:tcBorders>
            <w:shd w:val="clear" w:color="auto" w:fill="auto"/>
            <w:noWrap/>
            <w:vAlign w:val="bottom"/>
            <w:hideMark/>
          </w:tcPr>
          <w:p w14:paraId="5B68CC9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6</w:t>
            </w:r>
          </w:p>
        </w:tc>
        <w:tc>
          <w:tcPr>
            <w:tcW w:w="2268" w:type="dxa"/>
            <w:tcBorders>
              <w:top w:val="nil"/>
              <w:left w:val="nil"/>
              <w:bottom w:val="nil"/>
              <w:right w:val="nil"/>
            </w:tcBorders>
            <w:shd w:val="clear" w:color="auto" w:fill="auto"/>
            <w:noWrap/>
            <w:vAlign w:val="bottom"/>
            <w:hideMark/>
          </w:tcPr>
          <w:p w14:paraId="5E7E0E6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4FC6DAD"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030845E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6EE11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BBE53A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9CEB4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1FB4EB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108DF9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73425EBF" w14:textId="77777777" w:rsidTr="0095397F">
        <w:trPr>
          <w:trHeight w:val="300"/>
        </w:trPr>
        <w:tc>
          <w:tcPr>
            <w:tcW w:w="2835" w:type="dxa"/>
            <w:tcBorders>
              <w:top w:val="nil"/>
              <w:left w:val="nil"/>
              <w:bottom w:val="nil"/>
              <w:right w:val="nil"/>
            </w:tcBorders>
            <w:shd w:val="clear" w:color="auto" w:fill="auto"/>
            <w:noWrap/>
            <w:vAlign w:val="bottom"/>
            <w:hideMark/>
          </w:tcPr>
          <w:p w14:paraId="4CF93F94"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7</w:t>
            </w:r>
          </w:p>
        </w:tc>
        <w:tc>
          <w:tcPr>
            <w:tcW w:w="2268" w:type="dxa"/>
            <w:tcBorders>
              <w:top w:val="nil"/>
              <w:left w:val="nil"/>
              <w:bottom w:val="nil"/>
              <w:right w:val="nil"/>
            </w:tcBorders>
            <w:shd w:val="clear" w:color="auto" w:fill="auto"/>
            <w:noWrap/>
            <w:vAlign w:val="bottom"/>
            <w:hideMark/>
          </w:tcPr>
          <w:p w14:paraId="1108EF67"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ED505B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6D48A89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777F59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0160BD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8D1B48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06EB6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4823BF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6470F81"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5439A93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Mallan School 8</w:t>
            </w:r>
          </w:p>
        </w:tc>
        <w:tc>
          <w:tcPr>
            <w:tcW w:w="2268" w:type="dxa"/>
            <w:tcBorders>
              <w:top w:val="nil"/>
              <w:left w:val="nil"/>
              <w:bottom w:val="single" w:sz="8" w:space="0" w:color="auto"/>
              <w:right w:val="nil"/>
            </w:tcBorders>
            <w:shd w:val="clear" w:color="auto" w:fill="auto"/>
            <w:noWrap/>
            <w:vAlign w:val="bottom"/>
            <w:hideMark/>
          </w:tcPr>
          <w:p w14:paraId="431C948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3A7B66D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2B2652B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83F871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382FB84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9BC898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0F4D9C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7C54A4E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2BA7296E" w14:textId="77777777" w:rsidTr="0095397F">
        <w:trPr>
          <w:trHeight w:val="300"/>
        </w:trPr>
        <w:tc>
          <w:tcPr>
            <w:tcW w:w="2835" w:type="dxa"/>
            <w:tcBorders>
              <w:top w:val="nil"/>
              <w:left w:val="nil"/>
              <w:bottom w:val="nil"/>
              <w:right w:val="nil"/>
            </w:tcBorders>
            <w:shd w:val="clear" w:color="auto" w:fill="auto"/>
            <w:noWrap/>
            <w:vAlign w:val="bottom"/>
            <w:hideMark/>
          </w:tcPr>
          <w:p w14:paraId="7F2A9CC1"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1</w:t>
            </w:r>
          </w:p>
        </w:tc>
        <w:tc>
          <w:tcPr>
            <w:tcW w:w="2268" w:type="dxa"/>
            <w:tcBorders>
              <w:top w:val="nil"/>
              <w:left w:val="nil"/>
              <w:bottom w:val="nil"/>
              <w:right w:val="nil"/>
            </w:tcBorders>
            <w:shd w:val="clear" w:color="auto" w:fill="auto"/>
            <w:noWrap/>
            <w:vAlign w:val="bottom"/>
            <w:hideMark/>
          </w:tcPr>
          <w:p w14:paraId="20CC909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62D41A6B"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E0656B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43A384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88E98E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718C687F" w14:textId="77777777" w:rsidR="006501A4" w:rsidRPr="002C0CBE" w:rsidRDefault="006501A4" w:rsidP="0095397F">
            <w:pPr>
              <w:spacing w:after="0" w:line="240" w:lineRule="auto"/>
              <w:jc w:val="center"/>
              <w:rPr>
                <w:rFonts w:ascii="Wingdings" w:eastAsia="Times New Roman" w:hAnsi="Wingdings" w:cs="Calibri"/>
                <w:color w:val="9C5700"/>
                <w:lang w:eastAsia="en-AU"/>
              </w:rPr>
            </w:pPr>
            <w:r w:rsidRPr="002C0CBE">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3291D22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F37684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5BCA973A" w14:textId="77777777" w:rsidTr="0095397F">
        <w:trPr>
          <w:trHeight w:val="300"/>
        </w:trPr>
        <w:tc>
          <w:tcPr>
            <w:tcW w:w="2835" w:type="dxa"/>
            <w:tcBorders>
              <w:top w:val="nil"/>
              <w:left w:val="nil"/>
              <w:bottom w:val="nil"/>
              <w:right w:val="nil"/>
            </w:tcBorders>
            <w:shd w:val="clear" w:color="auto" w:fill="auto"/>
            <w:noWrap/>
            <w:vAlign w:val="bottom"/>
            <w:hideMark/>
          </w:tcPr>
          <w:p w14:paraId="46ED340E"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2</w:t>
            </w:r>
          </w:p>
        </w:tc>
        <w:tc>
          <w:tcPr>
            <w:tcW w:w="2268" w:type="dxa"/>
            <w:tcBorders>
              <w:top w:val="nil"/>
              <w:left w:val="nil"/>
              <w:bottom w:val="nil"/>
              <w:right w:val="nil"/>
            </w:tcBorders>
            <w:shd w:val="clear" w:color="auto" w:fill="auto"/>
            <w:noWrap/>
            <w:vAlign w:val="bottom"/>
            <w:hideMark/>
          </w:tcPr>
          <w:p w14:paraId="14F2E7C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5B2D6AC"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8E2575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3E13D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E8C6B4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BFCA83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6CEE20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9C23DD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F743FD4" w14:textId="77777777" w:rsidTr="0095397F">
        <w:trPr>
          <w:trHeight w:val="300"/>
        </w:trPr>
        <w:tc>
          <w:tcPr>
            <w:tcW w:w="2835" w:type="dxa"/>
            <w:tcBorders>
              <w:top w:val="nil"/>
              <w:left w:val="nil"/>
              <w:bottom w:val="nil"/>
              <w:right w:val="nil"/>
            </w:tcBorders>
            <w:shd w:val="clear" w:color="auto" w:fill="auto"/>
            <w:noWrap/>
            <w:vAlign w:val="bottom"/>
            <w:hideMark/>
          </w:tcPr>
          <w:p w14:paraId="0618622B"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3</w:t>
            </w:r>
          </w:p>
        </w:tc>
        <w:tc>
          <w:tcPr>
            <w:tcW w:w="2268" w:type="dxa"/>
            <w:tcBorders>
              <w:top w:val="nil"/>
              <w:left w:val="nil"/>
              <w:bottom w:val="nil"/>
              <w:right w:val="nil"/>
            </w:tcBorders>
            <w:shd w:val="clear" w:color="auto" w:fill="auto"/>
            <w:noWrap/>
            <w:vAlign w:val="bottom"/>
            <w:hideMark/>
          </w:tcPr>
          <w:p w14:paraId="707AB3C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E4FE749"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4A68971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979105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474C248"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E4E147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47481B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4A1D4FA"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3DD89B61" w14:textId="77777777" w:rsidTr="0095397F">
        <w:trPr>
          <w:trHeight w:val="300"/>
        </w:trPr>
        <w:tc>
          <w:tcPr>
            <w:tcW w:w="2835" w:type="dxa"/>
            <w:tcBorders>
              <w:top w:val="nil"/>
              <w:left w:val="nil"/>
              <w:bottom w:val="nil"/>
              <w:right w:val="nil"/>
            </w:tcBorders>
            <w:shd w:val="clear" w:color="auto" w:fill="auto"/>
            <w:noWrap/>
            <w:vAlign w:val="bottom"/>
            <w:hideMark/>
          </w:tcPr>
          <w:p w14:paraId="39C18D05"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4</w:t>
            </w:r>
          </w:p>
        </w:tc>
        <w:tc>
          <w:tcPr>
            <w:tcW w:w="2268" w:type="dxa"/>
            <w:tcBorders>
              <w:top w:val="nil"/>
              <w:left w:val="nil"/>
              <w:bottom w:val="nil"/>
              <w:right w:val="nil"/>
            </w:tcBorders>
            <w:shd w:val="clear" w:color="auto" w:fill="auto"/>
            <w:noWrap/>
            <w:vAlign w:val="bottom"/>
            <w:hideMark/>
          </w:tcPr>
          <w:p w14:paraId="514BCCF6"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6402D288"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5B538B1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F0BC97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23CF1C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27157DA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E820F0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E88B6C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77384F3" w14:textId="77777777" w:rsidTr="0095397F">
        <w:trPr>
          <w:trHeight w:val="300"/>
        </w:trPr>
        <w:tc>
          <w:tcPr>
            <w:tcW w:w="2835" w:type="dxa"/>
            <w:tcBorders>
              <w:top w:val="nil"/>
              <w:left w:val="nil"/>
              <w:bottom w:val="nil"/>
              <w:right w:val="nil"/>
            </w:tcBorders>
            <w:shd w:val="clear" w:color="auto" w:fill="auto"/>
            <w:noWrap/>
            <w:vAlign w:val="bottom"/>
            <w:hideMark/>
          </w:tcPr>
          <w:p w14:paraId="39CD9CB9"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5</w:t>
            </w:r>
          </w:p>
        </w:tc>
        <w:tc>
          <w:tcPr>
            <w:tcW w:w="2268" w:type="dxa"/>
            <w:tcBorders>
              <w:top w:val="nil"/>
              <w:left w:val="nil"/>
              <w:bottom w:val="nil"/>
              <w:right w:val="nil"/>
            </w:tcBorders>
            <w:shd w:val="clear" w:color="auto" w:fill="auto"/>
            <w:noWrap/>
            <w:vAlign w:val="bottom"/>
            <w:hideMark/>
          </w:tcPr>
          <w:p w14:paraId="20023FCC"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11563FBE"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34D80C3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5F58F8DC"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EB9C"/>
            <w:noWrap/>
            <w:vAlign w:val="bottom"/>
            <w:hideMark/>
          </w:tcPr>
          <w:p w14:paraId="7350052F" w14:textId="77777777" w:rsidR="006501A4" w:rsidRPr="002C0CBE" w:rsidRDefault="006501A4" w:rsidP="0095397F">
            <w:pPr>
              <w:spacing w:after="0" w:line="240" w:lineRule="auto"/>
              <w:jc w:val="center"/>
              <w:rPr>
                <w:rFonts w:ascii="Wingdings" w:eastAsia="Times New Roman" w:hAnsi="Wingdings" w:cs="Calibri"/>
                <w:color w:val="9C5700"/>
                <w:lang w:eastAsia="en-AU"/>
              </w:rPr>
            </w:pPr>
            <w:r w:rsidRPr="002C0CBE">
              <w:rPr>
                <w:rFonts w:ascii="Wingdings" w:eastAsia="Times New Roman" w:hAnsi="Wingdings" w:cs="Calibri"/>
                <w:color w:val="9C5700"/>
                <w:lang w:eastAsia="en-AU"/>
              </w:rPr>
              <w:t></w:t>
            </w:r>
          </w:p>
        </w:tc>
        <w:tc>
          <w:tcPr>
            <w:tcW w:w="500" w:type="dxa"/>
            <w:tcBorders>
              <w:top w:val="nil"/>
              <w:left w:val="nil"/>
              <w:bottom w:val="nil"/>
              <w:right w:val="nil"/>
            </w:tcBorders>
            <w:shd w:val="clear" w:color="000000" w:fill="FFC7CE"/>
            <w:noWrap/>
            <w:vAlign w:val="bottom"/>
            <w:hideMark/>
          </w:tcPr>
          <w:p w14:paraId="5FE3C02D"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5071F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0C30CEA0"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F480563" w14:textId="77777777" w:rsidTr="0095397F">
        <w:trPr>
          <w:trHeight w:val="300"/>
        </w:trPr>
        <w:tc>
          <w:tcPr>
            <w:tcW w:w="2835" w:type="dxa"/>
            <w:tcBorders>
              <w:top w:val="nil"/>
              <w:left w:val="nil"/>
              <w:bottom w:val="nil"/>
              <w:right w:val="nil"/>
            </w:tcBorders>
            <w:shd w:val="clear" w:color="auto" w:fill="auto"/>
            <w:noWrap/>
            <w:vAlign w:val="bottom"/>
            <w:hideMark/>
          </w:tcPr>
          <w:p w14:paraId="35C03A4A"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6</w:t>
            </w:r>
          </w:p>
        </w:tc>
        <w:tc>
          <w:tcPr>
            <w:tcW w:w="2268" w:type="dxa"/>
            <w:tcBorders>
              <w:top w:val="nil"/>
              <w:left w:val="nil"/>
              <w:bottom w:val="nil"/>
              <w:right w:val="nil"/>
            </w:tcBorders>
            <w:shd w:val="clear" w:color="auto" w:fill="auto"/>
            <w:noWrap/>
            <w:vAlign w:val="bottom"/>
            <w:hideMark/>
          </w:tcPr>
          <w:p w14:paraId="2A8904D2"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658AC141"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1724DA1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BCE96E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F7F851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A20A7BB"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1CF808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081D152"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478AA80E" w14:textId="77777777" w:rsidTr="0095397F">
        <w:trPr>
          <w:trHeight w:val="300"/>
        </w:trPr>
        <w:tc>
          <w:tcPr>
            <w:tcW w:w="2835" w:type="dxa"/>
            <w:tcBorders>
              <w:top w:val="nil"/>
              <w:left w:val="nil"/>
              <w:bottom w:val="nil"/>
              <w:right w:val="nil"/>
            </w:tcBorders>
            <w:shd w:val="clear" w:color="auto" w:fill="auto"/>
            <w:noWrap/>
            <w:vAlign w:val="bottom"/>
            <w:hideMark/>
          </w:tcPr>
          <w:p w14:paraId="19039590"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7</w:t>
            </w:r>
          </w:p>
        </w:tc>
        <w:tc>
          <w:tcPr>
            <w:tcW w:w="2268" w:type="dxa"/>
            <w:tcBorders>
              <w:top w:val="nil"/>
              <w:left w:val="nil"/>
              <w:bottom w:val="nil"/>
              <w:right w:val="nil"/>
            </w:tcBorders>
            <w:shd w:val="clear" w:color="auto" w:fill="auto"/>
            <w:noWrap/>
            <w:vAlign w:val="bottom"/>
            <w:hideMark/>
          </w:tcPr>
          <w:p w14:paraId="398D6CAF"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018F5855"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nil"/>
              <w:right w:val="nil"/>
            </w:tcBorders>
            <w:shd w:val="clear" w:color="000000" w:fill="FFC7CE"/>
            <w:noWrap/>
            <w:vAlign w:val="bottom"/>
            <w:hideMark/>
          </w:tcPr>
          <w:p w14:paraId="733C77C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71CC6216"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48DBEC5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3806934F"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6F4DFF0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nil"/>
              <w:right w:val="nil"/>
            </w:tcBorders>
            <w:shd w:val="clear" w:color="000000" w:fill="FFC7CE"/>
            <w:noWrap/>
            <w:vAlign w:val="bottom"/>
            <w:hideMark/>
          </w:tcPr>
          <w:p w14:paraId="1E3DE519"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r w:rsidR="006501A4" w:rsidRPr="002C0CBE" w14:paraId="60F3A898"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2D5DEEDD"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Windra Vale2 8</w:t>
            </w:r>
          </w:p>
        </w:tc>
        <w:tc>
          <w:tcPr>
            <w:tcW w:w="2268" w:type="dxa"/>
            <w:tcBorders>
              <w:top w:val="nil"/>
              <w:left w:val="nil"/>
              <w:bottom w:val="single" w:sz="8" w:space="0" w:color="auto"/>
              <w:right w:val="nil"/>
            </w:tcBorders>
            <w:shd w:val="clear" w:color="auto" w:fill="auto"/>
            <w:noWrap/>
            <w:vAlign w:val="bottom"/>
            <w:hideMark/>
          </w:tcPr>
          <w:p w14:paraId="07A15C98" w14:textId="77777777" w:rsidR="006501A4" w:rsidRPr="002C0CBE" w:rsidRDefault="006501A4" w:rsidP="0095397F">
            <w:pPr>
              <w:spacing w:after="0" w:line="240" w:lineRule="auto"/>
              <w:rPr>
                <w:rFonts w:eastAsia="Times New Roman" w:cs="Calibri"/>
                <w:color w:val="000000"/>
                <w:lang w:eastAsia="en-AU"/>
              </w:rPr>
            </w:pPr>
            <w:r w:rsidRPr="002C0CBE">
              <w:rPr>
                <w:rFonts w:eastAsia="Times New Roman" w:cs="Calibri"/>
                <w:color w:val="000000"/>
                <w:lang w:eastAsia="en-AU"/>
              </w:rPr>
              <w:t>Yallakool Creek</w:t>
            </w:r>
          </w:p>
        </w:tc>
        <w:tc>
          <w:tcPr>
            <w:tcW w:w="1017" w:type="dxa"/>
            <w:tcBorders>
              <w:top w:val="nil"/>
              <w:left w:val="nil"/>
              <w:bottom w:val="single" w:sz="8" w:space="0" w:color="auto"/>
              <w:right w:val="nil"/>
            </w:tcBorders>
            <w:shd w:val="clear" w:color="auto" w:fill="auto"/>
            <w:noWrap/>
            <w:vAlign w:val="bottom"/>
            <w:hideMark/>
          </w:tcPr>
          <w:p w14:paraId="5469F18F" w14:textId="77777777" w:rsidR="006501A4" w:rsidRPr="002C0CBE" w:rsidRDefault="006501A4" w:rsidP="0095397F">
            <w:pPr>
              <w:spacing w:after="0" w:line="240" w:lineRule="auto"/>
              <w:jc w:val="center"/>
              <w:rPr>
                <w:rFonts w:eastAsia="Times New Roman" w:cs="Calibri"/>
                <w:color w:val="000000"/>
                <w:lang w:eastAsia="en-AU"/>
              </w:rPr>
            </w:pPr>
            <w:r w:rsidRPr="002C0CBE">
              <w:rPr>
                <w:rFonts w:eastAsia="Times New Roman" w:cs="Calibri"/>
                <w:color w:val="000000"/>
                <w:lang w:eastAsia="en-AU"/>
              </w:rPr>
              <w:t>0/6</w:t>
            </w:r>
          </w:p>
        </w:tc>
        <w:tc>
          <w:tcPr>
            <w:tcW w:w="500" w:type="dxa"/>
            <w:tcBorders>
              <w:top w:val="nil"/>
              <w:left w:val="nil"/>
              <w:bottom w:val="single" w:sz="8" w:space="0" w:color="auto"/>
              <w:right w:val="nil"/>
            </w:tcBorders>
            <w:shd w:val="clear" w:color="000000" w:fill="FFC7CE"/>
            <w:noWrap/>
            <w:vAlign w:val="bottom"/>
            <w:hideMark/>
          </w:tcPr>
          <w:p w14:paraId="7F64D995"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5AFC12C7"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13693AA1"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46FB0044"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2645F903"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c>
          <w:tcPr>
            <w:tcW w:w="500" w:type="dxa"/>
            <w:tcBorders>
              <w:top w:val="nil"/>
              <w:left w:val="nil"/>
              <w:bottom w:val="single" w:sz="8" w:space="0" w:color="auto"/>
              <w:right w:val="nil"/>
            </w:tcBorders>
            <w:shd w:val="clear" w:color="000000" w:fill="FFC7CE"/>
            <w:noWrap/>
            <w:vAlign w:val="bottom"/>
            <w:hideMark/>
          </w:tcPr>
          <w:p w14:paraId="656EA66E" w14:textId="77777777" w:rsidR="006501A4" w:rsidRPr="002C0CBE" w:rsidRDefault="006501A4" w:rsidP="0095397F">
            <w:pPr>
              <w:spacing w:after="0" w:line="240" w:lineRule="auto"/>
              <w:jc w:val="center"/>
              <w:rPr>
                <w:rFonts w:eastAsia="Times New Roman" w:cs="Calibri"/>
                <w:color w:val="9C0006"/>
                <w:lang w:eastAsia="en-AU"/>
              </w:rPr>
            </w:pPr>
            <w:r w:rsidRPr="002C0CBE">
              <w:rPr>
                <w:rFonts w:eastAsia="Times New Roman" w:cs="Calibri"/>
                <w:color w:val="9C0006"/>
                <w:lang w:eastAsia="en-AU"/>
              </w:rPr>
              <w:t>×</w:t>
            </w:r>
          </w:p>
        </w:tc>
      </w:tr>
    </w:tbl>
    <w:p w14:paraId="7E97B8DD" w14:textId="77777777" w:rsidR="006501A4" w:rsidRPr="003D38B6"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p>
    <w:p w14:paraId="1D9BFAD6" w14:textId="77777777" w:rsidR="006501A4" w:rsidRDefault="006501A4" w:rsidP="006501A4">
      <w:pPr>
        <w:rPr>
          <w:rFonts w:eastAsia="Times New Roman"/>
          <w:b/>
          <w:bCs/>
          <w:color w:val="201F1E"/>
          <w:sz w:val="20"/>
          <w:bdr w:val="none" w:sz="0" w:space="0" w:color="auto" w:frame="1"/>
          <w:lang w:eastAsia="en-AU"/>
        </w:rPr>
      </w:pPr>
      <w:r>
        <w:rPr>
          <w:b/>
          <w:bCs/>
          <w:color w:val="201F1E"/>
          <w:sz w:val="20"/>
          <w:bdr w:val="none" w:sz="0" w:space="0" w:color="auto" w:frame="1"/>
        </w:rPr>
        <w:br w:type="page"/>
      </w:r>
    </w:p>
    <w:p w14:paraId="03F2A3A9" w14:textId="77777777" w:rsidR="006501A4"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r w:rsidRPr="00B62A91">
        <w:rPr>
          <w:rFonts w:asciiTheme="minorHAnsi" w:hAnsiTheme="minorHAnsi"/>
          <w:b/>
          <w:bCs/>
          <w:color w:val="201F1E"/>
          <w:sz w:val="20"/>
          <w:szCs w:val="20"/>
          <w:bdr w:val="none" w:sz="0" w:space="0" w:color="auto" w:frame="1"/>
        </w:rPr>
        <w:t>Appendix 12.</w:t>
      </w:r>
      <w:r>
        <w:rPr>
          <w:rFonts w:asciiTheme="minorHAnsi" w:hAnsiTheme="minorHAnsi"/>
          <w:b/>
          <w:bCs/>
          <w:color w:val="201F1E"/>
          <w:sz w:val="20"/>
          <w:szCs w:val="20"/>
          <w:bdr w:val="none" w:sz="0" w:space="0" w:color="auto" w:frame="1"/>
        </w:rPr>
        <w:t>11</w:t>
      </w:r>
      <w:r w:rsidRPr="003D38B6">
        <w:rPr>
          <w:rFonts w:asciiTheme="minorHAnsi" w:hAnsiTheme="minorHAnsi"/>
          <w:color w:val="201F1E"/>
          <w:sz w:val="20"/>
          <w:szCs w:val="20"/>
          <w:bdr w:val="none" w:sz="0" w:space="0" w:color="auto" w:frame="1"/>
        </w:rPr>
        <w:t xml:space="preserve"> Positive detections of </w:t>
      </w:r>
      <w:r>
        <w:rPr>
          <w:rFonts w:asciiTheme="minorHAnsi" w:hAnsiTheme="minorHAnsi"/>
          <w:color w:val="201F1E"/>
          <w:sz w:val="20"/>
          <w:szCs w:val="20"/>
          <w:bdr w:val="none" w:sz="0" w:space="0" w:color="auto" w:frame="1"/>
        </w:rPr>
        <w:t>Murray crayfish a</w:t>
      </w:r>
      <w:r w:rsidRPr="003D38B6">
        <w:rPr>
          <w:rFonts w:asciiTheme="minorHAnsi" w:hAnsiTheme="minorHAnsi"/>
          <w:color w:val="201F1E"/>
          <w:sz w:val="20"/>
          <w:szCs w:val="20"/>
          <w:bdr w:val="none" w:sz="0" w:space="0" w:color="auto" w:frame="1"/>
        </w:rPr>
        <w:t>t the ten sampling locations.</w:t>
      </w:r>
      <w:r w:rsidRPr="00081724">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Red crosses are negative for the target species, green ticks are positive for the target species.</w:t>
      </w:r>
      <w:r w:rsidRPr="00B64CC2">
        <w:rPr>
          <w:rFonts w:asciiTheme="minorHAnsi" w:hAnsiTheme="minorHAnsi"/>
          <w:color w:val="201F1E"/>
          <w:sz w:val="20"/>
          <w:szCs w:val="20"/>
          <w:bdr w:val="none" w:sz="0" w:space="0" w:color="auto" w:frame="1"/>
        </w:rPr>
        <w:t xml:space="preserve"> </w:t>
      </w:r>
      <w:r>
        <w:rPr>
          <w:rFonts w:asciiTheme="minorHAnsi" w:hAnsiTheme="minorHAnsi"/>
          <w:color w:val="201F1E"/>
          <w:sz w:val="20"/>
          <w:szCs w:val="20"/>
          <w:bdr w:val="none" w:sz="0" w:space="0" w:color="auto" w:frame="1"/>
        </w:rPr>
        <w:t>No amplification was detected in equipment controls, negative extraction controls and negative PCR controls.</w:t>
      </w:r>
    </w:p>
    <w:tbl>
      <w:tblPr>
        <w:tblW w:w="9000" w:type="dxa"/>
        <w:tblLook w:val="04A0" w:firstRow="1" w:lastRow="0" w:firstColumn="1" w:lastColumn="0" w:noHBand="0" w:noVBand="1"/>
      </w:tblPr>
      <w:tblGrid>
        <w:gridCol w:w="2835"/>
        <w:gridCol w:w="2268"/>
        <w:gridCol w:w="1017"/>
        <w:gridCol w:w="480"/>
        <w:gridCol w:w="480"/>
        <w:gridCol w:w="480"/>
        <w:gridCol w:w="480"/>
        <w:gridCol w:w="480"/>
        <w:gridCol w:w="480"/>
      </w:tblGrid>
      <w:tr w:rsidR="006501A4" w:rsidRPr="00BC1F8D" w14:paraId="1E643610" w14:textId="77777777" w:rsidTr="0095397F">
        <w:trPr>
          <w:trHeight w:val="300"/>
        </w:trPr>
        <w:tc>
          <w:tcPr>
            <w:tcW w:w="2835" w:type="dxa"/>
            <w:tcBorders>
              <w:top w:val="nil"/>
              <w:left w:val="nil"/>
              <w:bottom w:val="nil"/>
              <w:right w:val="nil"/>
            </w:tcBorders>
            <w:shd w:val="clear" w:color="auto" w:fill="92CDDC"/>
            <w:noWrap/>
            <w:vAlign w:val="bottom"/>
            <w:hideMark/>
          </w:tcPr>
          <w:p w14:paraId="0E7D3B8D" w14:textId="77777777" w:rsidR="006501A4" w:rsidRPr="00BC1F8D" w:rsidRDefault="006501A4" w:rsidP="0095397F">
            <w:pPr>
              <w:spacing w:after="0" w:line="240" w:lineRule="auto"/>
              <w:rPr>
                <w:rFonts w:eastAsia="Times New Roman" w:cs="Calibri"/>
                <w:color w:val="000000"/>
                <w:lang w:eastAsia="en-AU"/>
              </w:rPr>
            </w:pPr>
          </w:p>
        </w:tc>
        <w:tc>
          <w:tcPr>
            <w:tcW w:w="2268" w:type="dxa"/>
            <w:tcBorders>
              <w:top w:val="nil"/>
              <w:left w:val="nil"/>
              <w:bottom w:val="nil"/>
              <w:right w:val="nil"/>
            </w:tcBorders>
            <w:shd w:val="clear" w:color="auto" w:fill="92CDDC"/>
            <w:noWrap/>
            <w:vAlign w:val="bottom"/>
            <w:hideMark/>
          </w:tcPr>
          <w:p w14:paraId="756249B1" w14:textId="77777777" w:rsidR="006501A4" w:rsidRPr="00BC1F8D" w:rsidRDefault="006501A4" w:rsidP="0095397F">
            <w:pPr>
              <w:spacing w:after="0" w:line="240" w:lineRule="auto"/>
              <w:rPr>
                <w:rFonts w:eastAsia="Times New Roman" w:cs="Calibri"/>
                <w:color w:val="000000"/>
                <w:lang w:eastAsia="en-AU"/>
              </w:rPr>
            </w:pPr>
          </w:p>
        </w:tc>
        <w:tc>
          <w:tcPr>
            <w:tcW w:w="1017" w:type="dxa"/>
            <w:tcBorders>
              <w:top w:val="nil"/>
              <w:left w:val="nil"/>
              <w:bottom w:val="nil"/>
              <w:right w:val="nil"/>
            </w:tcBorders>
            <w:shd w:val="clear" w:color="auto" w:fill="92CDDC"/>
            <w:noWrap/>
            <w:vAlign w:val="bottom"/>
            <w:hideMark/>
          </w:tcPr>
          <w:p w14:paraId="56B1F15A" w14:textId="77777777" w:rsidR="006501A4" w:rsidRPr="00BC1F8D" w:rsidRDefault="006501A4" w:rsidP="0095397F">
            <w:pPr>
              <w:spacing w:after="0" w:line="240" w:lineRule="auto"/>
              <w:rPr>
                <w:rFonts w:ascii="Times New Roman" w:eastAsia="Times New Roman" w:hAnsi="Times New Roman"/>
                <w:sz w:val="20"/>
                <w:lang w:eastAsia="en-AU"/>
              </w:rPr>
            </w:pPr>
          </w:p>
        </w:tc>
        <w:tc>
          <w:tcPr>
            <w:tcW w:w="2880" w:type="dxa"/>
            <w:gridSpan w:val="6"/>
            <w:tcBorders>
              <w:top w:val="nil"/>
              <w:left w:val="nil"/>
              <w:bottom w:val="nil"/>
              <w:right w:val="nil"/>
            </w:tcBorders>
            <w:shd w:val="clear" w:color="auto" w:fill="92CDDC"/>
            <w:noWrap/>
            <w:vAlign w:val="bottom"/>
            <w:hideMark/>
          </w:tcPr>
          <w:p w14:paraId="0384F2D3" w14:textId="77777777" w:rsidR="006501A4" w:rsidRPr="00BC1F8D" w:rsidRDefault="006501A4" w:rsidP="0095397F">
            <w:pPr>
              <w:spacing w:after="0" w:line="240" w:lineRule="auto"/>
              <w:jc w:val="center"/>
              <w:rPr>
                <w:rFonts w:eastAsia="Times New Roman" w:cs="Calibri"/>
                <w:color w:val="000000"/>
                <w:lang w:eastAsia="en-AU"/>
              </w:rPr>
            </w:pPr>
            <w:r>
              <w:rPr>
                <w:rFonts w:eastAsia="Times New Roman" w:cs="Calibri"/>
                <w:color w:val="000000"/>
                <w:lang w:eastAsia="en-AU"/>
              </w:rPr>
              <w:t>Technical replicates</w:t>
            </w:r>
          </w:p>
        </w:tc>
      </w:tr>
      <w:tr w:rsidR="006501A4" w:rsidRPr="00BC1F8D" w14:paraId="5C2C1DDF" w14:textId="77777777" w:rsidTr="0095397F">
        <w:trPr>
          <w:trHeight w:val="315"/>
        </w:trPr>
        <w:tc>
          <w:tcPr>
            <w:tcW w:w="2835" w:type="dxa"/>
            <w:tcBorders>
              <w:top w:val="nil"/>
              <w:left w:val="nil"/>
              <w:bottom w:val="single" w:sz="8" w:space="0" w:color="auto"/>
              <w:right w:val="nil"/>
            </w:tcBorders>
            <w:shd w:val="clear" w:color="auto" w:fill="92CDDC"/>
            <w:noWrap/>
            <w:vAlign w:val="bottom"/>
            <w:hideMark/>
          </w:tcPr>
          <w:p w14:paraId="057ABA2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 </w:t>
            </w:r>
          </w:p>
        </w:tc>
        <w:tc>
          <w:tcPr>
            <w:tcW w:w="2268" w:type="dxa"/>
            <w:tcBorders>
              <w:top w:val="nil"/>
              <w:left w:val="nil"/>
              <w:bottom w:val="single" w:sz="8" w:space="0" w:color="auto"/>
              <w:right w:val="nil"/>
            </w:tcBorders>
            <w:shd w:val="clear" w:color="auto" w:fill="92CDDC"/>
            <w:noWrap/>
            <w:vAlign w:val="bottom"/>
            <w:hideMark/>
          </w:tcPr>
          <w:p w14:paraId="50439EA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Waterway</w:t>
            </w:r>
          </w:p>
        </w:tc>
        <w:tc>
          <w:tcPr>
            <w:tcW w:w="1017" w:type="dxa"/>
            <w:tcBorders>
              <w:top w:val="nil"/>
              <w:left w:val="nil"/>
              <w:bottom w:val="single" w:sz="8" w:space="0" w:color="auto"/>
              <w:right w:val="nil"/>
            </w:tcBorders>
            <w:shd w:val="clear" w:color="auto" w:fill="92CDDC"/>
            <w:noWrap/>
            <w:vAlign w:val="bottom"/>
            <w:hideMark/>
          </w:tcPr>
          <w:p w14:paraId="4D29CFD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Pos reps</w:t>
            </w:r>
          </w:p>
        </w:tc>
        <w:tc>
          <w:tcPr>
            <w:tcW w:w="480" w:type="dxa"/>
            <w:tcBorders>
              <w:top w:val="nil"/>
              <w:left w:val="nil"/>
              <w:bottom w:val="single" w:sz="8" w:space="0" w:color="auto"/>
              <w:right w:val="nil"/>
            </w:tcBorders>
            <w:shd w:val="clear" w:color="auto" w:fill="92CDDC"/>
            <w:noWrap/>
            <w:vAlign w:val="bottom"/>
            <w:hideMark/>
          </w:tcPr>
          <w:p w14:paraId="581687C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n1</w:t>
            </w:r>
          </w:p>
        </w:tc>
        <w:tc>
          <w:tcPr>
            <w:tcW w:w="480" w:type="dxa"/>
            <w:tcBorders>
              <w:top w:val="nil"/>
              <w:left w:val="nil"/>
              <w:bottom w:val="single" w:sz="8" w:space="0" w:color="auto"/>
              <w:right w:val="nil"/>
            </w:tcBorders>
            <w:shd w:val="clear" w:color="auto" w:fill="92CDDC"/>
            <w:noWrap/>
            <w:vAlign w:val="bottom"/>
            <w:hideMark/>
          </w:tcPr>
          <w:p w14:paraId="7362B02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n2</w:t>
            </w:r>
          </w:p>
        </w:tc>
        <w:tc>
          <w:tcPr>
            <w:tcW w:w="480" w:type="dxa"/>
            <w:tcBorders>
              <w:top w:val="nil"/>
              <w:left w:val="nil"/>
              <w:bottom w:val="single" w:sz="8" w:space="0" w:color="auto"/>
              <w:right w:val="nil"/>
            </w:tcBorders>
            <w:shd w:val="clear" w:color="auto" w:fill="92CDDC"/>
            <w:noWrap/>
            <w:vAlign w:val="bottom"/>
            <w:hideMark/>
          </w:tcPr>
          <w:p w14:paraId="2C0BEAF5"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n3</w:t>
            </w:r>
          </w:p>
        </w:tc>
        <w:tc>
          <w:tcPr>
            <w:tcW w:w="480" w:type="dxa"/>
            <w:tcBorders>
              <w:top w:val="nil"/>
              <w:left w:val="nil"/>
              <w:bottom w:val="single" w:sz="8" w:space="0" w:color="auto"/>
              <w:right w:val="nil"/>
            </w:tcBorders>
            <w:shd w:val="clear" w:color="auto" w:fill="92CDDC"/>
            <w:noWrap/>
            <w:vAlign w:val="bottom"/>
            <w:hideMark/>
          </w:tcPr>
          <w:p w14:paraId="6041945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n4</w:t>
            </w:r>
          </w:p>
        </w:tc>
        <w:tc>
          <w:tcPr>
            <w:tcW w:w="480" w:type="dxa"/>
            <w:tcBorders>
              <w:top w:val="nil"/>
              <w:left w:val="nil"/>
              <w:bottom w:val="single" w:sz="8" w:space="0" w:color="auto"/>
              <w:right w:val="nil"/>
            </w:tcBorders>
            <w:shd w:val="clear" w:color="auto" w:fill="92CDDC"/>
            <w:noWrap/>
            <w:vAlign w:val="bottom"/>
            <w:hideMark/>
          </w:tcPr>
          <w:p w14:paraId="4EE4B78E"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n5</w:t>
            </w:r>
          </w:p>
        </w:tc>
        <w:tc>
          <w:tcPr>
            <w:tcW w:w="480" w:type="dxa"/>
            <w:tcBorders>
              <w:top w:val="nil"/>
              <w:left w:val="nil"/>
              <w:bottom w:val="single" w:sz="8" w:space="0" w:color="auto"/>
              <w:right w:val="nil"/>
            </w:tcBorders>
            <w:shd w:val="clear" w:color="auto" w:fill="92CDDC"/>
            <w:noWrap/>
            <w:vAlign w:val="bottom"/>
            <w:hideMark/>
          </w:tcPr>
          <w:p w14:paraId="3762964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n6</w:t>
            </w:r>
          </w:p>
        </w:tc>
      </w:tr>
      <w:tr w:rsidR="006501A4" w:rsidRPr="00BC1F8D" w14:paraId="1676EA3F" w14:textId="77777777" w:rsidTr="0095397F">
        <w:trPr>
          <w:trHeight w:val="300"/>
        </w:trPr>
        <w:tc>
          <w:tcPr>
            <w:tcW w:w="2835" w:type="dxa"/>
            <w:tcBorders>
              <w:top w:val="nil"/>
              <w:left w:val="nil"/>
              <w:bottom w:val="nil"/>
              <w:right w:val="nil"/>
            </w:tcBorders>
            <w:shd w:val="clear" w:color="auto" w:fill="auto"/>
            <w:noWrap/>
            <w:vAlign w:val="bottom"/>
            <w:hideMark/>
          </w:tcPr>
          <w:p w14:paraId="2382EC6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1</w:t>
            </w:r>
          </w:p>
        </w:tc>
        <w:tc>
          <w:tcPr>
            <w:tcW w:w="2268" w:type="dxa"/>
            <w:tcBorders>
              <w:top w:val="nil"/>
              <w:left w:val="nil"/>
              <w:bottom w:val="nil"/>
              <w:right w:val="nil"/>
            </w:tcBorders>
            <w:shd w:val="clear" w:color="auto" w:fill="auto"/>
            <w:noWrap/>
            <w:vAlign w:val="bottom"/>
            <w:hideMark/>
          </w:tcPr>
          <w:p w14:paraId="70B4C11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160E26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CDB63A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78B321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20DAB8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7AD1C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CDC64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3CAAF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6859DC7" w14:textId="77777777" w:rsidTr="0095397F">
        <w:trPr>
          <w:trHeight w:val="300"/>
        </w:trPr>
        <w:tc>
          <w:tcPr>
            <w:tcW w:w="2835" w:type="dxa"/>
            <w:tcBorders>
              <w:top w:val="nil"/>
              <w:left w:val="nil"/>
              <w:bottom w:val="nil"/>
              <w:right w:val="nil"/>
            </w:tcBorders>
            <w:shd w:val="clear" w:color="auto" w:fill="auto"/>
            <w:noWrap/>
            <w:vAlign w:val="bottom"/>
            <w:hideMark/>
          </w:tcPr>
          <w:p w14:paraId="6B052EA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2</w:t>
            </w:r>
          </w:p>
        </w:tc>
        <w:tc>
          <w:tcPr>
            <w:tcW w:w="2268" w:type="dxa"/>
            <w:tcBorders>
              <w:top w:val="nil"/>
              <w:left w:val="nil"/>
              <w:bottom w:val="nil"/>
              <w:right w:val="nil"/>
            </w:tcBorders>
            <w:shd w:val="clear" w:color="auto" w:fill="auto"/>
            <w:noWrap/>
            <w:vAlign w:val="bottom"/>
            <w:hideMark/>
          </w:tcPr>
          <w:p w14:paraId="40DCA11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B1D3ED4"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C0049C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21BD77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12617E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D707FD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E5436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957C0A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81A98F8" w14:textId="77777777" w:rsidTr="0095397F">
        <w:trPr>
          <w:trHeight w:val="300"/>
        </w:trPr>
        <w:tc>
          <w:tcPr>
            <w:tcW w:w="2835" w:type="dxa"/>
            <w:tcBorders>
              <w:top w:val="nil"/>
              <w:left w:val="nil"/>
              <w:bottom w:val="nil"/>
              <w:right w:val="nil"/>
            </w:tcBorders>
            <w:shd w:val="clear" w:color="auto" w:fill="auto"/>
            <w:noWrap/>
            <w:vAlign w:val="bottom"/>
            <w:hideMark/>
          </w:tcPr>
          <w:p w14:paraId="7F02CB7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3</w:t>
            </w:r>
          </w:p>
        </w:tc>
        <w:tc>
          <w:tcPr>
            <w:tcW w:w="2268" w:type="dxa"/>
            <w:tcBorders>
              <w:top w:val="nil"/>
              <w:left w:val="nil"/>
              <w:bottom w:val="nil"/>
              <w:right w:val="nil"/>
            </w:tcBorders>
            <w:shd w:val="clear" w:color="auto" w:fill="auto"/>
            <w:noWrap/>
            <w:vAlign w:val="bottom"/>
            <w:hideMark/>
          </w:tcPr>
          <w:p w14:paraId="2944449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B0701E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16E1FB7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6784B8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F5A72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E1B210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CE952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D3CFF4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331A715" w14:textId="77777777" w:rsidTr="0095397F">
        <w:trPr>
          <w:trHeight w:val="300"/>
        </w:trPr>
        <w:tc>
          <w:tcPr>
            <w:tcW w:w="2835" w:type="dxa"/>
            <w:tcBorders>
              <w:top w:val="nil"/>
              <w:left w:val="nil"/>
              <w:bottom w:val="nil"/>
              <w:right w:val="nil"/>
            </w:tcBorders>
            <w:shd w:val="clear" w:color="auto" w:fill="auto"/>
            <w:noWrap/>
            <w:vAlign w:val="bottom"/>
            <w:hideMark/>
          </w:tcPr>
          <w:p w14:paraId="4F6B28D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4</w:t>
            </w:r>
          </w:p>
        </w:tc>
        <w:tc>
          <w:tcPr>
            <w:tcW w:w="2268" w:type="dxa"/>
            <w:tcBorders>
              <w:top w:val="nil"/>
              <w:left w:val="nil"/>
              <w:bottom w:val="nil"/>
              <w:right w:val="nil"/>
            </w:tcBorders>
            <w:shd w:val="clear" w:color="auto" w:fill="auto"/>
            <w:noWrap/>
            <w:vAlign w:val="bottom"/>
            <w:hideMark/>
          </w:tcPr>
          <w:p w14:paraId="5D0A127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673946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B113B8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F26DEB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13B501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B7DAB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F1D99C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DA0F70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F694DE4" w14:textId="77777777" w:rsidTr="0095397F">
        <w:trPr>
          <w:trHeight w:val="300"/>
        </w:trPr>
        <w:tc>
          <w:tcPr>
            <w:tcW w:w="2835" w:type="dxa"/>
            <w:tcBorders>
              <w:top w:val="nil"/>
              <w:left w:val="nil"/>
              <w:bottom w:val="nil"/>
              <w:right w:val="nil"/>
            </w:tcBorders>
            <w:shd w:val="clear" w:color="auto" w:fill="auto"/>
            <w:noWrap/>
            <w:vAlign w:val="bottom"/>
            <w:hideMark/>
          </w:tcPr>
          <w:p w14:paraId="22E3747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5</w:t>
            </w:r>
          </w:p>
        </w:tc>
        <w:tc>
          <w:tcPr>
            <w:tcW w:w="2268" w:type="dxa"/>
            <w:tcBorders>
              <w:top w:val="nil"/>
              <w:left w:val="nil"/>
              <w:bottom w:val="nil"/>
              <w:right w:val="nil"/>
            </w:tcBorders>
            <w:shd w:val="clear" w:color="auto" w:fill="auto"/>
            <w:noWrap/>
            <w:vAlign w:val="bottom"/>
            <w:hideMark/>
          </w:tcPr>
          <w:p w14:paraId="0AF70C8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2A7D8E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C39E60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43B2E0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D62A4C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C5944E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7B467F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F05751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68669E3" w14:textId="77777777" w:rsidTr="0095397F">
        <w:trPr>
          <w:trHeight w:val="300"/>
        </w:trPr>
        <w:tc>
          <w:tcPr>
            <w:tcW w:w="2835" w:type="dxa"/>
            <w:tcBorders>
              <w:top w:val="nil"/>
              <w:left w:val="nil"/>
              <w:bottom w:val="nil"/>
              <w:right w:val="nil"/>
            </w:tcBorders>
            <w:shd w:val="clear" w:color="auto" w:fill="auto"/>
            <w:noWrap/>
            <w:vAlign w:val="bottom"/>
            <w:hideMark/>
          </w:tcPr>
          <w:p w14:paraId="15DE049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6</w:t>
            </w:r>
          </w:p>
        </w:tc>
        <w:tc>
          <w:tcPr>
            <w:tcW w:w="2268" w:type="dxa"/>
            <w:tcBorders>
              <w:top w:val="nil"/>
              <w:left w:val="nil"/>
              <w:bottom w:val="nil"/>
              <w:right w:val="nil"/>
            </w:tcBorders>
            <w:shd w:val="clear" w:color="auto" w:fill="auto"/>
            <w:noWrap/>
            <w:vAlign w:val="bottom"/>
            <w:hideMark/>
          </w:tcPr>
          <w:p w14:paraId="0161CEE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04B0514"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90E9A9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04DA5C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DDCA7F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5249A2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83B9C7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1EE858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F42EDB7" w14:textId="77777777" w:rsidTr="0095397F">
        <w:trPr>
          <w:trHeight w:val="300"/>
        </w:trPr>
        <w:tc>
          <w:tcPr>
            <w:tcW w:w="2835" w:type="dxa"/>
            <w:tcBorders>
              <w:top w:val="nil"/>
              <w:left w:val="nil"/>
              <w:bottom w:val="nil"/>
              <w:right w:val="nil"/>
            </w:tcBorders>
            <w:shd w:val="clear" w:color="auto" w:fill="auto"/>
            <w:noWrap/>
            <w:vAlign w:val="bottom"/>
            <w:hideMark/>
          </w:tcPr>
          <w:p w14:paraId="3D98E00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7</w:t>
            </w:r>
          </w:p>
        </w:tc>
        <w:tc>
          <w:tcPr>
            <w:tcW w:w="2268" w:type="dxa"/>
            <w:tcBorders>
              <w:top w:val="nil"/>
              <w:left w:val="nil"/>
              <w:bottom w:val="nil"/>
              <w:right w:val="nil"/>
            </w:tcBorders>
            <w:shd w:val="clear" w:color="auto" w:fill="auto"/>
            <w:noWrap/>
            <w:vAlign w:val="bottom"/>
            <w:hideMark/>
          </w:tcPr>
          <w:p w14:paraId="2CD6B5E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40DE89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4A1AC9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968249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B50334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ECC321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AAB5E0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B42DDC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24B5B79"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65A657D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Four Posts 8</w:t>
            </w:r>
          </w:p>
        </w:tc>
        <w:tc>
          <w:tcPr>
            <w:tcW w:w="2268" w:type="dxa"/>
            <w:tcBorders>
              <w:top w:val="nil"/>
              <w:left w:val="nil"/>
              <w:bottom w:val="single" w:sz="8" w:space="0" w:color="auto"/>
              <w:right w:val="nil"/>
            </w:tcBorders>
            <w:shd w:val="clear" w:color="auto" w:fill="auto"/>
            <w:noWrap/>
            <w:vAlign w:val="bottom"/>
            <w:hideMark/>
          </w:tcPr>
          <w:p w14:paraId="39842B6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1E819131"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6BABD3E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9EDFDB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A2C495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006C7A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F272AD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4CA4332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C0E81A2" w14:textId="77777777" w:rsidTr="0095397F">
        <w:trPr>
          <w:trHeight w:val="300"/>
        </w:trPr>
        <w:tc>
          <w:tcPr>
            <w:tcW w:w="2835" w:type="dxa"/>
            <w:tcBorders>
              <w:top w:val="nil"/>
              <w:left w:val="nil"/>
              <w:bottom w:val="nil"/>
              <w:right w:val="nil"/>
            </w:tcBorders>
            <w:shd w:val="clear" w:color="auto" w:fill="auto"/>
            <w:noWrap/>
            <w:vAlign w:val="bottom"/>
            <w:hideMark/>
          </w:tcPr>
          <w:p w14:paraId="300117E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1</w:t>
            </w:r>
          </w:p>
        </w:tc>
        <w:tc>
          <w:tcPr>
            <w:tcW w:w="2268" w:type="dxa"/>
            <w:tcBorders>
              <w:top w:val="nil"/>
              <w:left w:val="nil"/>
              <w:bottom w:val="nil"/>
              <w:right w:val="nil"/>
            </w:tcBorders>
            <w:shd w:val="clear" w:color="auto" w:fill="auto"/>
            <w:noWrap/>
            <w:vAlign w:val="bottom"/>
            <w:hideMark/>
          </w:tcPr>
          <w:p w14:paraId="34FF0F2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7F505E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DF0A51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3F96CD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2D0807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3DE31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E1239A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C3BC55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CA4739D" w14:textId="77777777" w:rsidTr="0095397F">
        <w:trPr>
          <w:trHeight w:val="300"/>
        </w:trPr>
        <w:tc>
          <w:tcPr>
            <w:tcW w:w="2835" w:type="dxa"/>
            <w:tcBorders>
              <w:top w:val="nil"/>
              <w:left w:val="nil"/>
              <w:bottom w:val="nil"/>
              <w:right w:val="nil"/>
            </w:tcBorders>
            <w:shd w:val="clear" w:color="auto" w:fill="auto"/>
            <w:noWrap/>
            <w:vAlign w:val="bottom"/>
            <w:hideMark/>
          </w:tcPr>
          <w:p w14:paraId="138FF45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2</w:t>
            </w:r>
          </w:p>
        </w:tc>
        <w:tc>
          <w:tcPr>
            <w:tcW w:w="2268" w:type="dxa"/>
            <w:tcBorders>
              <w:top w:val="nil"/>
              <w:left w:val="nil"/>
              <w:bottom w:val="nil"/>
              <w:right w:val="nil"/>
            </w:tcBorders>
            <w:shd w:val="clear" w:color="auto" w:fill="auto"/>
            <w:noWrap/>
            <w:vAlign w:val="bottom"/>
            <w:hideMark/>
          </w:tcPr>
          <w:p w14:paraId="149CF12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3DBB58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ECF4EB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20B7A1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D5722B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2DB8B0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B71E03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AB27E4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1A77FC6" w14:textId="77777777" w:rsidTr="0095397F">
        <w:trPr>
          <w:trHeight w:val="300"/>
        </w:trPr>
        <w:tc>
          <w:tcPr>
            <w:tcW w:w="2835" w:type="dxa"/>
            <w:tcBorders>
              <w:top w:val="nil"/>
              <w:left w:val="nil"/>
              <w:bottom w:val="nil"/>
              <w:right w:val="nil"/>
            </w:tcBorders>
            <w:shd w:val="clear" w:color="auto" w:fill="auto"/>
            <w:noWrap/>
            <w:vAlign w:val="bottom"/>
            <w:hideMark/>
          </w:tcPr>
          <w:p w14:paraId="2BF442D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3</w:t>
            </w:r>
          </w:p>
        </w:tc>
        <w:tc>
          <w:tcPr>
            <w:tcW w:w="2268" w:type="dxa"/>
            <w:tcBorders>
              <w:top w:val="nil"/>
              <w:left w:val="nil"/>
              <w:bottom w:val="nil"/>
              <w:right w:val="nil"/>
            </w:tcBorders>
            <w:shd w:val="clear" w:color="auto" w:fill="auto"/>
            <w:noWrap/>
            <w:vAlign w:val="bottom"/>
            <w:hideMark/>
          </w:tcPr>
          <w:p w14:paraId="54B55F7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D1D246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209CBF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CE2D96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5BB75C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3A204A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99A08D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552B99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6E19DBF" w14:textId="77777777" w:rsidTr="0095397F">
        <w:trPr>
          <w:trHeight w:val="300"/>
        </w:trPr>
        <w:tc>
          <w:tcPr>
            <w:tcW w:w="2835" w:type="dxa"/>
            <w:tcBorders>
              <w:top w:val="nil"/>
              <w:left w:val="nil"/>
              <w:bottom w:val="nil"/>
              <w:right w:val="nil"/>
            </w:tcBorders>
            <w:shd w:val="clear" w:color="auto" w:fill="auto"/>
            <w:noWrap/>
            <w:vAlign w:val="bottom"/>
            <w:hideMark/>
          </w:tcPr>
          <w:p w14:paraId="61DD8A3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4</w:t>
            </w:r>
          </w:p>
        </w:tc>
        <w:tc>
          <w:tcPr>
            <w:tcW w:w="2268" w:type="dxa"/>
            <w:tcBorders>
              <w:top w:val="nil"/>
              <w:left w:val="nil"/>
              <w:bottom w:val="nil"/>
              <w:right w:val="nil"/>
            </w:tcBorders>
            <w:shd w:val="clear" w:color="auto" w:fill="auto"/>
            <w:noWrap/>
            <w:vAlign w:val="bottom"/>
            <w:hideMark/>
          </w:tcPr>
          <w:p w14:paraId="0B0B940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639BD2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01A9CB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7FB1BF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76D3D8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4DF62D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8DF672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D84B35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6786F09" w14:textId="77777777" w:rsidTr="0095397F">
        <w:trPr>
          <w:trHeight w:val="300"/>
        </w:trPr>
        <w:tc>
          <w:tcPr>
            <w:tcW w:w="2835" w:type="dxa"/>
            <w:tcBorders>
              <w:top w:val="nil"/>
              <w:left w:val="nil"/>
              <w:bottom w:val="nil"/>
              <w:right w:val="nil"/>
            </w:tcBorders>
            <w:shd w:val="clear" w:color="auto" w:fill="auto"/>
            <w:noWrap/>
            <w:vAlign w:val="bottom"/>
            <w:hideMark/>
          </w:tcPr>
          <w:p w14:paraId="486D939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5</w:t>
            </w:r>
          </w:p>
        </w:tc>
        <w:tc>
          <w:tcPr>
            <w:tcW w:w="2268" w:type="dxa"/>
            <w:tcBorders>
              <w:top w:val="nil"/>
              <w:left w:val="nil"/>
              <w:bottom w:val="nil"/>
              <w:right w:val="nil"/>
            </w:tcBorders>
            <w:shd w:val="clear" w:color="auto" w:fill="auto"/>
            <w:noWrap/>
            <w:vAlign w:val="bottom"/>
            <w:hideMark/>
          </w:tcPr>
          <w:p w14:paraId="2EC49ED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80D74E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74B2FA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A7073D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719965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BAA46A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E65387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C34890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19593F9" w14:textId="77777777" w:rsidTr="0095397F">
        <w:trPr>
          <w:trHeight w:val="300"/>
        </w:trPr>
        <w:tc>
          <w:tcPr>
            <w:tcW w:w="2835" w:type="dxa"/>
            <w:tcBorders>
              <w:top w:val="nil"/>
              <w:left w:val="nil"/>
              <w:bottom w:val="nil"/>
              <w:right w:val="nil"/>
            </w:tcBorders>
            <w:shd w:val="clear" w:color="auto" w:fill="auto"/>
            <w:noWrap/>
            <w:vAlign w:val="bottom"/>
            <w:hideMark/>
          </w:tcPr>
          <w:p w14:paraId="6548824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6</w:t>
            </w:r>
          </w:p>
        </w:tc>
        <w:tc>
          <w:tcPr>
            <w:tcW w:w="2268" w:type="dxa"/>
            <w:tcBorders>
              <w:top w:val="nil"/>
              <w:left w:val="nil"/>
              <w:bottom w:val="nil"/>
              <w:right w:val="nil"/>
            </w:tcBorders>
            <w:shd w:val="clear" w:color="auto" w:fill="auto"/>
            <w:noWrap/>
            <w:vAlign w:val="bottom"/>
            <w:hideMark/>
          </w:tcPr>
          <w:p w14:paraId="29BB187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9A56C7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A3DBFC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DF427B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AA558B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448991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0265EA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B08F46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C4946FD" w14:textId="77777777" w:rsidTr="0095397F">
        <w:trPr>
          <w:trHeight w:val="300"/>
        </w:trPr>
        <w:tc>
          <w:tcPr>
            <w:tcW w:w="2835" w:type="dxa"/>
            <w:tcBorders>
              <w:top w:val="nil"/>
              <w:left w:val="nil"/>
              <w:bottom w:val="nil"/>
              <w:right w:val="nil"/>
            </w:tcBorders>
            <w:shd w:val="clear" w:color="auto" w:fill="auto"/>
            <w:noWrap/>
            <w:vAlign w:val="bottom"/>
            <w:hideMark/>
          </w:tcPr>
          <w:p w14:paraId="025A8EE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7</w:t>
            </w:r>
          </w:p>
        </w:tc>
        <w:tc>
          <w:tcPr>
            <w:tcW w:w="2268" w:type="dxa"/>
            <w:tcBorders>
              <w:top w:val="nil"/>
              <w:left w:val="nil"/>
              <w:bottom w:val="nil"/>
              <w:right w:val="nil"/>
            </w:tcBorders>
            <w:shd w:val="clear" w:color="auto" w:fill="auto"/>
            <w:noWrap/>
            <w:vAlign w:val="bottom"/>
            <w:hideMark/>
          </w:tcPr>
          <w:p w14:paraId="6728E66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71C810C"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B8F829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B920E3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D38E7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B2121F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121356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209C7F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5815A54"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0235463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Eastman Bridge 8</w:t>
            </w:r>
          </w:p>
        </w:tc>
        <w:tc>
          <w:tcPr>
            <w:tcW w:w="2268" w:type="dxa"/>
            <w:tcBorders>
              <w:top w:val="nil"/>
              <w:left w:val="nil"/>
              <w:bottom w:val="single" w:sz="8" w:space="0" w:color="auto"/>
              <w:right w:val="nil"/>
            </w:tcBorders>
            <w:shd w:val="clear" w:color="auto" w:fill="auto"/>
            <w:noWrap/>
            <w:vAlign w:val="bottom"/>
            <w:hideMark/>
          </w:tcPr>
          <w:p w14:paraId="50D3211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4EAA48C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5B6D2B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1BE507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D2259B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29D8DC4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F87B16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3AE01A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A7AC0AF" w14:textId="77777777" w:rsidTr="0095397F">
        <w:trPr>
          <w:trHeight w:val="300"/>
        </w:trPr>
        <w:tc>
          <w:tcPr>
            <w:tcW w:w="2835" w:type="dxa"/>
            <w:tcBorders>
              <w:top w:val="nil"/>
              <w:left w:val="nil"/>
              <w:bottom w:val="nil"/>
              <w:right w:val="nil"/>
            </w:tcBorders>
            <w:shd w:val="clear" w:color="auto" w:fill="auto"/>
            <w:noWrap/>
            <w:vAlign w:val="bottom"/>
            <w:hideMark/>
          </w:tcPr>
          <w:p w14:paraId="1E72FE0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1</w:t>
            </w:r>
          </w:p>
        </w:tc>
        <w:tc>
          <w:tcPr>
            <w:tcW w:w="2268" w:type="dxa"/>
            <w:tcBorders>
              <w:top w:val="nil"/>
              <w:left w:val="nil"/>
              <w:bottom w:val="nil"/>
              <w:right w:val="nil"/>
            </w:tcBorders>
            <w:shd w:val="clear" w:color="auto" w:fill="auto"/>
            <w:noWrap/>
            <w:vAlign w:val="bottom"/>
            <w:hideMark/>
          </w:tcPr>
          <w:p w14:paraId="3C87AD7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C16185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6B10D0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4DF20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64AD5A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FF2483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CC9782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813CBB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AE9EAB5" w14:textId="77777777" w:rsidTr="0095397F">
        <w:trPr>
          <w:trHeight w:val="300"/>
        </w:trPr>
        <w:tc>
          <w:tcPr>
            <w:tcW w:w="2835" w:type="dxa"/>
            <w:tcBorders>
              <w:top w:val="nil"/>
              <w:left w:val="nil"/>
              <w:bottom w:val="nil"/>
              <w:right w:val="nil"/>
            </w:tcBorders>
            <w:shd w:val="clear" w:color="auto" w:fill="auto"/>
            <w:noWrap/>
            <w:vAlign w:val="bottom"/>
            <w:hideMark/>
          </w:tcPr>
          <w:p w14:paraId="523EE2E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2</w:t>
            </w:r>
          </w:p>
        </w:tc>
        <w:tc>
          <w:tcPr>
            <w:tcW w:w="2268" w:type="dxa"/>
            <w:tcBorders>
              <w:top w:val="nil"/>
              <w:left w:val="nil"/>
              <w:bottom w:val="nil"/>
              <w:right w:val="nil"/>
            </w:tcBorders>
            <w:shd w:val="clear" w:color="auto" w:fill="auto"/>
            <w:noWrap/>
            <w:vAlign w:val="bottom"/>
            <w:hideMark/>
          </w:tcPr>
          <w:p w14:paraId="5194608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4492C36"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631DA6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195540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C54E8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461B36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32B99F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ABE204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2FE248D" w14:textId="77777777" w:rsidTr="0095397F">
        <w:trPr>
          <w:trHeight w:val="300"/>
        </w:trPr>
        <w:tc>
          <w:tcPr>
            <w:tcW w:w="2835" w:type="dxa"/>
            <w:tcBorders>
              <w:top w:val="nil"/>
              <w:left w:val="nil"/>
              <w:bottom w:val="nil"/>
              <w:right w:val="nil"/>
            </w:tcBorders>
            <w:shd w:val="clear" w:color="auto" w:fill="auto"/>
            <w:noWrap/>
            <w:vAlign w:val="bottom"/>
            <w:hideMark/>
          </w:tcPr>
          <w:p w14:paraId="7ADE1F8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3</w:t>
            </w:r>
          </w:p>
        </w:tc>
        <w:tc>
          <w:tcPr>
            <w:tcW w:w="2268" w:type="dxa"/>
            <w:tcBorders>
              <w:top w:val="nil"/>
              <w:left w:val="nil"/>
              <w:bottom w:val="nil"/>
              <w:right w:val="nil"/>
            </w:tcBorders>
            <w:shd w:val="clear" w:color="auto" w:fill="auto"/>
            <w:noWrap/>
            <w:vAlign w:val="bottom"/>
            <w:hideMark/>
          </w:tcPr>
          <w:p w14:paraId="366D89E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34FBAA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4B990A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DEF690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49C1B6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3D37E8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3A8F70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4198B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6CA6F4F" w14:textId="77777777" w:rsidTr="0095397F">
        <w:trPr>
          <w:trHeight w:val="300"/>
        </w:trPr>
        <w:tc>
          <w:tcPr>
            <w:tcW w:w="2835" w:type="dxa"/>
            <w:tcBorders>
              <w:top w:val="nil"/>
              <w:left w:val="nil"/>
              <w:bottom w:val="nil"/>
              <w:right w:val="nil"/>
            </w:tcBorders>
            <w:shd w:val="clear" w:color="auto" w:fill="auto"/>
            <w:noWrap/>
            <w:vAlign w:val="bottom"/>
            <w:hideMark/>
          </w:tcPr>
          <w:p w14:paraId="1ACD2D2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4</w:t>
            </w:r>
          </w:p>
        </w:tc>
        <w:tc>
          <w:tcPr>
            <w:tcW w:w="2268" w:type="dxa"/>
            <w:tcBorders>
              <w:top w:val="nil"/>
              <w:left w:val="nil"/>
              <w:bottom w:val="nil"/>
              <w:right w:val="nil"/>
            </w:tcBorders>
            <w:shd w:val="clear" w:color="auto" w:fill="auto"/>
            <w:noWrap/>
            <w:vAlign w:val="bottom"/>
            <w:hideMark/>
          </w:tcPr>
          <w:p w14:paraId="4C4B369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C79585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63F625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AB8D6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85B6E7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6A8EBB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966F52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DD81C8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364CEBA" w14:textId="77777777" w:rsidTr="0095397F">
        <w:trPr>
          <w:trHeight w:val="300"/>
        </w:trPr>
        <w:tc>
          <w:tcPr>
            <w:tcW w:w="2835" w:type="dxa"/>
            <w:tcBorders>
              <w:top w:val="nil"/>
              <w:left w:val="nil"/>
              <w:bottom w:val="nil"/>
              <w:right w:val="nil"/>
            </w:tcBorders>
            <w:shd w:val="clear" w:color="auto" w:fill="auto"/>
            <w:noWrap/>
            <w:vAlign w:val="bottom"/>
            <w:hideMark/>
          </w:tcPr>
          <w:p w14:paraId="0F1CF98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5</w:t>
            </w:r>
          </w:p>
        </w:tc>
        <w:tc>
          <w:tcPr>
            <w:tcW w:w="2268" w:type="dxa"/>
            <w:tcBorders>
              <w:top w:val="nil"/>
              <w:left w:val="nil"/>
              <w:bottom w:val="nil"/>
              <w:right w:val="nil"/>
            </w:tcBorders>
            <w:shd w:val="clear" w:color="auto" w:fill="auto"/>
            <w:noWrap/>
            <w:vAlign w:val="bottom"/>
            <w:hideMark/>
          </w:tcPr>
          <w:p w14:paraId="659C682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3C53C8E1"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54E221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17FFC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6168E6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A60CBE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E7AF3E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DEC758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007821F" w14:textId="77777777" w:rsidTr="0095397F">
        <w:trPr>
          <w:trHeight w:val="300"/>
        </w:trPr>
        <w:tc>
          <w:tcPr>
            <w:tcW w:w="2835" w:type="dxa"/>
            <w:tcBorders>
              <w:top w:val="nil"/>
              <w:left w:val="nil"/>
              <w:bottom w:val="nil"/>
              <w:right w:val="nil"/>
            </w:tcBorders>
            <w:shd w:val="clear" w:color="auto" w:fill="auto"/>
            <w:noWrap/>
            <w:vAlign w:val="bottom"/>
            <w:hideMark/>
          </w:tcPr>
          <w:p w14:paraId="1D5B688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6</w:t>
            </w:r>
          </w:p>
        </w:tc>
        <w:tc>
          <w:tcPr>
            <w:tcW w:w="2268" w:type="dxa"/>
            <w:tcBorders>
              <w:top w:val="nil"/>
              <w:left w:val="nil"/>
              <w:bottom w:val="nil"/>
              <w:right w:val="nil"/>
            </w:tcBorders>
            <w:shd w:val="clear" w:color="auto" w:fill="auto"/>
            <w:noWrap/>
            <w:vAlign w:val="bottom"/>
            <w:hideMark/>
          </w:tcPr>
          <w:p w14:paraId="56C5A3E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772EFE0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0D5776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85301F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38010A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30B333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FB9152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A6C83C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6711DC59" w14:textId="77777777" w:rsidTr="0095397F">
        <w:trPr>
          <w:trHeight w:val="300"/>
        </w:trPr>
        <w:tc>
          <w:tcPr>
            <w:tcW w:w="2835" w:type="dxa"/>
            <w:tcBorders>
              <w:top w:val="nil"/>
              <w:left w:val="nil"/>
              <w:bottom w:val="nil"/>
              <w:right w:val="nil"/>
            </w:tcBorders>
            <w:shd w:val="clear" w:color="auto" w:fill="auto"/>
            <w:noWrap/>
            <w:vAlign w:val="bottom"/>
            <w:hideMark/>
          </w:tcPr>
          <w:p w14:paraId="0B178E2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7</w:t>
            </w:r>
          </w:p>
        </w:tc>
        <w:tc>
          <w:tcPr>
            <w:tcW w:w="2268" w:type="dxa"/>
            <w:tcBorders>
              <w:top w:val="nil"/>
              <w:left w:val="nil"/>
              <w:bottom w:val="nil"/>
              <w:right w:val="nil"/>
            </w:tcBorders>
            <w:shd w:val="clear" w:color="auto" w:fill="auto"/>
            <w:noWrap/>
            <w:vAlign w:val="bottom"/>
            <w:hideMark/>
          </w:tcPr>
          <w:p w14:paraId="21B5D63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57E810F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CDEA4E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469D47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B09A8D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C9EE30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678298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ADE23D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9AAC8E0"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33F3C3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Balpool 8</w:t>
            </w:r>
          </w:p>
        </w:tc>
        <w:tc>
          <w:tcPr>
            <w:tcW w:w="2268" w:type="dxa"/>
            <w:tcBorders>
              <w:top w:val="nil"/>
              <w:left w:val="nil"/>
              <w:bottom w:val="single" w:sz="8" w:space="0" w:color="auto"/>
              <w:right w:val="nil"/>
            </w:tcBorders>
            <w:shd w:val="clear" w:color="auto" w:fill="auto"/>
            <w:noWrap/>
            <w:vAlign w:val="bottom"/>
            <w:hideMark/>
          </w:tcPr>
          <w:p w14:paraId="1BF6DE4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68BB309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0453F3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2B98148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45935C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D70AA8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64A95F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46691DD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683456B" w14:textId="77777777" w:rsidTr="0095397F">
        <w:trPr>
          <w:trHeight w:val="300"/>
        </w:trPr>
        <w:tc>
          <w:tcPr>
            <w:tcW w:w="2835" w:type="dxa"/>
            <w:tcBorders>
              <w:top w:val="nil"/>
              <w:left w:val="nil"/>
              <w:bottom w:val="nil"/>
              <w:right w:val="nil"/>
            </w:tcBorders>
            <w:shd w:val="clear" w:color="auto" w:fill="auto"/>
            <w:noWrap/>
            <w:vAlign w:val="bottom"/>
            <w:hideMark/>
          </w:tcPr>
          <w:p w14:paraId="37E9184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1</w:t>
            </w:r>
          </w:p>
        </w:tc>
        <w:tc>
          <w:tcPr>
            <w:tcW w:w="2268" w:type="dxa"/>
            <w:tcBorders>
              <w:top w:val="nil"/>
              <w:left w:val="nil"/>
              <w:bottom w:val="nil"/>
              <w:right w:val="nil"/>
            </w:tcBorders>
            <w:shd w:val="clear" w:color="auto" w:fill="auto"/>
            <w:noWrap/>
            <w:vAlign w:val="bottom"/>
            <w:hideMark/>
          </w:tcPr>
          <w:p w14:paraId="04566DD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2C15EA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F57E17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97154B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BCAFF9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5BB1B7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61A84F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26CE46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9718A39" w14:textId="77777777" w:rsidTr="0095397F">
        <w:trPr>
          <w:trHeight w:val="300"/>
        </w:trPr>
        <w:tc>
          <w:tcPr>
            <w:tcW w:w="2835" w:type="dxa"/>
            <w:tcBorders>
              <w:top w:val="nil"/>
              <w:left w:val="nil"/>
              <w:bottom w:val="nil"/>
              <w:right w:val="nil"/>
            </w:tcBorders>
            <w:shd w:val="clear" w:color="auto" w:fill="auto"/>
            <w:noWrap/>
            <w:vAlign w:val="bottom"/>
            <w:hideMark/>
          </w:tcPr>
          <w:p w14:paraId="050AF96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2</w:t>
            </w:r>
          </w:p>
        </w:tc>
        <w:tc>
          <w:tcPr>
            <w:tcW w:w="2268" w:type="dxa"/>
            <w:tcBorders>
              <w:top w:val="nil"/>
              <w:left w:val="nil"/>
              <w:bottom w:val="nil"/>
              <w:right w:val="nil"/>
            </w:tcBorders>
            <w:shd w:val="clear" w:color="auto" w:fill="auto"/>
            <w:noWrap/>
            <w:vAlign w:val="bottom"/>
            <w:hideMark/>
          </w:tcPr>
          <w:p w14:paraId="110ED4F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010CB47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F73FD9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D3705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D8924D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578D0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6CAD4B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E4F0B4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3F12361" w14:textId="77777777" w:rsidTr="0095397F">
        <w:trPr>
          <w:trHeight w:val="300"/>
        </w:trPr>
        <w:tc>
          <w:tcPr>
            <w:tcW w:w="2835" w:type="dxa"/>
            <w:tcBorders>
              <w:top w:val="nil"/>
              <w:left w:val="nil"/>
              <w:bottom w:val="nil"/>
              <w:right w:val="nil"/>
            </w:tcBorders>
            <w:shd w:val="clear" w:color="auto" w:fill="auto"/>
            <w:noWrap/>
            <w:vAlign w:val="bottom"/>
            <w:hideMark/>
          </w:tcPr>
          <w:p w14:paraId="13D0933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3</w:t>
            </w:r>
          </w:p>
        </w:tc>
        <w:tc>
          <w:tcPr>
            <w:tcW w:w="2268" w:type="dxa"/>
            <w:tcBorders>
              <w:top w:val="nil"/>
              <w:left w:val="nil"/>
              <w:bottom w:val="nil"/>
              <w:right w:val="nil"/>
            </w:tcBorders>
            <w:shd w:val="clear" w:color="auto" w:fill="auto"/>
            <w:noWrap/>
            <w:vAlign w:val="bottom"/>
            <w:hideMark/>
          </w:tcPr>
          <w:p w14:paraId="43AC44A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2D37451"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5222E9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B62A85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2E17FC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FF0C60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2E992E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5B5364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C913BE6" w14:textId="77777777" w:rsidTr="0095397F">
        <w:trPr>
          <w:trHeight w:val="300"/>
        </w:trPr>
        <w:tc>
          <w:tcPr>
            <w:tcW w:w="2835" w:type="dxa"/>
            <w:tcBorders>
              <w:top w:val="nil"/>
              <w:left w:val="nil"/>
              <w:bottom w:val="nil"/>
              <w:right w:val="nil"/>
            </w:tcBorders>
            <w:shd w:val="clear" w:color="auto" w:fill="auto"/>
            <w:noWrap/>
            <w:vAlign w:val="bottom"/>
            <w:hideMark/>
          </w:tcPr>
          <w:p w14:paraId="44E7204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4</w:t>
            </w:r>
          </w:p>
        </w:tc>
        <w:tc>
          <w:tcPr>
            <w:tcW w:w="2268" w:type="dxa"/>
            <w:tcBorders>
              <w:top w:val="nil"/>
              <w:left w:val="nil"/>
              <w:bottom w:val="nil"/>
              <w:right w:val="nil"/>
            </w:tcBorders>
            <w:shd w:val="clear" w:color="auto" w:fill="auto"/>
            <w:noWrap/>
            <w:vAlign w:val="bottom"/>
            <w:hideMark/>
          </w:tcPr>
          <w:p w14:paraId="71CED83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27491F81"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B4A5ED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F2478A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5357AC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FB3210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6068DA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4758C3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EDF7E0A" w14:textId="77777777" w:rsidTr="0095397F">
        <w:trPr>
          <w:trHeight w:val="300"/>
        </w:trPr>
        <w:tc>
          <w:tcPr>
            <w:tcW w:w="2835" w:type="dxa"/>
            <w:tcBorders>
              <w:top w:val="nil"/>
              <w:left w:val="nil"/>
              <w:bottom w:val="nil"/>
              <w:right w:val="nil"/>
            </w:tcBorders>
            <w:shd w:val="clear" w:color="auto" w:fill="auto"/>
            <w:noWrap/>
            <w:vAlign w:val="bottom"/>
            <w:hideMark/>
          </w:tcPr>
          <w:p w14:paraId="7AB3D48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5</w:t>
            </w:r>
          </w:p>
        </w:tc>
        <w:tc>
          <w:tcPr>
            <w:tcW w:w="2268" w:type="dxa"/>
            <w:tcBorders>
              <w:top w:val="nil"/>
              <w:left w:val="nil"/>
              <w:bottom w:val="nil"/>
              <w:right w:val="nil"/>
            </w:tcBorders>
            <w:shd w:val="clear" w:color="auto" w:fill="auto"/>
            <w:noWrap/>
            <w:vAlign w:val="bottom"/>
            <w:hideMark/>
          </w:tcPr>
          <w:p w14:paraId="5FEDF19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65971D6"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0710BF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BE5BC4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775DC9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9D82E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B381C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98783F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2941E6E" w14:textId="77777777" w:rsidTr="0095397F">
        <w:trPr>
          <w:trHeight w:val="300"/>
        </w:trPr>
        <w:tc>
          <w:tcPr>
            <w:tcW w:w="2835" w:type="dxa"/>
            <w:tcBorders>
              <w:top w:val="nil"/>
              <w:left w:val="nil"/>
              <w:bottom w:val="nil"/>
              <w:right w:val="nil"/>
            </w:tcBorders>
            <w:shd w:val="clear" w:color="auto" w:fill="auto"/>
            <w:noWrap/>
            <w:vAlign w:val="bottom"/>
            <w:hideMark/>
          </w:tcPr>
          <w:p w14:paraId="3EF32CA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6</w:t>
            </w:r>
          </w:p>
        </w:tc>
        <w:tc>
          <w:tcPr>
            <w:tcW w:w="2268" w:type="dxa"/>
            <w:tcBorders>
              <w:top w:val="nil"/>
              <w:left w:val="nil"/>
              <w:bottom w:val="nil"/>
              <w:right w:val="nil"/>
            </w:tcBorders>
            <w:shd w:val="clear" w:color="auto" w:fill="auto"/>
            <w:noWrap/>
            <w:vAlign w:val="bottom"/>
            <w:hideMark/>
          </w:tcPr>
          <w:p w14:paraId="12051FD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69A464A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2B584A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8AEC06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318F39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F44863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2DEFBC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6EA3F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4D1C893" w14:textId="77777777" w:rsidTr="0095397F">
        <w:trPr>
          <w:trHeight w:val="300"/>
        </w:trPr>
        <w:tc>
          <w:tcPr>
            <w:tcW w:w="2835" w:type="dxa"/>
            <w:tcBorders>
              <w:top w:val="nil"/>
              <w:left w:val="nil"/>
              <w:bottom w:val="nil"/>
              <w:right w:val="nil"/>
            </w:tcBorders>
            <w:shd w:val="clear" w:color="auto" w:fill="auto"/>
            <w:noWrap/>
            <w:vAlign w:val="bottom"/>
            <w:hideMark/>
          </w:tcPr>
          <w:p w14:paraId="17603FB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7</w:t>
            </w:r>
          </w:p>
        </w:tc>
        <w:tc>
          <w:tcPr>
            <w:tcW w:w="2268" w:type="dxa"/>
            <w:tcBorders>
              <w:top w:val="nil"/>
              <w:left w:val="nil"/>
              <w:bottom w:val="nil"/>
              <w:right w:val="nil"/>
            </w:tcBorders>
            <w:shd w:val="clear" w:color="auto" w:fill="auto"/>
            <w:noWrap/>
            <w:vAlign w:val="bottom"/>
            <w:hideMark/>
          </w:tcPr>
          <w:p w14:paraId="6278726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nil"/>
              <w:right w:val="nil"/>
            </w:tcBorders>
            <w:shd w:val="clear" w:color="auto" w:fill="auto"/>
            <w:noWrap/>
            <w:vAlign w:val="bottom"/>
            <w:hideMark/>
          </w:tcPr>
          <w:p w14:paraId="41CA5C25"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B3DD92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EC05B3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47974E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287774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1F8783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42905D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8C8B2E0"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4F085D1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Kyalite State Forest 8</w:t>
            </w:r>
          </w:p>
        </w:tc>
        <w:tc>
          <w:tcPr>
            <w:tcW w:w="2268" w:type="dxa"/>
            <w:tcBorders>
              <w:top w:val="nil"/>
              <w:left w:val="nil"/>
              <w:bottom w:val="single" w:sz="8" w:space="0" w:color="auto"/>
              <w:right w:val="nil"/>
            </w:tcBorders>
            <w:shd w:val="clear" w:color="auto" w:fill="auto"/>
            <w:noWrap/>
            <w:vAlign w:val="bottom"/>
            <w:hideMark/>
          </w:tcPr>
          <w:p w14:paraId="0EE8CD5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Edward/Kolety River</w:t>
            </w:r>
          </w:p>
        </w:tc>
        <w:tc>
          <w:tcPr>
            <w:tcW w:w="1017" w:type="dxa"/>
            <w:tcBorders>
              <w:top w:val="nil"/>
              <w:left w:val="nil"/>
              <w:bottom w:val="single" w:sz="8" w:space="0" w:color="auto"/>
              <w:right w:val="nil"/>
            </w:tcBorders>
            <w:shd w:val="clear" w:color="auto" w:fill="auto"/>
            <w:noWrap/>
            <w:vAlign w:val="bottom"/>
            <w:hideMark/>
          </w:tcPr>
          <w:p w14:paraId="141B72F5"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C15D26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C34C7F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FE89BA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9A8742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2E7C697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5E5B7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3240A3D" w14:textId="77777777" w:rsidTr="0095397F">
        <w:trPr>
          <w:trHeight w:val="300"/>
        </w:trPr>
        <w:tc>
          <w:tcPr>
            <w:tcW w:w="2835" w:type="dxa"/>
            <w:tcBorders>
              <w:top w:val="nil"/>
              <w:left w:val="nil"/>
              <w:bottom w:val="nil"/>
              <w:right w:val="nil"/>
            </w:tcBorders>
            <w:shd w:val="clear" w:color="auto" w:fill="auto"/>
            <w:noWrap/>
            <w:vAlign w:val="bottom"/>
            <w:hideMark/>
          </w:tcPr>
          <w:p w14:paraId="168303D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1</w:t>
            </w:r>
          </w:p>
        </w:tc>
        <w:tc>
          <w:tcPr>
            <w:tcW w:w="2268" w:type="dxa"/>
            <w:tcBorders>
              <w:top w:val="nil"/>
              <w:left w:val="nil"/>
              <w:bottom w:val="nil"/>
              <w:right w:val="nil"/>
            </w:tcBorders>
            <w:shd w:val="clear" w:color="auto" w:fill="auto"/>
            <w:noWrap/>
            <w:vAlign w:val="bottom"/>
            <w:hideMark/>
          </w:tcPr>
          <w:p w14:paraId="3B36CEA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0A2D96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27BEEA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77E93F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E005AA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EA1A6C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A882DC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55042E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57ED1DF" w14:textId="77777777" w:rsidTr="0095397F">
        <w:trPr>
          <w:trHeight w:val="300"/>
        </w:trPr>
        <w:tc>
          <w:tcPr>
            <w:tcW w:w="2835" w:type="dxa"/>
            <w:tcBorders>
              <w:top w:val="nil"/>
              <w:left w:val="nil"/>
              <w:bottom w:val="nil"/>
              <w:right w:val="nil"/>
            </w:tcBorders>
            <w:shd w:val="clear" w:color="auto" w:fill="auto"/>
            <w:noWrap/>
            <w:vAlign w:val="bottom"/>
            <w:hideMark/>
          </w:tcPr>
          <w:p w14:paraId="68A989F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2</w:t>
            </w:r>
          </w:p>
        </w:tc>
        <w:tc>
          <w:tcPr>
            <w:tcW w:w="2268" w:type="dxa"/>
            <w:tcBorders>
              <w:top w:val="nil"/>
              <w:left w:val="nil"/>
              <w:bottom w:val="nil"/>
              <w:right w:val="nil"/>
            </w:tcBorders>
            <w:shd w:val="clear" w:color="auto" w:fill="auto"/>
            <w:noWrap/>
            <w:vAlign w:val="bottom"/>
            <w:hideMark/>
          </w:tcPr>
          <w:p w14:paraId="4B1ED7B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9459104"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CD93FF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578985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E79FE5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91EAE7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918C07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59C3A8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0312B8D" w14:textId="77777777" w:rsidTr="0095397F">
        <w:trPr>
          <w:trHeight w:val="300"/>
        </w:trPr>
        <w:tc>
          <w:tcPr>
            <w:tcW w:w="2835" w:type="dxa"/>
            <w:tcBorders>
              <w:top w:val="nil"/>
              <w:left w:val="nil"/>
              <w:bottom w:val="nil"/>
              <w:right w:val="nil"/>
            </w:tcBorders>
            <w:shd w:val="clear" w:color="auto" w:fill="auto"/>
            <w:noWrap/>
            <w:vAlign w:val="bottom"/>
            <w:hideMark/>
          </w:tcPr>
          <w:p w14:paraId="0D4616A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3</w:t>
            </w:r>
          </w:p>
        </w:tc>
        <w:tc>
          <w:tcPr>
            <w:tcW w:w="2268" w:type="dxa"/>
            <w:tcBorders>
              <w:top w:val="nil"/>
              <w:left w:val="nil"/>
              <w:bottom w:val="nil"/>
              <w:right w:val="nil"/>
            </w:tcBorders>
            <w:shd w:val="clear" w:color="auto" w:fill="auto"/>
            <w:noWrap/>
            <w:vAlign w:val="bottom"/>
            <w:hideMark/>
          </w:tcPr>
          <w:p w14:paraId="54DFD8D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A8D7CB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10F6CB4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6E054B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71F54C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8048E7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1DA573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05035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913D382" w14:textId="77777777" w:rsidTr="0095397F">
        <w:trPr>
          <w:trHeight w:val="300"/>
        </w:trPr>
        <w:tc>
          <w:tcPr>
            <w:tcW w:w="2835" w:type="dxa"/>
            <w:tcBorders>
              <w:top w:val="nil"/>
              <w:left w:val="nil"/>
              <w:bottom w:val="nil"/>
              <w:right w:val="nil"/>
            </w:tcBorders>
            <w:shd w:val="clear" w:color="auto" w:fill="auto"/>
            <w:noWrap/>
            <w:vAlign w:val="bottom"/>
            <w:hideMark/>
          </w:tcPr>
          <w:p w14:paraId="49608D0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4</w:t>
            </w:r>
          </w:p>
        </w:tc>
        <w:tc>
          <w:tcPr>
            <w:tcW w:w="2268" w:type="dxa"/>
            <w:tcBorders>
              <w:top w:val="nil"/>
              <w:left w:val="nil"/>
              <w:bottom w:val="nil"/>
              <w:right w:val="nil"/>
            </w:tcBorders>
            <w:shd w:val="clear" w:color="auto" w:fill="auto"/>
            <w:noWrap/>
            <w:vAlign w:val="bottom"/>
            <w:hideMark/>
          </w:tcPr>
          <w:p w14:paraId="180EFFF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27F5A7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ABE3AA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EDC238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E4CDC1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5A478E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C0381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634F7D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DF30C8A" w14:textId="77777777" w:rsidTr="0095397F">
        <w:trPr>
          <w:trHeight w:val="300"/>
        </w:trPr>
        <w:tc>
          <w:tcPr>
            <w:tcW w:w="2835" w:type="dxa"/>
            <w:tcBorders>
              <w:top w:val="nil"/>
              <w:left w:val="nil"/>
              <w:bottom w:val="nil"/>
              <w:right w:val="nil"/>
            </w:tcBorders>
            <w:shd w:val="clear" w:color="auto" w:fill="auto"/>
            <w:noWrap/>
            <w:vAlign w:val="bottom"/>
            <w:hideMark/>
          </w:tcPr>
          <w:p w14:paraId="48A6001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5</w:t>
            </w:r>
          </w:p>
        </w:tc>
        <w:tc>
          <w:tcPr>
            <w:tcW w:w="2268" w:type="dxa"/>
            <w:tcBorders>
              <w:top w:val="nil"/>
              <w:left w:val="nil"/>
              <w:bottom w:val="nil"/>
              <w:right w:val="nil"/>
            </w:tcBorders>
            <w:shd w:val="clear" w:color="auto" w:fill="auto"/>
            <w:noWrap/>
            <w:vAlign w:val="bottom"/>
            <w:hideMark/>
          </w:tcPr>
          <w:p w14:paraId="235F22D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3C9595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E745AE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0CF5D8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E42E9B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80BFE4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2593B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A0FC1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6844FADE" w14:textId="77777777" w:rsidTr="0095397F">
        <w:trPr>
          <w:trHeight w:val="300"/>
        </w:trPr>
        <w:tc>
          <w:tcPr>
            <w:tcW w:w="2835" w:type="dxa"/>
            <w:tcBorders>
              <w:top w:val="nil"/>
              <w:left w:val="nil"/>
              <w:bottom w:val="nil"/>
              <w:right w:val="nil"/>
            </w:tcBorders>
            <w:shd w:val="clear" w:color="auto" w:fill="auto"/>
            <w:noWrap/>
            <w:vAlign w:val="bottom"/>
            <w:hideMark/>
          </w:tcPr>
          <w:p w14:paraId="5034E76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6</w:t>
            </w:r>
          </w:p>
        </w:tc>
        <w:tc>
          <w:tcPr>
            <w:tcW w:w="2268" w:type="dxa"/>
            <w:tcBorders>
              <w:top w:val="nil"/>
              <w:left w:val="nil"/>
              <w:bottom w:val="nil"/>
              <w:right w:val="nil"/>
            </w:tcBorders>
            <w:shd w:val="clear" w:color="auto" w:fill="auto"/>
            <w:noWrap/>
            <w:vAlign w:val="bottom"/>
            <w:hideMark/>
          </w:tcPr>
          <w:p w14:paraId="189ED32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2018675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341A0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7C24EF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45BE43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44F22A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AF1CA4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8EA86D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4C36518" w14:textId="77777777" w:rsidTr="0095397F">
        <w:trPr>
          <w:trHeight w:val="300"/>
        </w:trPr>
        <w:tc>
          <w:tcPr>
            <w:tcW w:w="2835" w:type="dxa"/>
            <w:tcBorders>
              <w:top w:val="nil"/>
              <w:left w:val="nil"/>
              <w:bottom w:val="nil"/>
              <w:right w:val="nil"/>
            </w:tcBorders>
            <w:shd w:val="clear" w:color="auto" w:fill="auto"/>
            <w:noWrap/>
            <w:vAlign w:val="bottom"/>
            <w:hideMark/>
          </w:tcPr>
          <w:p w14:paraId="3958F90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7</w:t>
            </w:r>
          </w:p>
        </w:tc>
        <w:tc>
          <w:tcPr>
            <w:tcW w:w="2268" w:type="dxa"/>
            <w:tcBorders>
              <w:top w:val="nil"/>
              <w:left w:val="nil"/>
              <w:bottom w:val="nil"/>
              <w:right w:val="nil"/>
            </w:tcBorders>
            <w:shd w:val="clear" w:color="auto" w:fill="auto"/>
            <w:noWrap/>
            <w:vAlign w:val="bottom"/>
            <w:hideMark/>
          </w:tcPr>
          <w:p w14:paraId="25566E5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FD3CF8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BCE4D2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72D7F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D3EFE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A659B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5CC863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244CEE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5147C4F"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2709FB0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Widgee 8</w:t>
            </w:r>
          </w:p>
        </w:tc>
        <w:tc>
          <w:tcPr>
            <w:tcW w:w="2268" w:type="dxa"/>
            <w:tcBorders>
              <w:top w:val="nil"/>
              <w:left w:val="nil"/>
              <w:bottom w:val="single" w:sz="8" w:space="0" w:color="auto"/>
              <w:right w:val="nil"/>
            </w:tcBorders>
            <w:shd w:val="clear" w:color="auto" w:fill="auto"/>
            <w:noWrap/>
            <w:vAlign w:val="bottom"/>
            <w:hideMark/>
          </w:tcPr>
          <w:p w14:paraId="44EFDC9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40EE444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0FBF27B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362BCD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DF2800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B259DA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D1DC9B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AD128B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EB89506" w14:textId="77777777" w:rsidTr="0095397F">
        <w:trPr>
          <w:trHeight w:val="300"/>
        </w:trPr>
        <w:tc>
          <w:tcPr>
            <w:tcW w:w="2835" w:type="dxa"/>
            <w:tcBorders>
              <w:top w:val="nil"/>
              <w:left w:val="nil"/>
              <w:bottom w:val="nil"/>
              <w:right w:val="nil"/>
            </w:tcBorders>
            <w:shd w:val="clear" w:color="auto" w:fill="auto"/>
            <w:noWrap/>
            <w:vAlign w:val="bottom"/>
            <w:hideMark/>
          </w:tcPr>
          <w:p w14:paraId="7DF1852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1</w:t>
            </w:r>
          </w:p>
        </w:tc>
        <w:tc>
          <w:tcPr>
            <w:tcW w:w="2268" w:type="dxa"/>
            <w:tcBorders>
              <w:top w:val="nil"/>
              <w:left w:val="nil"/>
              <w:bottom w:val="nil"/>
              <w:right w:val="nil"/>
            </w:tcBorders>
            <w:shd w:val="clear" w:color="auto" w:fill="auto"/>
            <w:noWrap/>
            <w:vAlign w:val="bottom"/>
            <w:hideMark/>
          </w:tcPr>
          <w:p w14:paraId="358E8B6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885CA1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FA7145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7C3759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082052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70D96D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F5FB95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6567AF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44AB2B5" w14:textId="77777777" w:rsidTr="0095397F">
        <w:trPr>
          <w:trHeight w:val="300"/>
        </w:trPr>
        <w:tc>
          <w:tcPr>
            <w:tcW w:w="2835" w:type="dxa"/>
            <w:tcBorders>
              <w:top w:val="nil"/>
              <w:left w:val="nil"/>
              <w:bottom w:val="nil"/>
              <w:right w:val="nil"/>
            </w:tcBorders>
            <w:shd w:val="clear" w:color="auto" w:fill="auto"/>
            <w:noWrap/>
            <w:vAlign w:val="bottom"/>
            <w:hideMark/>
          </w:tcPr>
          <w:p w14:paraId="4A39D69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2</w:t>
            </w:r>
          </w:p>
        </w:tc>
        <w:tc>
          <w:tcPr>
            <w:tcW w:w="2268" w:type="dxa"/>
            <w:tcBorders>
              <w:top w:val="nil"/>
              <w:left w:val="nil"/>
              <w:bottom w:val="nil"/>
              <w:right w:val="nil"/>
            </w:tcBorders>
            <w:shd w:val="clear" w:color="auto" w:fill="auto"/>
            <w:noWrap/>
            <w:vAlign w:val="bottom"/>
            <w:hideMark/>
          </w:tcPr>
          <w:p w14:paraId="27EAC07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3E66BF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9C9FC8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4E9169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D137E8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FE9262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E6999C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43D71F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E0ABE32" w14:textId="77777777" w:rsidTr="0095397F">
        <w:trPr>
          <w:trHeight w:val="300"/>
        </w:trPr>
        <w:tc>
          <w:tcPr>
            <w:tcW w:w="2835" w:type="dxa"/>
            <w:tcBorders>
              <w:top w:val="nil"/>
              <w:left w:val="nil"/>
              <w:bottom w:val="nil"/>
              <w:right w:val="nil"/>
            </w:tcBorders>
            <w:shd w:val="clear" w:color="auto" w:fill="auto"/>
            <w:noWrap/>
            <w:vAlign w:val="bottom"/>
            <w:hideMark/>
          </w:tcPr>
          <w:p w14:paraId="10B67B4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3</w:t>
            </w:r>
          </w:p>
        </w:tc>
        <w:tc>
          <w:tcPr>
            <w:tcW w:w="2268" w:type="dxa"/>
            <w:tcBorders>
              <w:top w:val="nil"/>
              <w:left w:val="nil"/>
              <w:bottom w:val="nil"/>
              <w:right w:val="nil"/>
            </w:tcBorders>
            <w:shd w:val="clear" w:color="auto" w:fill="auto"/>
            <w:noWrap/>
            <w:vAlign w:val="bottom"/>
            <w:hideMark/>
          </w:tcPr>
          <w:p w14:paraId="43A4557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126FAE0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174A07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23D694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8FC6D1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6F0AEF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A76183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8CF7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DD8503B" w14:textId="77777777" w:rsidTr="0095397F">
        <w:trPr>
          <w:trHeight w:val="300"/>
        </w:trPr>
        <w:tc>
          <w:tcPr>
            <w:tcW w:w="2835" w:type="dxa"/>
            <w:tcBorders>
              <w:top w:val="nil"/>
              <w:left w:val="nil"/>
              <w:bottom w:val="nil"/>
              <w:right w:val="nil"/>
            </w:tcBorders>
            <w:shd w:val="clear" w:color="auto" w:fill="auto"/>
            <w:noWrap/>
            <w:vAlign w:val="bottom"/>
            <w:hideMark/>
          </w:tcPr>
          <w:p w14:paraId="7D2F7EB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4</w:t>
            </w:r>
          </w:p>
        </w:tc>
        <w:tc>
          <w:tcPr>
            <w:tcW w:w="2268" w:type="dxa"/>
            <w:tcBorders>
              <w:top w:val="nil"/>
              <w:left w:val="nil"/>
              <w:bottom w:val="nil"/>
              <w:right w:val="nil"/>
            </w:tcBorders>
            <w:shd w:val="clear" w:color="auto" w:fill="auto"/>
            <w:noWrap/>
            <w:vAlign w:val="bottom"/>
            <w:hideMark/>
          </w:tcPr>
          <w:p w14:paraId="221E458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7E5DDAF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1A5A21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A4882C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ACEFE1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1F594F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55F8EF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DFC29B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1036DD5" w14:textId="77777777" w:rsidTr="0095397F">
        <w:trPr>
          <w:trHeight w:val="300"/>
        </w:trPr>
        <w:tc>
          <w:tcPr>
            <w:tcW w:w="2835" w:type="dxa"/>
            <w:tcBorders>
              <w:top w:val="nil"/>
              <w:left w:val="nil"/>
              <w:bottom w:val="nil"/>
              <w:right w:val="nil"/>
            </w:tcBorders>
            <w:shd w:val="clear" w:color="auto" w:fill="auto"/>
            <w:noWrap/>
            <w:vAlign w:val="bottom"/>
            <w:hideMark/>
          </w:tcPr>
          <w:p w14:paraId="7E8AB4A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5</w:t>
            </w:r>
          </w:p>
        </w:tc>
        <w:tc>
          <w:tcPr>
            <w:tcW w:w="2268" w:type="dxa"/>
            <w:tcBorders>
              <w:top w:val="nil"/>
              <w:left w:val="nil"/>
              <w:bottom w:val="nil"/>
              <w:right w:val="nil"/>
            </w:tcBorders>
            <w:shd w:val="clear" w:color="auto" w:fill="auto"/>
            <w:noWrap/>
            <w:vAlign w:val="bottom"/>
            <w:hideMark/>
          </w:tcPr>
          <w:p w14:paraId="2A4281D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47B7D5A"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084CFA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21EC0A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0D102F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D6A5CD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79ACE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AEA13B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7C90E31" w14:textId="77777777" w:rsidTr="0095397F">
        <w:trPr>
          <w:trHeight w:val="300"/>
        </w:trPr>
        <w:tc>
          <w:tcPr>
            <w:tcW w:w="2835" w:type="dxa"/>
            <w:tcBorders>
              <w:top w:val="nil"/>
              <w:left w:val="nil"/>
              <w:bottom w:val="nil"/>
              <w:right w:val="nil"/>
            </w:tcBorders>
            <w:shd w:val="clear" w:color="auto" w:fill="auto"/>
            <w:noWrap/>
            <w:vAlign w:val="bottom"/>
            <w:hideMark/>
          </w:tcPr>
          <w:p w14:paraId="3B99651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6</w:t>
            </w:r>
          </w:p>
        </w:tc>
        <w:tc>
          <w:tcPr>
            <w:tcW w:w="2268" w:type="dxa"/>
            <w:tcBorders>
              <w:top w:val="nil"/>
              <w:left w:val="nil"/>
              <w:bottom w:val="nil"/>
              <w:right w:val="nil"/>
            </w:tcBorders>
            <w:shd w:val="clear" w:color="auto" w:fill="auto"/>
            <w:noWrap/>
            <w:vAlign w:val="bottom"/>
            <w:hideMark/>
          </w:tcPr>
          <w:p w14:paraId="06C8D01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60E4ECC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95CA55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240285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2595A3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8E7C9E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3A6BE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4B535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13D7F1A" w14:textId="77777777" w:rsidTr="0095397F">
        <w:trPr>
          <w:trHeight w:val="300"/>
        </w:trPr>
        <w:tc>
          <w:tcPr>
            <w:tcW w:w="2835" w:type="dxa"/>
            <w:tcBorders>
              <w:top w:val="nil"/>
              <w:left w:val="nil"/>
              <w:bottom w:val="nil"/>
              <w:right w:val="nil"/>
            </w:tcBorders>
            <w:shd w:val="clear" w:color="auto" w:fill="auto"/>
            <w:noWrap/>
            <w:vAlign w:val="bottom"/>
            <w:hideMark/>
          </w:tcPr>
          <w:p w14:paraId="6732429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7</w:t>
            </w:r>
          </w:p>
        </w:tc>
        <w:tc>
          <w:tcPr>
            <w:tcW w:w="2268" w:type="dxa"/>
            <w:tcBorders>
              <w:top w:val="nil"/>
              <w:left w:val="nil"/>
              <w:bottom w:val="nil"/>
              <w:right w:val="nil"/>
            </w:tcBorders>
            <w:shd w:val="clear" w:color="auto" w:fill="auto"/>
            <w:noWrap/>
            <w:vAlign w:val="bottom"/>
            <w:hideMark/>
          </w:tcPr>
          <w:p w14:paraId="0E3298E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62129F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153C43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59B69D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639351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BB7086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7CA763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D250BA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32DEC3D"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F41FC6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Gee Gee 8</w:t>
            </w:r>
          </w:p>
        </w:tc>
        <w:tc>
          <w:tcPr>
            <w:tcW w:w="2268" w:type="dxa"/>
            <w:tcBorders>
              <w:top w:val="nil"/>
              <w:left w:val="nil"/>
              <w:bottom w:val="single" w:sz="8" w:space="0" w:color="auto"/>
              <w:right w:val="nil"/>
            </w:tcBorders>
            <w:shd w:val="clear" w:color="auto" w:fill="auto"/>
            <w:noWrap/>
            <w:vAlign w:val="bottom"/>
            <w:hideMark/>
          </w:tcPr>
          <w:p w14:paraId="617E0F0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3C14790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87405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60F071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98F44E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854674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90B029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66DF3C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C014D38" w14:textId="77777777" w:rsidTr="0095397F">
        <w:trPr>
          <w:trHeight w:val="300"/>
        </w:trPr>
        <w:tc>
          <w:tcPr>
            <w:tcW w:w="2835" w:type="dxa"/>
            <w:tcBorders>
              <w:top w:val="nil"/>
              <w:left w:val="nil"/>
              <w:bottom w:val="nil"/>
              <w:right w:val="nil"/>
            </w:tcBorders>
            <w:shd w:val="clear" w:color="auto" w:fill="auto"/>
            <w:noWrap/>
            <w:vAlign w:val="bottom"/>
            <w:hideMark/>
          </w:tcPr>
          <w:p w14:paraId="53CCBCE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1</w:t>
            </w:r>
          </w:p>
        </w:tc>
        <w:tc>
          <w:tcPr>
            <w:tcW w:w="2268" w:type="dxa"/>
            <w:tcBorders>
              <w:top w:val="nil"/>
              <w:left w:val="nil"/>
              <w:bottom w:val="nil"/>
              <w:right w:val="nil"/>
            </w:tcBorders>
            <w:shd w:val="clear" w:color="auto" w:fill="auto"/>
            <w:noWrap/>
            <w:vAlign w:val="bottom"/>
            <w:hideMark/>
          </w:tcPr>
          <w:p w14:paraId="70787EA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99EB89C"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91D158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BCEF81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E10585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41A784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684C76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EE2C08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984CE58" w14:textId="77777777" w:rsidTr="0095397F">
        <w:trPr>
          <w:trHeight w:val="300"/>
        </w:trPr>
        <w:tc>
          <w:tcPr>
            <w:tcW w:w="2835" w:type="dxa"/>
            <w:tcBorders>
              <w:top w:val="nil"/>
              <w:left w:val="nil"/>
              <w:bottom w:val="nil"/>
              <w:right w:val="nil"/>
            </w:tcBorders>
            <w:shd w:val="clear" w:color="auto" w:fill="auto"/>
            <w:noWrap/>
            <w:vAlign w:val="bottom"/>
            <w:hideMark/>
          </w:tcPr>
          <w:p w14:paraId="78FC241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2</w:t>
            </w:r>
          </w:p>
        </w:tc>
        <w:tc>
          <w:tcPr>
            <w:tcW w:w="2268" w:type="dxa"/>
            <w:tcBorders>
              <w:top w:val="nil"/>
              <w:left w:val="nil"/>
              <w:bottom w:val="nil"/>
              <w:right w:val="nil"/>
            </w:tcBorders>
            <w:shd w:val="clear" w:color="auto" w:fill="auto"/>
            <w:noWrap/>
            <w:vAlign w:val="bottom"/>
            <w:hideMark/>
          </w:tcPr>
          <w:p w14:paraId="7C00D8B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478719B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4F303C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9E407B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C09A47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8F75C0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492102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2823DA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FF1B209" w14:textId="77777777" w:rsidTr="0095397F">
        <w:trPr>
          <w:trHeight w:val="300"/>
        </w:trPr>
        <w:tc>
          <w:tcPr>
            <w:tcW w:w="2835" w:type="dxa"/>
            <w:tcBorders>
              <w:top w:val="nil"/>
              <w:left w:val="nil"/>
              <w:bottom w:val="nil"/>
              <w:right w:val="nil"/>
            </w:tcBorders>
            <w:shd w:val="clear" w:color="auto" w:fill="auto"/>
            <w:noWrap/>
            <w:vAlign w:val="bottom"/>
            <w:hideMark/>
          </w:tcPr>
          <w:p w14:paraId="06ECDE2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3</w:t>
            </w:r>
          </w:p>
        </w:tc>
        <w:tc>
          <w:tcPr>
            <w:tcW w:w="2268" w:type="dxa"/>
            <w:tcBorders>
              <w:top w:val="nil"/>
              <w:left w:val="nil"/>
              <w:bottom w:val="nil"/>
              <w:right w:val="nil"/>
            </w:tcBorders>
            <w:shd w:val="clear" w:color="auto" w:fill="auto"/>
            <w:noWrap/>
            <w:vAlign w:val="bottom"/>
            <w:hideMark/>
          </w:tcPr>
          <w:p w14:paraId="48139CB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36FFFC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AB56E2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D50CD9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FEB6BB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58F900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968E1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DD56E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FBBFC65" w14:textId="77777777" w:rsidTr="0095397F">
        <w:trPr>
          <w:trHeight w:val="300"/>
        </w:trPr>
        <w:tc>
          <w:tcPr>
            <w:tcW w:w="2835" w:type="dxa"/>
            <w:tcBorders>
              <w:top w:val="nil"/>
              <w:left w:val="nil"/>
              <w:bottom w:val="nil"/>
              <w:right w:val="nil"/>
            </w:tcBorders>
            <w:shd w:val="clear" w:color="auto" w:fill="auto"/>
            <w:noWrap/>
            <w:vAlign w:val="bottom"/>
            <w:hideMark/>
          </w:tcPr>
          <w:p w14:paraId="6647C18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4</w:t>
            </w:r>
          </w:p>
        </w:tc>
        <w:tc>
          <w:tcPr>
            <w:tcW w:w="2268" w:type="dxa"/>
            <w:tcBorders>
              <w:top w:val="nil"/>
              <w:left w:val="nil"/>
              <w:bottom w:val="nil"/>
              <w:right w:val="nil"/>
            </w:tcBorders>
            <w:shd w:val="clear" w:color="auto" w:fill="auto"/>
            <w:noWrap/>
            <w:vAlign w:val="bottom"/>
            <w:hideMark/>
          </w:tcPr>
          <w:p w14:paraId="69D87C6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312A9C18"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4AB3228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5407EC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64C0A5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E36272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E88610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0FE1D6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CB69634" w14:textId="77777777" w:rsidTr="0095397F">
        <w:trPr>
          <w:trHeight w:val="300"/>
        </w:trPr>
        <w:tc>
          <w:tcPr>
            <w:tcW w:w="2835" w:type="dxa"/>
            <w:tcBorders>
              <w:top w:val="nil"/>
              <w:left w:val="nil"/>
              <w:bottom w:val="nil"/>
              <w:right w:val="nil"/>
            </w:tcBorders>
            <w:shd w:val="clear" w:color="auto" w:fill="auto"/>
            <w:noWrap/>
            <w:vAlign w:val="bottom"/>
            <w:hideMark/>
          </w:tcPr>
          <w:p w14:paraId="79CE9D0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5</w:t>
            </w:r>
          </w:p>
        </w:tc>
        <w:tc>
          <w:tcPr>
            <w:tcW w:w="2268" w:type="dxa"/>
            <w:tcBorders>
              <w:top w:val="nil"/>
              <w:left w:val="nil"/>
              <w:bottom w:val="nil"/>
              <w:right w:val="nil"/>
            </w:tcBorders>
            <w:shd w:val="clear" w:color="auto" w:fill="auto"/>
            <w:noWrap/>
            <w:vAlign w:val="bottom"/>
            <w:hideMark/>
          </w:tcPr>
          <w:p w14:paraId="066C37A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009F7DB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1A5FDD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0700D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FB7E2C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C83AD0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291E35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1CBA64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67C44D6" w14:textId="77777777" w:rsidTr="0095397F">
        <w:trPr>
          <w:trHeight w:val="300"/>
        </w:trPr>
        <w:tc>
          <w:tcPr>
            <w:tcW w:w="2835" w:type="dxa"/>
            <w:tcBorders>
              <w:top w:val="nil"/>
              <w:left w:val="nil"/>
              <w:bottom w:val="nil"/>
              <w:right w:val="nil"/>
            </w:tcBorders>
            <w:shd w:val="clear" w:color="auto" w:fill="auto"/>
            <w:noWrap/>
            <w:vAlign w:val="bottom"/>
            <w:hideMark/>
          </w:tcPr>
          <w:p w14:paraId="03AD53B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6</w:t>
            </w:r>
          </w:p>
        </w:tc>
        <w:tc>
          <w:tcPr>
            <w:tcW w:w="2268" w:type="dxa"/>
            <w:tcBorders>
              <w:top w:val="nil"/>
              <w:left w:val="nil"/>
              <w:bottom w:val="nil"/>
              <w:right w:val="nil"/>
            </w:tcBorders>
            <w:shd w:val="clear" w:color="auto" w:fill="auto"/>
            <w:noWrap/>
            <w:vAlign w:val="bottom"/>
            <w:hideMark/>
          </w:tcPr>
          <w:p w14:paraId="2B72340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742DD7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3B37E24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9F147F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861A33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4BF7DC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149EEE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C5DD3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F14DEF8" w14:textId="77777777" w:rsidTr="0095397F">
        <w:trPr>
          <w:trHeight w:val="300"/>
        </w:trPr>
        <w:tc>
          <w:tcPr>
            <w:tcW w:w="2835" w:type="dxa"/>
            <w:tcBorders>
              <w:top w:val="nil"/>
              <w:left w:val="nil"/>
              <w:bottom w:val="nil"/>
              <w:right w:val="nil"/>
            </w:tcBorders>
            <w:shd w:val="clear" w:color="auto" w:fill="auto"/>
            <w:noWrap/>
            <w:vAlign w:val="bottom"/>
            <w:hideMark/>
          </w:tcPr>
          <w:p w14:paraId="2869A28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7</w:t>
            </w:r>
          </w:p>
        </w:tc>
        <w:tc>
          <w:tcPr>
            <w:tcW w:w="2268" w:type="dxa"/>
            <w:tcBorders>
              <w:top w:val="nil"/>
              <w:left w:val="nil"/>
              <w:bottom w:val="nil"/>
              <w:right w:val="nil"/>
            </w:tcBorders>
            <w:shd w:val="clear" w:color="auto" w:fill="auto"/>
            <w:noWrap/>
            <w:vAlign w:val="bottom"/>
            <w:hideMark/>
          </w:tcPr>
          <w:p w14:paraId="778C03C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nil"/>
              <w:right w:val="nil"/>
            </w:tcBorders>
            <w:shd w:val="clear" w:color="auto" w:fill="auto"/>
            <w:noWrap/>
            <w:vAlign w:val="bottom"/>
            <w:hideMark/>
          </w:tcPr>
          <w:p w14:paraId="5178FB99"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958F96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56559B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C304F4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45EF3D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9BC97A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311DB3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66BE94B"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6EBABD3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Stoney Creek Crossing 8</w:t>
            </w:r>
          </w:p>
        </w:tc>
        <w:tc>
          <w:tcPr>
            <w:tcW w:w="2268" w:type="dxa"/>
            <w:tcBorders>
              <w:top w:val="nil"/>
              <w:left w:val="nil"/>
              <w:bottom w:val="single" w:sz="8" w:space="0" w:color="auto"/>
              <w:right w:val="nil"/>
            </w:tcBorders>
            <w:shd w:val="clear" w:color="auto" w:fill="auto"/>
            <w:noWrap/>
            <w:vAlign w:val="bottom"/>
            <w:hideMark/>
          </w:tcPr>
          <w:p w14:paraId="0CF8C64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Wakool River</w:t>
            </w:r>
          </w:p>
        </w:tc>
        <w:tc>
          <w:tcPr>
            <w:tcW w:w="1017" w:type="dxa"/>
            <w:tcBorders>
              <w:top w:val="nil"/>
              <w:left w:val="nil"/>
              <w:bottom w:val="single" w:sz="8" w:space="0" w:color="auto"/>
              <w:right w:val="nil"/>
            </w:tcBorders>
            <w:shd w:val="clear" w:color="auto" w:fill="auto"/>
            <w:noWrap/>
            <w:vAlign w:val="bottom"/>
            <w:hideMark/>
          </w:tcPr>
          <w:p w14:paraId="3EDABA8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6831A93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436D38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65E466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9C08FA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6B53BB2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63FBE1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BFA969E" w14:textId="77777777" w:rsidTr="0095397F">
        <w:trPr>
          <w:trHeight w:val="300"/>
        </w:trPr>
        <w:tc>
          <w:tcPr>
            <w:tcW w:w="2835" w:type="dxa"/>
            <w:tcBorders>
              <w:top w:val="nil"/>
              <w:left w:val="nil"/>
              <w:bottom w:val="nil"/>
              <w:right w:val="nil"/>
            </w:tcBorders>
            <w:shd w:val="clear" w:color="auto" w:fill="auto"/>
            <w:noWrap/>
            <w:vAlign w:val="bottom"/>
            <w:hideMark/>
          </w:tcPr>
          <w:p w14:paraId="04E1CEE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1</w:t>
            </w:r>
          </w:p>
        </w:tc>
        <w:tc>
          <w:tcPr>
            <w:tcW w:w="2268" w:type="dxa"/>
            <w:tcBorders>
              <w:top w:val="nil"/>
              <w:left w:val="nil"/>
              <w:bottom w:val="nil"/>
              <w:right w:val="nil"/>
            </w:tcBorders>
            <w:shd w:val="clear" w:color="auto" w:fill="auto"/>
            <w:noWrap/>
            <w:vAlign w:val="bottom"/>
            <w:hideMark/>
          </w:tcPr>
          <w:p w14:paraId="65CAE93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4614AB4"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137BBAE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CBEE04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1AED6E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B76AD2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2DDF0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76FED9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E01A6C2" w14:textId="77777777" w:rsidTr="0095397F">
        <w:trPr>
          <w:trHeight w:val="300"/>
        </w:trPr>
        <w:tc>
          <w:tcPr>
            <w:tcW w:w="2835" w:type="dxa"/>
            <w:tcBorders>
              <w:top w:val="nil"/>
              <w:left w:val="nil"/>
              <w:bottom w:val="nil"/>
              <w:right w:val="nil"/>
            </w:tcBorders>
            <w:shd w:val="clear" w:color="auto" w:fill="auto"/>
            <w:noWrap/>
            <w:vAlign w:val="bottom"/>
            <w:hideMark/>
          </w:tcPr>
          <w:p w14:paraId="6771004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2</w:t>
            </w:r>
          </w:p>
        </w:tc>
        <w:tc>
          <w:tcPr>
            <w:tcW w:w="2268" w:type="dxa"/>
            <w:tcBorders>
              <w:top w:val="nil"/>
              <w:left w:val="nil"/>
              <w:bottom w:val="nil"/>
              <w:right w:val="nil"/>
            </w:tcBorders>
            <w:shd w:val="clear" w:color="auto" w:fill="auto"/>
            <w:noWrap/>
            <w:vAlign w:val="bottom"/>
            <w:hideMark/>
          </w:tcPr>
          <w:p w14:paraId="75250F5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9CB65FC"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B14507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5607A0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135C4B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6C7A0F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37684C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4D0EC3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CF39751" w14:textId="77777777" w:rsidTr="0095397F">
        <w:trPr>
          <w:trHeight w:val="300"/>
        </w:trPr>
        <w:tc>
          <w:tcPr>
            <w:tcW w:w="2835" w:type="dxa"/>
            <w:tcBorders>
              <w:top w:val="nil"/>
              <w:left w:val="nil"/>
              <w:bottom w:val="nil"/>
              <w:right w:val="nil"/>
            </w:tcBorders>
            <w:shd w:val="clear" w:color="auto" w:fill="auto"/>
            <w:noWrap/>
            <w:vAlign w:val="bottom"/>
            <w:hideMark/>
          </w:tcPr>
          <w:p w14:paraId="1067389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3</w:t>
            </w:r>
          </w:p>
        </w:tc>
        <w:tc>
          <w:tcPr>
            <w:tcW w:w="2268" w:type="dxa"/>
            <w:tcBorders>
              <w:top w:val="nil"/>
              <w:left w:val="nil"/>
              <w:bottom w:val="nil"/>
              <w:right w:val="nil"/>
            </w:tcBorders>
            <w:shd w:val="clear" w:color="auto" w:fill="auto"/>
            <w:noWrap/>
            <w:vAlign w:val="bottom"/>
            <w:hideMark/>
          </w:tcPr>
          <w:p w14:paraId="62F2EA1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C0A9FFD"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EA8728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3E285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E9E6B2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E8146A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0814BB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B418E0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76AB084" w14:textId="77777777" w:rsidTr="0095397F">
        <w:trPr>
          <w:trHeight w:val="300"/>
        </w:trPr>
        <w:tc>
          <w:tcPr>
            <w:tcW w:w="2835" w:type="dxa"/>
            <w:tcBorders>
              <w:top w:val="nil"/>
              <w:left w:val="nil"/>
              <w:bottom w:val="nil"/>
              <w:right w:val="nil"/>
            </w:tcBorders>
            <w:shd w:val="clear" w:color="auto" w:fill="auto"/>
            <w:noWrap/>
            <w:vAlign w:val="bottom"/>
            <w:hideMark/>
          </w:tcPr>
          <w:p w14:paraId="7800A4F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4</w:t>
            </w:r>
          </w:p>
        </w:tc>
        <w:tc>
          <w:tcPr>
            <w:tcW w:w="2268" w:type="dxa"/>
            <w:tcBorders>
              <w:top w:val="nil"/>
              <w:left w:val="nil"/>
              <w:bottom w:val="nil"/>
              <w:right w:val="nil"/>
            </w:tcBorders>
            <w:shd w:val="clear" w:color="auto" w:fill="auto"/>
            <w:noWrap/>
            <w:vAlign w:val="bottom"/>
            <w:hideMark/>
          </w:tcPr>
          <w:p w14:paraId="4BC472F6"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4A7B373C"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402D9E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C6E5C5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0D9655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F10F45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79DF7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67E540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63160C8" w14:textId="77777777" w:rsidTr="0095397F">
        <w:trPr>
          <w:trHeight w:val="300"/>
        </w:trPr>
        <w:tc>
          <w:tcPr>
            <w:tcW w:w="2835" w:type="dxa"/>
            <w:tcBorders>
              <w:top w:val="nil"/>
              <w:left w:val="nil"/>
              <w:bottom w:val="nil"/>
              <w:right w:val="nil"/>
            </w:tcBorders>
            <w:shd w:val="clear" w:color="auto" w:fill="auto"/>
            <w:noWrap/>
            <w:vAlign w:val="bottom"/>
            <w:hideMark/>
          </w:tcPr>
          <w:p w14:paraId="63028A3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5</w:t>
            </w:r>
          </w:p>
        </w:tc>
        <w:tc>
          <w:tcPr>
            <w:tcW w:w="2268" w:type="dxa"/>
            <w:tcBorders>
              <w:top w:val="nil"/>
              <w:left w:val="nil"/>
              <w:bottom w:val="nil"/>
              <w:right w:val="nil"/>
            </w:tcBorders>
            <w:shd w:val="clear" w:color="auto" w:fill="auto"/>
            <w:noWrap/>
            <w:vAlign w:val="bottom"/>
            <w:hideMark/>
          </w:tcPr>
          <w:p w14:paraId="737D977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34291D4E"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856081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7810A2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C6F9C6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0CF657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F748ED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598138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640557F7" w14:textId="77777777" w:rsidTr="0095397F">
        <w:trPr>
          <w:trHeight w:val="300"/>
        </w:trPr>
        <w:tc>
          <w:tcPr>
            <w:tcW w:w="2835" w:type="dxa"/>
            <w:tcBorders>
              <w:top w:val="nil"/>
              <w:left w:val="nil"/>
              <w:bottom w:val="nil"/>
              <w:right w:val="nil"/>
            </w:tcBorders>
            <w:shd w:val="clear" w:color="auto" w:fill="auto"/>
            <w:noWrap/>
            <w:vAlign w:val="bottom"/>
            <w:hideMark/>
          </w:tcPr>
          <w:p w14:paraId="1F5AAA7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6</w:t>
            </w:r>
          </w:p>
        </w:tc>
        <w:tc>
          <w:tcPr>
            <w:tcW w:w="2268" w:type="dxa"/>
            <w:tcBorders>
              <w:top w:val="nil"/>
              <w:left w:val="nil"/>
              <w:bottom w:val="nil"/>
              <w:right w:val="nil"/>
            </w:tcBorders>
            <w:shd w:val="clear" w:color="auto" w:fill="auto"/>
            <w:noWrap/>
            <w:vAlign w:val="bottom"/>
            <w:hideMark/>
          </w:tcPr>
          <w:p w14:paraId="744AF1A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A253349"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02D6A8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95CDCB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A8C353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FE36EC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31EA22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93FEA1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8C8CBDF" w14:textId="77777777" w:rsidTr="0095397F">
        <w:trPr>
          <w:trHeight w:val="300"/>
        </w:trPr>
        <w:tc>
          <w:tcPr>
            <w:tcW w:w="2835" w:type="dxa"/>
            <w:tcBorders>
              <w:top w:val="nil"/>
              <w:left w:val="nil"/>
              <w:bottom w:val="nil"/>
              <w:right w:val="nil"/>
            </w:tcBorders>
            <w:shd w:val="clear" w:color="auto" w:fill="auto"/>
            <w:noWrap/>
            <w:vAlign w:val="bottom"/>
            <w:hideMark/>
          </w:tcPr>
          <w:p w14:paraId="3C0C7B1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7</w:t>
            </w:r>
          </w:p>
        </w:tc>
        <w:tc>
          <w:tcPr>
            <w:tcW w:w="2268" w:type="dxa"/>
            <w:tcBorders>
              <w:top w:val="nil"/>
              <w:left w:val="nil"/>
              <w:bottom w:val="nil"/>
              <w:right w:val="nil"/>
            </w:tcBorders>
            <w:shd w:val="clear" w:color="auto" w:fill="auto"/>
            <w:noWrap/>
            <w:vAlign w:val="bottom"/>
            <w:hideMark/>
          </w:tcPr>
          <w:p w14:paraId="45DC065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4EB11C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9164D5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7A2167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043AEF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F9CF3C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34016C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CB64D8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7A630B7D"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5A41FAB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Calimo 8</w:t>
            </w:r>
          </w:p>
        </w:tc>
        <w:tc>
          <w:tcPr>
            <w:tcW w:w="2268" w:type="dxa"/>
            <w:tcBorders>
              <w:top w:val="nil"/>
              <w:left w:val="nil"/>
              <w:bottom w:val="single" w:sz="8" w:space="0" w:color="auto"/>
              <w:right w:val="nil"/>
            </w:tcBorders>
            <w:shd w:val="clear" w:color="auto" w:fill="auto"/>
            <w:noWrap/>
            <w:vAlign w:val="bottom"/>
            <w:hideMark/>
          </w:tcPr>
          <w:p w14:paraId="303BE3A5"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04990E6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EC9661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F5F86A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EBDBB5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2FC7D59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2058C59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089FED6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896A0CC" w14:textId="77777777" w:rsidTr="0095397F">
        <w:trPr>
          <w:trHeight w:val="300"/>
        </w:trPr>
        <w:tc>
          <w:tcPr>
            <w:tcW w:w="2835" w:type="dxa"/>
            <w:tcBorders>
              <w:top w:val="nil"/>
              <w:left w:val="nil"/>
              <w:bottom w:val="nil"/>
              <w:right w:val="nil"/>
            </w:tcBorders>
            <w:shd w:val="clear" w:color="auto" w:fill="auto"/>
            <w:noWrap/>
            <w:vAlign w:val="bottom"/>
            <w:hideMark/>
          </w:tcPr>
          <w:p w14:paraId="44BCA56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1</w:t>
            </w:r>
          </w:p>
        </w:tc>
        <w:tc>
          <w:tcPr>
            <w:tcW w:w="2268" w:type="dxa"/>
            <w:tcBorders>
              <w:top w:val="nil"/>
              <w:left w:val="nil"/>
              <w:bottom w:val="nil"/>
              <w:right w:val="nil"/>
            </w:tcBorders>
            <w:shd w:val="clear" w:color="auto" w:fill="auto"/>
            <w:noWrap/>
            <w:vAlign w:val="bottom"/>
            <w:hideMark/>
          </w:tcPr>
          <w:p w14:paraId="14226F4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814EC1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5B1DF4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3CFBE7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3CA0DD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98165D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2DC60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B13906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9C432F3" w14:textId="77777777" w:rsidTr="0095397F">
        <w:trPr>
          <w:trHeight w:val="300"/>
        </w:trPr>
        <w:tc>
          <w:tcPr>
            <w:tcW w:w="2835" w:type="dxa"/>
            <w:tcBorders>
              <w:top w:val="nil"/>
              <w:left w:val="nil"/>
              <w:bottom w:val="nil"/>
              <w:right w:val="nil"/>
            </w:tcBorders>
            <w:shd w:val="clear" w:color="auto" w:fill="auto"/>
            <w:noWrap/>
            <w:vAlign w:val="bottom"/>
            <w:hideMark/>
          </w:tcPr>
          <w:p w14:paraId="65A3777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2</w:t>
            </w:r>
          </w:p>
        </w:tc>
        <w:tc>
          <w:tcPr>
            <w:tcW w:w="2268" w:type="dxa"/>
            <w:tcBorders>
              <w:top w:val="nil"/>
              <w:left w:val="nil"/>
              <w:bottom w:val="nil"/>
              <w:right w:val="nil"/>
            </w:tcBorders>
            <w:shd w:val="clear" w:color="auto" w:fill="auto"/>
            <w:noWrap/>
            <w:vAlign w:val="bottom"/>
            <w:hideMark/>
          </w:tcPr>
          <w:p w14:paraId="4B2BFE4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1C5E98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09C47F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682A96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DAA7F6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0E5A2B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49F8D8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80598C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D1E22F4" w14:textId="77777777" w:rsidTr="0095397F">
        <w:trPr>
          <w:trHeight w:val="300"/>
        </w:trPr>
        <w:tc>
          <w:tcPr>
            <w:tcW w:w="2835" w:type="dxa"/>
            <w:tcBorders>
              <w:top w:val="nil"/>
              <w:left w:val="nil"/>
              <w:bottom w:val="nil"/>
              <w:right w:val="nil"/>
            </w:tcBorders>
            <w:shd w:val="clear" w:color="auto" w:fill="auto"/>
            <w:noWrap/>
            <w:vAlign w:val="bottom"/>
            <w:hideMark/>
          </w:tcPr>
          <w:p w14:paraId="46E33E2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3</w:t>
            </w:r>
          </w:p>
        </w:tc>
        <w:tc>
          <w:tcPr>
            <w:tcW w:w="2268" w:type="dxa"/>
            <w:tcBorders>
              <w:top w:val="nil"/>
              <w:left w:val="nil"/>
              <w:bottom w:val="nil"/>
              <w:right w:val="nil"/>
            </w:tcBorders>
            <w:shd w:val="clear" w:color="auto" w:fill="auto"/>
            <w:noWrap/>
            <w:vAlign w:val="bottom"/>
            <w:hideMark/>
          </w:tcPr>
          <w:p w14:paraId="16D49957"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750B6E6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297506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1F4DB0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983AAA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B36C65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F63292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A2EB68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67BFA735" w14:textId="77777777" w:rsidTr="0095397F">
        <w:trPr>
          <w:trHeight w:val="300"/>
        </w:trPr>
        <w:tc>
          <w:tcPr>
            <w:tcW w:w="2835" w:type="dxa"/>
            <w:tcBorders>
              <w:top w:val="nil"/>
              <w:left w:val="nil"/>
              <w:bottom w:val="nil"/>
              <w:right w:val="nil"/>
            </w:tcBorders>
            <w:shd w:val="clear" w:color="auto" w:fill="auto"/>
            <w:noWrap/>
            <w:vAlign w:val="bottom"/>
            <w:hideMark/>
          </w:tcPr>
          <w:p w14:paraId="282FBB6A"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4</w:t>
            </w:r>
          </w:p>
        </w:tc>
        <w:tc>
          <w:tcPr>
            <w:tcW w:w="2268" w:type="dxa"/>
            <w:tcBorders>
              <w:top w:val="nil"/>
              <w:left w:val="nil"/>
              <w:bottom w:val="nil"/>
              <w:right w:val="nil"/>
            </w:tcBorders>
            <w:shd w:val="clear" w:color="auto" w:fill="auto"/>
            <w:noWrap/>
            <w:vAlign w:val="bottom"/>
            <w:hideMark/>
          </w:tcPr>
          <w:p w14:paraId="4A35A40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06E193AE"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16EB417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A3B687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4238F3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339559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99484C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1B7803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37193237" w14:textId="77777777" w:rsidTr="0095397F">
        <w:trPr>
          <w:trHeight w:val="300"/>
        </w:trPr>
        <w:tc>
          <w:tcPr>
            <w:tcW w:w="2835" w:type="dxa"/>
            <w:tcBorders>
              <w:top w:val="nil"/>
              <w:left w:val="nil"/>
              <w:bottom w:val="nil"/>
              <w:right w:val="nil"/>
            </w:tcBorders>
            <w:shd w:val="clear" w:color="auto" w:fill="auto"/>
            <w:noWrap/>
            <w:vAlign w:val="bottom"/>
            <w:hideMark/>
          </w:tcPr>
          <w:p w14:paraId="3E7E908B"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5</w:t>
            </w:r>
          </w:p>
        </w:tc>
        <w:tc>
          <w:tcPr>
            <w:tcW w:w="2268" w:type="dxa"/>
            <w:tcBorders>
              <w:top w:val="nil"/>
              <w:left w:val="nil"/>
              <w:bottom w:val="nil"/>
              <w:right w:val="nil"/>
            </w:tcBorders>
            <w:shd w:val="clear" w:color="auto" w:fill="auto"/>
            <w:noWrap/>
            <w:vAlign w:val="bottom"/>
            <w:hideMark/>
          </w:tcPr>
          <w:p w14:paraId="187BFAB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674F011F"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5CEAE1A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9DF598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87B2B3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835071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55EB73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DA8282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4D9FFA5" w14:textId="77777777" w:rsidTr="0095397F">
        <w:trPr>
          <w:trHeight w:val="300"/>
        </w:trPr>
        <w:tc>
          <w:tcPr>
            <w:tcW w:w="2835" w:type="dxa"/>
            <w:tcBorders>
              <w:top w:val="nil"/>
              <w:left w:val="nil"/>
              <w:bottom w:val="nil"/>
              <w:right w:val="nil"/>
            </w:tcBorders>
            <w:shd w:val="clear" w:color="auto" w:fill="auto"/>
            <w:noWrap/>
            <w:vAlign w:val="bottom"/>
            <w:hideMark/>
          </w:tcPr>
          <w:p w14:paraId="5CA83DE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6</w:t>
            </w:r>
          </w:p>
        </w:tc>
        <w:tc>
          <w:tcPr>
            <w:tcW w:w="2268" w:type="dxa"/>
            <w:tcBorders>
              <w:top w:val="nil"/>
              <w:left w:val="nil"/>
              <w:bottom w:val="nil"/>
              <w:right w:val="nil"/>
            </w:tcBorders>
            <w:shd w:val="clear" w:color="auto" w:fill="auto"/>
            <w:noWrap/>
            <w:vAlign w:val="bottom"/>
            <w:hideMark/>
          </w:tcPr>
          <w:p w14:paraId="3D5C6DB0"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1DE8C27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5784A2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2C1C9F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0F6D854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79F0DD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BE4016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5157FF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648AC207" w14:textId="77777777" w:rsidTr="0095397F">
        <w:trPr>
          <w:trHeight w:val="300"/>
        </w:trPr>
        <w:tc>
          <w:tcPr>
            <w:tcW w:w="2835" w:type="dxa"/>
            <w:tcBorders>
              <w:top w:val="nil"/>
              <w:left w:val="nil"/>
              <w:bottom w:val="nil"/>
              <w:right w:val="nil"/>
            </w:tcBorders>
            <w:shd w:val="clear" w:color="auto" w:fill="auto"/>
            <w:noWrap/>
            <w:vAlign w:val="bottom"/>
            <w:hideMark/>
          </w:tcPr>
          <w:p w14:paraId="3A310E2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7</w:t>
            </w:r>
          </w:p>
        </w:tc>
        <w:tc>
          <w:tcPr>
            <w:tcW w:w="2268" w:type="dxa"/>
            <w:tcBorders>
              <w:top w:val="nil"/>
              <w:left w:val="nil"/>
              <w:bottom w:val="nil"/>
              <w:right w:val="nil"/>
            </w:tcBorders>
            <w:shd w:val="clear" w:color="auto" w:fill="auto"/>
            <w:noWrap/>
            <w:vAlign w:val="bottom"/>
            <w:hideMark/>
          </w:tcPr>
          <w:p w14:paraId="06F96E6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nil"/>
              <w:right w:val="nil"/>
            </w:tcBorders>
            <w:shd w:val="clear" w:color="auto" w:fill="auto"/>
            <w:noWrap/>
            <w:vAlign w:val="bottom"/>
            <w:hideMark/>
          </w:tcPr>
          <w:p w14:paraId="2A0E072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7735BF9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40485F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C94E4F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71FEDE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EF7B16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F5CC1F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845E729"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3A426C7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Mallan School 8</w:t>
            </w:r>
          </w:p>
        </w:tc>
        <w:tc>
          <w:tcPr>
            <w:tcW w:w="2268" w:type="dxa"/>
            <w:tcBorders>
              <w:top w:val="nil"/>
              <w:left w:val="nil"/>
              <w:bottom w:val="single" w:sz="8" w:space="0" w:color="auto"/>
              <w:right w:val="nil"/>
            </w:tcBorders>
            <w:shd w:val="clear" w:color="auto" w:fill="auto"/>
            <w:noWrap/>
            <w:vAlign w:val="bottom"/>
            <w:hideMark/>
          </w:tcPr>
          <w:p w14:paraId="21472C7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Colligen-Neimur River</w:t>
            </w:r>
          </w:p>
        </w:tc>
        <w:tc>
          <w:tcPr>
            <w:tcW w:w="1017" w:type="dxa"/>
            <w:tcBorders>
              <w:top w:val="nil"/>
              <w:left w:val="nil"/>
              <w:bottom w:val="single" w:sz="8" w:space="0" w:color="auto"/>
              <w:right w:val="nil"/>
            </w:tcBorders>
            <w:shd w:val="clear" w:color="auto" w:fill="auto"/>
            <w:noWrap/>
            <w:vAlign w:val="bottom"/>
            <w:hideMark/>
          </w:tcPr>
          <w:p w14:paraId="42812C37"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708A1E2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DB3DF1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8833BA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5D94EAC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4FEF40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33E3E14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A014CC0" w14:textId="77777777" w:rsidTr="0095397F">
        <w:trPr>
          <w:trHeight w:val="300"/>
        </w:trPr>
        <w:tc>
          <w:tcPr>
            <w:tcW w:w="2835" w:type="dxa"/>
            <w:tcBorders>
              <w:top w:val="nil"/>
              <w:left w:val="nil"/>
              <w:bottom w:val="nil"/>
              <w:right w:val="nil"/>
            </w:tcBorders>
            <w:shd w:val="clear" w:color="auto" w:fill="auto"/>
            <w:noWrap/>
            <w:vAlign w:val="bottom"/>
            <w:hideMark/>
          </w:tcPr>
          <w:p w14:paraId="3CC1FA98"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1</w:t>
            </w:r>
          </w:p>
        </w:tc>
        <w:tc>
          <w:tcPr>
            <w:tcW w:w="2268" w:type="dxa"/>
            <w:tcBorders>
              <w:top w:val="nil"/>
              <w:left w:val="nil"/>
              <w:bottom w:val="nil"/>
              <w:right w:val="nil"/>
            </w:tcBorders>
            <w:shd w:val="clear" w:color="auto" w:fill="auto"/>
            <w:noWrap/>
            <w:vAlign w:val="bottom"/>
            <w:hideMark/>
          </w:tcPr>
          <w:p w14:paraId="78B765DE"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ECBEEE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0982A0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891CEF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CBD09C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B2D1EC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D02084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203E1F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12159C9D" w14:textId="77777777" w:rsidTr="0095397F">
        <w:trPr>
          <w:trHeight w:val="300"/>
        </w:trPr>
        <w:tc>
          <w:tcPr>
            <w:tcW w:w="2835" w:type="dxa"/>
            <w:tcBorders>
              <w:top w:val="nil"/>
              <w:left w:val="nil"/>
              <w:bottom w:val="nil"/>
              <w:right w:val="nil"/>
            </w:tcBorders>
            <w:shd w:val="clear" w:color="auto" w:fill="auto"/>
            <w:noWrap/>
            <w:vAlign w:val="bottom"/>
            <w:hideMark/>
          </w:tcPr>
          <w:p w14:paraId="0EEA312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2</w:t>
            </w:r>
          </w:p>
        </w:tc>
        <w:tc>
          <w:tcPr>
            <w:tcW w:w="2268" w:type="dxa"/>
            <w:tcBorders>
              <w:top w:val="nil"/>
              <w:left w:val="nil"/>
              <w:bottom w:val="nil"/>
              <w:right w:val="nil"/>
            </w:tcBorders>
            <w:shd w:val="clear" w:color="auto" w:fill="auto"/>
            <w:noWrap/>
            <w:vAlign w:val="bottom"/>
            <w:hideMark/>
          </w:tcPr>
          <w:p w14:paraId="496D538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022952A2"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653D15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893C5B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813C6C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9BE50C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52EE0B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2701D0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487F9C2" w14:textId="77777777" w:rsidTr="0095397F">
        <w:trPr>
          <w:trHeight w:val="300"/>
        </w:trPr>
        <w:tc>
          <w:tcPr>
            <w:tcW w:w="2835" w:type="dxa"/>
            <w:tcBorders>
              <w:top w:val="nil"/>
              <w:left w:val="nil"/>
              <w:bottom w:val="nil"/>
              <w:right w:val="nil"/>
            </w:tcBorders>
            <w:shd w:val="clear" w:color="auto" w:fill="auto"/>
            <w:noWrap/>
            <w:vAlign w:val="bottom"/>
            <w:hideMark/>
          </w:tcPr>
          <w:p w14:paraId="6225E011"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3</w:t>
            </w:r>
          </w:p>
        </w:tc>
        <w:tc>
          <w:tcPr>
            <w:tcW w:w="2268" w:type="dxa"/>
            <w:tcBorders>
              <w:top w:val="nil"/>
              <w:left w:val="nil"/>
              <w:bottom w:val="nil"/>
              <w:right w:val="nil"/>
            </w:tcBorders>
            <w:shd w:val="clear" w:color="auto" w:fill="auto"/>
            <w:noWrap/>
            <w:vAlign w:val="bottom"/>
            <w:hideMark/>
          </w:tcPr>
          <w:p w14:paraId="6211CC6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5FDAAE21"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635722B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0DBDA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D6A165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9E76DC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1E6A6BC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3B5123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CFF06DA" w14:textId="77777777" w:rsidTr="0095397F">
        <w:trPr>
          <w:trHeight w:val="300"/>
        </w:trPr>
        <w:tc>
          <w:tcPr>
            <w:tcW w:w="2835" w:type="dxa"/>
            <w:tcBorders>
              <w:top w:val="nil"/>
              <w:left w:val="nil"/>
              <w:bottom w:val="nil"/>
              <w:right w:val="nil"/>
            </w:tcBorders>
            <w:shd w:val="clear" w:color="auto" w:fill="auto"/>
            <w:noWrap/>
            <w:vAlign w:val="bottom"/>
            <w:hideMark/>
          </w:tcPr>
          <w:p w14:paraId="6F854909"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4</w:t>
            </w:r>
          </w:p>
        </w:tc>
        <w:tc>
          <w:tcPr>
            <w:tcW w:w="2268" w:type="dxa"/>
            <w:tcBorders>
              <w:top w:val="nil"/>
              <w:left w:val="nil"/>
              <w:bottom w:val="nil"/>
              <w:right w:val="nil"/>
            </w:tcBorders>
            <w:shd w:val="clear" w:color="auto" w:fill="auto"/>
            <w:noWrap/>
            <w:vAlign w:val="bottom"/>
            <w:hideMark/>
          </w:tcPr>
          <w:p w14:paraId="674FDBF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7DB7BE0B"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0D02A83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9FC993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A8E3B7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D8BA9A2"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1F7732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6D0AA8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0056B8A4" w14:textId="77777777" w:rsidTr="0095397F">
        <w:trPr>
          <w:trHeight w:val="300"/>
        </w:trPr>
        <w:tc>
          <w:tcPr>
            <w:tcW w:w="2835" w:type="dxa"/>
            <w:tcBorders>
              <w:top w:val="nil"/>
              <w:left w:val="nil"/>
              <w:bottom w:val="nil"/>
              <w:right w:val="nil"/>
            </w:tcBorders>
            <w:shd w:val="clear" w:color="auto" w:fill="auto"/>
            <w:noWrap/>
            <w:vAlign w:val="bottom"/>
            <w:hideMark/>
          </w:tcPr>
          <w:p w14:paraId="6EB6BE1F"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5</w:t>
            </w:r>
          </w:p>
        </w:tc>
        <w:tc>
          <w:tcPr>
            <w:tcW w:w="2268" w:type="dxa"/>
            <w:tcBorders>
              <w:top w:val="nil"/>
              <w:left w:val="nil"/>
              <w:bottom w:val="nil"/>
              <w:right w:val="nil"/>
            </w:tcBorders>
            <w:shd w:val="clear" w:color="auto" w:fill="auto"/>
            <w:noWrap/>
            <w:vAlign w:val="bottom"/>
            <w:hideMark/>
          </w:tcPr>
          <w:p w14:paraId="73A89ECC"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26E0FBE9"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02CE09B"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4B14E4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11608C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55BEA00"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22CD9D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DACFC45"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47EF8360" w14:textId="77777777" w:rsidTr="0095397F">
        <w:trPr>
          <w:trHeight w:val="300"/>
        </w:trPr>
        <w:tc>
          <w:tcPr>
            <w:tcW w:w="2835" w:type="dxa"/>
            <w:tcBorders>
              <w:top w:val="nil"/>
              <w:left w:val="nil"/>
              <w:bottom w:val="nil"/>
              <w:right w:val="nil"/>
            </w:tcBorders>
            <w:shd w:val="clear" w:color="auto" w:fill="auto"/>
            <w:noWrap/>
            <w:vAlign w:val="bottom"/>
            <w:hideMark/>
          </w:tcPr>
          <w:p w14:paraId="19F6095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6</w:t>
            </w:r>
          </w:p>
        </w:tc>
        <w:tc>
          <w:tcPr>
            <w:tcW w:w="2268" w:type="dxa"/>
            <w:tcBorders>
              <w:top w:val="nil"/>
              <w:left w:val="nil"/>
              <w:bottom w:val="nil"/>
              <w:right w:val="nil"/>
            </w:tcBorders>
            <w:shd w:val="clear" w:color="auto" w:fill="auto"/>
            <w:noWrap/>
            <w:vAlign w:val="bottom"/>
            <w:hideMark/>
          </w:tcPr>
          <w:p w14:paraId="0ED09344"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72AE5EF0"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67D1B46"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88C22A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31AFCF3"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5D66AF4C"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75FD937"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431CEE51"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20C2DE20" w14:textId="77777777" w:rsidTr="0095397F">
        <w:trPr>
          <w:trHeight w:val="300"/>
        </w:trPr>
        <w:tc>
          <w:tcPr>
            <w:tcW w:w="2835" w:type="dxa"/>
            <w:tcBorders>
              <w:top w:val="nil"/>
              <w:left w:val="nil"/>
              <w:bottom w:val="nil"/>
              <w:right w:val="nil"/>
            </w:tcBorders>
            <w:shd w:val="clear" w:color="auto" w:fill="auto"/>
            <w:noWrap/>
            <w:vAlign w:val="bottom"/>
            <w:hideMark/>
          </w:tcPr>
          <w:p w14:paraId="4A8FCD9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7</w:t>
            </w:r>
          </w:p>
        </w:tc>
        <w:tc>
          <w:tcPr>
            <w:tcW w:w="2268" w:type="dxa"/>
            <w:tcBorders>
              <w:top w:val="nil"/>
              <w:left w:val="nil"/>
              <w:bottom w:val="nil"/>
              <w:right w:val="nil"/>
            </w:tcBorders>
            <w:shd w:val="clear" w:color="auto" w:fill="auto"/>
            <w:noWrap/>
            <w:vAlign w:val="bottom"/>
            <w:hideMark/>
          </w:tcPr>
          <w:p w14:paraId="09CE2FC3"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nil"/>
              <w:right w:val="nil"/>
            </w:tcBorders>
            <w:shd w:val="clear" w:color="auto" w:fill="auto"/>
            <w:noWrap/>
            <w:vAlign w:val="bottom"/>
            <w:hideMark/>
          </w:tcPr>
          <w:p w14:paraId="460AF786"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nil"/>
              <w:right w:val="nil"/>
            </w:tcBorders>
            <w:shd w:val="clear" w:color="000000" w:fill="FFC7CE"/>
            <w:noWrap/>
            <w:vAlign w:val="bottom"/>
            <w:hideMark/>
          </w:tcPr>
          <w:p w14:paraId="2DC6A58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8C9CBD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09DEB1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3550D874"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798CA0B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nil"/>
              <w:right w:val="nil"/>
            </w:tcBorders>
            <w:shd w:val="clear" w:color="000000" w:fill="FFC7CE"/>
            <w:noWrap/>
            <w:vAlign w:val="bottom"/>
            <w:hideMark/>
          </w:tcPr>
          <w:p w14:paraId="22FEB71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r w:rsidR="006501A4" w:rsidRPr="00BC1F8D" w14:paraId="59C144E3" w14:textId="77777777" w:rsidTr="0095397F">
        <w:trPr>
          <w:trHeight w:val="315"/>
        </w:trPr>
        <w:tc>
          <w:tcPr>
            <w:tcW w:w="2835" w:type="dxa"/>
            <w:tcBorders>
              <w:top w:val="nil"/>
              <w:left w:val="nil"/>
              <w:bottom w:val="single" w:sz="8" w:space="0" w:color="auto"/>
              <w:right w:val="nil"/>
            </w:tcBorders>
            <w:shd w:val="clear" w:color="auto" w:fill="auto"/>
            <w:noWrap/>
            <w:vAlign w:val="bottom"/>
            <w:hideMark/>
          </w:tcPr>
          <w:p w14:paraId="6ED03342"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Windra Vale2 8</w:t>
            </w:r>
          </w:p>
        </w:tc>
        <w:tc>
          <w:tcPr>
            <w:tcW w:w="2268" w:type="dxa"/>
            <w:tcBorders>
              <w:top w:val="nil"/>
              <w:left w:val="nil"/>
              <w:bottom w:val="single" w:sz="8" w:space="0" w:color="auto"/>
              <w:right w:val="nil"/>
            </w:tcBorders>
            <w:shd w:val="clear" w:color="auto" w:fill="auto"/>
            <w:noWrap/>
            <w:vAlign w:val="bottom"/>
            <w:hideMark/>
          </w:tcPr>
          <w:p w14:paraId="444B6FAD" w14:textId="77777777" w:rsidR="006501A4" w:rsidRPr="00BC1F8D" w:rsidRDefault="006501A4" w:rsidP="0095397F">
            <w:pPr>
              <w:spacing w:after="0" w:line="240" w:lineRule="auto"/>
              <w:rPr>
                <w:rFonts w:eastAsia="Times New Roman" w:cs="Calibri"/>
                <w:color w:val="000000"/>
                <w:lang w:eastAsia="en-AU"/>
              </w:rPr>
            </w:pPr>
            <w:r w:rsidRPr="00BC1F8D">
              <w:rPr>
                <w:rFonts w:eastAsia="Times New Roman" w:cs="Calibri"/>
                <w:color w:val="000000"/>
                <w:lang w:eastAsia="en-AU"/>
              </w:rPr>
              <w:t>Yallakool Creek</w:t>
            </w:r>
          </w:p>
        </w:tc>
        <w:tc>
          <w:tcPr>
            <w:tcW w:w="1017" w:type="dxa"/>
            <w:tcBorders>
              <w:top w:val="nil"/>
              <w:left w:val="nil"/>
              <w:bottom w:val="single" w:sz="8" w:space="0" w:color="auto"/>
              <w:right w:val="nil"/>
            </w:tcBorders>
            <w:shd w:val="clear" w:color="auto" w:fill="auto"/>
            <w:noWrap/>
            <w:vAlign w:val="bottom"/>
            <w:hideMark/>
          </w:tcPr>
          <w:p w14:paraId="1D080DB3" w14:textId="77777777" w:rsidR="006501A4" w:rsidRPr="00BC1F8D" w:rsidRDefault="006501A4" w:rsidP="0095397F">
            <w:pPr>
              <w:spacing w:after="0" w:line="240" w:lineRule="auto"/>
              <w:jc w:val="center"/>
              <w:rPr>
                <w:rFonts w:eastAsia="Times New Roman" w:cs="Calibri"/>
                <w:color w:val="000000"/>
                <w:lang w:eastAsia="en-AU"/>
              </w:rPr>
            </w:pPr>
            <w:r w:rsidRPr="00BC1F8D">
              <w:rPr>
                <w:rFonts w:eastAsia="Times New Roman" w:cs="Calibri"/>
                <w:color w:val="000000"/>
                <w:lang w:eastAsia="en-AU"/>
              </w:rPr>
              <w:t>0/6</w:t>
            </w:r>
          </w:p>
        </w:tc>
        <w:tc>
          <w:tcPr>
            <w:tcW w:w="480" w:type="dxa"/>
            <w:tcBorders>
              <w:top w:val="nil"/>
              <w:left w:val="nil"/>
              <w:bottom w:val="single" w:sz="8" w:space="0" w:color="auto"/>
              <w:right w:val="nil"/>
            </w:tcBorders>
            <w:shd w:val="clear" w:color="000000" w:fill="FFC7CE"/>
            <w:noWrap/>
            <w:vAlign w:val="bottom"/>
            <w:hideMark/>
          </w:tcPr>
          <w:p w14:paraId="59025B4D"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4A75798E"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7C51B99"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7FC07C58"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166F2BEA"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c>
          <w:tcPr>
            <w:tcW w:w="480" w:type="dxa"/>
            <w:tcBorders>
              <w:top w:val="nil"/>
              <w:left w:val="nil"/>
              <w:bottom w:val="single" w:sz="8" w:space="0" w:color="auto"/>
              <w:right w:val="nil"/>
            </w:tcBorders>
            <w:shd w:val="clear" w:color="000000" w:fill="FFC7CE"/>
            <w:noWrap/>
            <w:vAlign w:val="bottom"/>
            <w:hideMark/>
          </w:tcPr>
          <w:p w14:paraId="41F471DF" w14:textId="77777777" w:rsidR="006501A4" w:rsidRPr="00BC1F8D" w:rsidRDefault="006501A4" w:rsidP="0095397F">
            <w:pPr>
              <w:spacing w:after="0" w:line="240" w:lineRule="auto"/>
              <w:jc w:val="center"/>
              <w:rPr>
                <w:rFonts w:eastAsia="Times New Roman" w:cs="Calibri"/>
                <w:color w:val="9C0006"/>
                <w:lang w:eastAsia="en-AU"/>
              </w:rPr>
            </w:pPr>
            <w:r w:rsidRPr="00BC1F8D">
              <w:rPr>
                <w:rFonts w:eastAsia="Times New Roman" w:cs="Calibri"/>
                <w:color w:val="9C0006"/>
                <w:lang w:eastAsia="en-AU"/>
              </w:rPr>
              <w:t>×</w:t>
            </w:r>
          </w:p>
        </w:tc>
      </w:tr>
    </w:tbl>
    <w:p w14:paraId="667CA03D" w14:textId="77777777" w:rsidR="006501A4" w:rsidRPr="003D38B6" w:rsidRDefault="006501A4" w:rsidP="006501A4">
      <w:pPr>
        <w:pStyle w:val="xmsonormal"/>
        <w:shd w:val="clear" w:color="auto" w:fill="FFFFFF"/>
        <w:spacing w:before="0" w:beforeAutospacing="0" w:after="120" w:afterAutospacing="0" w:line="259" w:lineRule="auto"/>
        <w:textAlignment w:val="baseline"/>
        <w:rPr>
          <w:rFonts w:asciiTheme="minorHAnsi" w:hAnsiTheme="minorHAnsi"/>
          <w:color w:val="201F1E"/>
          <w:sz w:val="20"/>
          <w:szCs w:val="20"/>
          <w:bdr w:val="none" w:sz="0" w:space="0" w:color="auto" w:frame="1"/>
        </w:rPr>
      </w:pPr>
    </w:p>
    <w:p w14:paraId="59C0DE4E" w14:textId="77777777" w:rsidR="00B96BA2" w:rsidRDefault="00B96BA2">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3B4F8BF0" w14:textId="4F928F77" w:rsidR="004C4AE3" w:rsidRDefault="002B434E" w:rsidP="00836CDD">
      <w:pPr>
        <w:pStyle w:val="Heading1"/>
      </w:pPr>
      <w:bookmarkStart w:id="217" w:name="_Toc69846025"/>
      <w:r>
        <w:t>13</w:t>
      </w:r>
      <w:r w:rsidR="00A121BB">
        <w:tab/>
      </w:r>
      <w:r w:rsidR="004C4AE3">
        <w:t xml:space="preserve">Recommendations </w:t>
      </w:r>
      <w:bookmarkEnd w:id="31"/>
      <w:r w:rsidR="00250B03">
        <w:t>for future management of environmental water</w:t>
      </w:r>
      <w:bookmarkEnd w:id="217"/>
    </w:p>
    <w:p w14:paraId="49B015A6" w14:textId="77777777" w:rsidR="00250B03" w:rsidRPr="00002956" w:rsidRDefault="00250B03" w:rsidP="00250B03">
      <w:pPr>
        <w:spacing w:after="240" w:line="320" w:lineRule="exact"/>
        <w:jc w:val="left"/>
        <w:rPr>
          <w:rFonts w:asciiTheme="minorHAnsi" w:eastAsia="Times New Roman" w:hAnsiTheme="minorHAnsi"/>
          <w:b/>
          <w:i/>
          <w:color w:val="31849B"/>
          <w:sz w:val="24"/>
          <w:szCs w:val="24"/>
          <w:lang w:eastAsia="en-AU"/>
        </w:rPr>
      </w:pPr>
      <w:r w:rsidRPr="00002956">
        <w:rPr>
          <w:rFonts w:asciiTheme="minorHAnsi" w:eastAsia="Times New Roman" w:hAnsiTheme="minorHAnsi"/>
          <w:b/>
          <w:i/>
          <w:color w:val="31849B"/>
          <w:sz w:val="24"/>
          <w:szCs w:val="24"/>
          <w:lang w:eastAsia="en-AU"/>
        </w:rPr>
        <w:t>Summary of recommendations from previous reports and progress made to date</w:t>
      </w:r>
    </w:p>
    <w:p w14:paraId="033B5827" w14:textId="523CE817" w:rsidR="00250B03" w:rsidRDefault="00250B03" w:rsidP="00250B03">
      <w:pPr>
        <w:spacing w:after="240" w:line="320" w:lineRule="exact"/>
        <w:jc w:val="left"/>
      </w:pPr>
      <w:r>
        <w:t>A summary of r</w:t>
      </w:r>
      <w:r w:rsidRPr="00184499">
        <w:t>ecommendations</w:t>
      </w:r>
      <w:r>
        <w:t xml:space="preserve"> from the </w:t>
      </w:r>
      <w:r w:rsidR="008E27F6">
        <w:t>Edward/Kolety-Wakool</w:t>
      </w:r>
      <w:r>
        <w:t xml:space="preserve"> LTIM annual reports (Watts et al. 2015, 2016, 2017</w:t>
      </w:r>
      <w:r w:rsidR="000208E7">
        <w:t>b</w:t>
      </w:r>
      <w:r>
        <w:t>, 2018</w:t>
      </w:r>
      <w:r w:rsidR="002B434E">
        <w:t>, 2019b</w:t>
      </w:r>
      <w:r>
        <w:t>) and the extent to which they have</w:t>
      </w:r>
      <w:r w:rsidRPr="00184499">
        <w:t xml:space="preserve"> </w:t>
      </w:r>
      <w:r>
        <w:t xml:space="preserve">been implemented to improve the planning and delivery of Commonwealth environmental water are summarised in Table </w:t>
      </w:r>
      <w:r w:rsidR="002B434E">
        <w:t>13</w:t>
      </w:r>
      <w:r>
        <w:t>.1.</w:t>
      </w:r>
    </w:p>
    <w:p w14:paraId="16B1714A" w14:textId="45EA9D89" w:rsidR="00250B03" w:rsidRPr="00297F60" w:rsidRDefault="00250B03" w:rsidP="007B0CED">
      <w:pPr>
        <w:spacing w:after="120" w:line="240" w:lineRule="auto"/>
        <w:jc w:val="left"/>
        <w:rPr>
          <w:sz w:val="20"/>
        </w:rPr>
      </w:pPr>
      <w:r>
        <w:rPr>
          <w:b/>
          <w:sz w:val="20"/>
        </w:rPr>
        <w:t xml:space="preserve">Table </w:t>
      </w:r>
      <w:r w:rsidR="002B434E">
        <w:rPr>
          <w:b/>
          <w:sz w:val="20"/>
        </w:rPr>
        <w:t>13</w:t>
      </w:r>
      <w:r w:rsidRPr="00297F60">
        <w:rPr>
          <w:b/>
          <w:sz w:val="20"/>
        </w:rPr>
        <w:t>.1</w:t>
      </w:r>
      <w:r>
        <w:rPr>
          <w:sz w:val="20"/>
        </w:rPr>
        <w:t xml:space="preserve"> Summary of recommendations from</w:t>
      </w:r>
      <w:r w:rsidRPr="00297F60">
        <w:rPr>
          <w:sz w:val="20"/>
        </w:rPr>
        <w:t xml:space="preserve"> </w:t>
      </w:r>
      <w:r w:rsidR="008E27F6">
        <w:rPr>
          <w:sz w:val="20"/>
        </w:rPr>
        <w:t>Edward/Kolety-Wakool</w:t>
      </w:r>
      <w:r w:rsidRPr="00297F60">
        <w:rPr>
          <w:sz w:val="20"/>
        </w:rPr>
        <w:t xml:space="preserve"> </w:t>
      </w:r>
      <w:r>
        <w:rPr>
          <w:sz w:val="20"/>
        </w:rPr>
        <w:t xml:space="preserve">2014-15, </w:t>
      </w:r>
      <w:r w:rsidRPr="00297F60">
        <w:rPr>
          <w:sz w:val="20"/>
        </w:rPr>
        <w:t>2015-16</w:t>
      </w:r>
      <w:r>
        <w:rPr>
          <w:sz w:val="20"/>
        </w:rPr>
        <w:t>, 2016-17 and 2017-18</w:t>
      </w:r>
      <w:r w:rsidRPr="00297F60">
        <w:rPr>
          <w:sz w:val="20"/>
        </w:rPr>
        <w:t xml:space="preserve"> </w:t>
      </w:r>
      <w:r w:rsidR="002B434E">
        <w:rPr>
          <w:sz w:val="20"/>
        </w:rPr>
        <w:t xml:space="preserve">and 2018-19 </w:t>
      </w:r>
      <w:r w:rsidRPr="00297F60">
        <w:rPr>
          <w:sz w:val="20"/>
        </w:rPr>
        <w:t>LTIM annual report</w:t>
      </w:r>
      <w:r>
        <w:rPr>
          <w:sz w:val="20"/>
        </w:rPr>
        <w:t xml:space="preserve">s, showing year implemented and details of actions undertaken. EWEWRG = </w:t>
      </w:r>
      <w:r w:rsidR="008E27F6">
        <w:rPr>
          <w:sz w:val="20"/>
        </w:rPr>
        <w:t>Edward/Kolety-Wakool</w:t>
      </w:r>
      <w:r>
        <w:rPr>
          <w:sz w:val="20"/>
        </w:rPr>
        <w:t xml:space="preserve"> Environmental Water Reference Group, EWSC=</w:t>
      </w:r>
      <w:r w:rsidR="008E27F6">
        <w:rPr>
          <w:sz w:val="20"/>
        </w:rPr>
        <w:t>Edward/Kolety-Wakool</w:t>
      </w:r>
      <w:r>
        <w:rPr>
          <w:sz w:val="20"/>
        </w:rPr>
        <w:t xml:space="preserve"> Stakeholder Committee, EWOAG= </w:t>
      </w:r>
      <w:r w:rsidR="008E27F6">
        <w:rPr>
          <w:sz w:val="20"/>
        </w:rPr>
        <w:t>Edward/Kolety-Wakool</w:t>
      </w:r>
      <w:r>
        <w:rPr>
          <w:sz w:val="20"/>
        </w:rPr>
        <w:t xml:space="preserve"> Operations Advisory Group. R = recommendation number</w:t>
      </w:r>
      <w:r w:rsidR="00E93457">
        <w:rPr>
          <w:sz w:val="20"/>
        </w:rPr>
        <w:t xml:space="preserve"> </w:t>
      </w:r>
    </w:p>
    <w:tbl>
      <w:tblPr>
        <w:tblStyle w:val="TableGrid"/>
        <w:tblW w:w="8926" w:type="dxa"/>
        <w:tblLayout w:type="fixed"/>
        <w:tblLook w:val="04A0" w:firstRow="1" w:lastRow="0" w:firstColumn="1" w:lastColumn="0" w:noHBand="0" w:noVBand="1"/>
      </w:tblPr>
      <w:tblGrid>
        <w:gridCol w:w="3341"/>
        <w:gridCol w:w="14"/>
        <w:gridCol w:w="1176"/>
        <w:gridCol w:w="14"/>
        <w:gridCol w:w="1133"/>
        <w:gridCol w:w="3248"/>
      </w:tblGrid>
      <w:tr w:rsidR="00250B03" w14:paraId="462C26EE" w14:textId="77777777" w:rsidTr="00E93457">
        <w:tc>
          <w:tcPr>
            <w:tcW w:w="3341" w:type="dxa"/>
            <w:shd w:val="clear" w:color="auto" w:fill="92CDDC"/>
            <w:tcMar>
              <w:left w:w="57" w:type="dxa"/>
              <w:right w:w="57" w:type="dxa"/>
            </w:tcMar>
          </w:tcPr>
          <w:p w14:paraId="3053E24D" w14:textId="77777777" w:rsidR="00250B03" w:rsidRPr="005B4C1A" w:rsidRDefault="00250B03" w:rsidP="00250B03">
            <w:pPr>
              <w:spacing w:after="0" w:line="240" w:lineRule="auto"/>
              <w:jc w:val="left"/>
              <w:rPr>
                <w:b/>
                <w:color w:val="000000" w:themeColor="text1"/>
              </w:rPr>
            </w:pPr>
            <w:r w:rsidRPr="005B4C1A">
              <w:rPr>
                <w:b/>
                <w:color w:val="000000" w:themeColor="text1"/>
              </w:rPr>
              <w:t xml:space="preserve">Recommendation </w:t>
            </w:r>
          </w:p>
        </w:tc>
        <w:tc>
          <w:tcPr>
            <w:tcW w:w="1190" w:type="dxa"/>
            <w:gridSpan w:val="2"/>
            <w:shd w:val="clear" w:color="auto" w:fill="92CDDC"/>
            <w:tcMar>
              <w:left w:w="57" w:type="dxa"/>
              <w:right w:w="28" w:type="dxa"/>
            </w:tcMar>
          </w:tcPr>
          <w:p w14:paraId="1D1D7A38" w14:textId="77777777" w:rsidR="00250B03" w:rsidRPr="0015746C" w:rsidRDefault="00250B03" w:rsidP="00250B03">
            <w:pPr>
              <w:spacing w:after="0" w:line="240" w:lineRule="auto"/>
              <w:jc w:val="left"/>
              <w:rPr>
                <w:b/>
                <w:color w:val="000000" w:themeColor="text1"/>
                <w:sz w:val="18"/>
                <w:szCs w:val="18"/>
              </w:rPr>
            </w:pPr>
            <w:r w:rsidRPr="0015746C">
              <w:rPr>
                <w:b/>
                <w:color w:val="000000" w:themeColor="text1"/>
                <w:sz w:val="18"/>
                <w:szCs w:val="18"/>
              </w:rPr>
              <w:t>Year(s) recommended</w:t>
            </w:r>
          </w:p>
        </w:tc>
        <w:tc>
          <w:tcPr>
            <w:tcW w:w="1147" w:type="dxa"/>
            <w:gridSpan w:val="2"/>
            <w:shd w:val="clear" w:color="auto" w:fill="92CDDC"/>
            <w:tcMar>
              <w:left w:w="57" w:type="dxa"/>
              <w:right w:w="57" w:type="dxa"/>
            </w:tcMar>
          </w:tcPr>
          <w:p w14:paraId="0EE66C72" w14:textId="77777777" w:rsidR="00250B03" w:rsidRPr="0015746C" w:rsidRDefault="00250B03" w:rsidP="00250B03">
            <w:pPr>
              <w:spacing w:after="0" w:line="240" w:lineRule="auto"/>
              <w:jc w:val="left"/>
              <w:rPr>
                <w:b/>
                <w:color w:val="000000" w:themeColor="text1"/>
                <w:sz w:val="18"/>
                <w:szCs w:val="18"/>
              </w:rPr>
            </w:pPr>
            <w:r w:rsidRPr="0015746C">
              <w:rPr>
                <w:b/>
                <w:color w:val="000000" w:themeColor="text1"/>
                <w:sz w:val="18"/>
                <w:szCs w:val="18"/>
              </w:rPr>
              <w:t>Year(s) implemented</w:t>
            </w:r>
          </w:p>
        </w:tc>
        <w:tc>
          <w:tcPr>
            <w:tcW w:w="3248" w:type="dxa"/>
            <w:shd w:val="clear" w:color="auto" w:fill="92CDDC"/>
            <w:tcMar>
              <w:left w:w="57" w:type="dxa"/>
              <w:right w:w="57" w:type="dxa"/>
            </w:tcMar>
          </w:tcPr>
          <w:p w14:paraId="38DB0A6F" w14:textId="77777777" w:rsidR="00250B03" w:rsidRPr="005B4C1A" w:rsidRDefault="00250B03" w:rsidP="00250B03">
            <w:pPr>
              <w:spacing w:after="0" w:line="240" w:lineRule="auto"/>
              <w:jc w:val="left"/>
              <w:rPr>
                <w:b/>
                <w:color w:val="000000" w:themeColor="text1"/>
              </w:rPr>
            </w:pPr>
            <w:r>
              <w:rPr>
                <w:b/>
                <w:color w:val="000000" w:themeColor="text1"/>
              </w:rPr>
              <w:t>Details of actions undertaken to implement the recommendation</w:t>
            </w:r>
          </w:p>
        </w:tc>
      </w:tr>
      <w:tr w:rsidR="00250B03" w14:paraId="3A41A30F" w14:textId="77777777" w:rsidTr="00250B03">
        <w:tc>
          <w:tcPr>
            <w:tcW w:w="8926" w:type="dxa"/>
            <w:gridSpan w:val="6"/>
            <w:shd w:val="clear" w:color="auto" w:fill="D9D9D9" w:themeFill="background1" w:themeFillShade="D9"/>
            <w:tcMar>
              <w:left w:w="57" w:type="dxa"/>
              <w:right w:w="57" w:type="dxa"/>
            </w:tcMar>
          </w:tcPr>
          <w:p w14:paraId="26DE53CD" w14:textId="77777777" w:rsidR="00250B03"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 xml:space="preserve">Small in-channel freshes (within normal river operating rules) </w:t>
            </w:r>
          </w:p>
        </w:tc>
      </w:tr>
      <w:tr w:rsidR="00250B03" w14:paraId="54F3CC44" w14:textId="77777777" w:rsidTr="00E93457">
        <w:tc>
          <w:tcPr>
            <w:tcW w:w="3341" w:type="dxa"/>
            <w:tcMar>
              <w:left w:w="57" w:type="dxa"/>
              <w:right w:w="57" w:type="dxa"/>
            </w:tcMar>
          </w:tcPr>
          <w:p w14:paraId="03194A26" w14:textId="77777777" w:rsidR="00250B03" w:rsidRPr="0046601E" w:rsidRDefault="00250B03" w:rsidP="0040642F">
            <w:pPr>
              <w:pStyle w:val="ListParagraph"/>
              <w:numPr>
                <w:ilvl w:val="0"/>
                <w:numId w:val="36"/>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Consider a trial to increase the delivery of environmental water to the upper Wakool River </w:t>
            </w:r>
          </w:p>
        </w:tc>
        <w:tc>
          <w:tcPr>
            <w:tcW w:w="1190" w:type="dxa"/>
            <w:gridSpan w:val="2"/>
            <w:tcMar>
              <w:left w:w="57" w:type="dxa"/>
              <w:right w:w="57" w:type="dxa"/>
            </w:tcMar>
          </w:tcPr>
          <w:p w14:paraId="7C3E432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7BA34DF1"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42F2036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147" w:type="dxa"/>
            <w:gridSpan w:val="2"/>
            <w:tcMar>
              <w:left w:w="57" w:type="dxa"/>
              <w:right w:w="57" w:type="dxa"/>
            </w:tcMar>
          </w:tcPr>
          <w:p w14:paraId="597A1D3A"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2018-19</w:t>
            </w:r>
          </w:p>
        </w:tc>
        <w:tc>
          <w:tcPr>
            <w:tcW w:w="3248" w:type="dxa"/>
            <w:tcMar>
              <w:left w:w="57" w:type="dxa"/>
              <w:right w:w="57" w:type="dxa"/>
            </w:tcMar>
          </w:tcPr>
          <w:p w14:paraId="3CC00F7D"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In most years a small volume of environmental water has been delivered to the upper Wakool River. However </w:t>
            </w:r>
            <w:r>
              <w:rPr>
                <w:rFonts w:asciiTheme="minorHAnsi" w:hAnsiTheme="minorHAnsi" w:cstheme="minorHAnsi"/>
                <w:sz w:val="18"/>
                <w:szCs w:val="18"/>
              </w:rPr>
              <w:t>the regulator</w:t>
            </w:r>
            <w:r w:rsidRPr="0046601E">
              <w:rPr>
                <w:rFonts w:asciiTheme="minorHAnsi" w:hAnsiTheme="minorHAnsi" w:cstheme="minorHAnsi"/>
                <w:sz w:val="18"/>
                <w:szCs w:val="18"/>
              </w:rPr>
              <w:t xml:space="preserve"> limits the delivery of larger volumes of environmental</w:t>
            </w:r>
            <w:r>
              <w:rPr>
                <w:rFonts w:asciiTheme="minorHAnsi" w:hAnsiTheme="minorHAnsi" w:cstheme="minorHAnsi"/>
                <w:sz w:val="18"/>
                <w:szCs w:val="18"/>
              </w:rPr>
              <w:t xml:space="preserve"> water to this zone. Water can be delivered to part of this zone from the Wakool escape.</w:t>
            </w:r>
          </w:p>
          <w:p w14:paraId="2F1F0AF3" w14:textId="2FCB4F27" w:rsidR="00250B03" w:rsidRPr="0046601E" w:rsidRDefault="00250B03" w:rsidP="00250B03">
            <w:pPr>
              <w:spacing w:after="0" w:line="240" w:lineRule="auto"/>
              <w:jc w:val="left"/>
              <w:rPr>
                <w:rFonts w:asciiTheme="minorHAnsi" w:hAnsiTheme="minorHAnsi" w:cstheme="minorHAnsi"/>
                <w:sz w:val="18"/>
                <w:szCs w:val="18"/>
                <w:highlight w:val="yellow"/>
              </w:rPr>
            </w:pPr>
            <w:r w:rsidRPr="00612AAE">
              <w:rPr>
                <w:rFonts w:asciiTheme="minorHAnsi" w:hAnsiTheme="minorHAnsi" w:cstheme="minorHAnsi"/>
                <w:b/>
                <w:sz w:val="18"/>
                <w:szCs w:val="18"/>
              </w:rPr>
              <w:t>2018-19:</w:t>
            </w:r>
            <w:r>
              <w:rPr>
                <w:rFonts w:asciiTheme="minorHAnsi" w:hAnsiTheme="minorHAnsi" w:cstheme="minorHAnsi"/>
                <w:sz w:val="18"/>
                <w:szCs w:val="18"/>
              </w:rPr>
              <w:t xml:space="preserve"> Environmental water was delivered from the Wakool escape to add to the total discharge during the 800 ML/d flow trial. The use of the escape was not included in the original plan for this action, but delivery was adapted during the action when the required discharge for the trial could not be delivered from the Yallakool regulator</w:t>
            </w:r>
            <w:r w:rsidR="003C4427">
              <w:rPr>
                <w:rFonts w:asciiTheme="minorHAnsi" w:hAnsiTheme="minorHAnsi" w:cstheme="minorHAnsi"/>
                <w:sz w:val="18"/>
                <w:szCs w:val="18"/>
              </w:rPr>
              <w:t>. In 2020-21 the increased use of CEW in the upper Wakool was implemented and will be continued into 2021-22 to enable outcomes from changes in the flow regime to be monitored.</w:t>
            </w:r>
          </w:p>
        </w:tc>
      </w:tr>
      <w:tr w:rsidR="00250B03" w14:paraId="72D41D0A" w14:textId="77777777" w:rsidTr="00E93457">
        <w:tc>
          <w:tcPr>
            <w:tcW w:w="3341" w:type="dxa"/>
            <w:tcMar>
              <w:left w:w="57" w:type="dxa"/>
              <w:right w:w="57" w:type="dxa"/>
            </w:tcMar>
          </w:tcPr>
          <w:p w14:paraId="27F02B31" w14:textId="71D378A8" w:rsidR="00250B03" w:rsidRPr="0046601E" w:rsidRDefault="00250B03"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w:t>
            </w:r>
            <w:r w:rsidR="005D191E">
              <w:rPr>
                <w:rFonts w:asciiTheme="minorHAnsi" w:hAnsiTheme="minorHAnsi" w:cstheme="minorHAnsi"/>
                <w:sz w:val="18"/>
                <w:szCs w:val="18"/>
              </w:rPr>
              <w:t>/Kolety</w:t>
            </w:r>
            <w:r w:rsidRPr="0046601E">
              <w:rPr>
                <w:rFonts w:asciiTheme="minorHAnsi" w:hAnsiTheme="minorHAnsi" w:cstheme="minorHAnsi"/>
                <w:sz w:val="18"/>
                <w:szCs w:val="18"/>
              </w:rPr>
              <w:t xml:space="preserve"> River to target golden p</w:t>
            </w:r>
            <w:r>
              <w:rPr>
                <w:rFonts w:asciiTheme="minorHAnsi" w:hAnsiTheme="minorHAnsi" w:cstheme="minorHAnsi"/>
                <w:sz w:val="18"/>
                <w:szCs w:val="18"/>
              </w:rPr>
              <w:t>erch and silver perch spawning.</w:t>
            </w:r>
          </w:p>
        </w:tc>
        <w:tc>
          <w:tcPr>
            <w:tcW w:w="1190" w:type="dxa"/>
            <w:gridSpan w:val="2"/>
            <w:tcMar>
              <w:left w:w="57" w:type="dxa"/>
              <w:right w:w="57" w:type="dxa"/>
            </w:tcMar>
          </w:tcPr>
          <w:p w14:paraId="43B5AC26"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2B9A143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510700E3"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14B9DC0F" w14:textId="77777777" w:rsidR="00250B03" w:rsidRPr="0046601E"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(R3)</w:t>
            </w:r>
          </w:p>
        </w:tc>
        <w:tc>
          <w:tcPr>
            <w:tcW w:w="1147" w:type="dxa"/>
            <w:gridSpan w:val="2"/>
            <w:tcMar>
              <w:left w:w="57" w:type="dxa"/>
              <w:right w:w="57" w:type="dxa"/>
            </w:tcMar>
          </w:tcPr>
          <w:p w14:paraId="393BEBE3" w14:textId="77777777" w:rsidR="00250B03" w:rsidRPr="0046601E" w:rsidRDefault="00250B03" w:rsidP="00250B03">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c>
          <w:tcPr>
            <w:tcW w:w="3248" w:type="dxa"/>
            <w:tcMar>
              <w:left w:w="57" w:type="dxa"/>
              <w:right w:w="57" w:type="dxa"/>
            </w:tcMar>
          </w:tcPr>
          <w:p w14:paraId="4AD54565" w14:textId="40DE3086" w:rsidR="00250B03" w:rsidRPr="0046601E" w:rsidRDefault="00250B03" w:rsidP="007E577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This recommendation has not yet been implemented</w:t>
            </w:r>
          </w:p>
        </w:tc>
      </w:tr>
      <w:tr w:rsidR="00250B03" w14:paraId="77B83418" w14:textId="77777777" w:rsidTr="00250B03">
        <w:tc>
          <w:tcPr>
            <w:tcW w:w="8926" w:type="dxa"/>
            <w:gridSpan w:val="6"/>
            <w:shd w:val="clear" w:color="auto" w:fill="D9D9D9" w:themeFill="background1" w:themeFillShade="D9"/>
            <w:tcMar>
              <w:left w:w="57" w:type="dxa"/>
              <w:right w:w="57" w:type="dxa"/>
            </w:tcMar>
          </w:tcPr>
          <w:p w14:paraId="4E6AF14F" w14:textId="77777777" w:rsidR="00250B03" w:rsidRPr="0046601E" w:rsidRDefault="00250B03" w:rsidP="00250B03">
            <w:pPr>
              <w:spacing w:after="0" w:line="240" w:lineRule="auto"/>
              <w:jc w:val="left"/>
              <w:rPr>
                <w:rFonts w:asciiTheme="minorHAnsi" w:hAnsiTheme="minorHAnsi" w:cstheme="minorHAnsi"/>
                <w:b/>
                <w:sz w:val="18"/>
                <w:szCs w:val="18"/>
              </w:rPr>
            </w:pPr>
            <w:r>
              <w:rPr>
                <w:rFonts w:asciiTheme="minorHAnsi" w:hAnsiTheme="minorHAnsi" w:cstheme="minorHAnsi"/>
                <w:sz w:val="18"/>
                <w:szCs w:val="18"/>
              </w:rPr>
              <w:t>In-channel freshes (higher than current normal operating rules to connect additional in-channel habitats)</w:t>
            </w:r>
          </w:p>
        </w:tc>
      </w:tr>
      <w:tr w:rsidR="00250B03" w14:paraId="77A1AE58" w14:textId="77777777" w:rsidTr="00E93457">
        <w:tc>
          <w:tcPr>
            <w:tcW w:w="3341" w:type="dxa"/>
            <w:tcMar>
              <w:left w:w="57" w:type="dxa"/>
              <w:right w:w="57" w:type="dxa"/>
            </w:tcMar>
          </w:tcPr>
          <w:p w14:paraId="71CE92CB" w14:textId="77777777" w:rsidR="00250B03" w:rsidRDefault="00250B03"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Pr>
                <w:rFonts w:asciiTheme="minorHAnsi" w:hAnsiTheme="minorHAnsi" w:cstheme="minorHAnsi"/>
                <w:sz w:val="18"/>
                <w:szCs w:val="18"/>
              </w:rPr>
              <w:t xml:space="preserve">In collaboration with stakeholders explore options to implement </w:t>
            </w:r>
            <w:r w:rsidRPr="0046601E">
              <w:rPr>
                <w:rFonts w:asciiTheme="minorHAnsi" w:hAnsiTheme="minorHAnsi" w:cstheme="minorHAnsi"/>
                <w:sz w:val="18"/>
                <w:szCs w:val="18"/>
              </w:rPr>
              <w:t xml:space="preserve">a short duration environmental flow trial in late winter/spring 2016 at a higher discharge than the </w:t>
            </w:r>
            <w:r>
              <w:rPr>
                <w:rFonts w:asciiTheme="minorHAnsi" w:hAnsiTheme="minorHAnsi" w:cstheme="minorHAnsi"/>
                <w:sz w:val="18"/>
                <w:szCs w:val="18"/>
              </w:rPr>
              <w:t xml:space="preserve">current constraint of 600 ML/d at the Wakool-Yallakool confluence.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Pr>
                <w:rFonts w:asciiTheme="minorHAnsi" w:hAnsiTheme="minorHAnsi" w:cstheme="minorHAnsi"/>
                <w:sz w:val="18"/>
                <w:szCs w:val="18"/>
              </w:rPr>
              <w:t>.</w:t>
            </w:r>
          </w:p>
          <w:p w14:paraId="38A0512F" w14:textId="77777777" w:rsidR="00E93457" w:rsidRPr="00E93457" w:rsidRDefault="00E93457" w:rsidP="00E93457">
            <w:pPr>
              <w:spacing w:after="0" w:line="240" w:lineRule="auto"/>
              <w:jc w:val="left"/>
              <w:rPr>
                <w:rFonts w:asciiTheme="minorHAnsi" w:hAnsiTheme="minorHAnsi" w:cstheme="minorHAnsi"/>
                <w:sz w:val="18"/>
                <w:szCs w:val="18"/>
              </w:rPr>
            </w:pPr>
          </w:p>
          <w:p w14:paraId="16D42832" w14:textId="77777777" w:rsidR="00E93457" w:rsidRDefault="00E93457" w:rsidP="00E93457">
            <w:pPr>
              <w:spacing w:after="0" w:line="240" w:lineRule="auto"/>
              <w:ind w:left="222"/>
              <w:jc w:val="left"/>
              <w:rPr>
                <w:rFonts w:asciiTheme="minorHAnsi" w:hAnsiTheme="minorHAnsi" w:cstheme="minorHAnsi"/>
                <w:sz w:val="18"/>
                <w:szCs w:val="18"/>
              </w:rPr>
            </w:pPr>
            <w:r w:rsidRPr="00E93457">
              <w:rPr>
                <w:rFonts w:asciiTheme="minorHAnsi" w:hAnsiTheme="minorHAnsi" w:cstheme="minorHAnsi"/>
                <w:sz w:val="18"/>
                <w:szCs w:val="18"/>
              </w:rPr>
              <w:t>Implement a second flow trial in-channel fresh in late winter or early spring that exceeds the current normal operating rules, to increase the lateral connection of in-channel habitats and increase river productivity. The earlier timing of flows would help to prime the system and thus increase the outcomes of subsequent watering actions delivered later in spring or early summer.</w:t>
            </w:r>
          </w:p>
          <w:p w14:paraId="70B37919" w14:textId="54AA70FA" w:rsidR="00067FC1" w:rsidRPr="00E93457" w:rsidRDefault="00067FC1" w:rsidP="00E93457">
            <w:pPr>
              <w:spacing w:after="0" w:line="240" w:lineRule="auto"/>
              <w:ind w:left="222"/>
              <w:jc w:val="left"/>
              <w:rPr>
                <w:rFonts w:asciiTheme="minorHAnsi" w:hAnsiTheme="minorHAnsi" w:cstheme="minorHAnsi"/>
                <w:sz w:val="18"/>
                <w:szCs w:val="18"/>
              </w:rPr>
            </w:pPr>
          </w:p>
        </w:tc>
        <w:tc>
          <w:tcPr>
            <w:tcW w:w="1190" w:type="dxa"/>
            <w:gridSpan w:val="2"/>
            <w:tcMar>
              <w:left w:w="57" w:type="dxa"/>
              <w:right w:w="57" w:type="dxa"/>
            </w:tcMar>
          </w:tcPr>
          <w:p w14:paraId="3039A201"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2E08C5D3" w14:textId="77777777" w:rsidR="00250B03"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2199F1BE" w14:textId="77777777" w:rsidR="00250B03" w:rsidRDefault="00250B03" w:rsidP="00250B03">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(R4)</w:t>
            </w:r>
          </w:p>
          <w:p w14:paraId="49842A9A" w14:textId="77777777" w:rsidR="00E93457" w:rsidRDefault="00E93457" w:rsidP="00250B03">
            <w:pPr>
              <w:spacing w:after="0" w:line="240" w:lineRule="auto"/>
              <w:jc w:val="left"/>
              <w:rPr>
                <w:rFonts w:asciiTheme="minorHAnsi" w:hAnsiTheme="minorHAnsi" w:cstheme="minorHAnsi"/>
                <w:sz w:val="18"/>
                <w:szCs w:val="18"/>
              </w:rPr>
            </w:pPr>
          </w:p>
          <w:p w14:paraId="6E6335ED" w14:textId="77777777" w:rsidR="00E93457" w:rsidRDefault="00E93457" w:rsidP="00250B03">
            <w:pPr>
              <w:spacing w:after="0" w:line="240" w:lineRule="auto"/>
              <w:jc w:val="left"/>
              <w:rPr>
                <w:rFonts w:asciiTheme="minorHAnsi" w:hAnsiTheme="minorHAnsi" w:cstheme="minorHAnsi"/>
                <w:sz w:val="18"/>
                <w:szCs w:val="18"/>
              </w:rPr>
            </w:pPr>
          </w:p>
          <w:p w14:paraId="6F18B916" w14:textId="77777777" w:rsidR="00E93457" w:rsidRDefault="00E93457" w:rsidP="00250B03">
            <w:pPr>
              <w:spacing w:after="0" w:line="240" w:lineRule="auto"/>
              <w:jc w:val="left"/>
              <w:rPr>
                <w:rFonts w:asciiTheme="minorHAnsi" w:hAnsiTheme="minorHAnsi" w:cstheme="minorHAnsi"/>
                <w:sz w:val="18"/>
                <w:szCs w:val="18"/>
              </w:rPr>
            </w:pPr>
          </w:p>
          <w:p w14:paraId="228161BA" w14:textId="77777777" w:rsidR="00E93457" w:rsidRDefault="00E93457" w:rsidP="00250B03">
            <w:pPr>
              <w:spacing w:after="0" w:line="240" w:lineRule="auto"/>
              <w:jc w:val="left"/>
              <w:rPr>
                <w:rFonts w:asciiTheme="minorHAnsi" w:hAnsiTheme="minorHAnsi" w:cstheme="minorHAnsi"/>
                <w:sz w:val="18"/>
                <w:szCs w:val="18"/>
              </w:rPr>
            </w:pPr>
          </w:p>
          <w:p w14:paraId="588EE33A" w14:textId="77777777" w:rsidR="00E93457" w:rsidRDefault="00E93457" w:rsidP="00250B03">
            <w:pPr>
              <w:spacing w:after="0" w:line="240" w:lineRule="auto"/>
              <w:jc w:val="left"/>
              <w:rPr>
                <w:rFonts w:asciiTheme="minorHAnsi" w:hAnsiTheme="minorHAnsi" w:cstheme="minorHAnsi"/>
                <w:sz w:val="18"/>
                <w:szCs w:val="18"/>
              </w:rPr>
            </w:pPr>
          </w:p>
          <w:p w14:paraId="7CB00CEC" w14:textId="77777777" w:rsidR="00E93457" w:rsidRDefault="00E93457" w:rsidP="00250B03">
            <w:pPr>
              <w:spacing w:after="0" w:line="240" w:lineRule="auto"/>
              <w:jc w:val="left"/>
              <w:rPr>
                <w:rFonts w:asciiTheme="minorHAnsi" w:hAnsiTheme="minorHAnsi" w:cstheme="minorHAnsi"/>
                <w:sz w:val="18"/>
                <w:szCs w:val="18"/>
              </w:rPr>
            </w:pPr>
          </w:p>
          <w:p w14:paraId="08ECA64F" w14:textId="77777777" w:rsidR="00E93457" w:rsidRDefault="00E93457" w:rsidP="00250B03">
            <w:pPr>
              <w:spacing w:after="0" w:line="240" w:lineRule="auto"/>
              <w:jc w:val="left"/>
              <w:rPr>
                <w:rFonts w:asciiTheme="minorHAnsi" w:hAnsiTheme="minorHAnsi" w:cstheme="minorHAnsi"/>
                <w:sz w:val="18"/>
                <w:szCs w:val="18"/>
              </w:rPr>
            </w:pPr>
          </w:p>
          <w:p w14:paraId="79B4DFD0" w14:textId="77777777" w:rsidR="00E93457" w:rsidRDefault="00E93457" w:rsidP="00250B03">
            <w:pPr>
              <w:spacing w:after="0" w:line="240" w:lineRule="auto"/>
              <w:jc w:val="left"/>
              <w:rPr>
                <w:rFonts w:asciiTheme="minorHAnsi" w:hAnsiTheme="minorHAnsi" w:cstheme="minorHAnsi"/>
                <w:sz w:val="18"/>
                <w:szCs w:val="18"/>
              </w:rPr>
            </w:pPr>
          </w:p>
          <w:p w14:paraId="1787C535" w14:textId="77777777" w:rsidR="00E93457" w:rsidRDefault="00E93457" w:rsidP="00250B03">
            <w:pPr>
              <w:spacing w:after="0" w:line="240" w:lineRule="auto"/>
              <w:jc w:val="left"/>
              <w:rPr>
                <w:rFonts w:asciiTheme="minorHAnsi" w:hAnsiTheme="minorHAnsi" w:cstheme="minorHAnsi"/>
                <w:sz w:val="18"/>
                <w:szCs w:val="18"/>
              </w:rPr>
            </w:pPr>
          </w:p>
          <w:p w14:paraId="030CB20F" w14:textId="53596E5A"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(R3)</w:t>
            </w:r>
          </w:p>
          <w:p w14:paraId="2AFB3AD4" w14:textId="77777777" w:rsidR="00E93457" w:rsidRPr="0046601E" w:rsidRDefault="00E93457" w:rsidP="00250B03">
            <w:pPr>
              <w:spacing w:after="0" w:line="240" w:lineRule="auto"/>
              <w:jc w:val="left"/>
              <w:rPr>
                <w:rFonts w:asciiTheme="minorHAnsi" w:hAnsiTheme="minorHAnsi" w:cstheme="minorHAnsi"/>
                <w:sz w:val="18"/>
                <w:szCs w:val="18"/>
              </w:rPr>
            </w:pPr>
          </w:p>
          <w:p w14:paraId="29DBC171" w14:textId="77777777" w:rsidR="00250B03" w:rsidRPr="0046601E" w:rsidRDefault="00250B03" w:rsidP="00250B03">
            <w:pPr>
              <w:spacing w:after="0" w:line="240" w:lineRule="auto"/>
              <w:jc w:val="left"/>
              <w:rPr>
                <w:rFonts w:asciiTheme="minorHAnsi" w:hAnsiTheme="minorHAnsi" w:cstheme="minorHAnsi"/>
                <w:sz w:val="18"/>
                <w:szCs w:val="18"/>
              </w:rPr>
            </w:pPr>
          </w:p>
        </w:tc>
        <w:tc>
          <w:tcPr>
            <w:tcW w:w="1147" w:type="dxa"/>
            <w:gridSpan w:val="2"/>
            <w:tcMar>
              <w:left w:w="57" w:type="dxa"/>
              <w:right w:w="57" w:type="dxa"/>
            </w:tcMar>
          </w:tcPr>
          <w:p w14:paraId="6E98E776" w14:textId="77777777" w:rsidR="00250B03" w:rsidRPr="0046601E" w:rsidRDefault="00250B03" w:rsidP="00250B03">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c>
          <w:tcPr>
            <w:tcW w:w="3248" w:type="dxa"/>
            <w:tcMar>
              <w:left w:w="57" w:type="dxa"/>
              <w:right w:w="57" w:type="dxa"/>
            </w:tcMar>
          </w:tcPr>
          <w:p w14:paraId="7AF48AC8"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sidRPr="0046601E">
              <w:rPr>
                <w:rFonts w:asciiTheme="minorHAnsi" w:hAnsiTheme="minorHAnsi" w:cstheme="minorHAnsi"/>
                <w:sz w:val="18"/>
                <w:szCs w:val="18"/>
              </w:rPr>
              <w:t xml:space="preserve"> CEWO and </w:t>
            </w:r>
            <w:r>
              <w:rPr>
                <w:rFonts w:asciiTheme="minorHAnsi" w:hAnsiTheme="minorHAnsi" w:cstheme="minorHAnsi"/>
                <w:sz w:val="18"/>
                <w:szCs w:val="18"/>
              </w:rPr>
              <w:t>Wakool River Association</w:t>
            </w:r>
            <w:r w:rsidRPr="0046601E">
              <w:rPr>
                <w:rFonts w:asciiTheme="minorHAnsi" w:hAnsiTheme="minorHAnsi" w:cstheme="minorHAnsi"/>
                <w:sz w:val="18"/>
                <w:szCs w:val="18"/>
              </w:rPr>
              <w:t xml:space="preserve"> facilitated discussio</w:t>
            </w:r>
            <w:r>
              <w:rPr>
                <w:rFonts w:asciiTheme="minorHAnsi" w:hAnsiTheme="minorHAnsi" w:cstheme="minorHAnsi"/>
                <w:sz w:val="18"/>
                <w:szCs w:val="18"/>
              </w:rPr>
              <w:t xml:space="preserve">ns with stakeholders to </w:t>
            </w:r>
            <w:r w:rsidRPr="0046601E">
              <w:rPr>
                <w:rFonts w:asciiTheme="minorHAnsi" w:hAnsiTheme="minorHAnsi" w:cstheme="minorHAnsi"/>
                <w:sz w:val="18"/>
                <w:szCs w:val="18"/>
              </w:rPr>
              <w:t>trial flows above current operational constraints</w:t>
            </w:r>
            <w:r>
              <w:rPr>
                <w:rFonts w:asciiTheme="minorHAnsi" w:hAnsiTheme="minorHAnsi" w:cstheme="minorHAnsi"/>
                <w:sz w:val="18"/>
                <w:szCs w:val="18"/>
              </w:rPr>
              <w:t>, up to ~ 800 ML/d</w:t>
            </w:r>
            <w:r w:rsidRPr="0046601E">
              <w:rPr>
                <w:rFonts w:asciiTheme="minorHAnsi" w:hAnsiTheme="minorHAnsi" w:cstheme="minorHAnsi"/>
                <w:sz w:val="18"/>
                <w:szCs w:val="18"/>
              </w:rPr>
              <w:t xml:space="preserve"> at the </w:t>
            </w:r>
            <w:r>
              <w:rPr>
                <w:rFonts w:asciiTheme="minorHAnsi" w:hAnsiTheme="minorHAnsi" w:cstheme="minorHAnsi"/>
                <w:sz w:val="18"/>
                <w:szCs w:val="18"/>
              </w:rPr>
              <w:t xml:space="preserve">Wakool/Yallakool </w:t>
            </w:r>
            <w:r w:rsidRPr="0046601E">
              <w:rPr>
                <w:rFonts w:asciiTheme="minorHAnsi" w:hAnsiTheme="minorHAnsi" w:cstheme="minorHAnsi"/>
                <w:sz w:val="18"/>
                <w:szCs w:val="18"/>
              </w:rPr>
              <w:t>confluence</w:t>
            </w:r>
            <w:r>
              <w:rPr>
                <w:rFonts w:asciiTheme="minorHAnsi" w:hAnsiTheme="minorHAnsi" w:cstheme="minorHAnsi"/>
                <w:sz w:val="18"/>
                <w:szCs w:val="18"/>
              </w:rPr>
              <w:t>.</w:t>
            </w:r>
          </w:p>
          <w:p w14:paraId="127D10AC" w14:textId="77777777" w:rsidR="00250B03" w:rsidRPr="0046601E" w:rsidRDefault="00250B03" w:rsidP="00250B03">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2017-18:</w:t>
            </w:r>
            <w:r w:rsidRPr="0046601E">
              <w:rPr>
                <w:rFonts w:asciiTheme="minorHAnsi" w:hAnsiTheme="minorHAnsi" w:cstheme="minorHAnsi"/>
                <w:sz w:val="18"/>
                <w:szCs w:val="18"/>
              </w:rPr>
              <w:t xml:space="preserve"> Discussions continued and flow trial proposal was planned to proceed in Autumn 2018. However, due to poor water quality in the system the Autumn flow trial was </w:t>
            </w:r>
            <w:r>
              <w:rPr>
                <w:rFonts w:asciiTheme="minorHAnsi" w:hAnsiTheme="minorHAnsi" w:cstheme="minorHAnsi"/>
                <w:sz w:val="18"/>
                <w:szCs w:val="18"/>
              </w:rPr>
              <w:t>postponed until 2018-19.</w:t>
            </w:r>
          </w:p>
          <w:p w14:paraId="67169A5A" w14:textId="77777777" w:rsidR="00313D49" w:rsidRDefault="00313D49" w:rsidP="00E93457">
            <w:pPr>
              <w:spacing w:after="0" w:line="240" w:lineRule="auto"/>
              <w:jc w:val="left"/>
              <w:rPr>
                <w:rFonts w:asciiTheme="minorHAnsi" w:hAnsiTheme="minorHAnsi" w:cstheme="minorHAnsi"/>
                <w:b/>
                <w:sz w:val="18"/>
                <w:szCs w:val="18"/>
              </w:rPr>
            </w:pPr>
          </w:p>
          <w:p w14:paraId="67D25F32" w14:textId="2EC1A527" w:rsidR="00E93457"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2018-19:</w:t>
            </w:r>
            <w:r>
              <w:rPr>
                <w:rFonts w:asciiTheme="minorHAnsi" w:hAnsiTheme="minorHAnsi" w:cstheme="minorHAnsi"/>
                <w:sz w:val="18"/>
                <w:szCs w:val="18"/>
              </w:rPr>
              <w:t xml:space="preserve"> A flow trial up to 800 ML/d</w:t>
            </w:r>
            <w:r w:rsidRPr="0046601E">
              <w:rPr>
                <w:rFonts w:asciiTheme="minorHAnsi" w:hAnsiTheme="minorHAnsi" w:cstheme="minorHAnsi"/>
                <w:sz w:val="18"/>
                <w:szCs w:val="18"/>
              </w:rPr>
              <w:t xml:space="preserve"> </w:t>
            </w:r>
            <w:r>
              <w:rPr>
                <w:rFonts w:asciiTheme="minorHAnsi" w:hAnsiTheme="minorHAnsi" w:cstheme="minorHAnsi"/>
                <w:sz w:val="18"/>
                <w:szCs w:val="18"/>
              </w:rPr>
              <w:t>was implemented in Spring 2020</w:t>
            </w:r>
            <w:r w:rsidRPr="0046601E">
              <w:rPr>
                <w:rFonts w:asciiTheme="minorHAnsi" w:hAnsiTheme="minorHAnsi" w:cstheme="minorHAnsi"/>
                <w:sz w:val="18"/>
                <w:szCs w:val="18"/>
              </w:rPr>
              <w:t>.</w:t>
            </w:r>
          </w:p>
          <w:p w14:paraId="62F54D41" w14:textId="442CBC80" w:rsidR="005469D2" w:rsidRPr="00480AA1" w:rsidRDefault="005469D2" w:rsidP="00250B03">
            <w:pPr>
              <w:spacing w:after="0" w:line="240" w:lineRule="auto"/>
              <w:jc w:val="left"/>
              <w:rPr>
                <w:rFonts w:asciiTheme="minorHAnsi" w:hAnsiTheme="minorHAnsi" w:cstheme="minorHAnsi"/>
                <w:sz w:val="18"/>
                <w:szCs w:val="18"/>
              </w:rPr>
            </w:pPr>
          </w:p>
        </w:tc>
      </w:tr>
      <w:tr w:rsidR="00E93457" w14:paraId="5F7F1BA5" w14:textId="77777777" w:rsidTr="00E93457">
        <w:tc>
          <w:tcPr>
            <w:tcW w:w="3341" w:type="dxa"/>
            <w:tcMar>
              <w:left w:w="57" w:type="dxa"/>
              <w:right w:w="57" w:type="dxa"/>
            </w:tcMar>
          </w:tcPr>
          <w:p w14:paraId="6416D68F" w14:textId="77777777" w:rsidR="00067FC1" w:rsidRDefault="00E93457"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982626">
              <w:rPr>
                <w:rFonts w:asciiTheme="minorHAnsi" w:hAnsiTheme="minorHAnsi" w:cstheme="minorHAnsi"/>
                <w:sz w:val="18"/>
                <w:szCs w:val="18"/>
              </w:rPr>
              <w:t>Each year plan to deliver at least one flow event with higher than normal operating discharge to the upper Wakool River. This may include delivery of water through the Wakool offtake regulator or via the Wakool escape from Mulwala Canal.</w:t>
            </w:r>
          </w:p>
          <w:p w14:paraId="626DC057" w14:textId="4513CC8D" w:rsidR="00067FC1" w:rsidRPr="009F5688" w:rsidRDefault="00067FC1" w:rsidP="009F5688">
            <w:pPr>
              <w:spacing w:after="0" w:line="240" w:lineRule="auto"/>
              <w:jc w:val="left"/>
              <w:rPr>
                <w:rFonts w:asciiTheme="minorHAnsi" w:hAnsiTheme="minorHAnsi" w:cstheme="minorHAnsi"/>
                <w:sz w:val="18"/>
                <w:szCs w:val="18"/>
              </w:rPr>
            </w:pPr>
          </w:p>
        </w:tc>
        <w:tc>
          <w:tcPr>
            <w:tcW w:w="1190" w:type="dxa"/>
            <w:gridSpan w:val="2"/>
            <w:tcMar>
              <w:left w:w="57" w:type="dxa"/>
              <w:right w:w="57" w:type="dxa"/>
            </w:tcMar>
          </w:tcPr>
          <w:p w14:paraId="2778AED6" w14:textId="04DB71D9"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(R1)</w:t>
            </w:r>
          </w:p>
        </w:tc>
        <w:tc>
          <w:tcPr>
            <w:tcW w:w="1147" w:type="dxa"/>
            <w:gridSpan w:val="2"/>
            <w:tcMar>
              <w:left w:w="57" w:type="dxa"/>
              <w:right w:w="57" w:type="dxa"/>
            </w:tcMar>
          </w:tcPr>
          <w:p w14:paraId="5BD80A6D" w14:textId="71AB3771"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c>
          <w:tcPr>
            <w:tcW w:w="3248" w:type="dxa"/>
            <w:tcMar>
              <w:left w:w="57" w:type="dxa"/>
              <w:right w:w="57" w:type="dxa"/>
            </w:tcMar>
          </w:tcPr>
          <w:p w14:paraId="0A14EAC4" w14:textId="507AF14C" w:rsidR="00E93457" w:rsidRPr="0046601E" w:rsidRDefault="00E93457" w:rsidP="00E93457">
            <w:pPr>
              <w:spacing w:after="0" w:line="240" w:lineRule="auto"/>
              <w:jc w:val="left"/>
              <w:rPr>
                <w:rFonts w:asciiTheme="minorHAnsi" w:hAnsiTheme="minorHAnsi" w:cstheme="minorHAnsi"/>
                <w:b/>
                <w:sz w:val="18"/>
                <w:szCs w:val="18"/>
              </w:rPr>
            </w:pPr>
            <w:r w:rsidRPr="00982626">
              <w:rPr>
                <w:rFonts w:asciiTheme="minorHAnsi" w:hAnsiTheme="minorHAnsi" w:cstheme="minorHAnsi"/>
                <w:b/>
                <w:sz w:val="18"/>
                <w:szCs w:val="18"/>
              </w:rPr>
              <w:t>2018-19</w:t>
            </w:r>
            <w:r>
              <w:rPr>
                <w:rFonts w:asciiTheme="minorHAnsi" w:hAnsiTheme="minorHAnsi" w:cstheme="minorHAnsi"/>
                <w:sz w:val="18"/>
                <w:szCs w:val="18"/>
              </w:rPr>
              <w:t xml:space="preserve"> – higher flows were delivered to the upper Wakool River from the Wakool escape during the 800 ML/d flow trial</w:t>
            </w:r>
          </w:p>
        </w:tc>
      </w:tr>
      <w:tr w:rsidR="00E93457" w14:paraId="759FA666" w14:textId="77777777" w:rsidTr="00250B03">
        <w:tc>
          <w:tcPr>
            <w:tcW w:w="8926" w:type="dxa"/>
            <w:gridSpan w:val="6"/>
            <w:shd w:val="clear" w:color="auto" w:fill="D9D9D9" w:themeFill="background1" w:themeFillShade="D9"/>
            <w:tcMar>
              <w:left w:w="57" w:type="dxa"/>
              <w:right w:w="57" w:type="dxa"/>
            </w:tcMar>
          </w:tcPr>
          <w:p w14:paraId="10AA7037" w14:textId="77777777"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that contribute to flow recession</w:t>
            </w:r>
          </w:p>
        </w:tc>
      </w:tr>
      <w:tr w:rsidR="00E93457" w14:paraId="2C4A45AA" w14:textId="77777777" w:rsidTr="00E93457">
        <w:tc>
          <w:tcPr>
            <w:tcW w:w="3341" w:type="dxa"/>
            <w:tcMar>
              <w:left w:w="57" w:type="dxa"/>
              <w:right w:w="57" w:type="dxa"/>
            </w:tcMar>
          </w:tcPr>
          <w:p w14:paraId="08BF8EA5" w14:textId="70A7E496" w:rsidR="00E93457" w:rsidRPr="007B0CED" w:rsidRDefault="00E93457"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2012-13 and 2013-14</w:t>
            </w:r>
          </w:p>
        </w:tc>
        <w:tc>
          <w:tcPr>
            <w:tcW w:w="1190" w:type="dxa"/>
            <w:gridSpan w:val="2"/>
            <w:tcMar>
              <w:left w:w="57" w:type="dxa"/>
              <w:right w:w="57" w:type="dxa"/>
            </w:tcMar>
          </w:tcPr>
          <w:p w14:paraId="37CFFF86"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418A7845"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147" w:type="dxa"/>
            <w:gridSpan w:val="2"/>
            <w:tcMar>
              <w:left w:w="57" w:type="dxa"/>
              <w:right w:w="57" w:type="dxa"/>
            </w:tcMar>
          </w:tcPr>
          <w:p w14:paraId="7834B891"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19999A26"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34BB66DE" w14:textId="77777777" w:rsidR="00E93457" w:rsidRPr="0046601E" w:rsidRDefault="00E93457" w:rsidP="00E93457">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2017-18</w:t>
            </w:r>
          </w:p>
        </w:tc>
        <w:tc>
          <w:tcPr>
            <w:tcW w:w="3248" w:type="dxa"/>
            <w:tcMar>
              <w:left w:w="57" w:type="dxa"/>
              <w:right w:w="57" w:type="dxa"/>
            </w:tcMar>
          </w:tcPr>
          <w:p w14:paraId="14661BEE" w14:textId="63CF4B4C" w:rsidR="00E93457" w:rsidRPr="0046601E" w:rsidRDefault="00E93457" w:rsidP="00E93457">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Environmental water has consistently been used to increase the d</w:t>
            </w:r>
            <w:r w:rsidRPr="00F57991">
              <w:rPr>
                <w:rFonts w:asciiTheme="minorHAnsi" w:hAnsiTheme="minorHAnsi" w:cstheme="minorHAnsi"/>
                <w:sz w:val="18"/>
                <w:szCs w:val="18"/>
              </w:rPr>
              <w:t xml:space="preserve">uration of recession </w:t>
            </w:r>
            <w:r>
              <w:rPr>
                <w:rFonts w:asciiTheme="minorHAnsi" w:hAnsiTheme="minorHAnsi" w:cstheme="minorHAnsi"/>
                <w:sz w:val="18"/>
                <w:szCs w:val="18"/>
              </w:rPr>
              <w:t>of small in-channel freshes in the Edward/Kolety-Wakool system</w:t>
            </w:r>
          </w:p>
        </w:tc>
      </w:tr>
      <w:tr w:rsidR="00E93457" w14:paraId="3D13853B" w14:textId="77777777" w:rsidTr="00250B03">
        <w:tc>
          <w:tcPr>
            <w:tcW w:w="8926" w:type="dxa"/>
            <w:gridSpan w:val="6"/>
            <w:shd w:val="clear" w:color="auto" w:fill="D9D9D9" w:themeFill="background1" w:themeFillShade="D9"/>
            <w:tcMar>
              <w:left w:w="57" w:type="dxa"/>
              <w:right w:w="57" w:type="dxa"/>
            </w:tcMar>
          </w:tcPr>
          <w:p w14:paraId="385F5A2F" w14:textId="77777777"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flows</w:t>
            </w:r>
          </w:p>
        </w:tc>
      </w:tr>
      <w:tr w:rsidR="00E93457" w14:paraId="593774BC" w14:textId="77777777" w:rsidTr="00E93457">
        <w:tc>
          <w:tcPr>
            <w:tcW w:w="3341" w:type="dxa"/>
            <w:tcMar>
              <w:left w:w="57" w:type="dxa"/>
              <w:right w:w="57" w:type="dxa"/>
            </w:tcMar>
          </w:tcPr>
          <w:p w14:paraId="30EAFF34" w14:textId="77777777" w:rsidR="00E93457" w:rsidRPr="0046601E" w:rsidRDefault="00E93457"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190" w:type="dxa"/>
            <w:gridSpan w:val="2"/>
            <w:tcMar>
              <w:left w:w="57" w:type="dxa"/>
              <w:right w:w="57" w:type="dxa"/>
            </w:tcMar>
          </w:tcPr>
          <w:p w14:paraId="424D2E67"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25FA0E52"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05041EA8"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147" w:type="dxa"/>
            <w:gridSpan w:val="2"/>
            <w:tcMar>
              <w:left w:w="57" w:type="dxa"/>
              <w:right w:w="57" w:type="dxa"/>
            </w:tcMar>
          </w:tcPr>
          <w:p w14:paraId="0A18D5B9" w14:textId="77777777" w:rsidR="00E93457"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Winter 2017</w:t>
            </w:r>
          </w:p>
          <w:p w14:paraId="75CBC0A4" w14:textId="77777777" w:rsidR="00E93457" w:rsidRPr="0046601E" w:rsidRDefault="00E93457" w:rsidP="00E93457">
            <w:pPr>
              <w:spacing w:after="0" w:line="240" w:lineRule="auto"/>
              <w:jc w:val="left"/>
              <w:rPr>
                <w:rFonts w:asciiTheme="minorHAnsi" w:hAnsiTheme="minorHAnsi" w:cstheme="minorHAnsi"/>
                <w:sz w:val="18"/>
                <w:szCs w:val="18"/>
                <w:highlight w:val="yellow"/>
              </w:rPr>
            </w:pPr>
          </w:p>
        </w:tc>
        <w:tc>
          <w:tcPr>
            <w:tcW w:w="3248" w:type="dxa"/>
            <w:tcMar>
              <w:left w:w="57" w:type="dxa"/>
              <w:right w:w="57" w:type="dxa"/>
            </w:tcMar>
          </w:tcPr>
          <w:p w14:paraId="24AA5AC0"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Pr>
                <w:rFonts w:asciiTheme="minorHAnsi" w:hAnsiTheme="minorHAnsi" w:cstheme="minorHAnsi"/>
                <w:sz w:val="18"/>
                <w:szCs w:val="18"/>
              </w:rPr>
              <w:t xml:space="preserve"> CEWO </w:t>
            </w:r>
            <w:r w:rsidRPr="0046601E">
              <w:rPr>
                <w:rFonts w:asciiTheme="minorHAnsi" w:hAnsiTheme="minorHAnsi" w:cstheme="minorHAnsi"/>
                <w:sz w:val="18"/>
                <w:szCs w:val="18"/>
              </w:rPr>
              <w:t>held discu</w:t>
            </w:r>
            <w:r>
              <w:rPr>
                <w:rFonts w:asciiTheme="minorHAnsi" w:hAnsiTheme="minorHAnsi" w:cstheme="minorHAnsi"/>
                <w:sz w:val="18"/>
                <w:szCs w:val="18"/>
              </w:rPr>
              <w:t>ssions with stakeholder groups and management agencies</w:t>
            </w:r>
          </w:p>
          <w:p w14:paraId="3668454D" w14:textId="77777777" w:rsidR="00E93457" w:rsidRPr="0046601E" w:rsidRDefault="00E93457" w:rsidP="00E93457">
            <w:pPr>
              <w:spacing w:after="0" w:line="240" w:lineRule="auto"/>
              <w:jc w:val="left"/>
              <w:rPr>
                <w:rFonts w:asciiTheme="minorHAnsi" w:hAnsiTheme="minorHAnsi" w:cstheme="minorHAnsi"/>
                <w:sz w:val="18"/>
                <w:szCs w:val="18"/>
                <w:highlight w:val="yellow"/>
              </w:rPr>
            </w:pPr>
            <w:r>
              <w:rPr>
                <w:rFonts w:asciiTheme="minorHAnsi" w:hAnsiTheme="minorHAnsi" w:cstheme="minorHAnsi"/>
                <w:b/>
                <w:sz w:val="18"/>
                <w:szCs w:val="18"/>
              </w:rPr>
              <w:t>2017</w:t>
            </w:r>
            <w:r w:rsidRPr="0046601E">
              <w:rPr>
                <w:rFonts w:asciiTheme="minorHAnsi" w:hAnsiTheme="minorHAnsi" w:cstheme="minorHAnsi"/>
                <w:b/>
                <w:sz w:val="18"/>
                <w:szCs w:val="18"/>
              </w:rPr>
              <w:t>:</w:t>
            </w:r>
            <w:r w:rsidRPr="0046601E">
              <w:rPr>
                <w:rFonts w:asciiTheme="minorHAnsi" w:hAnsiTheme="minorHAnsi" w:cstheme="minorHAnsi"/>
                <w:sz w:val="18"/>
                <w:szCs w:val="18"/>
              </w:rPr>
              <w:t xml:space="preserve"> A continuous winter flow was implemented in Yallakool Creek,-Mid &amp; Lower Wakool River and the Colligen -Niemur system</w:t>
            </w:r>
            <w:r>
              <w:rPr>
                <w:rFonts w:asciiTheme="minorHAnsi" w:hAnsiTheme="minorHAnsi" w:cstheme="minorHAnsi"/>
                <w:sz w:val="18"/>
                <w:szCs w:val="18"/>
              </w:rPr>
              <w:t>.</w:t>
            </w:r>
          </w:p>
        </w:tc>
      </w:tr>
      <w:tr w:rsidR="00E93457" w14:paraId="66277025" w14:textId="77777777" w:rsidTr="00E93457">
        <w:tc>
          <w:tcPr>
            <w:tcW w:w="3341" w:type="dxa"/>
            <w:tcMar>
              <w:left w:w="57" w:type="dxa"/>
              <w:right w:w="57" w:type="dxa"/>
            </w:tcMar>
          </w:tcPr>
          <w:p w14:paraId="53FF58DF" w14:textId="77777777" w:rsidR="00E93457" w:rsidRDefault="00E93457" w:rsidP="0040642F">
            <w:pPr>
              <w:pStyle w:val="ListParagraph"/>
              <w:numPr>
                <w:ilvl w:val="0"/>
                <w:numId w:val="36"/>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 xml:space="preserve">Implement a second trial of continuous base winter environmental flow (no winter cease to flow) in the tributaries of the </w:t>
            </w:r>
            <w:r>
              <w:rPr>
                <w:rFonts w:asciiTheme="minorHAnsi" w:hAnsiTheme="minorHAnsi" w:cstheme="minorHAnsi"/>
                <w:sz w:val="18"/>
                <w:szCs w:val="18"/>
              </w:rPr>
              <w:t>Edward/Kolety-Wakool</w:t>
            </w:r>
            <w:r w:rsidRPr="00F858FA">
              <w:rPr>
                <w:rFonts w:asciiTheme="minorHAnsi" w:hAnsiTheme="minorHAnsi" w:cstheme="minorHAnsi"/>
                <w:sz w:val="18"/>
                <w:szCs w:val="18"/>
              </w:rPr>
              <w:t xml:space="preserve"> system to promote the temporal availability and continuity of instream habitat to benefit fish and other aquatic animals and assist the recovery of submerged aquatic plants in the system.</w:t>
            </w:r>
          </w:p>
          <w:p w14:paraId="3F86415D" w14:textId="1F0895CC" w:rsidR="00E93457" w:rsidRPr="004645A5" w:rsidRDefault="00E93457" w:rsidP="00E93457">
            <w:pPr>
              <w:shd w:val="clear" w:color="auto" w:fill="FFFFFF" w:themeFill="background1"/>
              <w:spacing w:after="0" w:line="240" w:lineRule="auto"/>
              <w:ind w:left="-23"/>
              <w:jc w:val="left"/>
              <w:rPr>
                <w:rFonts w:asciiTheme="minorHAnsi" w:hAnsiTheme="minorHAnsi" w:cstheme="minorHAnsi"/>
                <w:sz w:val="18"/>
                <w:szCs w:val="18"/>
              </w:rPr>
            </w:pPr>
          </w:p>
        </w:tc>
        <w:tc>
          <w:tcPr>
            <w:tcW w:w="1190" w:type="dxa"/>
            <w:gridSpan w:val="2"/>
            <w:tcMar>
              <w:left w:w="57" w:type="dxa"/>
              <w:right w:w="57" w:type="dxa"/>
            </w:tcMar>
          </w:tcPr>
          <w:p w14:paraId="1C866A4C" w14:textId="77777777"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(R2)</w:t>
            </w:r>
          </w:p>
        </w:tc>
        <w:tc>
          <w:tcPr>
            <w:tcW w:w="1147" w:type="dxa"/>
            <w:gridSpan w:val="2"/>
            <w:tcMar>
              <w:left w:w="57" w:type="dxa"/>
              <w:right w:w="57" w:type="dxa"/>
            </w:tcMar>
          </w:tcPr>
          <w:p w14:paraId="6BA8B375" w14:textId="77777777"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Winter 2019</w:t>
            </w:r>
          </w:p>
        </w:tc>
        <w:tc>
          <w:tcPr>
            <w:tcW w:w="3248" w:type="dxa"/>
            <w:tcMar>
              <w:left w:w="57" w:type="dxa"/>
              <w:right w:w="57" w:type="dxa"/>
            </w:tcMar>
          </w:tcPr>
          <w:p w14:paraId="41F98524" w14:textId="77777777" w:rsidR="00E93457" w:rsidRDefault="00E93457" w:rsidP="00E93457">
            <w:pPr>
              <w:spacing w:after="0" w:line="240" w:lineRule="auto"/>
              <w:jc w:val="left"/>
              <w:rPr>
                <w:rFonts w:asciiTheme="minorHAnsi" w:hAnsiTheme="minorHAnsi" w:cstheme="minorHAnsi"/>
                <w:b/>
                <w:sz w:val="18"/>
                <w:szCs w:val="18"/>
              </w:rPr>
            </w:pPr>
            <w:r>
              <w:rPr>
                <w:rFonts w:asciiTheme="minorHAnsi" w:hAnsiTheme="minorHAnsi" w:cstheme="minorHAnsi"/>
                <w:b/>
                <w:sz w:val="18"/>
                <w:szCs w:val="18"/>
              </w:rPr>
              <w:t>2018</w:t>
            </w:r>
            <w:r w:rsidRPr="0046601E">
              <w:rPr>
                <w:rFonts w:asciiTheme="minorHAnsi" w:hAnsiTheme="minorHAnsi" w:cstheme="minorHAnsi"/>
                <w:b/>
                <w:sz w:val="18"/>
                <w:szCs w:val="18"/>
              </w:rPr>
              <w:t>:</w:t>
            </w:r>
            <w:r w:rsidRPr="0046601E">
              <w:rPr>
                <w:rFonts w:asciiTheme="minorHAnsi" w:hAnsiTheme="minorHAnsi" w:cstheme="minorHAnsi"/>
                <w:sz w:val="18"/>
                <w:szCs w:val="18"/>
              </w:rPr>
              <w:t xml:space="preserve"> Winter watering was discussed during planning for 2018-19 but could not be delivered in </w:t>
            </w:r>
            <w:r>
              <w:rPr>
                <w:rFonts w:asciiTheme="minorHAnsi" w:hAnsiTheme="minorHAnsi" w:cstheme="minorHAnsi"/>
                <w:sz w:val="18"/>
                <w:szCs w:val="18"/>
              </w:rPr>
              <w:t xml:space="preserve">winter </w:t>
            </w:r>
            <w:r w:rsidRPr="0046601E">
              <w:rPr>
                <w:rFonts w:asciiTheme="minorHAnsi" w:hAnsiTheme="minorHAnsi" w:cstheme="minorHAnsi"/>
                <w:sz w:val="18"/>
                <w:szCs w:val="18"/>
              </w:rPr>
              <w:t xml:space="preserve">2018 due to maintenance of Stevens </w:t>
            </w:r>
            <w:r>
              <w:rPr>
                <w:rFonts w:asciiTheme="minorHAnsi" w:hAnsiTheme="minorHAnsi" w:cstheme="minorHAnsi"/>
                <w:sz w:val="18"/>
                <w:szCs w:val="18"/>
              </w:rPr>
              <w:t>W</w:t>
            </w:r>
            <w:r w:rsidRPr="0046601E">
              <w:rPr>
                <w:rFonts w:asciiTheme="minorHAnsi" w:hAnsiTheme="minorHAnsi" w:cstheme="minorHAnsi"/>
                <w:sz w:val="18"/>
                <w:szCs w:val="18"/>
              </w:rPr>
              <w:t>eir</w:t>
            </w:r>
            <w:r>
              <w:rPr>
                <w:rFonts w:asciiTheme="minorHAnsi" w:hAnsiTheme="minorHAnsi" w:cstheme="minorHAnsi"/>
                <w:sz w:val="18"/>
                <w:szCs w:val="18"/>
              </w:rPr>
              <w:t>.</w:t>
            </w:r>
          </w:p>
          <w:p w14:paraId="7AE50500" w14:textId="77777777" w:rsidR="00E93457" w:rsidRDefault="00E93457" w:rsidP="00E93457">
            <w:pPr>
              <w:spacing w:after="0" w:line="240" w:lineRule="auto"/>
              <w:jc w:val="left"/>
              <w:rPr>
                <w:rFonts w:asciiTheme="minorHAnsi" w:hAnsiTheme="minorHAnsi" w:cstheme="minorHAnsi"/>
                <w:sz w:val="18"/>
                <w:szCs w:val="18"/>
              </w:rPr>
            </w:pPr>
            <w:r w:rsidRPr="00480AA1">
              <w:rPr>
                <w:rFonts w:asciiTheme="minorHAnsi" w:hAnsiTheme="minorHAnsi" w:cstheme="minorHAnsi"/>
                <w:b/>
                <w:sz w:val="18"/>
                <w:szCs w:val="18"/>
              </w:rPr>
              <w:t>2</w:t>
            </w:r>
            <w:r>
              <w:rPr>
                <w:rFonts w:asciiTheme="minorHAnsi" w:hAnsiTheme="minorHAnsi" w:cstheme="minorHAnsi"/>
                <w:b/>
                <w:sz w:val="18"/>
                <w:szCs w:val="18"/>
              </w:rPr>
              <w:t>0</w:t>
            </w:r>
            <w:r w:rsidRPr="00480AA1">
              <w:rPr>
                <w:rFonts w:asciiTheme="minorHAnsi" w:hAnsiTheme="minorHAnsi" w:cstheme="minorHAnsi"/>
                <w:b/>
                <w:sz w:val="18"/>
                <w:szCs w:val="18"/>
              </w:rPr>
              <w:t>19:</w:t>
            </w:r>
            <w:r>
              <w:rPr>
                <w:rFonts w:asciiTheme="minorHAnsi" w:hAnsiTheme="minorHAnsi" w:cstheme="minorHAnsi"/>
                <w:sz w:val="18"/>
                <w:szCs w:val="18"/>
              </w:rPr>
              <w:t xml:space="preserve"> Second inter flow trial was implemented in winter 2019 commencing on </w:t>
            </w:r>
            <w:r w:rsidRPr="0050022D">
              <w:rPr>
                <w:rFonts w:asciiTheme="minorHAnsi" w:hAnsiTheme="minorHAnsi" w:cstheme="minorHAnsi"/>
                <w:sz w:val="18"/>
                <w:szCs w:val="18"/>
              </w:rPr>
              <w:t>16 May 2019. This action will continue into the 2019-20 water year and will be evaluated in the 2019-20 annual report.</w:t>
            </w:r>
          </w:p>
          <w:p w14:paraId="239B0827" w14:textId="77777777" w:rsidR="00E93457" w:rsidRDefault="00E93457" w:rsidP="00E93457">
            <w:pPr>
              <w:spacing w:after="0" w:line="240" w:lineRule="auto"/>
              <w:jc w:val="left"/>
              <w:rPr>
                <w:rFonts w:asciiTheme="minorHAnsi" w:hAnsiTheme="minorHAnsi" w:cstheme="minorHAnsi"/>
                <w:sz w:val="18"/>
                <w:szCs w:val="18"/>
              </w:rPr>
            </w:pPr>
            <w:r w:rsidRPr="00480AA1">
              <w:rPr>
                <w:rFonts w:asciiTheme="minorHAnsi" w:hAnsiTheme="minorHAnsi" w:cstheme="minorHAnsi"/>
                <w:b/>
                <w:sz w:val="18"/>
                <w:szCs w:val="18"/>
              </w:rPr>
              <w:t>2</w:t>
            </w:r>
            <w:r>
              <w:rPr>
                <w:rFonts w:asciiTheme="minorHAnsi" w:hAnsiTheme="minorHAnsi" w:cstheme="minorHAnsi"/>
                <w:b/>
                <w:sz w:val="18"/>
                <w:szCs w:val="18"/>
              </w:rPr>
              <w:t>020</w:t>
            </w:r>
            <w:r w:rsidRPr="00480AA1">
              <w:rPr>
                <w:rFonts w:asciiTheme="minorHAnsi" w:hAnsiTheme="minorHAnsi" w:cstheme="minorHAnsi"/>
                <w:b/>
                <w:sz w:val="18"/>
                <w:szCs w:val="18"/>
              </w:rPr>
              <w:t>:</w:t>
            </w:r>
            <w:r>
              <w:rPr>
                <w:rFonts w:asciiTheme="minorHAnsi" w:hAnsiTheme="minorHAnsi" w:cstheme="minorHAnsi"/>
                <w:sz w:val="18"/>
                <w:szCs w:val="18"/>
              </w:rPr>
              <w:t xml:space="preserve"> Winter flows occurred during winter 2020 due to operational flows and unregulated flows (no environmental water). This action will continue into 2020-21</w:t>
            </w:r>
            <w:r w:rsidRPr="0050022D">
              <w:rPr>
                <w:rFonts w:asciiTheme="minorHAnsi" w:hAnsiTheme="minorHAnsi" w:cstheme="minorHAnsi"/>
                <w:sz w:val="18"/>
                <w:szCs w:val="18"/>
              </w:rPr>
              <w:t xml:space="preserve"> water year a</w:t>
            </w:r>
            <w:r>
              <w:rPr>
                <w:rFonts w:asciiTheme="minorHAnsi" w:hAnsiTheme="minorHAnsi" w:cstheme="minorHAnsi"/>
                <w:sz w:val="18"/>
                <w:szCs w:val="18"/>
              </w:rPr>
              <w:t>nd will be evaluated in the 2020-21</w:t>
            </w:r>
            <w:r w:rsidRPr="0050022D">
              <w:rPr>
                <w:rFonts w:asciiTheme="minorHAnsi" w:hAnsiTheme="minorHAnsi" w:cstheme="minorHAnsi"/>
                <w:sz w:val="18"/>
                <w:szCs w:val="18"/>
              </w:rPr>
              <w:t xml:space="preserve"> annual report</w:t>
            </w:r>
            <w:r>
              <w:rPr>
                <w:rFonts w:asciiTheme="minorHAnsi" w:hAnsiTheme="minorHAnsi" w:cstheme="minorHAnsi"/>
                <w:sz w:val="18"/>
                <w:szCs w:val="18"/>
              </w:rPr>
              <w:t xml:space="preserve"> </w:t>
            </w:r>
          </w:p>
          <w:p w14:paraId="1C7596D0" w14:textId="3FE94324" w:rsidR="00067FC1" w:rsidRPr="0046601E" w:rsidRDefault="00067FC1" w:rsidP="00E93457">
            <w:pPr>
              <w:spacing w:after="0" w:line="240" w:lineRule="auto"/>
              <w:jc w:val="left"/>
              <w:rPr>
                <w:rFonts w:asciiTheme="minorHAnsi" w:hAnsiTheme="minorHAnsi" w:cstheme="minorHAnsi"/>
                <w:sz w:val="18"/>
                <w:szCs w:val="18"/>
              </w:rPr>
            </w:pPr>
          </w:p>
        </w:tc>
      </w:tr>
      <w:tr w:rsidR="00E93457" w14:paraId="0F0675D9" w14:textId="77777777" w:rsidTr="00250B03">
        <w:tc>
          <w:tcPr>
            <w:tcW w:w="8926" w:type="dxa"/>
            <w:gridSpan w:val="6"/>
            <w:shd w:val="clear" w:color="auto" w:fill="D9D9D9" w:themeFill="background1" w:themeFillShade="D9"/>
            <w:tcMar>
              <w:left w:w="57" w:type="dxa"/>
              <w:right w:w="57" w:type="dxa"/>
            </w:tcMar>
          </w:tcPr>
          <w:p w14:paraId="12061954" w14:textId="77777777" w:rsidR="00E93457" w:rsidRPr="00480AA1"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 variability</w:t>
            </w:r>
          </w:p>
        </w:tc>
      </w:tr>
      <w:tr w:rsidR="00E93457" w14:paraId="66EA23B3" w14:textId="77777777" w:rsidTr="00E93457">
        <w:tc>
          <w:tcPr>
            <w:tcW w:w="3341" w:type="dxa"/>
            <w:tcMar>
              <w:left w:w="57" w:type="dxa"/>
              <w:right w:w="57" w:type="dxa"/>
            </w:tcMar>
          </w:tcPr>
          <w:p w14:paraId="69C50828" w14:textId="77777777" w:rsidR="00E93457" w:rsidRDefault="00E93457"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p w14:paraId="719F8676" w14:textId="77777777" w:rsidR="00E93457" w:rsidRPr="00E93457" w:rsidRDefault="00E93457" w:rsidP="00E93457">
            <w:pPr>
              <w:spacing w:after="0" w:line="240" w:lineRule="auto"/>
              <w:jc w:val="left"/>
              <w:rPr>
                <w:rFonts w:asciiTheme="minorHAnsi" w:hAnsiTheme="minorHAnsi" w:cstheme="minorHAnsi"/>
                <w:sz w:val="18"/>
                <w:szCs w:val="18"/>
              </w:rPr>
            </w:pPr>
          </w:p>
          <w:p w14:paraId="0D948C39" w14:textId="77777777" w:rsidR="00E93457" w:rsidRDefault="00E93457" w:rsidP="00E93457">
            <w:pPr>
              <w:spacing w:after="0" w:line="240" w:lineRule="auto"/>
              <w:ind w:left="246"/>
              <w:jc w:val="left"/>
              <w:rPr>
                <w:rFonts w:asciiTheme="minorHAnsi" w:hAnsiTheme="minorHAnsi" w:cstheme="minorHAnsi"/>
                <w:sz w:val="18"/>
                <w:szCs w:val="18"/>
              </w:rPr>
            </w:pPr>
            <w:r w:rsidRPr="00E93457">
              <w:rPr>
                <w:rFonts w:asciiTheme="minorHAnsi" w:hAnsiTheme="minorHAnsi" w:cstheme="minorHAnsi"/>
                <w:sz w:val="18"/>
                <w:szCs w:val="18"/>
              </w:rPr>
              <w:t>Include variation in the timing of environmental watering actions among water years to promote the temporal availability and continuity of instream habitat to benefit fish and other aquatic animals and assist the recovery of submerged aquatic plants in the system.</w:t>
            </w:r>
          </w:p>
          <w:p w14:paraId="05E3C081" w14:textId="46D6E562" w:rsidR="00067FC1" w:rsidRPr="00E93457" w:rsidRDefault="00067FC1" w:rsidP="00E93457">
            <w:pPr>
              <w:spacing w:after="0" w:line="240" w:lineRule="auto"/>
              <w:ind w:left="246"/>
              <w:jc w:val="left"/>
              <w:rPr>
                <w:rFonts w:asciiTheme="minorHAnsi" w:hAnsiTheme="minorHAnsi" w:cstheme="minorHAnsi"/>
                <w:sz w:val="18"/>
                <w:szCs w:val="18"/>
              </w:rPr>
            </w:pPr>
          </w:p>
        </w:tc>
        <w:tc>
          <w:tcPr>
            <w:tcW w:w="1190" w:type="dxa"/>
            <w:gridSpan w:val="2"/>
            <w:tcMar>
              <w:left w:w="57" w:type="dxa"/>
              <w:right w:w="57" w:type="dxa"/>
            </w:tcMar>
          </w:tcPr>
          <w:p w14:paraId="0D5CD0F6"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36819356" w14:textId="77777777" w:rsidR="00E93457"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(R5)</w:t>
            </w:r>
          </w:p>
          <w:p w14:paraId="23FE110D" w14:textId="77777777" w:rsidR="00E93457" w:rsidRDefault="00E93457" w:rsidP="00E93457">
            <w:pPr>
              <w:spacing w:after="0" w:line="240" w:lineRule="auto"/>
              <w:jc w:val="left"/>
              <w:rPr>
                <w:rFonts w:asciiTheme="minorHAnsi" w:hAnsiTheme="minorHAnsi" w:cstheme="minorHAnsi"/>
                <w:sz w:val="18"/>
                <w:szCs w:val="18"/>
              </w:rPr>
            </w:pPr>
          </w:p>
          <w:p w14:paraId="64E0EC26" w14:textId="77777777" w:rsidR="00E93457" w:rsidRDefault="00E93457" w:rsidP="00E93457">
            <w:pPr>
              <w:spacing w:after="0" w:line="240" w:lineRule="auto"/>
              <w:jc w:val="left"/>
              <w:rPr>
                <w:rFonts w:asciiTheme="minorHAnsi" w:hAnsiTheme="minorHAnsi" w:cstheme="minorHAnsi"/>
                <w:sz w:val="18"/>
                <w:szCs w:val="18"/>
              </w:rPr>
            </w:pPr>
          </w:p>
          <w:p w14:paraId="3CC91468" w14:textId="09EBC483"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 (R2)</w:t>
            </w:r>
          </w:p>
        </w:tc>
        <w:tc>
          <w:tcPr>
            <w:tcW w:w="1147" w:type="dxa"/>
            <w:gridSpan w:val="2"/>
            <w:tcMar>
              <w:left w:w="57" w:type="dxa"/>
              <w:right w:w="57" w:type="dxa"/>
            </w:tcMar>
          </w:tcPr>
          <w:p w14:paraId="0920A59D"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447E249E"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160DB72E" w14:textId="77777777" w:rsidR="00E93457"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2018-19</w:t>
            </w:r>
          </w:p>
          <w:p w14:paraId="2739210D" w14:textId="77777777" w:rsidR="00E93457" w:rsidRDefault="00E93457" w:rsidP="00E93457">
            <w:pPr>
              <w:spacing w:after="0" w:line="240" w:lineRule="auto"/>
              <w:jc w:val="left"/>
              <w:rPr>
                <w:rFonts w:asciiTheme="minorHAnsi" w:hAnsiTheme="minorHAnsi" w:cstheme="minorHAnsi"/>
                <w:sz w:val="18"/>
                <w:szCs w:val="18"/>
              </w:rPr>
            </w:pPr>
          </w:p>
          <w:p w14:paraId="364F9E29" w14:textId="77777777" w:rsidR="00E93457" w:rsidRPr="0046601E" w:rsidRDefault="00E93457" w:rsidP="00E93457">
            <w:pPr>
              <w:spacing w:after="0" w:line="240" w:lineRule="auto"/>
              <w:jc w:val="left"/>
              <w:rPr>
                <w:rFonts w:asciiTheme="minorHAnsi" w:hAnsiTheme="minorHAnsi" w:cstheme="minorHAnsi"/>
                <w:sz w:val="18"/>
                <w:szCs w:val="18"/>
              </w:rPr>
            </w:pPr>
          </w:p>
        </w:tc>
        <w:tc>
          <w:tcPr>
            <w:tcW w:w="3248" w:type="dxa"/>
            <w:tcMar>
              <w:left w:w="57" w:type="dxa"/>
              <w:right w:w="57" w:type="dxa"/>
            </w:tcMar>
          </w:tcPr>
          <w:p w14:paraId="27735FCA"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2015-16</w:t>
            </w:r>
            <w:r w:rsidRPr="0046601E">
              <w:rPr>
                <w:rFonts w:asciiTheme="minorHAnsi" w:hAnsiTheme="minorHAnsi" w:cstheme="minorHAnsi"/>
                <w:sz w:val="18"/>
                <w:szCs w:val="18"/>
              </w:rPr>
              <w:t xml:space="preserve"> </w:t>
            </w:r>
            <w:r>
              <w:rPr>
                <w:rFonts w:asciiTheme="minorHAnsi" w:hAnsiTheme="minorHAnsi" w:cstheme="minorHAnsi"/>
                <w:sz w:val="18"/>
                <w:szCs w:val="18"/>
              </w:rPr>
              <w:t xml:space="preserve">Flow variability </w:t>
            </w:r>
            <w:r w:rsidRPr="0046601E">
              <w:rPr>
                <w:rFonts w:asciiTheme="minorHAnsi" w:hAnsiTheme="minorHAnsi" w:cstheme="minorHAnsi"/>
                <w:sz w:val="18"/>
                <w:szCs w:val="18"/>
              </w:rPr>
              <w:t>was provided the river operator with an ‘operational range’.</w:t>
            </w:r>
          </w:p>
          <w:p w14:paraId="102E9A82" w14:textId="77777777" w:rsidR="00E93457" w:rsidRPr="0046601E" w:rsidRDefault="00E93457" w:rsidP="00E93457">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 and 2017-18</w:t>
            </w:r>
            <w:r w:rsidRPr="0046601E">
              <w:rPr>
                <w:rFonts w:asciiTheme="minorHAnsi" w:hAnsiTheme="minorHAnsi" w:cstheme="minorHAnsi"/>
                <w:sz w:val="18"/>
                <w:szCs w:val="18"/>
              </w:rPr>
              <w:t xml:space="preserve"> this has been applied by including variability in the watering plan.</w:t>
            </w:r>
          </w:p>
        </w:tc>
      </w:tr>
      <w:tr w:rsidR="00E93457" w14:paraId="5272DFE7" w14:textId="77777777" w:rsidTr="00E93457">
        <w:tc>
          <w:tcPr>
            <w:tcW w:w="3341" w:type="dxa"/>
            <w:tcMar>
              <w:left w:w="57" w:type="dxa"/>
              <w:right w:w="57" w:type="dxa"/>
            </w:tcMar>
          </w:tcPr>
          <w:p w14:paraId="3F6865E4" w14:textId="77777777" w:rsidR="00E93457" w:rsidRPr="0046601E" w:rsidRDefault="00E93457" w:rsidP="0040642F">
            <w:pPr>
              <w:pStyle w:val="ListParagraph"/>
              <w:numPr>
                <w:ilvl w:val="0"/>
                <w:numId w:val="36"/>
              </w:numPr>
              <w:shd w:val="clear" w:color="auto" w:fill="FFFFFF" w:themeFill="background1"/>
              <w:spacing w:after="0" w:line="240" w:lineRule="auto"/>
              <w:ind w:left="272" w:hanging="295"/>
              <w:jc w:val="left"/>
              <w:rPr>
                <w:rFonts w:asciiTheme="minorHAnsi" w:hAnsiTheme="minorHAnsi" w:cstheme="minorHAnsi"/>
                <w:sz w:val="18"/>
                <w:szCs w:val="18"/>
              </w:rPr>
            </w:pPr>
            <w:r w:rsidRPr="00F858FA">
              <w:rPr>
                <w:rFonts w:asciiTheme="minorHAnsi" w:hAnsiTheme="minorHAnsi" w:cstheme="minorHAnsi"/>
                <w:sz w:val="18"/>
                <w:szCs w:val="18"/>
              </w:rPr>
              <w:t>Implement environmental watering actions for freshes in spring and early summer (October to December) that include flow variability up to a magnitude of + 125 to 150 ML/d. Undertake trials to improve understanding of the magnitude of variability that provides beneficial ecosystem outcomes.</w:t>
            </w:r>
          </w:p>
        </w:tc>
        <w:tc>
          <w:tcPr>
            <w:tcW w:w="1190" w:type="dxa"/>
            <w:gridSpan w:val="2"/>
            <w:tcMar>
              <w:left w:w="57" w:type="dxa"/>
              <w:right w:w="57" w:type="dxa"/>
            </w:tcMar>
          </w:tcPr>
          <w:p w14:paraId="2319A9D5" w14:textId="77777777" w:rsidR="00E93457" w:rsidRPr="0046601E" w:rsidRDefault="00E93457"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(R1)</w:t>
            </w:r>
          </w:p>
        </w:tc>
        <w:tc>
          <w:tcPr>
            <w:tcW w:w="1147" w:type="dxa"/>
            <w:gridSpan w:val="2"/>
            <w:tcMar>
              <w:left w:w="57" w:type="dxa"/>
              <w:right w:w="57" w:type="dxa"/>
            </w:tcMar>
          </w:tcPr>
          <w:p w14:paraId="2A95073A" w14:textId="77777777" w:rsidR="00E93457" w:rsidRPr="0046601E" w:rsidRDefault="00E93457" w:rsidP="00E93457">
            <w:pPr>
              <w:spacing w:after="0" w:line="240" w:lineRule="auto"/>
              <w:jc w:val="left"/>
              <w:rPr>
                <w:rFonts w:asciiTheme="minorHAnsi" w:hAnsiTheme="minorHAnsi" w:cstheme="minorHAnsi"/>
                <w:sz w:val="18"/>
                <w:szCs w:val="18"/>
              </w:rPr>
            </w:pPr>
          </w:p>
        </w:tc>
        <w:tc>
          <w:tcPr>
            <w:tcW w:w="3248" w:type="dxa"/>
            <w:tcMar>
              <w:left w:w="57" w:type="dxa"/>
              <w:right w:w="57" w:type="dxa"/>
            </w:tcMar>
          </w:tcPr>
          <w:p w14:paraId="32431469" w14:textId="064279D3" w:rsidR="00E93457" w:rsidRPr="0046601E" w:rsidRDefault="00E93457" w:rsidP="00E93457">
            <w:pPr>
              <w:spacing w:after="0" w:line="240" w:lineRule="auto"/>
              <w:jc w:val="left"/>
              <w:rPr>
                <w:rFonts w:asciiTheme="minorHAnsi" w:hAnsiTheme="minorHAnsi" w:cstheme="minorHAnsi"/>
                <w:sz w:val="18"/>
                <w:szCs w:val="18"/>
              </w:rPr>
            </w:pPr>
            <w:r w:rsidRPr="00F858FA">
              <w:rPr>
                <w:rFonts w:asciiTheme="minorHAnsi" w:hAnsiTheme="minorHAnsi" w:cstheme="minorHAnsi"/>
                <w:sz w:val="18"/>
                <w:szCs w:val="18"/>
              </w:rPr>
              <w:t xml:space="preserve">Watering actions were planned for spring 2018 that include multiple pulses in Yallakool Creek with discharge ranging from 430 to 550 ML/d, over a range of approximately 20 cm change in water level. However, this was not implemented because during spring 2018 CEWO actions were suspended due to lack of operational capacity to </w:t>
            </w:r>
            <w:r>
              <w:rPr>
                <w:rFonts w:asciiTheme="minorHAnsi" w:hAnsiTheme="minorHAnsi" w:cstheme="minorHAnsi"/>
                <w:sz w:val="18"/>
                <w:szCs w:val="18"/>
              </w:rPr>
              <w:t>deliver</w:t>
            </w:r>
            <w:r w:rsidRPr="00F858FA">
              <w:rPr>
                <w:rFonts w:asciiTheme="minorHAnsi" w:hAnsiTheme="minorHAnsi" w:cstheme="minorHAnsi"/>
                <w:sz w:val="18"/>
                <w:szCs w:val="18"/>
              </w:rPr>
              <w:t xml:space="preserve"> environmental water in the system.</w:t>
            </w:r>
          </w:p>
        </w:tc>
      </w:tr>
      <w:tr w:rsidR="0011264C" w14:paraId="051318CD" w14:textId="77777777" w:rsidTr="00250B03">
        <w:tc>
          <w:tcPr>
            <w:tcW w:w="8926" w:type="dxa"/>
            <w:gridSpan w:val="6"/>
            <w:shd w:val="clear" w:color="auto" w:fill="D9D9D9" w:themeFill="background1" w:themeFillShade="D9"/>
            <w:tcMar>
              <w:left w:w="57" w:type="dxa"/>
              <w:right w:w="57" w:type="dxa"/>
            </w:tcMar>
          </w:tcPr>
          <w:p w14:paraId="5CF383C6" w14:textId="53453CC4" w:rsidR="0011264C" w:rsidRDefault="0011264C" w:rsidP="00E93457">
            <w:pPr>
              <w:spacing w:after="0" w:line="240" w:lineRule="auto"/>
              <w:jc w:val="left"/>
              <w:rPr>
                <w:rFonts w:asciiTheme="minorHAnsi" w:hAnsiTheme="minorHAnsi" w:cstheme="minorHAnsi"/>
                <w:sz w:val="18"/>
                <w:szCs w:val="18"/>
              </w:rPr>
            </w:pPr>
            <w:r>
              <w:rPr>
                <w:rFonts w:asciiTheme="minorHAnsi" w:hAnsiTheme="minorHAnsi" w:cstheme="minorHAnsi"/>
                <w:sz w:val="18"/>
                <w:szCs w:val="18"/>
              </w:rPr>
              <w:t>Timing of flows</w:t>
            </w:r>
          </w:p>
        </w:tc>
      </w:tr>
      <w:tr w:rsidR="0011264C" w14:paraId="219918B4" w14:textId="77777777" w:rsidTr="0011264C">
        <w:tc>
          <w:tcPr>
            <w:tcW w:w="3355" w:type="dxa"/>
            <w:gridSpan w:val="2"/>
            <w:shd w:val="clear" w:color="auto" w:fill="auto"/>
            <w:tcMar>
              <w:left w:w="57" w:type="dxa"/>
              <w:right w:w="57" w:type="dxa"/>
            </w:tcMar>
          </w:tcPr>
          <w:p w14:paraId="68F808D4" w14:textId="03C4E32B" w:rsidR="0011264C" w:rsidRDefault="0011264C"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11264C">
              <w:rPr>
                <w:rFonts w:asciiTheme="minorHAnsi" w:hAnsiTheme="minorHAnsi" w:cstheme="minorHAnsi"/>
                <w:sz w:val="18"/>
                <w:szCs w:val="18"/>
              </w:rPr>
              <w:t>Explore options to implement in-channel pulses at any time of the year to connect additional in-channel habitats and increase river productivity.</w:t>
            </w:r>
          </w:p>
        </w:tc>
        <w:tc>
          <w:tcPr>
            <w:tcW w:w="1176" w:type="dxa"/>
            <w:shd w:val="clear" w:color="auto" w:fill="auto"/>
          </w:tcPr>
          <w:p w14:paraId="0E779971" w14:textId="32FCD2B0" w:rsidR="0011264C" w:rsidRDefault="0011264C" w:rsidP="0011264C">
            <w:pPr>
              <w:spacing w:after="0" w:line="240" w:lineRule="auto"/>
              <w:ind w:left="-80"/>
              <w:jc w:val="left"/>
              <w:rPr>
                <w:rFonts w:asciiTheme="minorHAnsi" w:hAnsiTheme="minorHAnsi" w:cstheme="minorHAnsi"/>
                <w:sz w:val="18"/>
                <w:szCs w:val="18"/>
              </w:rPr>
            </w:pPr>
            <w:r>
              <w:rPr>
                <w:rFonts w:asciiTheme="minorHAnsi" w:hAnsiTheme="minorHAnsi" w:cstheme="minorHAnsi"/>
                <w:sz w:val="18"/>
                <w:szCs w:val="18"/>
              </w:rPr>
              <w:t>2018-19 (R4)</w:t>
            </w:r>
          </w:p>
        </w:tc>
        <w:tc>
          <w:tcPr>
            <w:tcW w:w="1147" w:type="dxa"/>
            <w:gridSpan w:val="2"/>
            <w:shd w:val="clear" w:color="auto" w:fill="auto"/>
            <w:tcMar>
              <w:left w:w="57" w:type="dxa"/>
              <w:right w:w="57" w:type="dxa"/>
            </w:tcMar>
          </w:tcPr>
          <w:p w14:paraId="1D463129" w14:textId="1B742E8A" w:rsidR="0011264C"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shd w:val="clear" w:color="auto" w:fill="auto"/>
          </w:tcPr>
          <w:p w14:paraId="697AA858" w14:textId="532A1C07" w:rsidR="0011264C"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The opportunity to action this recommendation has not yet arisen.</w:t>
            </w:r>
          </w:p>
        </w:tc>
      </w:tr>
      <w:tr w:rsidR="0011264C" w14:paraId="73AF6D18" w14:textId="77777777" w:rsidTr="00250B03">
        <w:tc>
          <w:tcPr>
            <w:tcW w:w="8926" w:type="dxa"/>
            <w:gridSpan w:val="6"/>
            <w:shd w:val="clear" w:color="auto" w:fill="D9D9D9" w:themeFill="background1" w:themeFillShade="D9"/>
            <w:tcMar>
              <w:left w:w="57" w:type="dxa"/>
              <w:right w:w="57" w:type="dxa"/>
            </w:tcMar>
          </w:tcPr>
          <w:p w14:paraId="1C048001"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Flows to mitigate poor water quality events</w:t>
            </w:r>
          </w:p>
        </w:tc>
      </w:tr>
      <w:tr w:rsidR="0011264C" w14:paraId="33EF6D54" w14:textId="77777777" w:rsidTr="00E93457">
        <w:tc>
          <w:tcPr>
            <w:tcW w:w="3341" w:type="dxa"/>
            <w:tcMar>
              <w:left w:w="57" w:type="dxa"/>
              <w:right w:w="57" w:type="dxa"/>
            </w:tcMar>
          </w:tcPr>
          <w:p w14:paraId="2BF91D8B" w14:textId="77777777" w:rsidR="0011264C" w:rsidRPr="0046601E" w:rsidRDefault="0011264C"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190" w:type="dxa"/>
            <w:gridSpan w:val="2"/>
            <w:tcMar>
              <w:left w:w="57" w:type="dxa"/>
              <w:right w:w="57" w:type="dxa"/>
            </w:tcMar>
          </w:tcPr>
          <w:p w14:paraId="0EEF1FA9"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069E58C9"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03C0C7F4" w14:textId="77777777" w:rsidR="0011264C" w:rsidRPr="0046601E" w:rsidRDefault="0011264C" w:rsidP="0011264C">
            <w:pPr>
              <w:spacing w:after="0" w:line="240" w:lineRule="auto"/>
              <w:jc w:val="left"/>
              <w:rPr>
                <w:rFonts w:asciiTheme="minorHAnsi" w:hAnsiTheme="minorHAnsi" w:cstheme="minorHAnsi"/>
                <w:sz w:val="18"/>
                <w:szCs w:val="18"/>
              </w:rPr>
            </w:pPr>
          </w:p>
        </w:tc>
        <w:tc>
          <w:tcPr>
            <w:tcW w:w="1147" w:type="dxa"/>
            <w:gridSpan w:val="2"/>
            <w:tcMar>
              <w:left w:w="57" w:type="dxa"/>
              <w:right w:w="57" w:type="dxa"/>
            </w:tcMar>
          </w:tcPr>
          <w:p w14:paraId="15C38035"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w:t>
            </w:r>
          </w:p>
          <w:p w14:paraId="081A3D4F"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71AEC12F"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58361ED6" w14:textId="77777777" w:rsidR="0011264C"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w:t>
            </w:r>
            <w:r>
              <w:rPr>
                <w:rFonts w:asciiTheme="minorHAnsi" w:hAnsiTheme="minorHAnsi" w:cstheme="minorHAnsi"/>
                <w:sz w:val="18"/>
                <w:szCs w:val="18"/>
              </w:rPr>
              <w:t>7</w:t>
            </w:r>
            <w:r w:rsidRPr="0046601E">
              <w:rPr>
                <w:rFonts w:asciiTheme="minorHAnsi" w:hAnsiTheme="minorHAnsi" w:cstheme="minorHAnsi"/>
                <w:sz w:val="18"/>
                <w:szCs w:val="18"/>
              </w:rPr>
              <w:t>-1</w:t>
            </w:r>
            <w:r>
              <w:rPr>
                <w:rFonts w:asciiTheme="minorHAnsi" w:hAnsiTheme="minorHAnsi" w:cstheme="minorHAnsi"/>
                <w:sz w:val="18"/>
                <w:szCs w:val="18"/>
              </w:rPr>
              <w:t>8</w:t>
            </w:r>
          </w:p>
          <w:p w14:paraId="2F49CDD6"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2018-19</w:t>
            </w:r>
          </w:p>
        </w:tc>
        <w:tc>
          <w:tcPr>
            <w:tcW w:w="3248" w:type="dxa"/>
            <w:tcMar>
              <w:left w:w="57" w:type="dxa"/>
              <w:right w:w="57" w:type="dxa"/>
            </w:tcMar>
          </w:tcPr>
          <w:p w14:paraId="6D8BFB59" w14:textId="77777777" w:rsidR="0011264C"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Contingency flows have been made available to contribute to responses to hypoxic blackwater events or other poor water quality events should they occur.</w:t>
            </w:r>
            <w:r>
              <w:rPr>
                <w:rFonts w:asciiTheme="minorHAnsi" w:hAnsiTheme="minorHAnsi" w:cstheme="minorHAnsi"/>
                <w:sz w:val="18"/>
                <w:szCs w:val="18"/>
              </w:rPr>
              <w:t xml:space="preserve"> This allowance has been used on several occasions to deliver flows.</w:t>
            </w:r>
          </w:p>
          <w:p w14:paraId="3D6A5944" w14:textId="77777777" w:rsidR="00067FC1" w:rsidRPr="0046601E" w:rsidRDefault="00067FC1" w:rsidP="0011264C">
            <w:pPr>
              <w:spacing w:after="0" w:line="240" w:lineRule="auto"/>
              <w:jc w:val="left"/>
              <w:rPr>
                <w:rFonts w:asciiTheme="minorHAnsi" w:hAnsiTheme="minorHAnsi" w:cstheme="minorHAnsi"/>
                <w:sz w:val="18"/>
                <w:szCs w:val="18"/>
              </w:rPr>
            </w:pPr>
          </w:p>
        </w:tc>
      </w:tr>
      <w:tr w:rsidR="0011264C" w14:paraId="048E0BED" w14:textId="77777777" w:rsidTr="00E93457">
        <w:tc>
          <w:tcPr>
            <w:tcW w:w="3341" w:type="dxa"/>
            <w:tcMar>
              <w:left w:w="57" w:type="dxa"/>
              <w:right w:w="57" w:type="dxa"/>
            </w:tcMar>
          </w:tcPr>
          <w:p w14:paraId="39CA6E97" w14:textId="77777777" w:rsidR="0011264C" w:rsidRDefault="0011264C" w:rsidP="0040642F">
            <w:pPr>
              <w:pStyle w:val="ListParagraph"/>
              <w:numPr>
                <w:ilvl w:val="0"/>
                <w:numId w:val="36"/>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w:t>
            </w:r>
            <w:r>
              <w:rPr>
                <w:rFonts w:asciiTheme="minorHAnsi" w:hAnsiTheme="minorHAnsi" w:cstheme="minorHAnsi"/>
                <w:iCs/>
                <w:sz w:val="18"/>
                <w:szCs w:val="18"/>
              </w:rPr>
              <w:t>DO</w:t>
            </w:r>
            <w:r w:rsidRPr="0046601E">
              <w:rPr>
                <w:rFonts w:asciiTheme="minorHAnsi" w:hAnsiTheme="minorHAnsi" w:cstheme="minorHAnsi"/>
                <w:iCs/>
                <w:sz w:val="18"/>
                <w:szCs w:val="18"/>
              </w:rPr>
              <w:t xml:space="preserve">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p w14:paraId="03421160" w14:textId="2C8F75E0" w:rsidR="0011264C" w:rsidRPr="004645A5" w:rsidRDefault="0011264C" w:rsidP="0011264C">
            <w:pPr>
              <w:spacing w:after="0" w:line="240" w:lineRule="auto"/>
              <w:jc w:val="left"/>
              <w:rPr>
                <w:rFonts w:asciiTheme="minorHAnsi" w:hAnsiTheme="minorHAnsi" w:cstheme="minorHAnsi"/>
                <w:iCs/>
                <w:sz w:val="18"/>
                <w:szCs w:val="18"/>
              </w:rPr>
            </w:pPr>
          </w:p>
        </w:tc>
        <w:tc>
          <w:tcPr>
            <w:tcW w:w="1190" w:type="dxa"/>
            <w:gridSpan w:val="2"/>
            <w:tcMar>
              <w:left w:w="57" w:type="dxa"/>
              <w:right w:w="57" w:type="dxa"/>
            </w:tcMar>
          </w:tcPr>
          <w:p w14:paraId="18A14BE5"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147" w:type="dxa"/>
            <w:gridSpan w:val="2"/>
            <w:tcMar>
              <w:left w:w="57" w:type="dxa"/>
              <w:right w:w="57" w:type="dxa"/>
            </w:tcMar>
          </w:tcPr>
          <w:p w14:paraId="7EE9569F"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58AD1F13" w14:textId="000F7BC6"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Over time the CEWO has implemented a greater variety of timing of flows, including series of flows from late winter/early spring through to autumn</w:t>
            </w:r>
          </w:p>
        </w:tc>
      </w:tr>
      <w:tr w:rsidR="0011264C" w14:paraId="47E434B1" w14:textId="77777777" w:rsidTr="00250B03">
        <w:tc>
          <w:tcPr>
            <w:tcW w:w="8926" w:type="dxa"/>
            <w:gridSpan w:val="6"/>
            <w:shd w:val="clear" w:color="auto" w:fill="D9D9D9" w:themeFill="background1" w:themeFillShade="D9"/>
            <w:tcMar>
              <w:left w:w="57" w:type="dxa"/>
              <w:right w:w="57" w:type="dxa"/>
            </w:tcMar>
          </w:tcPr>
          <w:p w14:paraId="586C256A" w14:textId="77777777" w:rsidR="0011264C" w:rsidRPr="00607332" w:rsidRDefault="0011264C" w:rsidP="0011264C">
            <w:pPr>
              <w:spacing w:after="0" w:line="240" w:lineRule="auto"/>
              <w:jc w:val="left"/>
              <w:rPr>
                <w:rFonts w:asciiTheme="minorHAnsi" w:hAnsiTheme="minorHAnsi" w:cstheme="minorHAnsi"/>
                <w:sz w:val="18"/>
                <w:szCs w:val="18"/>
              </w:rPr>
            </w:pPr>
            <w:r w:rsidRPr="00607332">
              <w:rPr>
                <w:rFonts w:asciiTheme="minorHAnsi" w:hAnsiTheme="minorHAnsi" w:cstheme="minorHAnsi"/>
                <w:sz w:val="18"/>
                <w:szCs w:val="18"/>
              </w:rPr>
              <w:t>Flows through forests and/or floodplain</w:t>
            </w:r>
            <w:r>
              <w:rPr>
                <w:rFonts w:asciiTheme="minorHAnsi" w:hAnsiTheme="minorHAnsi" w:cstheme="minorHAnsi"/>
                <w:sz w:val="18"/>
                <w:szCs w:val="18"/>
              </w:rPr>
              <w:t>s</w:t>
            </w:r>
          </w:p>
        </w:tc>
      </w:tr>
      <w:tr w:rsidR="0011264C" w14:paraId="1F8AE93C" w14:textId="77777777" w:rsidTr="00E93457">
        <w:tc>
          <w:tcPr>
            <w:tcW w:w="3341" w:type="dxa"/>
            <w:tcMar>
              <w:left w:w="57" w:type="dxa"/>
              <w:right w:w="57" w:type="dxa"/>
            </w:tcMar>
          </w:tcPr>
          <w:p w14:paraId="53BB7DC9" w14:textId="77777777" w:rsidR="0011264C" w:rsidRDefault="0011264C" w:rsidP="0040642F">
            <w:pPr>
              <w:pStyle w:val="ListParagraph"/>
              <w:numPr>
                <w:ilvl w:val="0"/>
                <w:numId w:val="36"/>
              </w:numPr>
              <w:shd w:val="clear" w:color="auto" w:fill="FFFFFF" w:themeFill="background1"/>
              <w:spacing w:after="0" w:line="240" w:lineRule="auto"/>
              <w:ind w:left="272" w:hanging="295"/>
              <w:jc w:val="left"/>
              <w:rPr>
                <w:rFonts w:asciiTheme="minorHAnsi" w:hAnsiTheme="minorHAnsi" w:cstheme="minorHAnsi"/>
                <w:sz w:val="18"/>
                <w:szCs w:val="18"/>
              </w:rPr>
            </w:pPr>
            <w:r w:rsidRPr="00480AA1">
              <w:rPr>
                <w:rFonts w:asciiTheme="minorHAnsi" w:hAnsiTheme="minorHAnsi" w:cstheme="minorHAnsi"/>
                <w:sz w:val="18"/>
                <w:szCs w:val="18"/>
              </w:rPr>
              <w:t>Trial a carefully managed environmental watering action through Koondrook-Perricoota Forest via Barbers Creek to improve the productivity of the mid and lower Wakool River system.</w:t>
            </w:r>
          </w:p>
          <w:p w14:paraId="18C63455" w14:textId="16A9D943" w:rsidR="0011264C" w:rsidRPr="004645A5" w:rsidRDefault="0011264C" w:rsidP="0011264C">
            <w:pPr>
              <w:shd w:val="clear" w:color="auto" w:fill="FFFFFF" w:themeFill="background1"/>
              <w:spacing w:after="0" w:line="240" w:lineRule="auto"/>
              <w:ind w:left="-23"/>
              <w:jc w:val="left"/>
              <w:rPr>
                <w:rFonts w:asciiTheme="minorHAnsi" w:hAnsiTheme="minorHAnsi" w:cstheme="minorHAnsi"/>
                <w:sz w:val="18"/>
                <w:szCs w:val="18"/>
              </w:rPr>
            </w:pPr>
          </w:p>
        </w:tc>
        <w:tc>
          <w:tcPr>
            <w:tcW w:w="1190" w:type="dxa"/>
            <w:gridSpan w:val="2"/>
            <w:tcMar>
              <w:left w:w="57" w:type="dxa"/>
              <w:right w:w="57" w:type="dxa"/>
            </w:tcMar>
          </w:tcPr>
          <w:p w14:paraId="06D2660B"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2017-18 (R5)</w:t>
            </w:r>
          </w:p>
        </w:tc>
        <w:tc>
          <w:tcPr>
            <w:tcW w:w="1147" w:type="dxa"/>
            <w:gridSpan w:val="2"/>
            <w:tcMar>
              <w:left w:w="57" w:type="dxa"/>
              <w:right w:w="57" w:type="dxa"/>
            </w:tcMar>
          </w:tcPr>
          <w:p w14:paraId="50A15A35"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 via Barbers Creek</w:t>
            </w:r>
          </w:p>
        </w:tc>
        <w:tc>
          <w:tcPr>
            <w:tcW w:w="3248" w:type="dxa"/>
            <w:tcMar>
              <w:left w:w="57" w:type="dxa"/>
              <w:right w:w="57" w:type="dxa"/>
            </w:tcMar>
          </w:tcPr>
          <w:p w14:paraId="3D12EE2C" w14:textId="3C2EC890" w:rsidR="0011264C" w:rsidRDefault="0011264C" w:rsidP="0011264C">
            <w:pPr>
              <w:spacing w:after="0" w:line="240" w:lineRule="auto"/>
              <w:jc w:val="left"/>
              <w:rPr>
                <w:rFonts w:asciiTheme="minorHAnsi" w:hAnsiTheme="minorHAnsi" w:cstheme="minorHAnsi"/>
                <w:sz w:val="18"/>
                <w:szCs w:val="18"/>
              </w:rPr>
            </w:pPr>
            <w:r w:rsidRPr="00CF25FF">
              <w:rPr>
                <w:rFonts w:asciiTheme="minorHAnsi" w:hAnsiTheme="minorHAnsi" w:cstheme="minorHAnsi"/>
                <w:b/>
                <w:sz w:val="18"/>
                <w:szCs w:val="18"/>
              </w:rPr>
              <w:t>2018-19:</w:t>
            </w:r>
            <w:r>
              <w:rPr>
                <w:rFonts w:asciiTheme="minorHAnsi" w:hAnsiTheme="minorHAnsi" w:cstheme="minorHAnsi"/>
                <w:sz w:val="18"/>
                <w:szCs w:val="18"/>
              </w:rPr>
              <w:t xml:space="preserve"> An environmental flow (NSW e-water) through </w:t>
            </w:r>
            <w:r w:rsidRPr="00480AA1">
              <w:rPr>
                <w:rFonts w:asciiTheme="minorHAnsi" w:hAnsiTheme="minorHAnsi" w:cstheme="minorHAnsi"/>
                <w:sz w:val="18"/>
                <w:szCs w:val="18"/>
              </w:rPr>
              <w:t xml:space="preserve">Koondrook-Perricoota Forest </w:t>
            </w:r>
            <w:r>
              <w:rPr>
                <w:rFonts w:asciiTheme="minorHAnsi" w:hAnsiTheme="minorHAnsi" w:cstheme="minorHAnsi"/>
                <w:sz w:val="18"/>
                <w:szCs w:val="18"/>
              </w:rPr>
              <w:t>via Thule Creek is underway as art of the 2019 southern spring flow</w:t>
            </w:r>
          </w:p>
          <w:p w14:paraId="1A47EBDF" w14:textId="77777777" w:rsidR="0011264C" w:rsidRDefault="0011264C" w:rsidP="0011264C">
            <w:pPr>
              <w:spacing w:after="0" w:line="240" w:lineRule="auto"/>
              <w:jc w:val="left"/>
              <w:rPr>
                <w:rFonts w:asciiTheme="minorHAnsi" w:hAnsiTheme="minorHAnsi" w:cstheme="minorHAnsi"/>
                <w:sz w:val="18"/>
                <w:szCs w:val="18"/>
              </w:rPr>
            </w:pPr>
          </w:p>
          <w:p w14:paraId="590E9585" w14:textId="16CA64DC" w:rsidR="0011264C" w:rsidRPr="0046601E" w:rsidRDefault="0011264C" w:rsidP="00067FC1">
            <w:pPr>
              <w:spacing w:after="0" w:line="240" w:lineRule="auto"/>
              <w:jc w:val="left"/>
              <w:rPr>
                <w:rFonts w:asciiTheme="minorHAnsi" w:hAnsiTheme="minorHAnsi" w:cstheme="minorHAnsi"/>
                <w:sz w:val="18"/>
                <w:szCs w:val="18"/>
              </w:rPr>
            </w:pPr>
            <w:r w:rsidRPr="0011264C">
              <w:rPr>
                <w:rFonts w:asciiTheme="minorHAnsi" w:hAnsiTheme="minorHAnsi" w:cstheme="minorHAnsi"/>
                <w:sz w:val="18"/>
                <w:szCs w:val="18"/>
              </w:rPr>
              <w:t xml:space="preserve">This recommendation can not be implemented </w:t>
            </w:r>
            <w:r>
              <w:rPr>
                <w:rFonts w:asciiTheme="minorHAnsi" w:hAnsiTheme="minorHAnsi" w:cstheme="minorHAnsi"/>
                <w:sz w:val="18"/>
                <w:szCs w:val="18"/>
              </w:rPr>
              <w:t xml:space="preserve">with CEW </w:t>
            </w:r>
            <w:r w:rsidRPr="0011264C">
              <w:rPr>
                <w:rFonts w:asciiTheme="minorHAnsi" w:hAnsiTheme="minorHAnsi" w:cstheme="minorHAnsi"/>
                <w:sz w:val="18"/>
                <w:szCs w:val="18"/>
              </w:rPr>
              <w:t xml:space="preserve">until NSW </w:t>
            </w:r>
            <w:r>
              <w:rPr>
                <w:rFonts w:asciiTheme="minorHAnsi" w:hAnsiTheme="minorHAnsi" w:cstheme="minorHAnsi"/>
                <w:sz w:val="18"/>
                <w:szCs w:val="18"/>
              </w:rPr>
              <w:t xml:space="preserve">water management planning </w:t>
            </w:r>
            <w:r w:rsidRPr="0011264C">
              <w:rPr>
                <w:rFonts w:asciiTheme="minorHAnsi" w:hAnsiTheme="minorHAnsi" w:cstheme="minorHAnsi"/>
                <w:sz w:val="18"/>
                <w:szCs w:val="18"/>
              </w:rPr>
              <w:t>allow outflows from K</w:t>
            </w:r>
            <w:r w:rsidR="00067FC1">
              <w:rPr>
                <w:rFonts w:asciiTheme="minorHAnsi" w:hAnsiTheme="minorHAnsi" w:cstheme="minorHAnsi"/>
                <w:sz w:val="18"/>
                <w:szCs w:val="18"/>
              </w:rPr>
              <w:t>oondrook-Perricoota</w:t>
            </w:r>
            <w:r>
              <w:rPr>
                <w:rFonts w:asciiTheme="minorHAnsi" w:hAnsiTheme="minorHAnsi" w:cstheme="minorHAnsi"/>
                <w:sz w:val="18"/>
                <w:szCs w:val="18"/>
              </w:rPr>
              <w:t xml:space="preserve"> Forest</w:t>
            </w:r>
          </w:p>
        </w:tc>
      </w:tr>
      <w:tr w:rsidR="0011264C" w14:paraId="58237800" w14:textId="77777777" w:rsidTr="00250B03">
        <w:tc>
          <w:tcPr>
            <w:tcW w:w="8926" w:type="dxa"/>
            <w:gridSpan w:val="6"/>
            <w:shd w:val="clear" w:color="auto" w:fill="D9D9D9" w:themeFill="background1" w:themeFillShade="D9"/>
            <w:tcMar>
              <w:left w:w="57" w:type="dxa"/>
              <w:right w:w="57" w:type="dxa"/>
            </w:tcMar>
          </w:tcPr>
          <w:p w14:paraId="5C1CCE4E" w14:textId="1B4B7FB4" w:rsidR="0011264C"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Flows during drought</w:t>
            </w:r>
          </w:p>
        </w:tc>
      </w:tr>
      <w:tr w:rsidR="0011264C" w14:paraId="2BE3E4F6" w14:textId="77777777" w:rsidTr="0011264C">
        <w:tc>
          <w:tcPr>
            <w:tcW w:w="3341" w:type="dxa"/>
            <w:shd w:val="clear" w:color="auto" w:fill="auto"/>
            <w:tcMar>
              <w:left w:w="57" w:type="dxa"/>
              <w:right w:w="57" w:type="dxa"/>
            </w:tcMar>
          </w:tcPr>
          <w:p w14:paraId="6AAFBBD2" w14:textId="77777777" w:rsidR="0011264C" w:rsidRPr="00067FC1" w:rsidRDefault="0011264C" w:rsidP="0040642F">
            <w:pPr>
              <w:pStyle w:val="ListParagraph"/>
              <w:numPr>
                <w:ilvl w:val="0"/>
                <w:numId w:val="36"/>
              </w:numPr>
              <w:shd w:val="clear" w:color="auto" w:fill="FFFFFF" w:themeFill="background1"/>
              <w:spacing w:after="0" w:line="240" w:lineRule="auto"/>
              <w:ind w:left="272" w:hanging="295"/>
              <w:jc w:val="left"/>
              <w:rPr>
                <w:rFonts w:asciiTheme="minorHAnsi" w:hAnsiTheme="minorHAnsi" w:cstheme="minorHAnsi"/>
                <w:sz w:val="18"/>
                <w:szCs w:val="18"/>
              </w:rPr>
            </w:pPr>
            <w:r w:rsidRPr="0011264C">
              <w:rPr>
                <w:rFonts w:asciiTheme="minorHAnsi" w:hAnsiTheme="minorHAnsi" w:cstheme="minorHAnsi"/>
                <w:sz w:val="18"/>
                <w:szCs w:val="18"/>
              </w:rPr>
              <w:t>Explore and develop a range of options for the delivery of environmental water during times of drought to ensure connectivity of habitat and avoid damage to key environmental assets. Inform the community of the factors limiting water delivery in extreme drought</w:t>
            </w:r>
            <w:r w:rsidRPr="00067FC1">
              <w:rPr>
                <w:rFonts w:asciiTheme="minorHAnsi" w:hAnsiTheme="minorHAnsi" w:cstheme="minorHAnsi"/>
                <w:sz w:val="18"/>
                <w:szCs w:val="18"/>
              </w:rPr>
              <w:t>.</w:t>
            </w:r>
          </w:p>
          <w:p w14:paraId="7FD6A5DA" w14:textId="3A6ECC92" w:rsidR="00067FC1" w:rsidRDefault="00067FC1" w:rsidP="0011264C">
            <w:pPr>
              <w:spacing w:after="0" w:line="240" w:lineRule="auto"/>
              <w:ind w:left="-14" w:firstLine="14"/>
              <w:jc w:val="left"/>
              <w:rPr>
                <w:rFonts w:asciiTheme="minorHAnsi" w:hAnsiTheme="minorHAnsi" w:cstheme="minorHAnsi"/>
                <w:sz w:val="18"/>
                <w:szCs w:val="18"/>
              </w:rPr>
            </w:pPr>
          </w:p>
        </w:tc>
        <w:tc>
          <w:tcPr>
            <w:tcW w:w="1204" w:type="dxa"/>
            <w:gridSpan w:val="3"/>
            <w:shd w:val="clear" w:color="auto" w:fill="auto"/>
          </w:tcPr>
          <w:p w14:paraId="68A59AF9" w14:textId="594EFE73" w:rsidR="0011264C" w:rsidRDefault="0011264C" w:rsidP="0011264C">
            <w:pPr>
              <w:spacing w:after="0" w:line="240" w:lineRule="auto"/>
              <w:ind w:left="-80" w:firstLine="14"/>
              <w:jc w:val="left"/>
              <w:rPr>
                <w:rFonts w:asciiTheme="minorHAnsi" w:hAnsiTheme="minorHAnsi" w:cstheme="minorHAnsi"/>
                <w:sz w:val="18"/>
                <w:szCs w:val="18"/>
              </w:rPr>
            </w:pPr>
            <w:r>
              <w:rPr>
                <w:rFonts w:asciiTheme="minorHAnsi" w:hAnsiTheme="minorHAnsi" w:cstheme="minorHAnsi"/>
                <w:sz w:val="18"/>
                <w:szCs w:val="18"/>
              </w:rPr>
              <w:t>2018-19 (R5)</w:t>
            </w:r>
          </w:p>
        </w:tc>
        <w:tc>
          <w:tcPr>
            <w:tcW w:w="1133" w:type="dxa"/>
            <w:shd w:val="clear" w:color="auto" w:fill="auto"/>
            <w:tcMar>
              <w:left w:w="57" w:type="dxa"/>
              <w:right w:w="57" w:type="dxa"/>
            </w:tcMar>
          </w:tcPr>
          <w:p w14:paraId="3437292F" w14:textId="79B2B530" w:rsidR="0011264C"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shd w:val="clear" w:color="auto" w:fill="auto"/>
          </w:tcPr>
          <w:p w14:paraId="45A6D270" w14:textId="55E38D6C" w:rsidR="0011264C"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The discussion around flows during drought is ongoing, but no specific plans yet developed</w:t>
            </w:r>
          </w:p>
        </w:tc>
      </w:tr>
      <w:tr w:rsidR="0011264C" w14:paraId="53268F2B" w14:textId="77777777" w:rsidTr="00250B03">
        <w:tc>
          <w:tcPr>
            <w:tcW w:w="8926" w:type="dxa"/>
            <w:gridSpan w:val="6"/>
            <w:shd w:val="clear" w:color="auto" w:fill="D9D9D9" w:themeFill="background1" w:themeFillShade="D9"/>
            <w:tcMar>
              <w:left w:w="57" w:type="dxa"/>
              <w:right w:w="57" w:type="dxa"/>
            </w:tcMar>
          </w:tcPr>
          <w:p w14:paraId="2F225513"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Other flow related recommendations</w:t>
            </w:r>
          </w:p>
        </w:tc>
      </w:tr>
      <w:tr w:rsidR="0011264C" w14:paraId="786BCC1E" w14:textId="77777777" w:rsidTr="00E93457">
        <w:tc>
          <w:tcPr>
            <w:tcW w:w="3341" w:type="dxa"/>
            <w:tcMar>
              <w:left w:w="57" w:type="dxa"/>
              <w:right w:w="57" w:type="dxa"/>
            </w:tcMar>
          </w:tcPr>
          <w:p w14:paraId="094F5996" w14:textId="77777777" w:rsidR="0011264C" w:rsidRPr="0046601E" w:rsidRDefault="0011264C"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190" w:type="dxa"/>
            <w:gridSpan w:val="2"/>
            <w:tcMar>
              <w:left w:w="57" w:type="dxa"/>
              <w:right w:w="57" w:type="dxa"/>
            </w:tcMar>
          </w:tcPr>
          <w:p w14:paraId="442C97B9"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7DC571F0" w14:textId="77777777" w:rsidR="0011264C" w:rsidRPr="0046601E" w:rsidRDefault="0011264C" w:rsidP="0011264C">
            <w:pPr>
              <w:spacing w:after="0" w:line="240" w:lineRule="auto"/>
              <w:jc w:val="left"/>
              <w:rPr>
                <w:rFonts w:asciiTheme="minorHAnsi" w:hAnsiTheme="minorHAnsi" w:cstheme="minorHAnsi"/>
                <w:sz w:val="18"/>
                <w:szCs w:val="18"/>
              </w:rPr>
            </w:pPr>
          </w:p>
        </w:tc>
        <w:tc>
          <w:tcPr>
            <w:tcW w:w="1147" w:type="dxa"/>
            <w:gridSpan w:val="2"/>
            <w:tcMar>
              <w:left w:w="57" w:type="dxa"/>
              <w:right w:w="57" w:type="dxa"/>
            </w:tcMar>
          </w:tcPr>
          <w:p w14:paraId="1AB10D4F" w14:textId="77777777" w:rsidR="0011264C" w:rsidRPr="0046601E" w:rsidRDefault="0011264C" w:rsidP="0011264C">
            <w:pPr>
              <w:spacing w:after="0" w:line="240" w:lineRule="auto"/>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c>
          <w:tcPr>
            <w:tcW w:w="3248" w:type="dxa"/>
            <w:tcMar>
              <w:left w:w="57" w:type="dxa"/>
              <w:right w:w="57" w:type="dxa"/>
            </w:tcMar>
          </w:tcPr>
          <w:p w14:paraId="155852C3" w14:textId="77777777" w:rsidR="0011264C" w:rsidRPr="0046601E" w:rsidRDefault="0011264C" w:rsidP="0011264C">
            <w:pPr>
              <w:spacing w:after="0" w:line="240" w:lineRule="auto"/>
              <w:jc w:val="left"/>
              <w:rPr>
                <w:rFonts w:asciiTheme="minorHAnsi" w:hAnsiTheme="minorHAnsi" w:cstheme="minorHAnsi"/>
                <w:sz w:val="18"/>
                <w:szCs w:val="18"/>
                <w:highlight w:val="yellow"/>
              </w:rPr>
            </w:pPr>
            <w:r w:rsidRPr="00AB442A">
              <w:rPr>
                <w:rFonts w:asciiTheme="minorHAnsi" w:hAnsiTheme="minorHAnsi" w:cstheme="minorHAnsi"/>
                <w:sz w:val="18"/>
                <w:szCs w:val="18"/>
              </w:rPr>
              <w:t xml:space="preserve">Water managers have </w:t>
            </w:r>
            <w:r>
              <w:rPr>
                <w:rFonts w:asciiTheme="minorHAnsi" w:hAnsiTheme="minorHAnsi" w:cstheme="minorHAnsi"/>
                <w:sz w:val="18"/>
                <w:szCs w:val="18"/>
              </w:rPr>
              <w:t>improved objective setting in their water planning.</w:t>
            </w:r>
          </w:p>
        </w:tc>
      </w:tr>
      <w:tr w:rsidR="0011264C" w14:paraId="25C5EA79" w14:textId="77777777" w:rsidTr="00E93457">
        <w:tc>
          <w:tcPr>
            <w:tcW w:w="3341" w:type="dxa"/>
            <w:tcMar>
              <w:left w:w="57" w:type="dxa"/>
              <w:right w:w="57" w:type="dxa"/>
            </w:tcMar>
          </w:tcPr>
          <w:p w14:paraId="5A828D76" w14:textId="23289177" w:rsidR="0011264C" w:rsidRPr="0046601E" w:rsidRDefault="0011264C" w:rsidP="0040642F">
            <w:pPr>
              <w:pStyle w:val="ListParagraph"/>
              <w:numPr>
                <w:ilvl w:val="0"/>
                <w:numId w:val="36"/>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Undertake a comprehensive flows assessment for the tributaries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to better inform future decisions on environmental watering in this system.</w:t>
            </w:r>
          </w:p>
        </w:tc>
        <w:tc>
          <w:tcPr>
            <w:tcW w:w="1190" w:type="dxa"/>
            <w:gridSpan w:val="2"/>
            <w:tcMar>
              <w:left w:w="57" w:type="dxa"/>
              <w:right w:w="57" w:type="dxa"/>
            </w:tcMar>
          </w:tcPr>
          <w:p w14:paraId="5D79DDBA"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273C1E0F"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147" w:type="dxa"/>
            <w:gridSpan w:val="2"/>
            <w:tcMar>
              <w:left w:w="57" w:type="dxa"/>
              <w:right w:w="57" w:type="dxa"/>
            </w:tcMar>
          </w:tcPr>
          <w:p w14:paraId="4859F818" w14:textId="77777777" w:rsidR="0011264C" w:rsidRPr="00051C5B" w:rsidRDefault="0011264C" w:rsidP="0011264C">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c>
          <w:tcPr>
            <w:tcW w:w="3248" w:type="dxa"/>
            <w:tcMar>
              <w:left w:w="57" w:type="dxa"/>
              <w:right w:w="57" w:type="dxa"/>
            </w:tcMar>
          </w:tcPr>
          <w:p w14:paraId="3E8F97F8" w14:textId="3BDA40F8" w:rsidR="0011264C" w:rsidRPr="00051C5B" w:rsidRDefault="0011264C" w:rsidP="0011264C">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 xml:space="preserve">Some flow assessments have been undertaken by MDBA and NSW OEH but there are still limitations of models in parts of the </w:t>
            </w:r>
            <w:r>
              <w:rPr>
                <w:rFonts w:asciiTheme="minorHAnsi" w:hAnsiTheme="minorHAnsi" w:cstheme="minorHAnsi"/>
                <w:sz w:val="18"/>
                <w:szCs w:val="18"/>
              </w:rPr>
              <w:t>Edward/Kolety-Wakool</w:t>
            </w:r>
            <w:r w:rsidRPr="00051C5B">
              <w:rPr>
                <w:rFonts w:asciiTheme="minorHAnsi" w:hAnsiTheme="minorHAnsi" w:cstheme="minorHAnsi"/>
                <w:sz w:val="18"/>
                <w:szCs w:val="18"/>
              </w:rPr>
              <w:t xml:space="preserve"> system. These assessments contribute management decisions and long-term water planning by OEH</w:t>
            </w:r>
            <w:r>
              <w:rPr>
                <w:rFonts w:asciiTheme="minorHAnsi" w:hAnsiTheme="minorHAnsi" w:cstheme="minorHAnsi"/>
                <w:sz w:val="18"/>
                <w:szCs w:val="18"/>
              </w:rPr>
              <w:t>.</w:t>
            </w:r>
          </w:p>
        </w:tc>
      </w:tr>
      <w:tr w:rsidR="0011264C" w14:paraId="68E53E2B" w14:textId="77777777" w:rsidTr="00E93457">
        <w:trPr>
          <w:trHeight w:val="1135"/>
        </w:trPr>
        <w:tc>
          <w:tcPr>
            <w:tcW w:w="3341" w:type="dxa"/>
            <w:tcMar>
              <w:left w:w="57" w:type="dxa"/>
              <w:right w:w="57" w:type="dxa"/>
            </w:tcMar>
          </w:tcPr>
          <w:p w14:paraId="34C0F495" w14:textId="77777777" w:rsidR="0011264C" w:rsidRPr="0046601E" w:rsidRDefault="0011264C" w:rsidP="0040642F">
            <w:pPr>
              <w:pStyle w:val="ListParagraph"/>
              <w:numPr>
                <w:ilvl w:val="0"/>
                <w:numId w:val="36"/>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190" w:type="dxa"/>
            <w:gridSpan w:val="2"/>
            <w:tcMar>
              <w:left w:w="57" w:type="dxa"/>
              <w:right w:w="57" w:type="dxa"/>
            </w:tcMar>
          </w:tcPr>
          <w:p w14:paraId="6973BCB0"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147" w:type="dxa"/>
            <w:gridSpan w:val="2"/>
            <w:tcMar>
              <w:left w:w="57" w:type="dxa"/>
              <w:right w:w="57" w:type="dxa"/>
            </w:tcMar>
          </w:tcPr>
          <w:p w14:paraId="181A8D7F"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ongoing</w:t>
            </w:r>
          </w:p>
        </w:tc>
        <w:tc>
          <w:tcPr>
            <w:tcW w:w="3248" w:type="dxa"/>
            <w:tcMar>
              <w:left w:w="57" w:type="dxa"/>
              <w:right w:w="57" w:type="dxa"/>
            </w:tcMar>
          </w:tcPr>
          <w:p w14:paraId="4DB307A5" w14:textId="4575FB82" w:rsidR="0011264C" w:rsidRPr="0046601E" w:rsidRDefault="0011264C" w:rsidP="0011264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2014-16:</w:t>
            </w:r>
            <w:r w:rsidRPr="0046601E">
              <w:rPr>
                <w:rFonts w:asciiTheme="minorHAnsi" w:hAnsiTheme="minorHAnsi" w:cstheme="minorHAnsi"/>
                <w:sz w:val="18"/>
                <w:szCs w:val="18"/>
              </w:rPr>
              <w:t xml:space="preserve"> Engagement through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Stakeholder Group (chair Murray LLS)</w:t>
            </w:r>
            <w:r>
              <w:rPr>
                <w:rFonts w:asciiTheme="minorHAnsi" w:hAnsiTheme="minorHAnsi" w:cstheme="minorHAnsi"/>
                <w:sz w:val="18"/>
                <w:szCs w:val="18"/>
              </w:rPr>
              <w:t>.</w:t>
            </w:r>
          </w:p>
          <w:p w14:paraId="68391BDB"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2016</w:t>
            </w:r>
            <w:r>
              <w:rPr>
                <w:rFonts w:asciiTheme="minorHAnsi" w:hAnsiTheme="minorHAnsi" w:cstheme="minorHAnsi"/>
                <w:b/>
                <w:sz w:val="18"/>
                <w:szCs w:val="18"/>
              </w:rPr>
              <w:t xml:space="preserve"> </w:t>
            </w:r>
            <w:r w:rsidRPr="0046601E">
              <w:rPr>
                <w:rFonts w:asciiTheme="minorHAnsi" w:hAnsiTheme="minorHAnsi" w:cstheme="minorHAnsi"/>
                <w:b/>
                <w:sz w:val="18"/>
                <w:szCs w:val="18"/>
              </w:rPr>
              <w:t>-</w:t>
            </w:r>
            <w:r>
              <w:rPr>
                <w:rFonts w:asciiTheme="minorHAnsi" w:hAnsiTheme="minorHAnsi" w:cstheme="minorHAnsi"/>
                <w:b/>
                <w:sz w:val="18"/>
                <w:szCs w:val="18"/>
              </w:rPr>
              <w:t xml:space="preserve"> </w:t>
            </w:r>
            <w:r w:rsidRPr="0046601E">
              <w:rPr>
                <w:rFonts w:asciiTheme="minorHAnsi" w:hAnsiTheme="minorHAnsi" w:cstheme="minorHAnsi"/>
                <w:b/>
                <w:sz w:val="18"/>
                <w:szCs w:val="18"/>
              </w:rPr>
              <w:t>ongoing</w:t>
            </w:r>
            <w:r>
              <w:rPr>
                <w:rFonts w:asciiTheme="minorHAnsi" w:hAnsiTheme="minorHAnsi" w:cstheme="minorHAnsi"/>
                <w:sz w:val="18"/>
                <w:szCs w:val="18"/>
              </w:rPr>
              <w:t>: EWEWRG</w:t>
            </w:r>
            <w:r w:rsidRPr="0046601E">
              <w:rPr>
                <w:rFonts w:asciiTheme="minorHAnsi" w:hAnsiTheme="minorHAnsi" w:cstheme="minorHAnsi"/>
                <w:sz w:val="18"/>
                <w:szCs w:val="18"/>
              </w:rPr>
              <w:t xml:space="preserve"> established</w:t>
            </w:r>
          </w:p>
          <w:p w14:paraId="71EE955E" w14:textId="2CBEE1F1"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b/>
                <w:sz w:val="18"/>
                <w:szCs w:val="18"/>
              </w:rPr>
              <w:t>2014 -</w:t>
            </w:r>
            <w:r w:rsidRPr="0046601E">
              <w:rPr>
                <w:rFonts w:asciiTheme="minorHAnsi" w:hAnsiTheme="minorHAnsi" w:cstheme="minorHAnsi"/>
                <w:b/>
                <w:sz w:val="18"/>
                <w:szCs w:val="18"/>
              </w:rPr>
              <w:t xml:space="preserve"> ongoing</w:t>
            </w:r>
            <w:r w:rsidRPr="0046601E">
              <w:rPr>
                <w:rFonts w:asciiTheme="minorHAnsi" w:hAnsiTheme="minorHAnsi" w:cstheme="minorHAnsi"/>
                <w:sz w:val="18"/>
                <w:szCs w:val="18"/>
              </w:rPr>
              <w:t xml:space="preserv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Operations Advisory Group</w:t>
            </w:r>
          </w:p>
        </w:tc>
      </w:tr>
      <w:tr w:rsidR="0011264C" w14:paraId="10FDC28D" w14:textId="77777777" w:rsidTr="00E93457">
        <w:tc>
          <w:tcPr>
            <w:tcW w:w="3341" w:type="dxa"/>
            <w:tcMar>
              <w:left w:w="57" w:type="dxa"/>
              <w:right w:w="57" w:type="dxa"/>
            </w:tcMar>
          </w:tcPr>
          <w:p w14:paraId="3D8EDDC0" w14:textId="37DF3E81" w:rsidR="0011264C" w:rsidRPr="0046601E" w:rsidRDefault="0011264C" w:rsidP="0040642F">
            <w:pPr>
              <w:pStyle w:val="ListParagraph"/>
              <w:numPr>
                <w:ilvl w:val="0"/>
                <w:numId w:val="36"/>
              </w:numPr>
              <w:shd w:val="clear" w:color="auto" w:fill="FFFFFF" w:themeFill="background1"/>
              <w:spacing w:after="0" w:line="240" w:lineRule="auto"/>
              <w:ind w:left="288" w:hanging="322"/>
              <w:jc w:val="left"/>
              <w:rPr>
                <w:rFonts w:asciiTheme="minorHAnsi" w:hAnsiTheme="minorHAnsi" w:cstheme="minorHAnsi"/>
                <w:sz w:val="18"/>
                <w:szCs w:val="18"/>
              </w:rPr>
            </w:pPr>
            <w:r w:rsidRPr="0046601E">
              <w:rPr>
                <w:rFonts w:asciiTheme="minorHAnsi" w:hAnsiTheme="minorHAnsi" w:cstheme="minorHAnsi"/>
                <w:sz w:val="18"/>
                <w:szCs w:val="18"/>
              </w:rPr>
              <w:t xml:space="preserve">The installation of </w:t>
            </w:r>
            <w:r>
              <w:rPr>
                <w:rFonts w:asciiTheme="minorHAnsi" w:hAnsiTheme="minorHAnsi" w:cstheme="minorHAnsi"/>
                <w:sz w:val="18"/>
                <w:szCs w:val="18"/>
              </w:rPr>
              <w:t xml:space="preserve">a DO logger on a </w:t>
            </w:r>
            <w:r w:rsidRPr="0046601E">
              <w:rPr>
                <w:rFonts w:asciiTheme="minorHAnsi" w:hAnsiTheme="minorHAnsi" w:cstheme="minorHAnsi"/>
                <w:sz w:val="18"/>
                <w:szCs w:val="18"/>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rPr>
              <w:t xml:space="preserve">Consideration should also be given to installing </w:t>
            </w:r>
            <w:r>
              <w:rPr>
                <w:rFonts w:asciiTheme="minorHAnsi" w:hAnsiTheme="minorHAnsi" w:cstheme="minorHAnsi"/>
                <w:sz w:val="18"/>
                <w:szCs w:val="18"/>
              </w:rPr>
              <w:t>DO</w:t>
            </w:r>
            <w:r w:rsidRPr="0046601E">
              <w:rPr>
                <w:rFonts w:asciiTheme="minorHAnsi" w:hAnsiTheme="minorHAnsi" w:cstheme="minorHAnsi"/>
                <w:sz w:val="18"/>
                <w:szCs w:val="18"/>
              </w:rPr>
              <w:t xml:space="preserve"> loggers, both upstream and downstream of other forested areas that influence water qual</w:t>
            </w:r>
            <w:r>
              <w:rPr>
                <w:rFonts w:asciiTheme="minorHAnsi" w:hAnsiTheme="minorHAnsi" w:cstheme="minorHAnsi"/>
                <w:sz w:val="18"/>
                <w:szCs w:val="18"/>
              </w:rPr>
              <w:t>ity in the Edward/Kolety-Wakool system</w:t>
            </w:r>
          </w:p>
        </w:tc>
        <w:tc>
          <w:tcPr>
            <w:tcW w:w="1190" w:type="dxa"/>
            <w:gridSpan w:val="2"/>
            <w:tcMar>
              <w:left w:w="57" w:type="dxa"/>
              <w:right w:w="57" w:type="dxa"/>
            </w:tcMar>
          </w:tcPr>
          <w:p w14:paraId="2CDDD855" w14:textId="77777777" w:rsidR="0011264C" w:rsidRPr="0046601E" w:rsidRDefault="0011264C" w:rsidP="0040642F">
            <w:pPr>
              <w:pStyle w:val="ListParagraph"/>
              <w:numPr>
                <w:ilvl w:val="1"/>
                <w:numId w:val="21"/>
              </w:num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(R2)</w:t>
            </w:r>
          </w:p>
        </w:tc>
        <w:tc>
          <w:tcPr>
            <w:tcW w:w="1147" w:type="dxa"/>
            <w:gridSpan w:val="2"/>
            <w:tcMar>
              <w:left w:w="57" w:type="dxa"/>
              <w:right w:w="57" w:type="dxa"/>
            </w:tcMar>
          </w:tcPr>
          <w:p w14:paraId="55C0F697" w14:textId="77777777" w:rsidR="0011264C" w:rsidRPr="0046601E" w:rsidRDefault="0011264C" w:rsidP="0011264C">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66C0E428" w14:textId="60B2D0B7" w:rsidR="0011264C" w:rsidRPr="0046601E" w:rsidRDefault="0011264C" w:rsidP="0011264C">
            <w:pPr>
              <w:spacing w:after="0" w:line="240" w:lineRule="auto"/>
              <w:ind w:left="-14" w:firstLine="14"/>
              <w:jc w:val="left"/>
              <w:rPr>
                <w:rFonts w:asciiTheme="minorHAnsi" w:hAnsiTheme="minorHAnsi" w:cstheme="minorHAnsi"/>
                <w:sz w:val="18"/>
                <w:szCs w:val="18"/>
              </w:rPr>
            </w:pPr>
            <w:r w:rsidRPr="0011264C">
              <w:rPr>
                <w:rFonts w:asciiTheme="minorHAnsi" w:hAnsiTheme="minorHAnsi" w:cstheme="minorHAnsi"/>
                <w:sz w:val="18"/>
                <w:szCs w:val="18"/>
              </w:rPr>
              <w:t xml:space="preserve">This action is not the responsibility of the CEWO. It is a matter for NSW agencies. The CEWO is continuing to </w:t>
            </w:r>
            <w:r>
              <w:rPr>
                <w:rFonts w:asciiTheme="minorHAnsi" w:hAnsiTheme="minorHAnsi" w:cstheme="minorHAnsi"/>
                <w:sz w:val="18"/>
                <w:szCs w:val="18"/>
              </w:rPr>
              <w:t xml:space="preserve">be involved in discussions </w:t>
            </w:r>
            <w:r w:rsidRPr="0011264C">
              <w:rPr>
                <w:rFonts w:asciiTheme="minorHAnsi" w:hAnsiTheme="minorHAnsi" w:cstheme="minorHAnsi"/>
                <w:sz w:val="18"/>
                <w:szCs w:val="18"/>
              </w:rPr>
              <w:t>request</w:t>
            </w:r>
            <w:r>
              <w:rPr>
                <w:rFonts w:asciiTheme="minorHAnsi" w:hAnsiTheme="minorHAnsi" w:cstheme="minorHAnsi"/>
                <w:sz w:val="18"/>
                <w:szCs w:val="18"/>
              </w:rPr>
              <w:t>ing</w:t>
            </w:r>
            <w:r w:rsidRPr="0011264C">
              <w:rPr>
                <w:rFonts w:asciiTheme="minorHAnsi" w:hAnsiTheme="minorHAnsi" w:cstheme="minorHAnsi"/>
                <w:sz w:val="18"/>
                <w:szCs w:val="18"/>
              </w:rPr>
              <w:t xml:space="preserve"> better flow data for key sites.</w:t>
            </w:r>
          </w:p>
        </w:tc>
      </w:tr>
      <w:tr w:rsidR="0011264C" w14:paraId="4EE2F305" w14:textId="77777777" w:rsidTr="00E93457">
        <w:tc>
          <w:tcPr>
            <w:tcW w:w="3341" w:type="dxa"/>
            <w:tcMar>
              <w:left w:w="57" w:type="dxa"/>
              <w:right w:w="57" w:type="dxa"/>
            </w:tcMar>
          </w:tcPr>
          <w:p w14:paraId="721D63E6" w14:textId="2FE8DA3D" w:rsidR="0011264C" w:rsidRPr="0046601E" w:rsidRDefault="0011264C" w:rsidP="0040642F">
            <w:pPr>
              <w:pStyle w:val="ListParagraph"/>
              <w:numPr>
                <w:ilvl w:val="0"/>
                <w:numId w:val="36"/>
              </w:numPr>
              <w:spacing w:after="0" w:line="240" w:lineRule="auto"/>
              <w:ind w:left="277" w:hanging="266"/>
              <w:jc w:val="left"/>
              <w:rPr>
                <w:rFonts w:asciiTheme="minorHAnsi" w:hAnsiTheme="minorHAnsi" w:cstheme="minorHAnsi"/>
                <w:sz w:val="18"/>
                <w:szCs w:val="18"/>
              </w:rPr>
            </w:pPr>
            <w:r w:rsidRPr="0046601E">
              <w:rPr>
                <w:rFonts w:asciiTheme="minorHAnsi" w:hAnsiTheme="minorHAnsi" w:cstheme="minorHAnsi"/>
                <w:sz w:val="18"/>
                <w:szCs w:val="18"/>
              </w:rPr>
              <w:t xml:space="preserve">Undertake in-channel habitat mapping for key reaches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rPr>
              <w:t xml:space="preserve"> hydraulic modelling to facilitate learning about this system </w:t>
            </w:r>
          </w:p>
        </w:tc>
        <w:tc>
          <w:tcPr>
            <w:tcW w:w="1190" w:type="dxa"/>
            <w:gridSpan w:val="2"/>
            <w:tcMar>
              <w:left w:w="57" w:type="dxa"/>
              <w:right w:w="57" w:type="dxa"/>
            </w:tcMar>
          </w:tcPr>
          <w:p w14:paraId="6C8E7619"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147" w:type="dxa"/>
            <w:gridSpan w:val="2"/>
            <w:tcMar>
              <w:left w:w="57" w:type="dxa"/>
              <w:right w:w="57" w:type="dxa"/>
            </w:tcMar>
          </w:tcPr>
          <w:p w14:paraId="30558D8D" w14:textId="53A7E2AC" w:rsidR="0011264C" w:rsidRPr="0046601E" w:rsidRDefault="00067FC1"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Implemented in part by NSW DPI</w:t>
            </w:r>
          </w:p>
        </w:tc>
        <w:tc>
          <w:tcPr>
            <w:tcW w:w="3248" w:type="dxa"/>
            <w:tcMar>
              <w:left w:w="57" w:type="dxa"/>
              <w:right w:w="57" w:type="dxa"/>
            </w:tcMar>
          </w:tcPr>
          <w:p w14:paraId="5D24266C" w14:textId="042787C0" w:rsidR="0011264C" w:rsidRPr="0046601E" w:rsidRDefault="0011264C" w:rsidP="0011264C">
            <w:pPr>
              <w:spacing w:after="0" w:line="240" w:lineRule="auto"/>
              <w:jc w:val="left"/>
              <w:rPr>
                <w:rFonts w:asciiTheme="minorHAnsi" w:hAnsiTheme="minorHAnsi" w:cstheme="minorHAnsi"/>
                <w:sz w:val="18"/>
                <w:szCs w:val="18"/>
              </w:rPr>
            </w:pPr>
            <w:r w:rsidRPr="0011264C">
              <w:rPr>
                <w:rFonts w:asciiTheme="minorHAnsi" w:hAnsiTheme="minorHAnsi" w:cstheme="minorHAnsi"/>
                <w:sz w:val="18"/>
                <w:szCs w:val="18"/>
              </w:rPr>
              <w:t>This is not the responsibility of the CEWO and has been undertaken in part by NSW DPI Fisheries.</w:t>
            </w:r>
          </w:p>
        </w:tc>
      </w:tr>
      <w:tr w:rsidR="0011264C" w14:paraId="56C5557A" w14:textId="77777777" w:rsidTr="00E93457">
        <w:tc>
          <w:tcPr>
            <w:tcW w:w="3341" w:type="dxa"/>
            <w:tcMar>
              <w:left w:w="57" w:type="dxa"/>
              <w:right w:w="57" w:type="dxa"/>
            </w:tcMar>
          </w:tcPr>
          <w:p w14:paraId="7391F555" w14:textId="77777777" w:rsidR="0011264C" w:rsidRPr="0046601E" w:rsidRDefault="0011264C" w:rsidP="0040642F">
            <w:pPr>
              <w:pStyle w:val="ListParagraph"/>
              <w:numPr>
                <w:ilvl w:val="0"/>
                <w:numId w:val="36"/>
              </w:numPr>
              <w:shd w:val="clear" w:color="auto" w:fill="FFFFFF" w:themeFill="background1"/>
              <w:spacing w:after="0" w:line="240" w:lineRule="auto"/>
              <w:ind w:left="272" w:hanging="295"/>
              <w:jc w:val="left"/>
              <w:rPr>
                <w:rFonts w:asciiTheme="minorHAnsi" w:hAnsiTheme="minorHAnsi" w:cstheme="minorHAnsi"/>
                <w:sz w:val="18"/>
                <w:szCs w:val="18"/>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190" w:type="dxa"/>
            <w:gridSpan w:val="2"/>
            <w:tcMar>
              <w:left w:w="57" w:type="dxa"/>
              <w:right w:w="57" w:type="dxa"/>
            </w:tcMar>
          </w:tcPr>
          <w:p w14:paraId="417DBB02" w14:textId="77777777" w:rsidR="0011264C" w:rsidRPr="0046601E" w:rsidRDefault="0011264C" w:rsidP="0011264C">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147" w:type="dxa"/>
            <w:gridSpan w:val="2"/>
            <w:tcMar>
              <w:left w:w="57" w:type="dxa"/>
              <w:right w:w="57" w:type="dxa"/>
            </w:tcMar>
          </w:tcPr>
          <w:p w14:paraId="0F7C22C2"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w:t>
            </w:r>
          </w:p>
        </w:tc>
        <w:tc>
          <w:tcPr>
            <w:tcW w:w="3248" w:type="dxa"/>
            <w:tcMar>
              <w:left w:w="57" w:type="dxa"/>
              <w:right w:w="57" w:type="dxa"/>
            </w:tcMar>
          </w:tcPr>
          <w:p w14:paraId="284E1697" w14:textId="77777777" w:rsidR="0011264C" w:rsidRPr="0046601E" w:rsidRDefault="0011264C" w:rsidP="0011264C">
            <w:pPr>
              <w:spacing w:after="0" w:line="240" w:lineRule="auto"/>
              <w:jc w:val="left"/>
              <w:rPr>
                <w:rFonts w:asciiTheme="minorHAnsi" w:hAnsiTheme="minorHAnsi" w:cstheme="minorHAnsi"/>
                <w:sz w:val="18"/>
                <w:szCs w:val="18"/>
              </w:rPr>
            </w:pPr>
            <w:r>
              <w:rPr>
                <w:rFonts w:asciiTheme="minorHAnsi" w:hAnsiTheme="minorHAnsi" w:cstheme="minorHAnsi"/>
                <w:sz w:val="18"/>
                <w:szCs w:val="18"/>
              </w:rPr>
              <w:t>A review of blackwater events was undertaken in 2017</w:t>
            </w:r>
          </w:p>
        </w:tc>
      </w:tr>
    </w:tbl>
    <w:p w14:paraId="4A267071" w14:textId="77777777" w:rsidR="007B0CED" w:rsidRDefault="007B0CED">
      <w:pPr>
        <w:spacing w:after="0" w:line="240" w:lineRule="auto"/>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br w:type="page"/>
      </w:r>
    </w:p>
    <w:p w14:paraId="52835205" w14:textId="1A8907BD" w:rsidR="00250B03" w:rsidRPr="00F06B95" w:rsidRDefault="00AF7902" w:rsidP="009A6A0B">
      <w:pPr>
        <w:spacing w:after="120" w:line="259" w:lineRule="auto"/>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t xml:space="preserve">Flow </w:t>
      </w:r>
      <w:r w:rsidR="00250B03" w:rsidRPr="00F06B95">
        <w:rPr>
          <w:rFonts w:asciiTheme="minorHAnsi" w:eastAsia="Times New Roman" w:hAnsiTheme="minorHAnsi"/>
          <w:b/>
          <w:i/>
          <w:color w:val="31849B"/>
          <w:sz w:val="24"/>
          <w:szCs w:val="24"/>
          <w:lang w:eastAsia="en-AU"/>
        </w:rPr>
        <w:t>Recommendations from 201</w:t>
      </w:r>
      <w:r w:rsidR="002B434E">
        <w:rPr>
          <w:rFonts w:asciiTheme="minorHAnsi" w:eastAsia="Times New Roman" w:hAnsiTheme="minorHAnsi"/>
          <w:b/>
          <w:i/>
          <w:color w:val="31849B"/>
          <w:sz w:val="24"/>
          <w:szCs w:val="24"/>
          <w:lang w:eastAsia="en-AU"/>
        </w:rPr>
        <w:t>9-20 report</w:t>
      </w:r>
    </w:p>
    <w:p w14:paraId="37DB2701" w14:textId="1AB464D1" w:rsidR="00161C5D" w:rsidRDefault="00250B03" w:rsidP="009A6A0B">
      <w:pPr>
        <w:shd w:val="clear" w:color="auto" w:fill="FFFFFF" w:themeFill="background1"/>
        <w:spacing w:after="120" w:line="259" w:lineRule="auto"/>
        <w:jc w:val="left"/>
      </w:pPr>
      <w:r w:rsidRPr="00E23F54">
        <w:t xml:space="preserve">We continue to endorse the recommendations </w:t>
      </w:r>
      <w:r w:rsidR="002B434E">
        <w:t>from previous LTIM reports</w:t>
      </w:r>
      <w:r w:rsidR="00352133">
        <w:t xml:space="preserve"> as summarised in T</w:t>
      </w:r>
      <w:r w:rsidR="002B434E">
        <w:t xml:space="preserve">able 13.1. </w:t>
      </w:r>
      <w:r>
        <w:t xml:space="preserve">In addition, </w:t>
      </w:r>
      <w:r w:rsidRPr="00AB442A">
        <w:t xml:space="preserve">we outline </w:t>
      </w:r>
      <w:r w:rsidR="002B434E">
        <w:t>the following</w:t>
      </w:r>
      <w:r w:rsidRPr="00AB442A">
        <w:t xml:space="preserve"> </w:t>
      </w:r>
      <w:r w:rsidR="009F5688">
        <w:t>1</w:t>
      </w:r>
      <w:r w:rsidR="000F20B5">
        <w:t>5</w:t>
      </w:r>
      <w:r w:rsidRPr="00AB442A">
        <w:t xml:space="preserve"> recommendations to improve the planning and delivery of Commonwealth environmental water </w:t>
      </w:r>
      <w:r>
        <w:t xml:space="preserve">in the </w:t>
      </w:r>
      <w:r w:rsidR="008E27F6">
        <w:t>Edward/Kolety-Wakool</w:t>
      </w:r>
      <w:r>
        <w:t xml:space="preserve"> system. These recommendations</w:t>
      </w:r>
      <w:r w:rsidRPr="00AB442A">
        <w:t xml:space="preserve"> are </w:t>
      </w:r>
      <w:r>
        <w:t xml:space="preserve">underpinned by </w:t>
      </w:r>
      <w:r w:rsidRPr="00AB442A">
        <w:t xml:space="preserve">monitoring and evaluation results </w:t>
      </w:r>
      <w:r>
        <w:t xml:space="preserve">from the </w:t>
      </w:r>
      <w:r w:rsidR="008E27F6">
        <w:t>Edward/Kolety-Wakool</w:t>
      </w:r>
      <w:r>
        <w:t xml:space="preserve"> system</w:t>
      </w:r>
      <w:r w:rsidRPr="00AB442A">
        <w:t>.</w:t>
      </w:r>
      <w:r w:rsidR="002B434E">
        <w:t xml:space="preserve"> </w:t>
      </w:r>
    </w:p>
    <w:p w14:paraId="4FB61447" w14:textId="5C0A5F4D" w:rsidR="00161C5D" w:rsidRDefault="00161C5D" w:rsidP="00AF7902">
      <w:pPr>
        <w:spacing w:after="120" w:line="259" w:lineRule="auto"/>
        <w:ind w:right="-427"/>
        <w:jc w:val="left"/>
        <w:rPr>
          <w:i/>
          <w:color w:val="31849B"/>
          <w:szCs w:val="22"/>
          <w:lang w:val="en-US"/>
        </w:rPr>
      </w:pPr>
      <w:r w:rsidRPr="00FE1DB8">
        <w:rPr>
          <w:i/>
          <w:color w:val="31849B"/>
          <w:szCs w:val="22"/>
          <w:lang w:val="en-US"/>
        </w:rPr>
        <w:t xml:space="preserve">Recommendation for </w:t>
      </w:r>
      <w:r w:rsidR="00DD2898">
        <w:rPr>
          <w:i/>
          <w:color w:val="31849B"/>
          <w:szCs w:val="22"/>
          <w:lang w:val="en-US"/>
        </w:rPr>
        <w:t>small in-channel freshes</w:t>
      </w:r>
    </w:p>
    <w:p w14:paraId="4326AAEF" w14:textId="58C8C54F" w:rsidR="009A7608" w:rsidRDefault="009A7608" w:rsidP="009A7608">
      <w:pPr>
        <w:spacing w:after="120" w:line="259" w:lineRule="auto"/>
        <w:jc w:val="left"/>
        <w:rPr>
          <w:szCs w:val="22"/>
        </w:rPr>
      </w:pPr>
      <w:r w:rsidRPr="00B75695">
        <w:rPr>
          <w:b/>
        </w:rPr>
        <w:t>Recommendation</w:t>
      </w:r>
      <w:r w:rsidR="00DD2898">
        <w:rPr>
          <w:b/>
        </w:rPr>
        <w:t xml:space="preserve"> 1</w:t>
      </w:r>
      <w:r>
        <w:t>: A</w:t>
      </w:r>
      <w:r>
        <w:rPr>
          <w:szCs w:val="22"/>
        </w:rPr>
        <w:t>lthough small watering actions have provided a beneficial outcome for the riverine ecosystem productivity, it is highly probable that reconnecting backwaters and the floodplain to the river channel would result in much larger positive outcomes. It is recommended that, when possible, consideration be given to providing a more variable flow regime in the Edward</w:t>
      </w:r>
      <w:r w:rsidR="005D191E">
        <w:rPr>
          <w:szCs w:val="22"/>
        </w:rPr>
        <w:t>/Kolety</w:t>
      </w:r>
      <w:r>
        <w:rPr>
          <w:szCs w:val="22"/>
        </w:rPr>
        <w:t>-Wakool system in future years.</w:t>
      </w:r>
    </w:p>
    <w:p w14:paraId="1734D185" w14:textId="4018AA52" w:rsidR="00161C5D" w:rsidRDefault="00161C5D" w:rsidP="009A6A0B">
      <w:pPr>
        <w:spacing w:after="120" w:line="259" w:lineRule="auto"/>
        <w:ind w:right="-285"/>
        <w:jc w:val="left"/>
      </w:pPr>
      <w:r w:rsidRPr="00B75695">
        <w:rPr>
          <w:b/>
        </w:rPr>
        <w:t>Recommendation</w:t>
      </w:r>
      <w:r w:rsidR="00DD2898">
        <w:rPr>
          <w:b/>
        </w:rPr>
        <w:t xml:space="preserve"> 2</w:t>
      </w:r>
      <w:r w:rsidRPr="00B75695">
        <w:rPr>
          <w:b/>
        </w:rPr>
        <w:t>:</w:t>
      </w:r>
      <w:r>
        <w:t xml:space="preserve"> Deliver </w:t>
      </w:r>
      <w:r w:rsidR="009A6A0B">
        <w:t xml:space="preserve">a </w:t>
      </w:r>
      <w:r>
        <w:t>series of freshes to all rivers in all major tributaries of the Edward/Kolety-Wakool system to increase the wetted area of the bank. L</w:t>
      </w:r>
      <w:r w:rsidRPr="00313075">
        <w:t>ate winter/early spring freshes that inundate slackwater</w:t>
      </w:r>
      <w:r w:rsidR="009A6A0B">
        <w:t xml:space="preserve"> areas</w:t>
      </w:r>
      <w:r w:rsidRPr="00313075">
        <w:t xml:space="preserve">, in-channel benches or low lying areas of riverbank within the channel </w:t>
      </w:r>
      <w:r>
        <w:t>will</w:t>
      </w:r>
      <w:r w:rsidRPr="00313075">
        <w:t xml:space="preserve"> trigger emergence of river bank vegetation. Following the recession of flows, these damp banks provide ideal conditions for plant</w:t>
      </w:r>
      <w:r>
        <w:t>s to establish and grow</w:t>
      </w:r>
      <w:r w:rsidRPr="00313075">
        <w:t xml:space="preserve"> prior to the onset of hotter weather in summer that can quickly dry out the river banks.</w:t>
      </w:r>
    </w:p>
    <w:p w14:paraId="5195175F" w14:textId="117613DC" w:rsidR="00CB24D6" w:rsidRDefault="00CB24D6" w:rsidP="00CB24D6">
      <w:pPr>
        <w:spacing w:after="120" w:line="259" w:lineRule="auto"/>
        <w:ind w:right="-285"/>
        <w:jc w:val="left"/>
      </w:pPr>
      <w:r w:rsidRPr="003F214C">
        <w:rPr>
          <w:b/>
        </w:rPr>
        <w:t>Recommendation</w:t>
      </w:r>
      <w:r w:rsidR="00DD2898">
        <w:rPr>
          <w:b/>
        </w:rPr>
        <w:t xml:space="preserve"> 3</w:t>
      </w:r>
      <w:r w:rsidRPr="003F214C">
        <w:rPr>
          <w:b/>
        </w:rPr>
        <w:t>:</w:t>
      </w:r>
      <w:r>
        <w:t xml:space="preserve"> In years with high water availability, consider a late spring/early summer pulse, immediately after Murray cod larvae have left the nest, to support food resources for Murray cod larvae while at the same time providing opportunities for spawning to occur in silver perch and golden perch.</w:t>
      </w:r>
    </w:p>
    <w:p w14:paraId="391A2BEE" w14:textId="29464057" w:rsidR="00CB24D6" w:rsidRDefault="00CB24D6" w:rsidP="00CB24D6">
      <w:pPr>
        <w:spacing w:after="120" w:line="259" w:lineRule="auto"/>
        <w:ind w:right="-285"/>
        <w:jc w:val="left"/>
      </w:pPr>
      <w:r w:rsidRPr="003F214C">
        <w:rPr>
          <w:b/>
        </w:rPr>
        <w:t>Recommendation</w:t>
      </w:r>
      <w:r w:rsidR="00DD2898">
        <w:rPr>
          <w:b/>
        </w:rPr>
        <w:t xml:space="preserve"> 4</w:t>
      </w:r>
      <w:r w:rsidRPr="003F214C">
        <w:rPr>
          <w:b/>
        </w:rPr>
        <w:t>:</w:t>
      </w:r>
      <w:r>
        <w:t xml:space="preserve"> Consider adaptive use of water to coincide with high Murray River flows to maximise attraction/immigration of upstream migrating juvenile golden perch and silver perch in late summer. The probability of silver perch moving into and then staying in other more upstream tributaries of the Murray River (Goulburn and Campaspe rivers) is elevated in March-May (Koster et al. 2020), so delivering attraction flows in the Edward</w:t>
      </w:r>
      <w:r w:rsidR="005D191E">
        <w:t>/Kolety</w:t>
      </w:r>
      <w:r>
        <w:t>-Wakool river system at this time or before (e.g. January-March) may be optimal for this more downstream tributary.</w:t>
      </w:r>
    </w:p>
    <w:tbl>
      <w:tblPr>
        <w:tblStyle w:val="TableGrid"/>
        <w:tblW w:w="0" w:type="auto"/>
        <w:tblLook w:val="04A0" w:firstRow="1" w:lastRow="0" w:firstColumn="1" w:lastColumn="0" w:noHBand="0" w:noVBand="1"/>
      </w:tblPr>
      <w:tblGrid>
        <w:gridCol w:w="8494"/>
      </w:tblGrid>
      <w:tr w:rsidR="009A7608" w14:paraId="298CD01A" w14:textId="77777777" w:rsidTr="0012016B">
        <w:tc>
          <w:tcPr>
            <w:tcW w:w="8494" w:type="dxa"/>
          </w:tcPr>
          <w:p w14:paraId="6219CC7F" w14:textId="77777777" w:rsidR="009A7608" w:rsidRDefault="009A7608" w:rsidP="00DD2898">
            <w:pPr>
              <w:spacing w:after="0" w:line="324" w:lineRule="exact"/>
              <w:ind w:right="-284"/>
              <w:jc w:val="left"/>
            </w:pPr>
            <w:r w:rsidRPr="00BF3782">
              <w:rPr>
                <w:b/>
                <w:bCs/>
              </w:rPr>
              <w:t>CEWO Adaptive Management Response</w:t>
            </w:r>
            <w:r>
              <w:t>:</w:t>
            </w:r>
          </w:p>
          <w:p w14:paraId="68A1FDA7" w14:textId="4217432E" w:rsidR="009A7608" w:rsidRPr="009A7608" w:rsidRDefault="009A7608" w:rsidP="00AF7902">
            <w:pPr>
              <w:spacing w:after="120" w:line="259" w:lineRule="auto"/>
              <w:ind w:left="85" w:right="62"/>
              <w:contextualSpacing/>
              <w:jc w:val="left"/>
              <w:rPr>
                <w:rFonts w:cs="Calibri"/>
              </w:rPr>
            </w:pPr>
            <w:r w:rsidRPr="009A7608">
              <w:t>The CEWO agrees that late winter/early spring pulses are important for a range of outcomes, including vegetation, native fish and connectivity. When flows in the Murray River may focus on late spring/early summer pulses, the CEWO will examine the delivery of two pulses into the Edward/Kolety system – one in late winter/early spring and another synchronised with Murray River flows in late spring/early summer.</w:t>
            </w:r>
          </w:p>
        </w:tc>
      </w:tr>
    </w:tbl>
    <w:p w14:paraId="40D9B24E" w14:textId="77777777" w:rsidR="009A7608" w:rsidRDefault="009A7608" w:rsidP="009A6A0B">
      <w:pPr>
        <w:spacing w:after="120" w:line="259" w:lineRule="auto"/>
        <w:ind w:right="-285"/>
        <w:jc w:val="left"/>
        <w:rPr>
          <w:b/>
        </w:rPr>
      </w:pPr>
    </w:p>
    <w:p w14:paraId="0346D974" w14:textId="56D3ABE3" w:rsidR="00CB24D6" w:rsidRPr="009A7608" w:rsidRDefault="00CB24D6" w:rsidP="00CB24D6">
      <w:pPr>
        <w:spacing w:after="120" w:line="259" w:lineRule="auto"/>
        <w:ind w:right="-285"/>
        <w:jc w:val="left"/>
        <w:rPr>
          <w:i/>
          <w:color w:val="31849B"/>
          <w:szCs w:val="22"/>
          <w:lang w:val="en-US"/>
        </w:rPr>
      </w:pPr>
      <w:r w:rsidRPr="009A7608">
        <w:rPr>
          <w:i/>
          <w:color w:val="31849B"/>
          <w:szCs w:val="22"/>
          <w:lang w:val="en-US"/>
        </w:rPr>
        <w:t xml:space="preserve">Recommendations for </w:t>
      </w:r>
      <w:r w:rsidR="00DD2898">
        <w:rPr>
          <w:i/>
          <w:color w:val="31849B"/>
          <w:szCs w:val="22"/>
          <w:lang w:val="en-US"/>
        </w:rPr>
        <w:t>f</w:t>
      </w:r>
      <w:r w:rsidR="00DD2898" w:rsidRPr="00DD2898">
        <w:rPr>
          <w:i/>
          <w:color w:val="31849B"/>
          <w:szCs w:val="22"/>
          <w:lang w:val="en-US"/>
        </w:rPr>
        <w:t>lows to mitigate poor water quality events</w:t>
      </w:r>
    </w:p>
    <w:p w14:paraId="5010FABA" w14:textId="53778634" w:rsidR="00CB24D6" w:rsidRDefault="00CB24D6" w:rsidP="00CB24D6">
      <w:pPr>
        <w:spacing w:after="120" w:line="259" w:lineRule="auto"/>
        <w:ind w:right="-285"/>
        <w:jc w:val="left"/>
      </w:pPr>
      <w:r w:rsidRPr="003F214C">
        <w:rPr>
          <w:b/>
        </w:rPr>
        <w:t>Recommendation</w:t>
      </w:r>
      <w:r w:rsidR="00DD2898">
        <w:rPr>
          <w:b/>
        </w:rPr>
        <w:t xml:space="preserve"> 5</w:t>
      </w:r>
      <w:r>
        <w:rPr>
          <w:b/>
        </w:rPr>
        <w:t xml:space="preserve">: </w:t>
      </w:r>
      <w:r>
        <w:t>In watering years where risk of hypoxic blackwater events is probable, consider how CEW watering actions could be used to mitigate effects on fish populations. One option to explore could be use of flows to encourage movement out of high risk reaches.</w:t>
      </w:r>
    </w:p>
    <w:p w14:paraId="2504EC64" w14:textId="77777777" w:rsidR="00DD2898" w:rsidRDefault="00DD2898">
      <w:pPr>
        <w:spacing w:after="0" w:line="240" w:lineRule="auto"/>
        <w:jc w:val="left"/>
        <w:rPr>
          <w:i/>
          <w:color w:val="31849B"/>
          <w:szCs w:val="22"/>
          <w:lang w:val="en-US"/>
        </w:rPr>
      </w:pPr>
      <w:r>
        <w:rPr>
          <w:i/>
          <w:color w:val="31849B"/>
          <w:szCs w:val="22"/>
          <w:lang w:val="en-US"/>
        </w:rPr>
        <w:br w:type="page"/>
      </w:r>
    </w:p>
    <w:p w14:paraId="3D2A533E" w14:textId="4B0F4CDF" w:rsidR="00CB24D6" w:rsidRPr="00FE1DB8" w:rsidRDefault="00CB24D6" w:rsidP="00CB24D6">
      <w:pPr>
        <w:spacing w:after="120" w:line="259" w:lineRule="auto"/>
        <w:ind w:right="-285"/>
        <w:jc w:val="left"/>
        <w:rPr>
          <w:i/>
          <w:color w:val="31849B"/>
          <w:szCs w:val="22"/>
          <w:lang w:val="en-US"/>
        </w:rPr>
      </w:pPr>
      <w:r w:rsidRPr="00FE1DB8">
        <w:rPr>
          <w:i/>
          <w:color w:val="31849B"/>
          <w:szCs w:val="22"/>
          <w:lang w:val="en-US"/>
        </w:rPr>
        <w:t xml:space="preserve">Recommendations for </w:t>
      </w:r>
      <w:r>
        <w:rPr>
          <w:i/>
          <w:color w:val="31849B"/>
          <w:szCs w:val="22"/>
          <w:lang w:val="en-US"/>
        </w:rPr>
        <w:t>winter flows</w:t>
      </w:r>
    </w:p>
    <w:p w14:paraId="1BC85435" w14:textId="2B646B4F" w:rsidR="00CB24D6" w:rsidRDefault="00CB24D6" w:rsidP="00DD2898">
      <w:pPr>
        <w:spacing w:after="120" w:line="320" w:lineRule="exact"/>
        <w:ind w:right="-568"/>
        <w:jc w:val="left"/>
      </w:pPr>
      <w:r w:rsidRPr="00FE1DB8">
        <w:rPr>
          <w:b/>
        </w:rPr>
        <w:t>Recommendation</w:t>
      </w:r>
      <w:r w:rsidR="00DD2898">
        <w:rPr>
          <w:b/>
        </w:rPr>
        <w:t xml:space="preserve"> 6</w:t>
      </w:r>
      <w:r w:rsidRPr="00FE1DB8">
        <w:rPr>
          <w:b/>
        </w:rPr>
        <w:t>:</w:t>
      </w:r>
      <w:r>
        <w:t xml:space="preserve"> </w:t>
      </w:r>
      <w:r w:rsidRPr="00FE1DB8">
        <w:t xml:space="preserve">The median total contribution of Commonwealth environmental water to carbon production was higher during watering action 3 </w:t>
      </w:r>
      <w:r>
        <w:t>in spring/summer</w:t>
      </w:r>
      <w:r w:rsidRPr="00FE1DB8">
        <w:t xml:space="preserve"> than watering action 1 </w:t>
      </w:r>
      <w:r>
        <w:t>in winter. T</w:t>
      </w:r>
      <w:r w:rsidRPr="00FE1DB8">
        <w:t>hese results reflect the higher overall rates of GPP during summer and the greater probab</w:t>
      </w:r>
      <w:r>
        <w:t>ility that there will be days with high rates of carbon production</w:t>
      </w:r>
      <w:r w:rsidRPr="00FE1DB8">
        <w:t xml:space="preserve">. However, delivery of environmental water had the greatest proportional effect during winter low-flow periods. Maintaining discharge and wetted area during </w:t>
      </w:r>
      <w:r>
        <w:t>low flow periods</w:t>
      </w:r>
      <w:r w:rsidRPr="00FE1DB8">
        <w:t xml:space="preserve"> helps </w:t>
      </w:r>
      <w:r>
        <w:t xml:space="preserve">to </w:t>
      </w:r>
      <w:r w:rsidRPr="00FE1DB8">
        <w:t>maintain zooplankton and other invertebrates that feed on phytoplankton and periphyton, and in turn this increases food availability for fish and other higher order consumers during periods in which food availability might otherwise be low.</w:t>
      </w:r>
    </w:p>
    <w:p w14:paraId="6F533132" w14:textId="46757730" w:rsidR="00CB24D6" w:rsidRDefault="00CB24D6" w:rsidP="00DD2898">
      <w:pPr>
        <w:spacing w:after="120" w:line="320" w:lineRule="exact"/>
        <w:ind w:right="-568"/>
        <w:jc w:val="left"/>
      </w:pPr>
      <w:r w:rsidRPr="00B75695">
        <w:rPr>
          <w:b/>
        </w:rPr>
        <w:t>Recommendation</w:t>
      </w:r>
      <w:r w:rsidR="00DD2898">
        <w:rPr>
          <w:b/>
        </w:rPr>
        <w:t xml:space="preserve"> 7</w:t>
      </w:r>
      <w:r>
        <w:t xml:space="preserve">: Prevent negative impacts of a-seasonal cease-to-flow events by delivering winter base flows to promote temporal availability and continuity of instream habitat for aquatic vegetation. This will have minimise damage from </w:t>
      </w:r>
      <w:r w:rsidRPr="0006441C">
        <w:rPr>
          <w:rFonts w:cs="Calibri"/>
        </w:rPr>
        <w:t xml:space="preserve">damage from frost </w:t>
      </w:r>
      <w:r>
        <w:rPr>
          <w:rFonts w:cs="Calibri"/>
        </w:rPr>
        <w:t xml:space="preserve">and livestock </w:t>
      </w:r>
      <w:r w:rsidRPr="0006441C">
        <w:rPr>
          <w:rFonts w:cs="Calibri"/>
        </w:rPr>
        <w:t>if the system</w:t>
      </w:r>
      <w:r>
        <w:rPr>
          <w:rFonts w:cs="Calibri"/>
        </w:rPr>
        <w:t xml:space="preserve"> is shut down during the winter, and result in </w:t>
      </w:r>
      <w:r>
        <w:t>positive benefits for the survival and maintenance of aquatic and riverbank vegetation.</w:t>
      </w:r>
    </w:p>
    <w:p w14:paraId="659330FD" w14:textId="236A3CD6" w:rsidR="00CB24D6" w:rsidRDefault="00CB24D6" w:rsidP="00DD2898">
      <w:pPr>
        <w:spacing w:after="120" w:line="320" w:lineRule="exact"/>
        <w:ind w:right="-568"/>
        <w:jc w:val="left"/>
      </w:pPr>
      <w:r w:rsidRPr="00B75695">
        <w:rPr>
          <w:b/>
        </w:rPr>
        <w:t>Recommendation</w:t>
      </w:r>
      <w:r w:rsidR="00DD2898">
        <w:rPr>
          <w:b/>
        </w:rPr>
        <w:t xml:space="preserve"> 8</w:t>
      </w:r>
      <w:r>
        <w:t>: Prevent negative impacts of a-seasonal cease-to-flow events by delivering winter base flows to promote temporal availability and continuity of instream habitat for fish. Evidence from 2019-20 monitoring indicates this has positive benefits for the survival and local retention of juvenile fish.</w:t>
      </w:r>
    </w:p>
    <w:tbl>
      <w:tblPr>
        <w:tblStyle w:val="TableGrid"/>
        <w:tblW w:w="9067" w:type="dxa"/>
        <w:tblLook w:val="04A0" w:firstRow="1" w:lastRow="0" w:firstColumn="1" w:lastColumn="0" w:noHBand="0" w:noVBand="1"/>
      </w:tblPr>
      <w:tblGrid>
        <w:gridCol w:w="9067"/>
      </w:tblGrid>
      <w:tr w:rsidR="00CB24D6" w14:paraId="50C146F4" w14:textId="77777777" w:rsidTr="0078281D">
        <w:tc>
          <w:tcPr>
            <w:tcW w:w="9067" w:type="dxa"/>
          </w:tcPr>
          <w:p w14:paraId="5ACB546B" w14:textId="77777777" w:rsidR="00CB24D6" w:rsidRDefault="00CB24D6" w:rsidP="00DD2898">
            <w:pPr>
              <w:spacing w:after="0" w:line="320" w:lineRule="exact"/>
              <w:ind w:right="-284"/>
              <w:jc w:val="left"/>
            </w:pPr>
            <w:r w:rsidRPr="00BF3782">
              <w:rPr>
                <w:b/>
                <w:bCs/>
              </w:rPr>
              <w:t>CEWO Adaptive Management Response</w:t>
            </w:r>
            <w:r>
              <w:t>:</w:t>
            </w:r>
          </w:p>
          <w:p w14:paraId="45726609" w14:textId="77777777" w:rsidR="00CB24D6" w:rsidRPr="009A7608" w:rsidRDefault="00CB24D6" w:rsidP="00DD2898">
            <w:pPr>
              <w:spacing w:after="120" w:line="320" w:lineRule="exact"/>
              <w:ind w:left="13" w:right="62"/>
              <w:contextualSpacing/>
              <w:jc w:val="left"/>
              <w:rPr>
                <w:rFonts w:cs="Calibri"/>
              </w:rPr>
            </w:pPr>
            <w:r w:rsidRPr="009A7608">
              <w:rPr>
                <w:rFonts w:cs="Calibri"/>
              </w:rPr>
              <w:t>The ability to prevent winter cease-to-flow conditions in the Yallakool-Wakool and Colligen-Niemur systems is not controlled by the CEWO. The opportunity to provide winter base flows is determined by the need to undertake annual maintenance on Stevens Weir. The CEWO will continue to work with WaterNSW to identify when the opportunities arise to deliver winter base flows in the Edward/Kolety River system.</w:t>
            </w:r>
          </w:p>
        </w:tc>
      </w:tr>
    </w:tbl>
    <w:p w14:paraId="0E5C3AC2" w14:textId="77777777" w:rsidR="00CB24D6" w:rsidRDefault="00CB24D6" w:rsidP="00DD2898">
      <w:pPr>
        <w:spacing w:after="120" w:line="320" w:lineRule="exact"/>
        <w:ind w:right="-284"/>
        <w:jc w:val="left"/>
      </w:pPr>
    </w:p>
    <w:p w14:paraId="033B1FBF" w14:textId="76984863" w:rsidR="00CB24D6" w:rsidRPr="00FE1DB8" w:rsidRDefault="00CB24D6" w:rsidP="00DD2898">
      <w:pPr>
        <w:spacing w:after="120" w:line="320" w:lineRule="exact"/>
        <w:ind w:right="-285"/>
        <w:jc w:val="left"/>
        <w:rPr>
          <w:i/>
          <w:color w:val="31849B"/>
          <w:szCs w:val="22"/>
          <w:lang w:val="en-US"/>
        </w:rPr>
      </w:pPr>
      <w:r w:rsidRPr="00FE1DB8">
        <w:rPr>
          <w:i/>
          <w:color w:val="31849B"/>
          <w:szCs w:val="22"/>
          <w:lang w:val="en-US"/>
        </w:rPr>
        <w:t>Flow recommendation</w:t>
      </w:r>
      <w:r w:rsidR="00F34F25">
        <w:rPr>
          <w:i/>
          <w:color w:val="31849B"/>
          <w:szCs w:val="22"/>
          <w:lang w:val="en-US"/>
        </w:rPr>
        <w:t>s</w:t>
      </w:r>
      <w:r w:rsidRPr="00FE1DB8">
        <w:rPr>
          <w:i/>
          <w:color w:val="31849B"/>
          <w:szCs w:val="22"/>
          <w:lang w:val="en-US"/>
        </w:rPr>
        <w:t xml:space="preserve"> for </w:t>
      </w:r>
      <w:r>
        <w:rPr>
          <w:i/>
          <w:color w:val="31849B"/>
          <w:szCs w:val="22"/>
          <w:lang w:val="en-US"/>
        </w:rPr>
        <w:t>the upper Wakool River</w:t>
      </w:r>
    </w:p>
    <w:p w14:paraId="0E3D968A" w14:textId="3DACB3C3" w:rsidR="00CB24D6" w:rsidRDefault="00CB24D6" w:rsidP="00DD2898">
      <w:pPr>
        <w:spacing w:after="120" w:line="320" w:lineRule="exact"/>
        <w:ind w:right="-285"/>
        <w:jc w:val="left"/>
      </w:pPr>
      <w:r w:rsidRPr="003F214C">
        <w:rPr>
          <w:b/>
        </w:rPr>
        <w:t>Recommendation</w:t>
      </w:r>
      <w:r w:rsidR="00DD2898">
        <w:rPr>
          <w:b/>
        </w:rPr>
        <w:t xml:space="preserve"> 9</w:t>
      </w:r>
      <w:r>
        <w:rPr>
          <w:b/>
        </w:rPr>
        <w:t xml:space="preserve">: </w:t>
      </w:r>
      <w:r>
        <w:t>Undertake watering actions to improve the aquatic and riverbank vegetation outcomes in the Upper Wakool River. Deliver larger freshes with increased variability to enable riverbank vegetation to establish and be maintained.</w:t>
      </w:r>
    </w:p>
    <w:p w14:paraId="6BC4EFCB" w14:textId="25790766" w:rsidR="00CB24D6" w:rsidRDefault="00CB24D6" w:rsidP="00DD2898">
      <w:pPr>
        <w:spacing w:after="120" w:line="320" w:lineRule="exact"/>
        <w:ind w:right="-284"/>
        <w:jc w:val="left"/>
      </w:pPr>
      <w:r w:rsidRPr="00B75695">
        <w:rPr>
          <w:b/>
        </w:rPr>
        <w:t>Recommendation</w:t>
      </w:r>
      <w:r w:rsidR="00DD2898">
        <w:rPr>
          <w:b/>
        </w:rPr>
        <w:t xml:space="preserve"> 10</w:t>
      </w:r>
      <w:r w:rsidRPr="00B75695">
        <w:rPr>
          <w:b/>
        </w:rPr>
        <w:t>:</w:t>
      </w:r>
      <w:r>
        <w:t xml:space="preserve"> Deliver elevated base flows to the Upper Wakool River from September-December to maximise nesting and spawning opportunities for Murray cod. Record catches of larvae have been recorded when this type of watering action is delivered. This type of flow delivery should be supported with subsequent winter base flows throughout the Selected Area to maximise retention and survival of YOY in the region.</w:t>
      </w:r>
    </w:p>
    <w:tbl>
      <w:tblPr>
        <w:tblStyle w:val="TableGrid"/>
        <w:tblW w:w="9094" w:type="dxa"/>
        <w:tblLook w:val="04A0" w:firstRow="1" w:lastRow="0" w:firstColumn="1" w:lastColumn="0" w:noHBand="0" w:noVBand="1"/>
      </w:tblPr>
      <w:tblGrid>
        <w:gridCol w:w="9067"/>
        <w:gridCol w:w="27"/>
      </w:tblGrid>
      <w:tr w:rsidR="00CB24D6" w14:paraId="642301D2" w14:textId="77777777" w:rsidTr="00DD2898">
        <w:trPr>
          <w:gridAfter w:val="1"/>
          <w:wAfter w:w="27" w:type="dxa"/>
        </w:trPr>
        <w:tc>
          <w:tcPr>
            <w:tcW w:w="9067" w:type="dxa"/>
          </w:tcPr>
          <w:p w14:paraId="7D303069" w14:textId="77777777" w:rsidR="00CB24D6" w:rsidRDefault="00CB24D6" w:rsidP="00DD2898">
            <w:pPr>
              <w:spacing w:after="0" w:line="320" w:lineRule="exact"/>
              <w:ind w:right="-284"/>
              <w:jc w:val="left"/>
            </w:pPr>
            <w:r w:rsidRPr="00BF3782">
              <w:rPr>
                <w:b/>
                <w:bCs/>
              </w:rPr>
              <w:t>CEWO Adaptive Management Response</w:t>
            </w:r>
            <w:r>
              <w:t>:</w:t>
            </w:r>
          </w:p>
          <w:p w14:paraId="3CBE1B1D" w14:textId="77777777" w:rsidR="00CB24D6" w:rsidRPr="009A7608" w:rsidRDefault="00CB24D6" w:rsidP="00DD2898">
            <w:pPr>
              <w:spacing w:after="120" w:line="320" w:lineRule="exact"/>
              <w:ind w:right="-11"/>
              <w:contextualSpacing/>
              <w:jc w:val="left"/>
              <w:rPr>
                <w:rFonts w:cs="Calibri"/>
              </w:rPr>
            </w:pPr>
            <w:r w:rsidRPr="009A7608">
              <w:rPr>
                <w:rFonts w:cs="Calibri"/>
              </w:rPr>
              <w:t>The CEWO increased flows into the upper Wakool River system during summer and autumn 2021, primarily to improve water quality in this reach. The CEWO is interested to see if the monitoring also shows any change in vegetation and fish outcomes as a result of these increased flows.</w:t>
            </w:r>
          </w:p>
        </w:tc>
      </w:tr>
      <w:tr w:rsidR="00AF7902" w14:paraId="7D6F5813" w14:textId="77777777" w:rsidTr="00DD2898">
        <w:tc>
          <w:tcPr>
            <w:tcW w:w="9094" w:type="dxa"/>
            <w:gridSpan w:val="2"/>
          </w:tcPr>
          <w:p w14:paraId="5C7ECC1F" w14:textId="2D686ECC" w:rsidR="00AF7902" w:rsidRDefault="00AF7902" w:rsidP="00DD2898">
            <w:pPr>
              <w:spacing w:after="0" w:line="320" w:lineRule="exact"/>
              <w:ind w:right="-284"/>
              <w:jc w:val="left"/>
            </w:pPr>
            <w:r w:rsidRPr="00BF3782">
              <w:rPr>
                <w:b/>
                <w:bCs/>
              </w:rPr>
              <w:t>CEWO Adaptive Management Response</w:t>
            </w:r>
            <w:r w:rsidRPr="00BF3782">
              <w:t>:</w:t>
            </w:r>
          </w:p>
          <w:p w14:paraId="0769B5C7" w14:textId="77777777" w:rsidR="00AF7902" w:rsidRPr="00337053" w:rsidRDefault="00AF7902" w:rsidP="0040642F">
            <w:pPr>
              <w:pStyle w:val="ListParagraph"/>
              <w:numPr>
                <w:ilvl w:val="0"/>
                <w:numId w:val="35"/>
              </w:numPr>
              <w:spacing w:after="120" w:line="320" w:lineRule="exact"/>
              <w:ind w:left="447" w:right="319"/>
              <w:jc w:val="left"/>
              <w:rPr>
                <w:rFonts w:cs="Calibri"/>
              </w:rPr>
            </w:pPr>
            <w:r w:rsidRPr="001B5621">
              <w:t xml:space="preserve">A number of the recommendations above are linked to recommendations </w:t>
            </w:r>
            <w:r>
              <w:t xml:space="preserve">for </w:t>
            </w:r>
            <w:r w:rsidRPr="00CB0980">
              <w:t>aquatic and riverbank vegetation outcomes</w:t>
            </w:r>
            <w:r w:rsidRPr="001B5621">
              <w:t>. The CEWO will seek to implement these recommendations via multi-objective watering actions, as it has done so in the past.</w:t>
            </w:r>
          </w:p>
        </w:tc>
      </w:tr>
    </w:tbl>
    <w:p w14:paraId="67E5AD40" w14:textId="77777777" w:rsidR="000F20B5" w:rsidRDefault="000F20B5" w:rsidP="000F20B5">
      <w:pPr>
        <w:spacing w:after="120" w:line="320" w:lineRule="exact"/>
        <w:ind w:right="-569"/>
        <w:jc w:val="left"/>
        <w:rPr>
          <w:i/>
          <w:color w:val="31849B"/>
          <w:szCs w:val="22"/>
          <w:lang w:val="en-US"/>
        </w:rPr>
      </w:pPr>
    </w:p>
    <w:p w14:paraId="139975E8" w14:textId="1788C78D" w:rsidR="000F20B5" w:rsidRPr="00C94C42" w:rsidRDefault="000F20B5" w:rsidP="000F20B5">
      <w:pPr>
        <w:spacing w:after="120" w:line="320" w:lineRule="exact"/>
        <w:ind w:right="-569"/>
        <w:jc w:val="left"/>
        <w:rPr>
          <w:i/>
          <w:color w:val="31849B"/>
          <w:szCs w:val="22"/>
          <w:lang w:val="en-US"/>
        </w:rPr>
      </w:pPr>
      <w:r w:rsidRPr="00C94C42">
        <w:rPr>
          <w:i/>
          <w:color w:val="31849B"/>
          <w:szCs w:val="22"/>
          <w:lang w:val="en-US"/>
        </w:rPr>
        <w:t xml:space="preserve">Flow recommendations for </w:t>
      </w:r>
      <w:r>
        <w:rPr>
          <w:i/>
          <w:color w:val="31849B"/>
          <w:szCs w:val="22"/>
          <w:lang w:val="en-US"/>
        </w:rPr>
        <w:t>Edward</w:t>
      </w:r>
      <w:r w:rsidR="00913A23">
        <w:rPr>
          <w:i/>
          <w:color w:val="31849B"/>
          <w:szCs w:val="22"/>
          <w:lang w:val="en-US"/>
        </w:rPr>
        <w:t>/Kolety</w:t>
      </w:r>
      <w:r>
        <w:rPr>
          <w:i/>
          <w:color w:val="31849B"/>
          <w:szCs w:val="22"/>
          <w:lang w:val="en-US"/>
        </w:rPr>
        <w:t xml:space="preserve"> River downstream of Stevens Weir</w:t>
      </w:r>
    </w:p>
    <w:p w14:paraId="014D092C" w14:textId="4500CE12" w:rsidR="000F20B5" w:rsidRDefault="000F20B5" w:rsidP="000F20B5">
      <w:pPr>
        <w:spacing w:after="120" w:line="259" w:lineRule="auto"/>
        <w:ind w:right="-567"/>
        <w:jc w:val="left"/>
      </w:pPr>
      <w:r w:rsidRPr="00B75695">
        <w:rPr>
          <w:b/>
        </w:rPr>
        <w:t>Recommendation</w:t>
      </w:r>
      <w:r>
        <w:rPr>
          <w:b/>
        </w:rPr>
        <w:t xml:space="preserve"> 11</w:t>
      </w:r>
      <w:r w:rsidRPr="00B75695">
        <w:rPr>
          <w:b/>
        </w:rPr>
        <w:t>:</w:t>
      </w:r>
      <w:r>
        <w:t xml:space="preserve"> We recommend that options for a high flow event downstream of Stevens Weir (&gt;2700 ML/day) that inundates low lying part of Werai forest and is likely to return flows to either Colligen Creek or the Edward/Kolety River are explored.</w:t>
      </w:r>
    </w:p>
    <w:p w14:paraId="03657FD4" w14:textId="77777777" w:rsidR="000F20B5" w:rsidRDefault="000F20B5" w:rsidP="000F20B5">
      <w:pPr>
        <w:pBdr>
          <w:top w:val="single" w:sz="4" w:space="1" w:color="auto"/>
          <w:left w:val="single" w:sz="4" w:space="0" w:color="auto"/>
          <w:bottom w:val="single" w:sz="4" w:space="1" w:color="auto"/>
          <w:right w:val="single" w:sz="4" w:space="0" w:color="auto"/>
        </w:pBdr>
        <w:spacing w:after="120" w:line="259" w:lineRule="auto"/>
        <w:ind w:left="28" w:right="-569"/>
        <w:contextualSpacing/>
        <w:jc w:val="left"/>
      </w:pPr>
      <w:r w:rsidRPr="00E2075F">
        <w:rPr>
          <w:b/>
        </w:rPr>
        <w:t>CEWO Adaptive Management Response</w:t>
      </w:r>
      <w:r>
        <w:rPr>
          <w:b/>
        </w:rPr>
        <w:t xml:space="preserve">: </w:t>
      </w:r>
      <w:r>
        <w:t>Options for delivering environmental water to Werai</w:t>
      </w:r>
      <w:r w:rsidRPr="001B5621">
        <w:t xml:space="preserve"> </w:t>
      </w:r>
      <w:r>
        <w:t>Forest are being explored. There are issues around delivery and gauging of water that need to be resolved.</w:t>
      </w:r>
    </w:p>
    <w:p w14:paraId="30278D90" w14:textId="77777777" w:rsidR="00DD2898" w:rsidRPr="000F20B5" w:rsidRDefault="00DD2898" w:rsidP="009A7608">
      <w:pPr>
        <w:spacing w:after="120" w:line="259" w:lineRule="auto"/>
        <w:ind w:right="-285"/>
        <w:jc w:val="left"/>
        <w:rPr>
          <w:rFonts w:asciiTheme="minorHAnsi" w:eastAsia="Times New Roman" w:hAnsiTheme="minorHAnsi"/>
          <w:color w:val="31849B"/>
          <w:sz w:val="24"/>
          <w:szCs w:val="24"/>
          <w:lang w:eastAsia="en-AU"/>
        </w:rPr>
      </w:pPr>
    </w:p>
    <w:p w14:paraId="469A1CE9" w14:textId="6D3E7ECE" w:rsidR="009A7608" w:rsidRPr="00F34F25" w:rsidRDefault="009A7608" w:rsidP="009A7608">
      <w:pPr>
        <w:spacing w:after="120" w:line="259" w:lineRule="auto"/>
        <w:ind w:right="-285"/>
        <w:jc w:val="left"/>
        <w:rPr>
          <w:rFonts w:asciiTheme="minorHAnsi" w:eastAsia="Times New Roman" w:hAnsiTheme="minorHAnsi"/>
          <w:b/>
          <w:i/>
          <w:color w:val="31849B"/>
          <w:sz w:val="24"/>
          <w:szCs w:val="24"/>
          <w:lang w:eastAsia="en-AU"/>
        </w:rPr>
      </w:pPr>
      <w:r w:rsidRPr="00F34F25">
        <w:rPr>
          <w:rFonts w:asciiTheme="minorHAnsi" w:eastAsia="Times New Roman" w:hAnsiTheme="minorHAnsi"/>
          <w:b/>
          <w:i/>
          <w:color w:val="31849B"/>
          <w:sz w:val="24"/>
          <w:szCs w:val="24"/>
          <w:lang w:eastAsia="en-AU"/>
        </w:rPr>
        <w:t>Recommendations for monitoring</w:t>
      </w:r>
      <w:r w:rsidR="00CB24D6" w:rsidRPr="00F34F25">
        <w:rPr>
          <w:rFonts w:asciiTheme="minorHAnsi" w:eastAsia="Times New Roman" w:hAnsiTheme="minorHAnsi"/>
          <w:b/>
          <w:i/>
          <w:color w:val="31849B"/>
          <w:sz w:val="24"/>
          <w:szCs w:val="24"/>
          <w:lang w:eastAsia="en-AU"/>
        </w:rPr>
        <w:t xml:space="preserve"> and</w:t>
      </w:r>
      <w:r w:rsidRPr="00F34F25">
        <w:rPr>
          <w:rFonts w:asciiTheme="minorHAnsi" w:eastAsia="Times New Roman" w:hAnsiTheme="minorHAnsi"/>
          <w:b/>
          <w:i/>
          <w:color w:val="31849B"/>
          <w:sz w:val="24"/>
          <w:szCs w:val="24"/>
          <w:lang w:eastAsia="en-AU"/>
        </w:rPr>
        <w:t xml:space="preserve"> research</w:t>
      </w:r>
    </w:p>
    <w:p w14:paraId="53769B93" w14:textId="75F8F2AC" w:rsidR="009A7608" w:rsidRDefault="009A7608" w:rsidP="009A7608">
      <w:pPr>
        <w:spacing w:after="120" w:line="259" w:lineRule="auto"/>
        <w:jc w:val="left"/>
      </w:pPr>
      <w:r w:rsidRPr="006165AA">
        <w:rPr>
          <w:b/>
        </w:rPr>
        <w:t>Recommendation</w:t>
      </w:r>
      <w:r w:rsidR="00DD2898">
        <w:rPr>
          <w:b/>
        </w:rPr>
        <w:t xml:space="preserve"> 1</w:t>
      </w:r>
      <w:r w:rsidR="000F20B5">
        <w:rPr>
          <w:b/>
        </w:rPr>
        <w:t>2</w:t>
      </w:r>
      <w:r w:rsidRPr="006165AA">
        <w:rPr>
          <w:b/>
        </w:rPr>
        <w:t>:</w:t>
      </w:r>
      <w:r>
        <w:t xml:space="preserve"> We recommend that a campaign/intervention monitoring type of study be undertaken during a high flow event (&gt;2700 ML/day) that inundates low lying part of Werai forest and is likely to return flows to either Colligen Creek or the Edward/Kolety River. The evaluation of primary productivity associated with the event would be enhanced by the installation of temporary gauges to collect data on the inflows to the forest. Analysis of Sentinel images would also quantify extent of inundation within Werai Forest.</w:t>
      </w:r>
    </w:p>
    <w:p w14:paraId="4E3E5263" w14:textId="317F302C" w:rsidR="00CB24D6" w:rsidRPr="001E49D3" w:rsidRDefault="00CB24D6" w:rsidP="00CB24D6">
      <w:pPr>
        <w:spacing w:after="120" w:line="259" w:lineRule="auto"/>
        <w:jc w:val="left"/>
      </w:pPr>
      <w:r w:rsidRPr="006165AA">
        <w:rPr>
          <w:b/>
        </w:rPr>
        <w:t>Recommendation</w:t>
      </w:r>
      <w:r w:rsidR="00DD2898">
        <w:rPr>
          <w:b/>
        </w:rPr>
        <w:t xml:space="preserve"> 1</w:t>
      </w:r>
      <w:r w:rsidR="000F20B5">
        <w:rPr>
          <w:b/>
        </w:rPr>
        <w:t>3</w:t>
      </w:r>
      <w:r w:rsidRPr="006165AA">
        <w:rPr>
          <w:b/>
        </w:rPr>
        <w:t>:</w:t>
      </w:r>
      <w:r>
        <w:t xml:space="preserve"> Targeted eDNA methods are most suitable when the objective is to document the distribution of species inefficiently sampled by other methods. This research has shown that eDNA is an effective method to detect the presence of rare and threatened species in the Edward/Kolety-Wakool system. We recommend future work explores occupancy modelling to enable detection probabilities to be estimated.</w:t>
      </w:r>
    </w:p>
    <w:p w14:paraId="71E2F279" w14:textId="62B78237" w:rsidR="00CB24D6" w:rsidRDefault="00CB24D6" w:rsidP="00CB24D6">
      <w:pPr>
        <w:spacing w:after="120" w:line="259" w:lineRule="auto"/>
        <w:ind w:right="-285"/>
        <w:jc w:val="left"/>
        <w:rPr>
          <w:color w:val="000000" w:themeColor="text1"/>
        </w:rPr>
      </w:pPr>
      <w:r w:rsidRPr="003F214C">
        <w:rPr>
          <w:b/>
        </w:rPr>
        <w:t>Recommendation</w:t>
      </w:r>
      <w:r w:rsidR="00DD2898">
        <w:rPr>
          <w:b/>
        </w:rPr>
        <w:t xml:space="preserve"> 1</w:t>
      </w:r>
      <w:r w:rsidR="000F20B5">
        <w:rPr>
          <w:b/>
        </w:rPr>
        <w:t>4</w:t>
      </w:r>
      <w:r w:rsidRPr="003F214C">
        <w:rPr>
          <w:b/>
        </w:rPr>
        <w:t>:</w:t>
      </w:r>
      <w:r>
        <w:t xml:space="preserve"> </w:t>
      </w:r>
      <w:r>
        <w:rPr>
          <w:color w:val="000000" w:themeColor="text1"/>
        </w:rPr>
        <w:t>Although</w:t>
      </w:r>
      <w:r w:rsidRPr="008B0AA5">
        <w:rPr>
          <w:color w:val="000000" w:themeColor="text1"/>
        </w:rPr>
        <w:t xml:space="preserve"> the</w:t>
      </w:r>
      <w:r>
        <w:rPr>
          <w:color w:val="000000" w:themeColor="text1"/>
        </w:rPr>
        <w:t>re</w:t>
      </w:r>
      <w:r w:rsidRPr="008B0AA5">
        <w:rPr>
          <w:color w:val="000000" w:themeColor="text1"/>
        </w:rPr>
        <w:t xml:space="preserve"> were no golden or silver perch eggs or larvae detected in the Edward/Kolety River in 2019-20, further monitoring over a longer period of time is warranted.</w:t>
      </w:r>
      <w:r>
        <w:rPr>
          <w:color w:val="000000" w:themeColor="text1"/>
        </w:rPr>
        <w:t xml:space="preserve"> T</w:t>
      </w:r>
      <w:r w:rsidRPr="008B0AA5">
        <w:rPr>
          <w:color w:val="000000" w:themeColor="text1"/>
        </w:rPr>
        <w:t xml:space="preserve">he growing appreciation of large spatial scales </w:t>
      </w:r>
      <w:r>
        <w:rPr>
          <w:color w:val="000000" w:themeColor="text1"/>
        </w:rPr>
        <w:t xml:space="preserve">at which these species operate </w:t>
      </w:r>
      <w:r w:rsidRPr="008B0AA5">
        <w:rPr>
          <w:color w:val="000000" w:themeColor="text1"/>
        </w:rPr>
        <w:t xml:space="preserve">highlights the need for continued monitoring of spawning and recruitment indicators across key main channel </w:t>
      </w:r>
      <w:r>
        <w:rPr>
          <w:color w:val="000000" w:themeColor="text1"/>
        </w:rPr>
        <w:t>and off-channel environments in both the s</w:t>
      </w:r>
      <w:r w:rsidRPr="008B0AA5">
        <w:rPr>
          <w:color w:val="000000" w:themeColor="text1"/>
        </w:rPr>
        <w:t xml:space="preserve">outhern and </w:t>
      </w:r>
      <w:r>
        <w:rPr>
          <w:color w:val="000000" w:themeColor="text1"/>
        </w:rPr>
        <w:t>n</w:t>
      </w:r>
      <w:r w:rsidRPr="008B0AA5">
        <w:rPr>
          <w:color w:val="000000" w:themeColor="text1"/>
        </w:rPr>
        <w:t>orthern Murray-Darling Basin.</w:t>
      </w:r>
      <w:r>
        <w:rPr>
          <w:color w:val="000000" w:themeColor="text1"/>
        </w:rPr>
        <w:t xml:space="preserve"> Ongoing monitoring and analysis of the pattern of flow delivery and water velocities across multiple years will be able to better inform a discussion about spawning of silver perch and golden perch in the Edward/Kolety River.</w:t>
      </w:r>
    </w:p>
    <w:p w14:paraId="486C4C51" w14:textId="77777777" w:rsidR="00CB24D6" w:rsidRPr="00F34F25" w:rsidRDefault="00CB24D6" w:rsidP="00CB24D6">
      <w:pPr>
        <w:spacing w:after="120" w:line="259" w:lineRule="auto"/>
        <w:ind w:right="-285"/>
        <w:jc w:val="left"/>
        <w:rPr>
          <w:rFonts w:asciiTheme="minorHAnsi" w:eastAsia="Times New Roman" w:hAnsiTheme="minorHAnsi"/>
          <w:b/>
          <w:i/>
          <w:color w:val="31849B"/>
          <w:sz w:val="24"/>
          <w:szCs w:val="24"/>
          <w:lang w:eastAsia="en-AU"/>
        </w:rPr>
      </w:pPr>
      <w:r w:rsidRPr="00F34F25">
        <w:rPr>
          <w:rFonts w:asciiTheme="minorHAnsi" w:eastAsia="Times New Roman" w:hAnsiTheme="minorHAnsi"/>
          <w:b/>
          <w:i/>
          <w:color w:val="31849B"/>
          <w:sz w:val="24"/>
          <w:szCs w:val="24"/>
          <w:lang w:eastAsia="en-AU"/>
        </w:rPr>
        <w:t>Recommendation for communication</w:t>
      </w:r>
    </w:p>
    <w:p w14:paraId="7DB8AB8B" w14:textId="13A139AA" w:rsidR="00CB24D6" w:rsidRDefault="00CB24D6" w:rsidP="00CB24D6">
      <w:pPr>
        <w:spacing w:after="120" w:line="259" w:lineRule="auto"/>
        <w:ind w:right="-284"/>
        <w:jc w:val="left"/>
        <w:rPr>
          <w:rFonts w:cs="Calibri"/>
        </w:rPr>
      </w:pPr>
      <w:r w:rsidRPr="003F214C">
        <w:rPr>
          <w:b/>
        </w:rPr>
        <w:t>Recommendation</w:t>
      </w:r>
      <w:r w:rsidR="00DD2898">
        <w:rPr>
          <w:b/>
        </w:rPr>
        <w:t xml:space="preserve"> 1</w:t>
      </w:r>
      <w:r w:rsidR="000F20B5">
        <w:rPr>
          <w:b/>
        </w:rPr>
        <w:t>5</w:t>
      </w:r>
      <w:r w:rsidRPr="003F214C">
        <w:rPr>
          <w:b/>
        </w:rPr>
        <w:t>:</w:t>
      </w:r>
      <w:r>
        <w:t xml:space="preserve"> Consider developing communication products and contribute to engagement programs in collaboration with other agencies (e.g. Local Land Services) to </w:t>
      </w:r>
      <w:r>
        <w:rPr>
          <w:rFonts w:cs="Calibri"/>
        </w:rPr>
        <w:t>support projects that reduce</w:t>
      </w:r>
      <w:r w:rsidRPr="0006441C">
        <w:rPr>
          <w:rFonts w:cs="Calibri"/>
        </w:rPr>
        <w:t xml:space="preserve"> risks to recovery </w:t>
      </w:r>
      <w:r>
        <w:rPr>
          <w:rFonts w:cs="Calibri"/>
        </w:rPr>
        <w:t>and maintenance of</w:t>
      </w:r>
      <w:r w:rsidRPr="0006441C">
        <w:rPr>
          <w:rFonts w:cs="Calibri"/>
        </w:rPr>
        <w:t xml:space="preserve"> </w:t>
      </w:r>
      <w:r>
        <w:rPr>
          <w:rFonts w:cs="Calibri"/>
        </w:rPr>
        <w:t>aquatic and</w:t>
      </w:r>
      <w:r w:rsidRPr="0006441C">
        <w:rPr>
          <w:rFonts w:cs="Calibri"/>
        </w:rPr>
        <w:t xml:space="preserve"> riverbank plants </w:t>
      </w:r>
      <w:r>
        <w:rPr>
          <w:rFonts w:cs="Calibri"/>
        </w:rPr>
        <w:t>by</w:t>
      </w:r>
      <w:r w:rsidRPr="0006441C">
        <w:rPr>
          <w:rFonts w:cs="Calibri"/>
        </w:rPr>
        <w:t xml:space="preserve"> carp, pigs </w:t>
      </w:r>
      <w:r>
        <w:rPr>
          <w:rFonts w:cs="Calibri"/>
        </w:rPr>
        <w:t>and livestock. Disturbance of the riverbank caused by carp, pigs and livestock has a high potential to undo the positive outcomes of environmental watering actions.</w:t>
      </w:r>
    </w:p>
    <w:p w14:paraId="3B4F8C33" w14:textId="2A7CFB9A" w:rsidR="00B263A7" w:rsidRDefault="00B263A7" w:rsidP="000F54E6">
      <w:pPr>
        <w:pStyle w:val="NoSpacing"/>
        <w:spacing w:after="240" w:line="320" w:lineRule="exact"/>
        <w:jc w:val="left"/>
      </w:pPr>
    </w:p>
    <w:p w14:paraId="3B4F8C34" w14:textId="11C3DCF8" w:rsidR="00B263A7" w:rsidRDefault="008D7AAA" w:rsidP="00836CDD">
      <w:pPr>
        <w:pStyle w:val="Heading1"/>
      </w:pPr>
      <w:bookmarkStart w:id="218" w:name="_Toc69846026"/>
      <w:r>
        <w:t>14</w:t>
      </w:r>
      <w:r w:rsidR="00FC788C">
        <w:tab/>
      </w:r>
      <w:r w:rsidR="00B263A7">
        <w:t>Acknowledgements</w:t>
      </w:r>
      <w:bookmarkEnd w:id="218"/>
    </w:p>
    <w:p w14:paraId="566B480B" w14:textId="77777777" w:rsidR="005A0A52" w:rsidRPr="00004CCD" w:rsidRDefault="005A0A52" w:rsidP="005A0A52">
      <w:pPr>
        <w:spacing w:after="120" w:line="320" w:lineRule="exact"/>
        <w:ind w:right="-569"/>
        <w:jc w:val="left"/>
        <w:rPr>
          <w:color w:val="000000"/>
          <w:szCs w:val="22"/>
        </w:rPr>
      </w:pPr>
      <w:r w:rsidRPr="003D5739">
        <w:rPr>
          <w:color w:val="000000"/>
          <w:szCs w:val="22"/>
        </w:rPr>
        <w:t xml:space="preserve">The authors of this </w:t>
      </w:r>
      <w:r w:rsidRPr="003D5739">
        <w:rPr>
          <w:szCs w:val="22"/>
        </w:rPr>
        <w:t>report as well as the Commonwealth Environmental Water Office respectfully acknowledge the traditional owners</w:t>
      </w:r>
      <w:r>
        <w:rPr>
          <w:szCs w:val="22"/>
        </w:rPr>
        <w:t xml:space="preserve"> of the Murray-Darling Basin</w:t>
      </w:r>
      <w:r w:rsidRPr="003D5739">
        <w:rPr>
          <w:szCs w:val="22"/>
        </w:rPr>
        <w:t>, their Elders past and present, their Nations, and their cultural, social, environmental, spiritual and economic</w:t>
      </w:r>
      <w:r w:rsidRPr="003D5739">
        <w:rPr>
          <w:color w:val="000000"/>
          <w:szCs w:val="22"/>
        </w:rPr>
        <w:t xml:space="preserve"> connection to their lands and waters.</w:t>
      </w:r>
      <w:r>
        <w:rPr>
          <w:color w:val="000000"/>
          <w:szCs w:val="22"/>
        </w:rPr>
        <w:t xml:space="preserve"> </w:t>
      </w:r>
      <w:r w:rsidRPr="00004CCD">
        <w:rPr>
          <w:color w:val="000000"/>
          <w:szCs w:val="22"/>
        </w:rPr>
        <w:t xml:space="preserve">We are honoured to work on the ancestral lands of the Wamba Wamba or Wemba Wemba, and Perrepa Perrepa or Barapa Barapa People. We recognise their unique ability to care for Country and their deep spiritual connection to it. We honour Elders past and present whose knowledge and wisdom has ensured the continuation of culture and traditional practices. We are committed to genuinely partner and meaningfully engage with Traditional Owners and Aboriginal communities to support the protection of Country, the maintenance of spiritual and cultural practices and their broader aspirations in the 21st century and beyond </w:t>
      </w:r>
    </w:p>
    <w:p w14:paraId="6CB7B745" w14:textId="77777777" w:rsidR="005A0A52" w:rsidRDefault="005A0A52" w:rsidP="005A0A52">
      <w:pPr>
        <w:pStyle w:val="NoSpacing"/>
        <w:spacing w:after="120" w:line="320" w:lineRule="exact"/>
        <w:ind w:right="-569"/>
        <w:jc w:val="left"/>
      </w:pPr>
      <w:r w:rsidRPr="003D5739">
        <w:t xml:space="preserve">We extend our thanks to the </w:t>
      </w:r>
      <w:r>
        <w:t xml:space="preserve">Edward/Kolety-Wakool Environmental Water Reference Group, </w:t>
      </w:r>
      <w:r w:rsidRPr="003D5739">
        <w:t xml:space="preserve">Wakool River Association, </w:t>
      </w:r>
      <w:r>
        <w:t>Edward/Kolety-Wakool</w:t>
      </w:r>
      <w:r w:rsidRPr="003D5739">
        <w:t xml:space="preserve"> Angling Association</w:t>
      </w:r>
      <w:r>
        <w:t xml:space="preserve">, Yarkuwa Indigenous Knowledge Centre Aboriginal Corporation, </w:t>
      </w:r>
      <w:r w:rsidRPr="003D5739">
        <w:t xml:space="preserve">the Colligen and Niemur </w:t>
      </w:r>
      <w:r w:rsidRPr="00004CCD">
        <w:t xml:space="preserve">Group, Western Murray Land Improvement Group, </w:t>
      </w:r>
      <w:r w:rsidRPr="003D5739">
        <w:t xml:space="preserve">and landholders in the </w:t>
      </w:r>
      <w:r>
        <w:t>Edward/Kolety-Wakool</w:t>
      </w:r>
      <w:r w:rsidRPr="003D5739">
        <w:t xml:space="preserve"> river system for their keen interest in this project and for providing access to monito</w:t>
      </w:r>
      <w:r>
        <w:t>ring sites on their properties.</w:t>
      </w:r>
    </w:p>
    <w:p w14:paraId="5EFEB3C5" w14:textId="77777777" w:rsidR="005A0A52" w:rsidRPr="00004CCD" w:rsidRDefault="005A0A52" w:rsidP="005A0A52">
      <w:pPr>
        <w:pStyle w:val="NoSpacing"/>
        <w:spacing w:after="120" w:line="320" w:lineRule="exact"/>
        <w:ind w:right="-569"/>
      </w:pPr>
      <w:r>
        <w:t xml:space="preserve">Thanks to staff from </w:t>
      </w:r>
      <w:r w:rsidRPr="00004CCD">
        <w:t>Commonwealth Environmental Water Office, NSW Department of Planning, Industry and Environment, Murray Local Land Services, WaterNSW, Murray-Darling Basin Authority, Murray Irrigation Limited</w:t>
      </w:r>
      <w:r>
        <w:t xml:space="preserve"> for providing water planning information and access to hydrological and water use data.</w:t>
      </w:r>
    </w:p>
    <w:p w14:paraId="6C43875F" w14:textId="77777777" w:rsidR="005A0A52" w:rsidRDefault="005A0A52" w:rsidP="005A0A52">
      <w:pPr>
        <w:pStyle w:val="NoSpacing"/>
        <w:spacing w:after="120" w:line="320" w:lineRule="exact"/>
        <w:ind w:right="-569"/>
        <w:jc w:val="left"/>
      </w:pPr>
      <w:r w:rsidRPr="003D5739">
        <w:t>Fieldwork and/or laboratory wo</w:t>
      </w:r>
      <w:r>
        <w:t xml:space="preserve">rk was led by John Trethewie, Chris Smith, Sascha Healy, and </w:t>
      </w:r>
      <w:r w:rsidRPr="00C91F71">
        <w:t>Xiaoying Liu,</w:t>
      </w:r>
      <w:r>
        <w:t xml:space="preserve"> </w:t>
      </w:r>
      <w:r w:rsidRPr="00C91F71">
        <w:t>with assistance from Joe Briggs, Allen Brooks, Alec Buckley, Tom Butterfield, Dale Campbell, Brandon Cooper, Jonathon Doyle, Roseanne Farrant, Tracy Hamilton, Dan Hutton, Anthony Jones, Zac McCullock, Nathan McGrath, Cameron McGregor, Jarryd McGowan, Nick O’Brien, Warren Parson, Matt Pihkanen, Rohan Rehwinkel, Liticia Ross, Lachlan Spalding, Jackson Wilkes Walburn and Ian Wooden.</w:t>
      </w:r>
    </w:p>
    <w:p w14:paraId="75AD3C8C" w14:textId="77777777" w:rsidR="005A0A52" w:rsidRDefault="005A0A52" w:rsidP="005A0A52">
      <w:pPr>
        <w:pStyle w:val="NoSpacing"/>
        <w:spacing w:after="120" w:line="320" w:lineRule="exact"/>
        <w:ind w:right="-569"/>
        <w:jc w:val="left"/>
      </w:pPr>
      <w:r w:rsidRPr="003D5739">
        <w:t xml:space="preserve">Maps were prepared by Simon McDonald and Deanna Duffy (Charles Sturt University Spatial Analysis Unit), Rod Martin (NSW DPI) and Ian Wooden (NSW DPI). </w:t>
      </w:r>
      <w:r>
        <w:t xml:space="preserve">Statistical analyses of fish movement data was undertaken by Ben </w:t>
      </w:r>
      <w:r w:rsidRPr="00034B0F">
        <w:t xml:space="preserve">Stewart-Koster </w:t>
      </w:r>
      <w:r>
        <w:t xml:space="preserve">and Ameneh </w:t>
      </w:r>
      <w:r w:rsidRPr="00034B0F">
        <w:t xml:space="preserve">Shobeirinejad </w:t>
      </w:r>
      <w:r>
        <w:t>(Griffith University). John Pengelly</w:t>
      </w:r>
      <w:r w:rsidRPr="003D5739">
        <w:t xml:space="preserve"> </w:t>
      </w:r>
      <w:r>
        <w:t>(CSIRO)</w:t>
      </w:r>
      <w:r w:rsidRPr="003D5739">
        <w:t xml:space="preserve"> processed carbon and nutrient samples. </w:t>
      </w:r>
      <w:r>
        <w:t>Larval and juvenile f</w:t>
      </w:r>
      <w:r w:rsidRPr="003D5739">
        <w:t xml:space="preserve">ish sampling was carried out </w:t>
      </w:r>
      <w:r>
        <w:t xml:space="preserve">under NSW Fisheries license (larval fish </w:t>
      </w:r>
      <w:r w:rsidRPr="007D6997">
        <w:t>P19/0006-1.0,</w:t>
      </w:r>
      <w:r>
        <w:t xml:space="preserve"> juvenile fish P19/0051). Projects were</w:t>
      </w:r>
      <w:r w:rsidRPr="003D5739">
        <w:t xml:space="preserve"> approved by the CSU Animal Care and Ethics Committee (</w:t>
      </w:r>
      <w:r w:rsidRPr="007D6997">
        <w:t>larval fish surveys: A19260</w:t>
      </w:r>
      <w:r w:rsidRPr="00E2372E">
        <w:t>, recruitment surveys: A19384).</w:t>
      </w:r>
      <w:r w:rsidRPr="003D5739">
        <w:t xml:space="preserve"> </w:t>
      </w:r>
      <w:r>
        <w:t xml:space="preserve">Sampling in the Murray Valley National Park was permitted under the National Parks and Wildlife Act 1974 </w:t>
      </w:r>
      <w:r w:rsidRPr="007D6997">
        <w:t>(Scientific License: SL101403</w:t>
      </w:r>
      <w:r>
        <w:t xml:space="preserve">). Adult fish surveys were conducted by </w:t>
      </w:r>
      <w:r w:rsidRPr="003D5739">
        <w:t xml:space="preserve">DPI Fisheries under Fisheries NSW Animal Care and Ethics permit </w:t>
      </w:r>
      <w:r w:rsidRPr="00E2372E">
        <w:t>14/10.</w:t>
      </w:r>
      <w:r w:rsidRPr="003D5739">
        <w:t xml:space="preserve"> </w:t>
      </w:r>
    </w:p>
    <w:p w14:paraId="11F8BC93" w14:textId="77777777" w:rsidR="005A0A52" w:rsidRPr="00004CCD" w:rsidRDefault="005A0A52" w:rsidP="005A0A52">
      <w:pPr>
        <w:pStyle w:val="NoSpacing"/>
        <w:spacing w:after="120" w:line="320" w:lineRule="exact"/>
        <w:ind w:right="-569"/>
      </w:pPr>
      <w:r w:rsidRPr="003D5739">
        <w:t>This project was funded by the Commonwealth Environmental Water Office with in-kind contributions from Charles Sturt University, NSW Department of Primary Industries, NSW Off</w:t>
      </w:r>
      <w:r>
        <w:t xml:space="preserve">ice of Environment and Heritage. Project partners: </w:t>
      </w:r>
      <w:r w:rsidRPr="00004CCD">
        <w:t>Charles Sturt University, NSW Fisheries, NSW Department of Planning, Industry and Environment, La Trobe University, Streamology, Yarkuwa Indigenous Knowledge Centre, Edward-Wakool Anglers Association, Western Murray Land Improvement Group</w:t>
      </w:r>
      <w:r>
        <w:t>.</w:t>
      </w:r>
    </w:p>
    <w:p w14:paraId="3B4F8C38" w14:textId="11A98A14" w:rsidR="00520FFB" w:rsidRDefault="008D7AAA" w:rsidP="00836CDD">
      <w:pPr>
        <w:pStyle w:val="Heading1"/>
      </w:pPr>
      <w:bookmarkStart w:id="219" w:name="_Toc69846027"/>
      <w:r>
        <w:t>15</w:t>
      </w:r>
      <w:r w:rsidR="00FC788C">
        <w:tab/>
      </w:r>
      <w:r w:rsidR="004D403B">
        <w:t>R</w:t>
      </w:r>
      <w:r w:rsidR="003C6775">
        <w:t>eferences</w:t>
      </w:r>
      <w:bookmarkEnd w:id="219"/>
    </w:p>
    <w:bookmarkEnd w:id="0"/>
    <w:bookmarkEnd w:id="1"/>
    <w:p w14:paraId="180A2B1E"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Anderson, M.J., Gorley, R.N., and Clarke, K.R. (2008).  'PERMANOVA + for PRIMER: Guide to Software and Statistical Methods.' (PRIMER-E: Plymouth.) </w:t>
      </w:r>
    </w:p>
    <w:p w14:paraId="5924DBB7" w14:textId="77777777" w:rsidR="006971DE" w:rsidRPr="00070D2D" w:rsidRDefault="006971DE" w:rsidP="001D4ADD">
      <w:pPr>
        <w:pStyle w:val="EndNoteBibliography"/>
        <w:spacing w:after="120"/>
        <w:rPr>
          <w:color w:val="000000" w:themeColor="text1"/>
        </w:rPr>
      </w:pPr>
      <w:r w:rsidRPr="00070D2D">
        <w:rPr>
          <w:color w:val="000000" w:themeColor="text1"/>
        </w:rPr>
        <w:t>ANZECC. (2000) National Water Quality Management Strategy: Australian and New Zealand guidelines for fresh and marine water quality. Australian and New Zealand Environment and Conservation Council &amp; Agriculture and Resource Management Council of Australia and New Zealand, Canberra.</w:t>
      </w:r>
    </w:p>
    <w:p w14:paraId="3A8C38A0" w14:textId="77777777" w:rsidR="000640D2" w:rsidRDefault="000640D2" w:rsidP="000640D2">
      <w:pPr>
        <w:spacing w:after="120" w:line="259" w:lineRule="auto"/>
        <w:jc w:val="left"/>
        <w:rPr>
          <w:bCs/>
          <w:szCs w:val="22"/>
        </w:rPr>
      </w:pPr>
      <w:bookmarkStart w:id="220" w:name="_ENREF_3"/>
      <w:r w:rsidRPr="00345658">
        <w:rPr>
          <w:bCs/>
          <w:szCs w:val="22"/>
        </w:rPr>
        <w:t>Appling A.P., Hall Jr R.O., Yackulic C.B., &amp; Arroita M. (2018). Overcoming equifinality: Leveraging long time series for stream metabolism estimation. Journal of Geophysical Research: Biogeosciences, 123, 624-645.</w:t>
      </w:r>
    </w:p>
    <w:p w14:paraId="760DCFB2" w14:textId="77777777" w:rsidR="006971DE" w:rsidRPr="00070D2D" w:rsidRDefault="006971DE" w:rsidP="001D4ADD">
      <w:pPr>
        <w:pStyle w:val="EndNoteBibliography"/>
        <w:spacing w:after="120"/>
        <w:rPr>
          <w:color w:val="000000" w:themeColor="text1"/>
        </w:rPr>
      </w:pPr>
      <w:r w:rsidRPr="00070D2D">
        <w:rPr>
          <w:color w:val="000000" w:themeColor="text1"/>
        </w:rPr>
        <w:t xml:space="preserve">Baldwin D.S. (1999) Dissolved organic matter and phosphorus leached from fresh and 'terrestrially' aged river red gum leaves: implications for assessing river-floodplain interactions. </w:t>
      </w:r>
      <w:r w:rsidRPr="00070D2D">
        <w:rPr>
          <w:i/>
          <w:color w:val="000000" w:themeColor="text1"/>
        </w:rPr>
        <w:t>Freshwater Biology</w:t>
      </w:r>
      <w:r w:rsidRPr="00070D2D">
        <w:rPr>
          <w:color w:val="000000" w:themeColor="text1"/>
        </w:rPr>
        <w:t xml:space="preserve"> </w:t>
      </w:r>
      <w:r w:rsidRPr="00070D2D">
        <w:rPr>
          <w:b/>
          <w:color w:val="000000" w:themeColor="text1"/>
        </w:rPr>
        <w:t>41</w:t>
      </w:r>
      <w:r w:rsidRPr="00070D2D">
        <w:rPr>
          <w:color w:val="000000" w:themeColor="text1"/>
        </w:rPr>
        <w:t>, 675-685.</w:t>
      </w:r>
      <w:bookmarkEnd w:id="220"/>
    </w:p>
    <w:p w14:paraId="0AE5E62A" w14:textId="77777777" w:rsidR="006971DE" w:rsidRPr="00070D2D" w:rsidRDefault="006971DE" w:rsidP="001D4ADD">
      <w:pPr>
        <w:pStyle w:val="EndNoteBibliography"/>
        <w:spacing w:after="120"/>
        <w:rPr>
          <w:color w:val="000000" w:themeColor="text1"/>
        </w:rPr>
      </w:pPr>
      <w:r w:rsidRPr="00070D2D">
        <w:rPr>
          <w:color w:val="000000" w:themeColor="text1"/>
        </w:rPr>
        <w:t xml:space="preserve">Baldwin D.S., Colloff M.J., Mitrovic S.M., Bond N.R. and Wolfenden B. (2016) Restoring dissolved organic carbon subsidies from floodplains to lowland river food webs: a role for environmental flows? </w:t>
      </w:r>
      <w:r w:rsidRPr="00070D2D">
        <w:rPr>
          <w:i/>
          <w:color w:val="000000" w:themeColor="text1"/>
        </w:rPr>
        <w:t>Marine and Freshwater Research</w:t>
      </w:r>
      <w:r w:rsidRPr="00070D2D">
        <w:rPr>
          <w:color w:val="000000" w:themeColor="text1"/>
        </w:rPr>
        <w:t xml:space="preserve"> </w:t>
      </w:r>
      <w:r w:rsidRPr="00070D2D">
        <w:rPr>
          <w:b/>
          <w:color w:val="000000" w:themeColor="text1"/>
        </w:rPr>
        <w:t>67</w:t>
      </w:r>
      <w:r w:rsidRPr="00070D2D">
        <w:rPr>
          <w:color w:val="000000" w:themeColor="text1"/>
        </w:rPr>
        <w:t>, 1387-1399.</w:t>
      </w:r>
    </w:p>
    <w:p w14:paraId="30BB8E88" w14:textId="77777777" w:rsidR="006971DE" w:rsidRDefault="006971DE" w:rsidP="001D4ADD">
      <w:pPr>
        <w:pStyle w:val="EndNoteBibliography"/>
        <w:spacing w:after="120"/>
        <w:rPr>
          <w:color w:val="000000" w:themeColor="text1"/>
        </w:rPr>
      </w:pPr>
      <w:r w:rsidRPr="00070D2D">
        <w:rPr>
          <w:color w:val="000000" w:themeColor="text1"/>
        </w:rPr>
        <w:t xml:space="preserve">Baldwin D.S. and Mitchell A.M. (2000) The effects of drying and re-flooding on the sediment and soil nutrient dynamics of lowland river-floodplain systems: a synthesis. </w:t>
      </w:r>
      <w:r w:rsidRPr="00070D2D">
        <w:rPr>
          <w:i/>
          <w:color w:val="000000" w:themeColor="text1"/>
        </w:rPr>
        <w:t>Regulated Rivers: Research &amp; Management</w:t>
      </w:r>
      <w:r w:rsidRPr="00070D2D">
        <w:rPr>
          <w:color w:val="000000" w:themeColor="text1"/>
        </w:rPr>
        <w:t xml:space="preserve"> </w:t>
      </w:r>
      <w:r w:rsidRPr="00070D2D">
        <w:rPr>
          <w:b/>
          <w:color w:val="000000" w:themeColor="text1"/>
        </w:rPr>
        <w:t>16</w:t>
      </w:r>
      <w:r w:rsidRPr="00070D2D">
        <w:rPr>
          <w:color w:val="000000" w:themeColor="text1"/>
        </w:rPr>
        <w:t>, 457-467.</w:t>
      </w:r>
    </w:p>
    <w:p w14:paraId="287C3D54" w14:textId="77777777" w:rsidR="008F24CA" w:rsidRDefault="008F24CA" w:rsidP="008F24CA">
      <w:pPr>
        <w:autoSpaceDE w:val="0"/>
        <w:autoSpaceDN w:val="0"/>
        <w:adjustRightInd w:val="0"/>
        <w:spacing w:after="120" w:line="259" w:lineRule="auto"/>
        <w:jc w:val="left"/>
        <w:rPr>
          <w:rFonts w:cs="Calibri"/>
          <w:color w:val="000000"/>
        </w:rPr>
      </w:pPr>
      <w:r>
        <w:t xml:space="preserve">Baldwin, D., Rees, G., Wilson, J., </w:t>
      </w:r>
      <w:r w:rsidRPr="00783B02">
        <w:rPr>
          <w:rFonts w:cs="Calibri"/>
          <w:color w:val="000000"/>
        </w:rPr>
        <w:t xml:space="preserve">Colloff, M., Whitworth, K., Pitman, T., and Wallace, T. (2013) Provisioning of bioavailable carbon between the wet and dry phases in a semi-arid floodplain. Oecologia </w:t>
      </w:r>
      <w:r w:rsidRPr="00783B02">
        <w:rPr>
          <w:rFonts w:cs="Calibri"/>
          <w:b/>
          <w:color w:val="000000"/>
        </w:rPr>
        <w:t>172</w:t>
      </w:r>
      <w:r w:rsidRPr="00783B02">
        <w:rPr>
          <w:rFonts w:cs="Calibri"/>
          <w:color w:val="000000"/>
        </w:rPr>
        <w:t>(2), 539-550.</w:t>
      </w:r>
    </w:p>
    <w:p w14:paraId="5A20D3AC" w14:textId="77777777" w:rsidR="000640D2" w:rsidRDefault="000640D2" w:rsidP="000640D2">
      <w:pPr>
        <w:spacing w:after="120" w:line="259" w:lineRule="auto"/>
        <w:jc w:val="left"/>
        <w:rPr>
          <w:bCs/>
          <w:szCs w:val="22"/>
        </w:rPr>
      </w:pPr>
      <w:r w:rsidRPr="00B3703D">
        <w:rPr>
          <w:bCs/>
          <w:szCs w:val="22"/>
        </w:rPr>
        <w:t>Bernhardt E</w:t>
      </w:r>
      <w:r>
        <w:rPr>
          <w:bCs/>
          <w:szCs w:val="22"/>
        </w:rPr>
        <w:t>.</w:t>
      </w:r>
      <w:r w:rsidRPr="00B3703D">
        <w:rPr>
          <w:bCs/>
          <w:szCs w:val="22"/>
        </w:rPr>
        <w:t>S</w:t>
      </w:r>
      <w:r>
        <w:rPr>
          <w:bCs/>
          <w:szCs w:val="22"/>
        </w:rPr>
        <w:t>.</w:t>
      </w:r>
      <w:r w:rsidRPr="00B3703D">
        <w:rPr>
          <w:bCs/>
          <w:szCs w:val="22"/>
        </w:rPr>
        <w:t>, Heffernan J</w:t>
      </w:r>
      <w:r>
        <w:rPr>
          <w:bCs/>
          <w:szCs w:val="22"/>
        </w:rPr>
        <w:t>.</w:t>
      </w:r>
      <w:r w:rsidRPr="00B3703D">
        <w:rPr>
          <w:bCs/>
          <w:szCs w:val="22"/>
        </w:rPr>
        <w:t>B</w:t>
      </w:r>
      <w:r>
        <w:rPr>
          <w:bCs/>
          <w:szCs w:val="22"/>
        </w:rPr>
        <w:t>.</w:t>
      </w:r>
      <w:r w:rsidRPr="00B3703D">
        <w:rPr>
          <w:bCs/>
          <w:szCs w:val="22"/>
        </w:rPr>
        <w:t>, Grimm N</w:t>
      </w:r>
      <w:r>
        <w:rPr>
          <w:bCs/>
          <w:szCs w:val="22"/>
        </w:rPr>
        <w:t>.</w:t>
      </w:r>
      <w:r w:rsidRPr="00B3703D">
        <w:rPr>
          <w:bCs/>
          <w:szCs w:val="22"/>
        </w:rPr>
        <w:t>B</w:t>
      </w:r>
      <w:r>
        <w:rPr>
          <w:bCs/>
          <w:szCs w:val="22"/>
        </w:rPr>
        <w:t>.</w:t>
      </w:r>
      <w:r w:rsidRPr="00B3703D">
        <w:rPr>
          <w:bCs/>
          <w:szCs w:val="22"/>
        </w:rPr>
        <w:t>, Stanley E</w:t>
      </w:r>
      <w:r>
        <w:rPr>
          <w:bCs/>
          <w:szCs w:val="22"/>
        </w:rPr>
        <w:t>.</w:t>
      </w:r>
      <w:r w:rsidRPr="00B3703D">
        <w:rPr>
          <w:bCs/>
          <w:szCs w:val="22"/>
        </w:rPr>
        <w:t>H</w:t>
      </w:r>
      <w:r>
        <w:rPr>
          <w:bCs/>
          <w:szCs w:val="22"/>
        </w:rPr>
        <w:t>.</w:t>
      </w:r>
      <w:r w:rsidRPr="00B3703D">
        <w:rPr>
          <w:bCs/>
          <w:szCs w:val="22"/>
        </w:rPr>
        <w:t>, Harvey J</w:t>
      </w:r>
      <w:r>
        <w:rPr>
          <w:bCs/>
          <w:szCs w:val="22"/>
        </w:rPr>
        <w:t>.</w:t>
      </w:r>
      <w:r w:rsidRPr="00B3703D">
        <w:rPr>
          <w:bCs/>
          <w:szCs w:val="22"/>
        </w:rPr>
        <w:t>W</w:t>
      </w:r>
      <w:r>
        <w:rPr>
          <w:bCs/>
          <w:szCs w:val="22"/>
        </w:rPr>
        <w:t>.</w:t>
      </w:r>
      <w:r w:rsidRPr="00B3703D">
        <w:rPr>
          <w:bCs/>
          <w:szCs w:val="22"/>
        </w:rPr>
        <w:t>, Arroita M</w:t>
      </w:r>
      <w:r>
        <w:rPr>
          <w:bCs/>
          <w:szCs w:val="22"/>
        </w:rPr>
        <w:t>.</w:t>
      </w:r>
      <w:r w:rsidRPr="00B3703D">
        <w:rPr>
          <w:bCs/>
          <w:szCs w:val="22"/>
        </w:rPr>
        <w:t>, Appling A</w:t>
      </w:r>
      <w:r>
        <w:rPr>
          <w:bCs/>
          <w:szCs w:val="22"/>
        </w:rPr>
        <w:t>.</w:t>
      </w:r>
      <w:r w:rsidRPr="00B3703D">
        <w:rPr>
          <w:bCs/>
          <w:szCs w:val="22"/>
        </w:rPr>
        <w:t>P</w:t>
      </w:r>
      <w:r>
        <w:rPr>
          <w:bCs/>
          <w:szCs w:val="22"/>
        </w:rPr>
        <w:t>.</w:t>
      </w:r>
      <w:r w:rsidRPr="00B3703D">
        <w:rPr>
          <w:bCs/>
          <w:szCs w:val="22"/>
        </w:rPr>
        <w:t>, Cohen M</w:t>
      </w:r>
      <w:r>
        <w:rPr>
          <w:bCs/>
          <w:szCs w:val="22"/>
        </w:rPr>
        <w:t>.</w:t>
      </w:r>
      <w:r w:rsidRPr="00B3703D">
        <w:rPr>
          <w:bCs/>
          <w:szCs w:val="22"/>
        </w:rPr>
        <w:t>J</w:t>
      </w:r>
      <w:r>
        <w:rPr>
          <w:bCs/>
          <w:szCs w:val="22"/>
        </w:rPr>
        <w:t>.</w:t>
      </w:r>
      <w:r w:rsidRPr="00B3703D">
        <w:rPr>
          <w:bCs/>
          <w:szCs w:val="22"/>
        </w:rPr>
        <w:t>, McDowell W</w:t>
      </w:r>
      <w:r>
        <w:rPr>
          <w:bCs/>
          <w:szCs w:val="22"/>
        </w:rPr>
        <w:t>.</w:t>
      </w:r>
      <w:r w:rsidRPr="00B3703D">
        <w:rPr>
          <w:bCs/>
          <w:szCs w:val="22"/>
        </w:rPr>
        <w:t>H</w:t>
      </w:r>
      <w:r>
        <w:rPr>
          <w:bCs/>
          <w:szCs w:val="22"/>
        </w:rPr>
        <w:t>.</w:t>
      </w:r>
      <w:r w:rsidRPr="00B3703D">
        <w:rPr>
          <w:bCs/>
          <w:szCs w:val="22"/>
        </w:rPr>
        <w:t>, Hall Jr R</w:t>
      </w:r>
      <w:r>
        <w:rPr>
          <w:bCs/>
          <w:szCs w:val="22"/>
        </w:rPr>
        <w:t>.</w:t>
      </w:r>
      <w:r w:rsidRPr="00B3703D">
        <w:rPr>
          <w:bCs/>
          <w:szCs w:val="22"/>
        </w:rPr>
        <w:t>O</w:t>
      </w:r>
      <w:r>
        <w:rPr>
          <w:bCs/>
          <w:szCs w:val="22"/>
        </w:rPr>
        <w:t>. &amp;</w:t>
      </w:r>
      <w:r w:rsidRPr="00B3703D">
        <w:rPr>
          <w:bCs/>
          <w:szCs w:val="22"/>
        </w:rPr>
        <w:t xml:space="preserve"> Read J</w:t>
      </w:r>
      <w:r>
        <w:rPr>
          <w:bCs/>
          <w:szCs w:val="22"/>
        </w:rPr>
        <w:t>.</w:t>
      </w:r>
      <w:r w:rsidRPr="00B3703D">
        <w:rPr>
          <w:bCs/>
          <w:szCs w:val="22"/>
        </w:rPr>
        <w:t xml:space="preserve">S. </w:t>
      </w:r>
      <w:r>
        <w:rPr>
          <w:bCs/>
          <w:szCs w:val="22"/>
        </w:rPr>
        <w:t xml:space="preserve">(2018). </w:t>
      </w:r>
      <w:r w:rsidRPr="00B3703D">
        <w:rPr>
          <w:bCs/>
          <w:szCs w:val="22"/>
        </w:rPr>
        <w:t>The metabolic regimes of flowing waters. Limnology and Oceanography</w:t>
      </w:r>
      <w:r>
        <w:rPr>
          <w:bCs/>
          <w:szCs w:val="22"/>
        </w:rPr>
        <w:t>,</w:t>
      </w:r>
      <w:r w:rsidRPr="00B3703D">
        <w:rPr>
          <w:bCs/>
          <w:szCs w:val="22"/>
        </w:rPr>
        <w:t xml:space="preserve"> 63</w:t>
      </w:r>
      <w:r>
        <w:rPr>
          <w:bCs/>
          <w:szCs w:val="22"/>
        </w:rPr>
        <w:t xml:space="preserve">, </w:t>
      </w:r>
      <w:r w:rsidRPr="00B3703D">
        <w:rPr>
          <w:bCs/>
          <w:szCs w:val="22"/>
        </w:rPr>
        <w:t>99-118.</w:t>
      </w:r>
    </w:p>
    <w:p w14:paraId="2657D6DE"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t xml:space="preserve">Bernot MJ, Sobota DJ, Hall RO Jr, Mulholland PJ, Dodds WK, Webster JR Tank JL, Ashkenas LR, Cooper LW, Dahm CN, Gregory SV, Grimm NB, Hamilton SK, Johnson SL, McDowell WH, Meyer JL, Peterson B, Poole GC, Valett HM, Arango C, Beaulieu JJ, Burgin AJ, Crenshaw C, Helton AM, Johnson L, Merriam J, Niederlehner BR, O’Brien JM, Potter JD, Sheibley RW, Thomas SM, Wilson K (2010) Inter-regional comparison of land-use effects on stream metabolism. </w:t>
      </w:r>
      <w:r w:rsidRPr="00070D2D">
        <w:rPr>
          <w:rFonts w:asciiTheme="minorHAnsi" w:hAnsiTheme="minorHAnsi" w:cstheme="minorHAnsi"/>
          <w:i/>
        </w:rPr>
        <w:t>Freshwater Biology</w:t>
      </w:r>
      <w:r w:rsidRPr="00070D2D">
        <w:rPr>
          <w:rFonts w:asciiTheme="minorHAnsi" w:hAnsiTheme="minorHAnsi" w:cstheme="minorHAnsi"/>
        </w:rPr>
        <w:t xml:space="preserve"> </w:t>
      </w:r>
      <w:r w:rsidRPr="00070D2D">
        <w:rPr>
          <w:rFonts w:asciiTheme="minorHAnsi" w:hAnsiTheme="minorHAnsi" w:cstheme="minorHAnsi"/>
          <w:b/>
        </w:rPr>
        <w:t>55(9)</w:t>
      </w:r>
      <w:r w:rsidRPr="00070D2D">
        <w:rPr>
          <w:rFonts w:asciiTheme="minorHAnsi" w:hAnsiTheme="minorHAnsi" w:cstheme="minorHAnsi"/>
        </w:rPr>
        <w:t>, 1874–1890.</w:t>
      </w:r>
    </w:p>
    <w:p w14:paraId="3EF1D0B7" w14:textId="77777777" w:rsidR="008F24CA" w:rsidRPr="004837A7" w:rsidRDefault="008F24CA" w:rsidP="008F24CA">
      <w:pPr>
        <w:autoSpaceDE w:val="0"/>
        <w:autoSpaceDN w:val="0"/>
        <w:adjustRightInd w:val="0"/>
        <w:spacing w:after="120" w:line="259" w:lineRule="auto"/>
        <w:jc w:val="left"/>
        <w:rPr>
          <w:rFonts w:cs="Calibri"/>
          <w:color w:val="000000"/>
        </w:rPr>
      </w:pPr>
      <w:r w:rsidRPr="00783B02">
        <w:rPr>
          <w:rFonts w:cs="Calibri"/>
          <w:color w:val="000000"/>
        </w:rPr>
        <w:t>Bertilsson</w:t>
      </w:r>
      <w:r w:rsidRPr="004837A7">
        <w:rPr>
          <w:rFonts w:cs="Calibri"/>
          <w:color w:val="000000"/>
        </w:rPr>
        <w:t xml:space="preserve">, S., and Bergh, S. (1999) Photochemical reactivity of XAD-4 and XAD-8 adsorbable dissolved organic compounds from humic waters. </w:t>
      </w:r>
      <w:r w:rsidRPr="00783B02">
        <w:rPr>
          <w:rFonts w:cs="Calibri"/>
          <w:i/>
          <w:color w:val="000000"/>
        </w:rPr>
        <w:t>Chemosphere</w:t>
      </w:r>
      <w:r w:rsidRPr="004837A7">
        <w:rPr>
          <w:rFonts w:cs="Calibri"/>
          <w:color w:val="000000"/>
        </w:rPr>
        <w:t xml:space="preserve"> </w:t>
      </w:r>
      <w:r w:rsidRPr="00783B02">
        <w:rPr>
          <w:rFonts w:cs="Calibri"/>
          <w:b/>
          <w:color w:val="000000"/>
        </w:rPr>
        <w:t>39</w:t>
      </w:r>
      <w:r w:rsidRPr="004837A7">
        <w:rPr>
          <w:rFonts w:cs="Calibri"/>
          <w:color w:val="000000"/>
        </w:rPr>
        <w:t xml:space="preserve">(13), 2289-2300. </w:t>
      </w:r>
    </w:p>
    <w:p w14:paraId="12DAC5DD"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Blom C.W. and Voesenek L.A. (1996) Flooding - the survival strategies of plants. </w:t>
      </w:r>
      <w:r w:rsidRPr="00070D2D">
        <w:rPr>
          <w:i/>
          <w:iCs/>
          <w:color w:val="000000" w:themeColor="text1"/>
        </w:rPr>
        <w:t xml:space="preserve">Trends in Ecology &amp; Evolution </w:t>
      </w:r>
      <w:r w:rsidRPr="00070D2D">
        <w:rPr>
          <w:b/>
          <w:color w:val="000000" w:themeColor="text1"/>
        </w:rPr>
        <w:t>11</w:t>
      </w:r>
      <w:r w:rsidRPr="00070D2D">
        <w:rPr>
          <w:color w:val="000000" w:themeColor="text1"/>
        </w:rPr>
        <w:t>, 290-295.</w:t>
      </w:r>
    </w:p>
    <w:p w14:paraId="6DE56023"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Blom C.W., Voesenek L.A., Banga M., Engelaar W.M, Rijnders J.H, Vandesteeg H.M. and Visser E.J. (1994) Physiological ecology of riverside species - adaptive responses of plants to submergence. </w:t>
      </w:r>
      <w:r w:rsidRPr="00070D2D">
        <w:rPr>
          <w:i/>
          <w:iCs/>
          <w:color w:val="000000" w:themeColor="text1"/>
        </w:rPr>
        <w:t xml:space="preserve">Annals of Botany </w:t>
      </w:r>
      <w:r w:rsidRPr="00070D2D">
        <w:rPr>
          <w:b/>
          <w:color w:val="000000" w:themeColor="text1"/>
        </w:rPr>
        <w:t>74</w:t>
      </w:r>
      <w:r w:rsidRPr="00070D2D">
        <w:rPr>
          <w:color w:val="000000" w:themeColor="text1"/>
        </w:rPr>
        <w:t>, 253-263.</w:t>
      </w:r>
    </w:p>
    <w:p w14:paraId="13A6090B" w14:textId="77777777"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t xml:space="preserve">Brock M.A. and Casanova M.T. (1997) Plant life at the edges of wetlands; ecological responses to wetting and drying patterns. In: </w:t>
      </w:r>
      <w:r w:rsidRPr="00070D2D">
        <w:rPr>
          <w:i/>
          <w:color w:val="000000" w:themeColor="text1"/>
        </w:rPr>
        <w:t>Frontiers in Ecology; Building the Links</w:t>
      </w:r>
      <w:r w:rsidRPr="00070D2D">
        <w:rPr>
          <w:color w:val="000000" w:themeColor="text1"/>
        </w:rPr>
        <w:t xml:space="preserve"> (Eds N. Klomp &amp; I. Lunt), pp. 181–192. Elsevier Science, Oxford.</w:t>
      </w:r>
    </w:p>
    <w:p w14:paraId="63B594E1" w14:textId="77777777" w:rsidR="006971DE" w:rsidRPr="00070D2D" w:rsidRDefault="006971DE" w:rsidP="001D4ADD">
      <w:pPr>
        <w:spacing w:after="120" w:line="240" w:lineRule="auto"/>
        <w:jc w:val="left"/>
        <w:rPr>
          <w:rStyle w:val="Hyperlink"/>
          <w:rFonts w:asciiTheme="minorHAnsi" w:hAnsiTheme="minorHAnsi"/>
          <w:color w:val="000000" w:themeColor="text1"/>
          <w:szCs w:val="22"/>
        </w:rPr>
      </w:pPr>
      <w:r w:rsidRPr="00070D2D">
        <w:rPr>
          <w:rFonts w:asciiTheme="minorHAnsi" w:hAnsiTheme="minorHAnsi"/>
          <w:color w:val="000000" w:themeColor="text1"/>
          <w:szCs w:val="22"/>
        </w:rPr>
        <w:t xml:space="preserve">Bureau of Meteorology. (2017) Special Climate Statement 58- record September rains continue wet period in much of Australia, Bureau of Meteorology, No 58. </w:t>
      </w:r>
      <w:hyperlink r:id="rId208" w:history="1">
        <w:r w:rsidRPr="00070D2D">
          <w:rPr>
            <w:rStyle w:val="Hyperlink"/>
            <w:rFonts w:asciiTheme="minorHAnsi" w:hAnsiTheme="minorHAnsi"/>
            <w:color w:val="000000" w:themeColor="text1"/>
            <w:szCs w:val="22"/>
          </w:rPr>
          <w:t>http://www.bom.gov.au/climate/current/statements/scs58.pdf</w:t>
        </w:r>
      </w:hyperlink>
    </w:p>
    <w:p w14:paraId="3A2CB9F5" w14:textId="77777777" w:rsidR="00D532A8" w:rsidRPr="00BD336F" w:rsidRDefault="00D532A8" w:rsidP="00D532A8">
      <w:pPr>
        <w:pStyle w:val="EndNoteBibliography"/>
        <w:spacing w:after="120" w:line="259" w:lineRule="auto"/>
      </w:pPr>
      <w:r w:rsidRPr="00BD336F">
        <w:t xml:space="preserve">Bylemans J., Gleeson D.M., Duncan R.P., Hardy C.M., Furlan E.M. (2019) A performance evaluation of targeted eDNA and eDNA metabarcoding analyses for freshwater fishes. </w:t>
      </w:r>
      <w:r w:rsidRPr="00BD336F">
        <w:rPr>
          <w:i/>
        </w:rPr>
        <w:t>Environmental DNA</w:t>
      </w:r>
      <w:r w:rsidRPr="00BD336F">
        <w:t xml:space="preserve"> 1(4), 402-414.</w:t>
      </w:r>
    </w:p>
    <w:p w14:paraId="0D1EC53A" w14:textId="77777777" w:rsidR="00D532A8" w:rsidRPr="00BD336F" w:rsidRDefault="00D532A8" w:rsidP="00D532A8">
      <w:pPr>
        <w:pStyle w:val="EndNoteBibliography"/>
        <w:spacing w:after="120" w:line="259" w:lineRule="auto"/>
      </w:pPr>
      <w:r w:rsidRPr="00BD336F">
        <w:t xml:space="preserve">Bylemans J., Gleeson D.M., Hardy C.M., Furlan E. (2018) Toward an ecoregion scale evaluation of eDNA metabarcoding primers: A case study for the freshwater fish biodiversity of the Murray–Darling Basin (Australia). </w:t>
      </w:r>
      <w:r w:rsidRPr="00BD336F">
        <w:rPr>
          <w:i/>
        </w:rPr>
        <w:t>Ecology and Evolution</w:t>
      </w:r>
      <w:r w:rsidRPr="00BD336F">
        <w:t xml:space="preserve"> 8(17), 8697-8712.</w:t>
      </w:r>
    </w:p>
    <w:p w14:paraId="481D6A2F" w14:textId="77777777" w:rsidR="006971DE"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Cadwallader, P.L. (1977). J.O. Langtry's 1949-50 Murray River Investigations. Victorian Fisheries and Wildlife Paper No. 13.</w:t>
      </w:r>
    </w:p>
    <w:p w14:paraId="7C51ABFE" w14:textId="64401E3E" w:rsidR="001D4ADD" w:rsidRPr="00070D2D" w:rsidRDefault="001D4ADD" w:rsidP="001D4ADD">
      <w:pPr>
        <w:spacing w:after="120" w:line="240" w:lineRule="auto"/>
        <w:jc w:val="left"/>
        <w:rPr>
          <w:rFonts w:asciiTheme="minorHAnsi" w:hAnsiTheme="minorHAnsi" w:cstheme="minorHAnsi"/>
          <w:szCs w:val="22"/>
        </w:rPr>
      </w:pPr>
      <w:r>
        <w:t>Campbell CJ, Capon SJ, Gehrig SL, James CS, Morris K, Nicol JM, Nielsen DL and Thomas RF. (2019) Murray‒Darling Basin Environmental Water Knowledge and Research Project — Vegetation Theme Research Report. Report prepared for the Department of the Environment and Energy, Commonwealth Environmental Water Office by La Trobe University, Centre for Freshwater Ecosystems, CFE Publication 226 June 2019 29p. [Appendices 519 p.]</w:t>
      </w:r>
    </w:p>
    <w:p w14:paraId="2B7F5CE0"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Carter S. (2012). Sustainable Rivers Audit 2: Metric Processing System. Report prepared by Environmental Dynamics for the Murray Darling Basin Authority, Canberra.</w:t>
      </w:r>
    </w:p>
    <w:p w14:paraId="501AC202" w14:textId="5B03F9A6"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t xml:space="preserve">Casanova M.T. (2011) Using water plant functional groups to investigate environmental water requirements. </w:t>
      </w:r>
      <w:r w:rsidRPr="00070D2D">
        <w:rPr>
          <w:i/>
          <w:color w:val="000000" w:themeColor="text1"/>
        </w:rPr>
        <w:t>Freshwater Biology</w:t>
      </w:r>
      <w:r w:rsidRPr="00070D2D">
        <w:rPr>
          <w:color w:val="000000" w:themeColor="text1"/>
        </w:rPr>
        <w:t xml:space="preserve"> </w:t>
      </w:r>
      <w:r w:rsidRPr="00070D2D">
        <w:rPr>
          <w:b/>
          <w:color w:val="000000" w:themeColor="text1"/>
        </w:rPr>
        <w:t>56</w:t>
      </w:r>
      <w:r w:rsidRPr="00070D2D">
        <w:rPr>
          <w:color w:val="000000" w:themeColor="text1"/>
        </w:rPr>
        <w:t>, 2637-2652.</w:t>
      </w:r>
    </w:p>
    <w:p w14:paraId="2D91AF41" w14:textId="77777777" w:rsidR="006971DE" w:rsidRPr="00070D2D" w:rsidRDefault="006971DE" w:rsidP="001D4ADD">
      <w:pPr>
        <w:autoSpaceDE w:val="0"/>
        <w:autoSpaceDN w:val="0"/>
        <w:adjustRightInd w:val="0"/>
        <w:spacing w:after="120" w:line="240" w:lineRule="auto"/>
        <w:jc w:val="left"/>
        <w:rPr>
          <w:color w:val="000000" w:themeColor="text1"/>
        </w:rPr>
      </w:pPr>
      <w:r w:rsidRPr="00070D2D">
        <w:rPr>
          <w:color w:val="000000" w:themeColor="text1"/>
        </w:rPr>
        <w:t xml:space="preserve">Chiew F.H., Potter N.J., Vaze J. and others. (2014) Observed hydrologic non-stationarity in far south-eastern Australia: implications for modelling and prediction. </w:t>
      </w:r>
      <w:r w:rsidRPr="00070D2D">
        <w:rPr>
          <w:i/>
          <w:color w:val="000000" w:themeColor="text1"/>
        </w:rPr>
        <w:t xml:space="preserve">Stochastic Environmental Research Risk Assessment </w:t>
      </w:r>
      <w:r w:rsidRPr="00070D2D">
        <w:rPr>
          <w:b/>
          <w:color w:val="000000" w:themeColor="text1"/>
        </w:rPr>
        <w:t>28</w:t>
      </w:r>
      <w:r w:rsidRPr="00070D2D">
        <w:rPr>
          <w:color w:val="000000" w:themeColor="text1"/>
        </w:rPr>
        <w:t>, 3-15.</w:t>
      </w:r>
    </w:p>
    <w:p w14:paraId="1454676E"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Choudhry, G.G. (1984) 'Humic Substances-Structural, Photophysical, Photochemical and Free Radical Aspects and Interactions with Environmental Chemicals.' (Gordon and Breach Science Publishers: New York) 185pp </w:t>
      </w:r>
    </w:p>
    <w:p w14:paraId="48FD1300"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Commonwealth Environmental Water Office (2015) Integrated planning for the use, carryover and trade of Commonwealth environmental water: Mid-Murray region 2015-16. Commonwealth Environmental Water Office.</w:t>
      </w:r>
    </w:p>
    <w:p w14:paraId="2FCEBE4B"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Commonwealth Environmental Water Office (2018a) Commonwealth Environmental Water Portfolio Management Plan: Mid Murray Region 2018-19. Commonwealth Environmental Water Office.</w:t>
      </w:r>
    </w:p>
    <w:p w14:paraId="29670E2D" w14:textId="04EB6D95" w:rsidR="006971DE" w:rsidRPr="00070D2D" w:rsidRDefault="006971DE" w:rsidP="001D4ADD">
      <w:pPr>
        <w:spacing w:after="120" w:line="240" w:lineRule="auto"/>
        <w:jc w:val="left"/>
        <w:rPr>
          <w:rFonts w:asciiTheme="minorHAnsi" w:hAnsiTheme="minorHAnsi"/>
          <w:color w:val="000000" w:themeColor="text1"/>
          <w:szCs w:val="22"/>
        </w:rPr>
      </w:pPr>
      <w:r w:rsidRPr="00070D2D">
        <w:rPr>
          <w:rFonts w:asciiTheme="minorHAnsi" w:hAnsiTheme="minorHAnsi"/>
          <w:color w:val="000000" w:themeColor="text1"/>
          <w:lang w:eastAsia="en-AU"/>
        </w:rPr>
        <w:t xml:space="preserve">Commonwealth Environmental Water Office </w:t>
      </w:r>
      <w:r w:rsidRPr="00070D2D">
        <w:rPr>
          <w:rFonts w:asciiTheme="minorHAnsi" w:hAnsiTheme="minorHAnsi" w:cstheme="minorHAnsi"/>
          <w:color w:val="000000" w:themeColor="text1"/>
          <w:szCs w:val="22"/>
        </w:rPr>
        <w:t xml:space="preserve">(2018b) </w:t>
      </w:r>
      <w:r w:rsidRPr="00070D2D">
        <w:rPr>
          <w:rFonts w:asciiTheme="minorHAnsi" w:hAnsiTheme="minorHAnsi" w:cstheme="minorHAnsi"/>
          <w:bCs/>
          <w:color w:val="000000" w:themeColor="text1"/>
          <w:szCs w:val="22"/>
          <w:lang w:eastAsia="en-AU"/>
        </w:rPr>
        <w:t xml:space="preserve">Commonwealth Environmental Water Office Long Term Intervention Monitoring Project </w:t>
      </w:r>
      <w:r w:rsidR="008E27F6">
        <w:rPr>
          <w:rFonts w:asciiTheme="minorHAnsi" w:hAnsiTheme="minorHAnsi" w:cstheme="minorHAnsi"/>
          <w:bCs/>
          <w:color w:val="000000" w:themeColor="text1"/>
          <w:szCs w:val="22"/>
          <w:lang w:eastAsia="en-AU"/>
        </w:rPr>
        <w:t>Edward/Kolety-Wakool</w:t>
      </w:r>
      <w:r w:rsidRPr="00070D2D">
        <w:rPr>
          <w:rFonts w:asciiTheme="minorHAnsi" w:hAnsiTheme="minorHAnsi" w:cstheme="minorHAnsi"/>
          <w:bCs/>
          <w:color w:val="000000" w:themeColor="text1"/>
          <w:szCs w:val="22"/>
          <w:lang w:eastAsia="en-AU"/>
        </w:rPr>
        <w:t xml:space="preserve"> system.</w:t>
      </w:r>
      <w:r w:rsidRPr="00070D2D">
        <w:rPr>
          <w:rFonts w:asciiTheme="minorHAnsi" w:hAnsiTheme="minorHAnsi" w:cstheme="minorHAnsi"/>
          <w:b/>
          <w:bCs/>
          <w:color w:val="000000" w:themeColor="text1"/>
          <w:szCs w:val="22"/>
          <w:lang w:eastAsia="en-AU"/>
        </w:rPr>
        <w:t xml:space="preserve"> </w:t>
      </w:r>
      <w:r w:rsidRPr="00070D2D">
        <w:rPr>
          <w:rFonts w:asciiTheme="minorHAnsi" w:hAnsiTheme="minorHAnsi" w:cstheme="minorHAnsi"/>
          <w:bCs/>
          <w:color w:val="000000" w:themeColor="text1"/>
          <w:szCs w:val="22"/>
          <w:lang w:eastAsia="en-AU"/>
        </w:rPr>
        <w:t>Addendum of 31 July 2018 to the Monitoring and Evaluation Plan.</w:t>
      </w:r>
    </w:p>
    <w:p w14:paraId="1E1C7040" w14:textId="77777777" w:rsidR="00D532A8" w:rsidRPr="00BD336F" w:rsidRDefault="00D532A8" w:rsidP="00D532A8">
      <w:pPr>
        <w:pStyle w:val="EndNoteBibliography"/>
        <w:spacing w:after="120" w:line="259" w:lineRule="auto"/>
      </w:pPr>
      <w:r w:rsidRPr="00BD336F">
        <w:t xml:space="preserve">Coulter D.P., Wang P., Coulter A.A., Van Susteren G.E., Eichmiller J.J., Garvey J.E., ... (2019) Nonlinear relationship between Silver Carp density and their eDNA concentration in a large river. </w:t>
      </w:r>
      <w:r w:rsidRPr="00BD336F">
        <w:rPr>
          <w:i/>
        </w:rPr>
        <w:t>Plos One</w:t>
      </w:r>
      <w:r w:rsidRPr="00BD336F">
        <w:t xml:space="preserve"> 14 (6), e0218823.</w:t>
      </w:r>
    </w:p>
    <w:p w14:paraId="6BA7D9ED" w14:textId="76D4D5BC" w:rsidR="00B82BBE" w:rsidRDefault="00B82BBE" w:rsidP="001D4ADD">
      <w:pPr>
        <w:spacing w:after="120" w:line="240" w:lineRule="auto"/>
        <w:jc w:val="left"/>
        <w:rPr>
          <w:noProof/>
        </w:rPr>
      </w:pPr>
      <w:r>
        <w:rPr>
          <w:noProof/>
        </w:rPr>
        <w:t>Cunningham G.M., Mulham W.E., Milthorpe</w:t>
      </w:r>
      <w:r w:rsidRPr="00F26CB4">
        <w:rPr>
          <w:noProof/>
        </w:rPr>
        <w:t xml:space="preserve"> P.L. </w:t>
      </w:r>
      <w:r>
        <w:rPr>
          <w:noProof/>
        </w:rPr>
        <w:t>and Leigh</w:t>
      </w:r>
      <w:r w:rsidRPr="00F26CB4">
        <w:rPr>
          <w:noProof/>
        </w:rPr>
        <w:t xml:space="preserve"> J.H. (1992) </w:t>
      </w:r>
      <w:r w:rsidRPr="00F26CB4">
        <w:rPr>
          <w:i/>
          <w:noProof/>
        </w:rPr>
        <w:t xml:space="preserve">Plants of western New South Wales, </w:t>
      </w:r>
      <w:r w:rsidRPr="00F26CB4">
        <w:rPr>
          <w:noProof/>
        </w:rPr>
        <w:t>Inkata Press, Marrickville, NSW.</w:t>
      </w:r>
    </w:p>
    <w:p w14:paraId="7197A066" w14:textId="21605B40"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Davies P.E., Harris J.H., Hillman T.J. and Walker K.F. (2010). The Sustainable Rivers Audit: assessing river ecosystem health in the Murray-Darling Basin, Australia. Marine and Freshwater Research, 61, 764–777.</w:t>
      </w:r>
    </w:p>
    <w:p w14:paraId="60F150E7" w14:textId="77777777"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Department of the Environment and Energy (2017 online) Water use in catchments – Mid Murray. URL </w:t>
      </w:r>
      <w:hyperlink r:id="rId209" w:anchor="werai" w:history="1">
        <w:r w:rsidRPr="00070D2D">
          <w:rPr>
            <w:rStyle w:val="Hyperlink"/>
            <w:rFonts w:asciiTheme="minorHAnsi" w:hAnsiTheme="minorHAnsi"/>
            <w:color w:val="000000" w:themeColor="text1"/>
            <w:lang w:eastAsia="en-AU"/>
          </w:rPr>
          <w:t>http://www.environment.gov.au/water/cewo/catchment/mid-murray/history#werai</w:t>
        </w:r>
      </w:hyperlink>
    </w:p>
    <w:p w14:paraId="75ABB2F2" w14:textId="77777777" w:rsidR="00D532A8" w:rsidRPr="00BD336F" w:rsidRDefault="00D532A8" w:rsidP="00D532A8">
      <w:pPr>
        <w:pStyle w:val="EndNoteBibliography"/>
        <w:spacing w:after="120" w:line="259" w:lineRule="auto"/>
      </w:pPr>
      <w:bookmarkStart w:id="221" w:name="_ENREF_9"/>
      <w:r w:rsidRPr="00BD336F">
        <w:t xml:space="preserve">de Souza L.S., Godwin J.C., Renshaw M.A., Larson E. (2016) Environmental DNA (eDNA) Detection Probability Is Influenced by Seasonal Activity of Organisms. </w:t>
      </w:r>
      <w:r w:rsidRPr="00BD336F">
        <w:rPr>
          <w:i/>
        </w:rPr>
        <w:t>PLOS ONE</w:t>
      </w:r>
      <w:r w:rsidRPr="00BD336F">
        <w:t xml:space="preserve"> 11(10), e0165273.</w:t>
      </w:r>
    </w:p>
    <w:p w14:paraId="4024866A" w14:textId="77777777" w:rsidR="00227771" w:rsidRPr="00BD336F" w:rsidRDefault="00227771" w:rsidP="00227771">
      <w:pPr>
        <w:pStyle w:val="EndNoteBibliography"/>
        <w:spacing w:after="120" w:line="259" w:lineRule="auto"/>
      </w:pPr>
      <w:r w:rsidRPr="00BD336F">
        <w:t>Deutschmann B., Mueller A.-K., Hollert H., Brinkmann M. (2019) Assessing the fate of brown trout (</w:t>
      </w:r>
      <w:r w:rsidRPr="00BD336F">
        <w:rPr>
          <w:i/>
        </w:rPr>
        <w:t>Salmo trutta</w:t>
      </w:r>
      <w:r w:rsidRPr="00BD336F">
        <w:t xml:space="preserve">) environmental DNA in a natural stream using a sensitive and specific dual-labelled probe. </w:t>
      </w:r>
      <w:r w:rsidRPr="00BD336F">
        <w:rPr>
          <w:i/>
        </w:rPr>
        <w:t>Science of the Total Environment</w:t>
      </w:r>
      <w:r w:rsidRPr="00BD336F">
        <w:t xml:space="preserve"> 655321-327.</w:t>
      </w:r>
    </w:p>
    <w:p w14:paraId="54456194" w14:textId="77777777" w:rsidR="00227771" w:rsidRPr="00BD336F" w:rsidRDefault="00227771" w:rsidP="00227771">
      <w:pPr>
        <w:pStyle w:val="EndNoteBibliography"/>
        <w:spacing w:after="120" w:line="259" w:lineRule="auto"/>
      </w:pPr>
      <w:r w:rsidRPr="00BD336F">
        <w:t xml:space="preserve">Doi H., Inui R., Akamatsu Y., Kanno K., Yamanaka H., Takahara T., ... (2017) Environmental DNA analysis for estimating the abundance and biomass of stream fish. </w:t>
      </w:r>
      <w:r w:rsidRPr="00BD336F">
        <w:rPr>
          <w:i/>
        </w:rPr>
        <w:t>Freshwater Biology</w:t>
      </w:r>
      <w:r w:rsidRPr="00BD336F">
        <w:t xml:space="preserve"> 62(1), 30-39.</w:t>
      </w:r>
    </w:p>
    <w:p w14:paraId="04BD5924" w14:textId="77777777" w:rsidR="00227771" w:rsidRPr="00BD336F" w:rsidRDefault="00227771" w:rsidP="00227771">
      <w:pPr>
        <w:pStyle w:val="EndNoteBibliography"/>
        <w:spacing w:after="120" w:line="259" w:lineRule="auto"/>
      </w:pPr>
      <w:r w:rsidRPr="00BD336F">
        <w:t xml:space="preserve">Ebner B.C., Thiem J.D. (2009) Monitoring by telemetry reveals differences in movement and survival following hatchery or wild rearing of an endangered fish. </w:t>
      </w:r>
      <w:r w:rsidRPr="00BD336F">
        <w:rPr>
          <w:i/>
        </w:rPr>
        <w:t>Marine and Freshwater Research</w:t>
      </w:r>
      <w:r w:rsidRPr="00BD336F">
        <w:t xml:space="preserve"> 60(1), 45-57.</w:t>
      </w:r>
    </w:p>
    <w:p w14:paraId="6F115C8B" w14:textId="77777777" w:rsidR="00227771" w:rsidRPr="00BD336F" w:rsidRDefault="00227771" w:rsidP="00227771">
      <w:pPr>
        <w:pStyle w:val="EndNoteBibliography"/>
        <w:spacing w:after="120" w:line="259" w:lineRule="auto"/>
      </w:pPr>
      <w:r w:rsidRPr="00BD336F">
        <w:t xml:space="preserve">Fuller S., Baverstock P., King D. (1998) Biogeographic Origins of Goannas (Varanidae): A Molecular Perspective. </w:t>
      </w:r>
      <w:r w:rsidRPr="00BD336F">
        <w:rPr>
          <w:i/>
        </w:rPr>
        <w:t>Molecular Phylogenetics and Evolution</w:t>
      </w:r>
      <w:r w:rsidRPr="00BD336F">
        <w:t xml:space="preserve"> 9(2), 294-307.</w:t>
      </w:r>
    </w:p>
    <w:p w14:paraId="08182F9E" w14:textId="77777777" w:rsidR="00227771" w:rsidRPr="00BD336F" w:rsidRDefault="00227771" w:rsidP="00227771">
      <w:pPr>
        <w:pStyle w:val="EndNoteBibliography"/>
        <w:spacing w:after="120" w:line="259" w:lineRule="auto"/>
      </w:pPr>
      <w:r w:rsidRPr="00BD336F">
        <w:t xml:space="preserve">Furlan E.M., Gleeson D. (2016a) Environmental DNA detection of redfin perch, </w:t>
      </w:r>
      <w:r w:rsidRPr="00BD336F">
        <w:rPr>
          <w:i/>
        </w:rPr>
        <w:t>Perca fluviatilis</w:t>
      </w:r>
      <w:r w:rsidRPr="00BD336F">
        <w:t xml:space="preserve">. </w:t>
      </w:r>
      <w:r w:rsidRPr="00BD336F">
        <w:rPr>
          <w:i/>
        </w:rPr>
        <w:t>Conservation Genetics Resources</w:t>
      </w:r>
      <w:r w:rsidRPr="00BD336F">
        <w:t xml:space="preserve"> 8(2), 115-118.</w:t>
      </w:r>
    </w:p>
    <w:p w14:paraId="22E78243" w14:textId="77777777" w:rsidR="00227771" w:rsidRPr="00BD336F" w:rsidRDefault="00227771" w:rsidP="00227771">
      <w:pPr>
        <w:pStyle w:val="EndNoteBibliography"/>
        <w:spacing w:after="120" w:line="259" w:lineRule="auto"/>
      </w:pPr>
      <w:r w:rsidRPr="00BD336F">
        <w:t xml:space="preserve">Furlan E.M., Gleeson D., Hardy C.M., Duncan R.P. (2016b) A framework for estimating the sensitivity of eDNA surveys. </w:t>
      </w:r>
      <w:r w:rsidRPr="00BD336F">
        <w:rPr>
          <w:i/>
        </w:rPr>
        <w:t>Molecular Ecology Resources</w:t>
      </w:r>
      <w:r w:rsidRPr="00BD336F">
        <w:t xml:space="preserve"> 16(3), 641-654.</w:t>
      </w:r>
    </w:p>
    <w:p w14:paraId="24B9A4D5" w14:textId="2B1376A5" w:rsidR="006971DE" w:rsidRPr="00070D2D" w:rsidRDefault="006971DE" w:rsidP="001D4ADD">
      <w:pPr>
        <w:pStyle w:val="EndNoteBibliography"/>
        <w:spacing w:after="120"/>
      </w:pPr>
      <w:r w:rsidRPr="00070D2D">
        <w:t xml:space="preserve">Gawne B, Brooks S, Butcher R, Cottingham P, Everingham P and Hale J (2013) Long-term Intervention Monitoring Project Monitoring and Evaluation Requirements </w:t>
      </w:r>
      <w:r w:rsidR="008E27F6">
        <w:t>Edward/Kolety-Wakool</w:t>
      </w:r>
      <w:r w:rsidRPr="00070D2D">
        <w:t xml:space="preserve"> river system for Commonwealth environmental water. Final Report prepared for the Commonwealth Environmental Water Office by The Murray-Darling Freshwater Research Centre, MDFRC Publication 01.2/2013, May, 32pp. </w:t>
      </w:r>
    </w:p>
    <w:bookmarkEnd w:id="221"/>
    <w:p w14:paraId="27F587D6" w14:textId="75E01E05" w:rsidR="00DE1C5F" w:rsidRPr="00DE1C5F" w:rsidRDefault="00DE1C5F" w:rsidP="00DE1C5F">
      <w:pPr>
        <w:pStyle w:val="Para0"/>
        <w:spacing w:line="259" w:lineRule="auto"/>
        <w:rPr>
          <w:rFonts w:ascii="Calibri" w:hAnsi="Calibri" w:cs="Calibri"/>
          <w:color w:val="000000" w:themeColor="text1"/>
          <w:sz w:val="22"/>
          <w:szCs w:val="22"/>
        </w:rPr>
      </w:pPr>
      <w:r w:rsidRPr="00DE1C5F">
        <w:rPr>
          <w:rFonts w:ascii="Calibri" w:hAnsi="Calibri" w:cs="Calibri"/>
          <w:color w:val="000000" w:themeColor="text1"/>
          <w:sz w:val="22"/>
          <w:szCs w:val="22"/>
        </w:rPr>
        <w:t>GBCMA (2013). Goulburn River Seasonal Watering Proposal 2013-2014. Goulburn Broken Catchment Management Authority, Shepparton</w:t>
      </w:r>
      <w:r>
        <w:rPr>
          <w:rFonts w:ascii="Calibri" w:hAnsi="Calibri" w:cs="Calibri"/>
          <w:color w:val="000000" w:themeColor="text1"/>
          <w:sz w:val="22"/>
          <w:szCs w:val="22"/>
        </w:rPr>
        <w:t>.</w:t>
      </w:r>
    </w:p>
    <w:p w14:paraId="16743853" w14:textId="77777777" w:rsidR="000640D2" w:rsidRPr="003F214C" w:rsidRDefault="000640D2" w:rsidP="000640D2">
      <w:pPr>
        <w:pStyle w:val="NormalWeb"/>
        <w:shd w:val="clear" w:color="auto" w:fill="FFFFFF"/>
        <w:spacing w:before="0" w:beforeAutospacing="0" w:after="120" w:afterAutospacing="0" w:line="259" w:lineRule="auto"/>
        <w:ind w:right="-285"/>
        <w:rPr>
          <w:rFonts w:asciiTheme="minorHAnsi" w:eastAsiaTheme="minorHAnsi" w:hAnsiTheme="minorHAnsi" w:cstheme="minorHAnsi"/>
          <w:sz w:val="22"/>
          <w:szCs w:val="22"/>
          <w:lang w:eastAsia="en-US"/>
        </w:rPr>
      </w:pPr>
      <w:r w:rsidRPr="003F214C">
        <w:rPr>
          <w:rFonts w:asciiTheme="minorHAnsi" w:hAnsiTheme="minorHAnsi" w:cstheme="minorHAnsi"/>
          <w:color w:val="1C1D1E"/>
          <w:sz w:val="22"/>
          <w:szCs w:val="22"/>
          <w:shd w:val="clear" w:color="auto" w:fill="FFFFFF"/>
        </w:rPr>
        <w:t>G</w:t>
      </w:r>
      <w:r>
        <w:rPr>
          <w:rFonts w:asciiTheme="minorHAnsi" w:hAnsiTheme="minorHAnsi" w:cstheme="minorHAnsi"/>
          <w:color w:val="1C1D1E"/>
          <w:sz w:val="22"/>
          <w:szCs w:val="22"/>
          <w:shd w:val="clear" w:color="auto" w:fill="FFFFFF"/>
        </w:rPr>
        <w:t>ehrke, P. and Harris, J. (2001).</w:t>
      </w:r>
      <w:r w:rsidRPr="003F214C">
        <w:rPr>
          <w:rFonts w:asciiTheme="minorHAnsi" w:hAnsiTheme="minorHAnsi" w:cstheme="minorHAnsi"/>
          <w:color w:val="1C1D1E"/>
          <w:sz w:val="22"/>
          <w:szCs w:val="22"/>
          <w:shd w:val="clear" w:color="auto" w:fill="FFFFFF"/>
        </w:rPr>
        <w:t xml:space="preserve"> Regional‐scale effects of flow regulation on lowland riverine fish communities in Ne</w:t>
      </w:r>
      <w:r>
        <w:rPr>
          <w:rFonts w:asciiTheme="minorHAnsi" w:hAnsiTheme="minorHAnsi" w:cstheme="minorHAnsi"/>
          <w:color w:val="1C1D1E"/>
          <w:sz w:val="22"/>
          <w:szCs w:val="22"/>
          <w:shd w:val="clear" w:color="auto" w:fill="FFFFFF"/>
        </w:rPr>
        <w:t xml:space="preserve">w South Wales, Australia. </w:t>
      </w:r>
      <w:r w:rsidRPr="003F214C">
        <w:rPr>
          <w:rFonts w:asciiTheme="minorHAnsi" w:hAnsiTheme="minorHAnsi" w:cstheme="minorHAnsi"/>
          <w:i/>
          <w:color w:val="1C1D1E"/>
          <w:sz w:val="22"/>
          <w:szCs w:val="22"/>
          <w:shd w:val="clear" w:color="auto" w:fill="FFFFFF"/>
        </w:rPr>
        <w:t>Regulated Rivers: Research and Management</w:t>
      </w:r>
      <w:r>
        <w:rPr>
          <w:rFonts w:asciiTheme="minorHAnsi" w:hAnsiTheme="minorHAnsi" w:cstheme="minorHAnsi"/>
          <w:color w:val="1C1D1E"/>
          <w:sz w:val="22"/>
          <w:szCs w:val="22"/>
          <w:shd w:val="clear" w:color="auto" w:fill="FFFFFF"/>
        </w:rPr>
        <w:t>, 17, 369-391.</w:t>
      </w:r>
    </w:p>
    <w:p w14:paraId="270A52C2" w14:textId="77777777" w:rsidR="00227771" w:rsidRPr="00BD336F" w:rsidRDefault="00227771" w:rsidP="00227771">
      <w:pPr>
        <w:pStyle w:val="EndNoteBibliography"/>
        <w:spacing w:after="120" w:line="259" w:lineRule="auto"/>
      </w:pPr>
      <w:r w:rsidRPr="00BD336F">
        <w:t xml:space="preserve">Gibson K.E., Schwab K.J., Spencer S.K., Borchardt M.A. (2012) Measuring and mitigating inhibition during quantitative real time PCR analysis of viral nucleic acid extracts from large-volume environmental water samples. </w:t>
      </w:r>
      <w:r w:rsidRPr="00BD336F">
        <w:rPr>
          <w:i/>
        </w:rPr>
        <w:t>Water Research</w:t>
      </w:r>
      <w:r w:rsidRPr="00BD336F">
        <w:t xml:space="preserve"> 46(13), 4281-4291.</w:t>
      </w:r>
    </w:p>
    <w:p w14:paraId="00F53CF9" w14:textId="77777777" w:rsidR="006971DE" w:rsidRPr="00070D2D" w:rsidRDefault="006971DE" w:rsidP="001D4ADD">
      <w:pPr>
        <w:pStyle w:val="References"/>
        <w:spacing w:after="120" w:line="240" w:lineRule="auto"/>
        <w:ind w:left="0" w:firstLine="0"/>
        <w:jc w:val="left"/>
        <w:rPr>
          <w:rFonts w:cstheme="minorHAnsi"/>
        </w:rPr>
      </w:pPr>
      <w:r w:rsidRPr="00070D2D">
        <w:rPr>
          <w:rFonts w:asciiTheme="minorHAnsi" w:hAnsiTheme="minorHAnsi" w:cstheme="minorHAnsi"/>
        </w:rPr>
        <w:t xml:space="preserve">Grace MR, Giling DP, Hladyz S, Caron V, Thompson RM, Mac Nally R (2015) Fast processing of diel oxygen curves: estimating stream metabolism with BASE (BAyesian Single-station Estimation). </w:t>
      </w:r>
      <w:r w:rsidRPr="00070D2D">
        <w:rPr>
          <w:rFonts w:asciiTheme="minorHAnsi" w:hAnsiTheme="minorHAnsi" w:cstheme="minorHAnsi"/>
          <w:i/>
          <w:iCs/>
        </w:rPr>
        <w:t>Limnology &amp; Oceanography: Methods</w:t>
      </w:r>
      <w:r w:rsidRPr="00070D2D">
        <w:rPr>
          <w:rFonts w:asciiTheme="minorHAnsi" w:hAnsiTheme="minorHAnsi" w:cstheme="minorHAnsi"/>
        </w:rPr>
        <w:t xml:space="preserve">, </w:t>
      </w:r>
      <w:r w:rsidRPr="00070D2D">
        <w:rPr>
          <w:rFonts w:asciiTheme="minorHAnsi" w:hAnsiTheme="minorHAnsi" w:cstheme="minorHAnsi"/>
          <w:b/>
          <w:bCs/>
        </w:rPr>
        <w:t>13</w:t>
      </w:r>
      <w:r w:rsidRPr="00070D2D">
        <w:rPr>
          <w:rFonts w:asciiTheme="minorHAnsi" w:hAnsiTheme="minorHAnsi" w:cstheme="minorHAnsi"/>
        </w:rPr>
        <w:t>, 103-114</w:t>
      </w:r>
      <w:r w:rsidRPr="00070D2D">
        <w:rPr>
          <w:rFonts w:cstheme="minorHAnsi"/>
        </w:rPr>
        <w:t>.</w:t>
      </w:r>
    </w:p>
    <w:p w14:paraId="5B30DBC5" w14:textId="2481C703"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Green, D. (2001) </w:t>
      </w:r>
      <w:r w:rsidRPr="00070D2D">
        <w:rPr>
          <w:rFonts w:asciiTheme="minorHAnsi" w:hAnsiTheme="minorHAnsi"/>
          <w:i/>
          <w:color w:val="000000" w:themeColor="text1"/>
          <w:lang w:eastAsia="en-AU"/>
        </w:rPr>
        <w:t xml:space="preserve">The </w:t>
      </w:r>
      <w:r w:rsidR="008E27F6">
        <w:rPr>
          <w:rFonts w:asciiTheme="minorHAnsi" w:hAnsiTheme="minorHAnsi"/>
          <w:i/>
          <w:color w:val="000000" w:themeColor="text1"/>
          <w:lang w:eastAsia="en-AU"/>
        </w:rPr>
        <w:t>Edward/Kolety-Wakool</w:t>
      </w:r>
      <w:r w:rsidRPr="00070D2D">
        <w:rPr>
          <w:rFonts w:asciiTheme="minorHAnsi" w:hAnsiTheme="minorHAnsi"/>
          <w:i/>
          <w:color w:val="000000" w:themeColor="text1"/>
          <w:lang w:eastAsia="en-AU"/>
        </w:rPr>
        <w:t xml:space="preserve"> System: River Regulation and Environmental Flows</w:t>
      </w:r>
      <w:r w:rsidRPr="00070D2D">
        <w:rPr>
          <w:rFonts w:asciiTheme="minorHAnsi" w:hAnsiTheme="minorHAnsi"/>
          <w:color w:val="000000" w:themeColor="text1"/>
          <w:lang w:eastAsia="en-AU"/>
        </w:rPr>
        <w:t>. Department of Land and Water Conservation. Unpublished Report.</w:t>
      </w:r>
    </w:p>
    <w:p w14:paraId="7C6C010F" w14:textId="77777777" w:rsidR="006971DE" w:rsidRPr="00070D2D" w:rsidRDefault="006971DE" w:rsidP="001D4ADD">
      <w:pPr>
        <w:spacing w:after="120" w:line="240" w:lineRule="auto"/>
        <w:jc w:val="left"/>
        <w:rPr>
          <w:rStyle w:val="nlmlpage"/>
        </w:rPr>
      </w:pPr>
      <w:r w:rsidRPr="00070D2D">
        <w:rPr>
          <w:rStyle w:val="hlfld-contribauthor"/>
        </w:rPr>
        <w:t xml:space="preserve">Hadwen </w:t>
      </w:r>
      <w:r w:rsidRPr="00070D2D">
        <w:rPr>
          <w:rStyle w:val="nlmgiven-names"/>
        </w:rPr>
        <w:t>WL</w:t>
      </w:r>
      <w:r w:rsidRPr="00070D2D">
        <w:t xml:space="preserve">, </w:t>
      </w:r>
      <w:r w:rsidRPr="00070D2D">
        <w:rPr>
          <w:rStyle w:val="hlfld-contribauthor"/>
        </w:rPr>
        <w:t xml:space="preserve">Fellows </w:t>
      </w:r>
      <w:r w:rsidRPr="00070D2D">
        <w:rPr>
          <w:rStyle w:val="nlmgiven-names"/>
        </w:rPr>
        <w:t>CS</w:t>
      </w:r>
      <w:r w:rsidRPr="00070D2D">
        <w:t xml:space="preserve">, </w:t>
      </w:r>
      <w:r w:rsidRPr="00070D2D">
        <w:rPr>
          <w:rStyle w:val="hlfld-contribauthor"/>
        </w:rPr>
        <w:t xml:space="preserve">Westhorpe </w:t>
      </w:r>
      <w:r w:rsidRPr="00070D2D">
        <w:rPr>
          <w:rStyle w:val="nlmgiven-names"/>
        </w:rPr>
        <w:t>DP</w:t>
      </w:r>
      <w:r w:rsidRPr="00070D2D">
        <w:t xml:space="preserve">, </w:t>
      </w:r>
      <w:r w:rsidRPr="00070D2D">
        <w:rPr>
          <w:rStyle w:val="hlfld-contribauthor"/>
        </w:rPr>
        <w:t xml:space="preserve">Rees </w:t>
      </w:r>
      <w:r w:rsidRPr="00070D2D">
        <w:rPr>
          <w:rStyle w:val="nlmgiven-names"/>
        </w:rPr>
        <w:t>GN</w:t>
      </w:r>
      <w:r w:rsidRPr="00070D2D">
        <w:t xml:space="preserve">, </w:t>
      </w:r>
      <w:r w:rsidRPr="00070D2D">
        <w:rPr>
          <w:rStyle w:val="hlfld-contribauthor"/>
        </w:rPr>
        <w:t xml:space="preserve">Mitrovic </w:t>
      </w:r>
      <w:r w:rsidRPr="00070D2D">
        <w:rPr>
          <w:rStyle w:val="nlmgiven-names"/>
        </w:rPr>
        <w:t>SM</w:t>
      </w:r>
      <w:r w:rsidRPr="00070D2D">
        <w:t xml:space="preserve">, </w:t>
      </w:r>
      <w:r w:rsidRPr="00070D2D">
        <w:rPr>
          <w:rStyle w:val="hlfld-contribauthor"/>
        </w:rPr>
        <w:t xml:space="preserve">Taylor </w:t>
      </w:r>
      <w:r w:rsidRPr="00070D2D">
        <w:rPr>
          <w:rStyle w:val="nlmgiven-names"/>
        </w:rPr>
        <w:t>B</w:t>
      </w:r>
      <w:r w:rsidRPr="00070D2D">
        <w:t xml:space="preserve">, </w:t>
      </w:r>
      <w:r w:rsidRPr="00070D2D">
        <w:rPr>
          <w:rStyle w:val="hlfld-contribauthor"/>
        </w:rPr>
        <w:t xml:space="preserve">Baldwin </w:t>
      </w:r>
      <w:r w:rsidRPr="00070D2D">
        <w:rPr>
          <w:rStyle w:val="nlmgiven-names"/>
        </w:rPr>
        <w:t>DS</w:t>
      </w:r>
      <w:r w:rsidRPr="00070D2D">
        <w:t xml:space="preserve">, </w:t>
      </w:r>
      <w:r w:rsidRPr="00070D2D">
        <w:rPr>
          <w:rStyle w:val="hlfld-contribauthor"/>
        </w:rPr>
        <w:t xml:space="preserve">Silvestera </w:t>
      </w:r>
      <w:r w:rsidRPr="00070D2D">
        <w:rPr>
          <w:rStyle w:val="nlmgiven-names"/>
        </w:rPr>
        <w:t>E</w:t>
      </w:r>
      <w:r w:rsidRPr="00070D2D">
        <w:t xml:space="preserve">, </w:t>
      </w:r>
      <w:r w:rsidRPr="00070D2D">
        <w:rPr>
          <w:rStyle w:val="hlfld-contribauthor"/>
        </w:rPr>
        <w:t xml:space="preserve">Croome </w:t>
      </w:r>
      <w:r w:rsidRPr="00070D2D">
        <w:rPr>
          <w:rStyle w:val="nlmgiven-names"/>
        </w:rPr>
        <w:t>R</w:t>
      </w:r>
      <w:r w:rsidRPr="00070D2D">
        <w:t>. (</w:t>
      </w:r>
      <w:r w:rsidRPr="00070D2D">
        <w:rPr>
          <w:rStyle w:val="nlmyear"/>
        </w:rPr>
        <w:t>2010)</w:t>
      </w:r>
      <w:r w:rsidRPr="00070D2D">
        <w:t xml:space="preserve">. </w:t>
      </w:r>
      <w:r w:rsidRPr="00070D2D">
        <w:rPr>
          <w:rStyle w:val="nlmarticle-title"/>
        </w:rPr>
        <w:t>Longitudinal trends in river functioning: patterns of nutrient and carbon processing in three Australian rivers</w:t>
      </w:r>
      <w:r w:rsidRPr="00070D2D">
        <w:t xml:space="preserve">. </w:t>
      </w:r>
      <w:r w:rsidRPr="00070D2D">
        <w:rPr>
          <w:i/>
        </w:rPr>
        <w:t>River Res Appl</w:t>
      </w:r>
      <w:r w:rsidRPr="00070D2D">
        <w:t xml:space="preserve">. </w:t>
      </w:r>
      <w:r w:rsidRPr="00070D2D">
        <w:rPr>
          <w:b/>
        </w:rPr>
        <w:t>26</w:t>
      </w:r>
      <w:r w:rsidRPr="00070D2D">
        <w:t>:</w:t>
      </w:r>
      <w:r w:rsidRPr="00070D2D">
        <w:rPr>
          <w:rStyle w:val="nlmfpage"/>
        </w:rPr>
        <w:t>1129</w:t>
      </w:r>
      <w:r w:rsidRPr="00070D2D">
        <w:t>–</w:t>
      </w:r>
      <w:r w:rsidRPr="00070D2D">
        <w:rPr>
          <w:rStyle w:val="nlmlpage"/>
        </w:rPr>
        <w:t>1152.</w:t>
      </w:r>
    </w:p>
    <w:p w14:paraId="5671A8B7" w14:textId="56BC4992" w:rsidR="006971DE" w:rsidRPr="00070D2D" w:rsidRDefault="006971DE" w:rsidP="001D4ADD">
      <w:pPr>
        <w:spacing w:after="120" w:line="240" w:lineRule="auto"/>
        <w:jc w:val="left"/>
        <w:rPr>
          <w:rFonts w:asciiTheme="minorHAnsi" w:hAnsiTheme="minorHAnsi"/>
          <w:color w:val="000000" w:themeColor="text1"/>
          <w:lang w:eastAsia="en-AU"/>
        </w:rPr>
      </w:pPr>
      <w:r w:rsidRPr="00070D2D">
        <w:rPr>
          <w:rFonts w:asciiTheme="minorHAnsi" w:hAnsiTheme="minorHAnsi"/>
          <w:color w:val="000000" w:themeColor="text1"/>
          <w:lang w:eastAsia="en-AU"/>
        </w:rPr>
        <w:t xml:space="preserve">Hale, J. and SKM. (2011) Environmental Water Delivery: </w:t>
      </w:r>
      <w:r w:rsidR="008E27F6">
        <w:rPr>
          <w:rFonts w:asciiTheme="minorHAnsi" w:hAnsiTheme="minorHAnsi"/>
          <w:color w:val="000000" w:themeColor="text1"/>
          <w:lang w:eastAsia="en-AU"/>
        </w:rPr>
        <w:t>Edward/Kolety-Wakool</w:t>
      </w:r>
      <w:r w:rsidRPr="00070D2D">
        <w:rPr>
          <w:rFonts w:asciiTheme="minorHAnsi" w:hAnsiTheme="minorHAnsi"/>
          <w:color w:val="000000" w:themeColor="text1"/>
          <w:lang w:eastAsia="en-AU"/>
        </w:rPr>
        <w:t>. Prepared for Commonwealth Environmental Water, Department of Sustainability, Environment, Water, Population and Communities.</w:t>
      </w:r>
    </w:p>
    <w:p w14:paraId="61624F84" w14:textId="77777777" w:rsidR="006971DE" w:rsidRPr="00B82BBE" w:rsidRDefault="006971DE" w:rsidP="001D4ADD">
      <w:pPr>
        <w:spacing w:after="120" w:line="240" w:lineRule="auto"/>
        <w:jc w:val="left"/>
        <w:rPr>
          <w:rFonts w:asciiTheme="minorHAnsi" w:hAnsiTheme="minorHAnsi" w:cstheme="minorHAnsi"/>
          <w:color w:val="000000" w:themeColor="text1"/>
          <w:szCs w:val="22"/>
        </w:rPr>
      </w:pPr>
      <w:r w:rsidRPr="00070D2D">
        <w:rPr>
          <w:rFonts w:asciiTheme="minorHAnsi" w:hAnsiTheme="minorHAnsi"/>
          <w:color w:val="000000" w:themeColor="text1"/>
          <w:szCs w:val="22"/>
        </w:rPr>
        <w:t xml:space="preserve">Hale J., Stoffels R., Butcher R., Shackleton M., Brooks S. and Gawne B. (2014) </w:t>
      </w:r>
      <w:r w:rsidRPr="00070D2D">
        <w:rPr>
          <w:rFonts w:asciiTheme="minorHAnsi" w:hAnsiTheme="minorHAnsi"/>
          <w:i/>
          <w:color w:val="000000" w:themeColor="text1"/>
          <w:szCs w:val="22"/>
        </w:rPr>
        <w:t xml:space="preserve">Commonwealth </w:t>
      </w:r>
      <w:r w:rsidRPr="00B82BBE">
        <w:rPr>
          <w:rFonts w:asciiTheme="minorHAnsi" w:hAnsiTheme="minorHAnsi" w:cstheme="minorHAnsi"/>
          <w:i/>
          <w:color w:val="000000" w:themeColor="text1"/>
          <w:szCs w:val="22"/>
        </w:rPr>
        <w:t>Environmental Water Office Long Term Intervention Monitoring Project – Standard Methods.</w:t>
      </w:r>
      <w:r w:rsidRPr="00B82BBE">
        <w:rPr>
          <w:rFonts w:asciiTheme="minorHAnsi" w:hAnsiTheme="minorHAnsi" w:cstheme="minorHAnsi"/>
          <w:color w:val="000000" w:themeColor="text1"/>
          <w:szCs w:val="22"/>
        </w:rPr>
        <w:t xml:space="preserve"> Final Report prepared for the Commonwealth Environmental Water Office by The Murray-Darling Freshwater Research Centre, MDFRC Publication 29.2/2014, January, 182 pp.</w:t>
      </w:r>
    </w:p>
    <w:p w14:paraId="238A8F6C" w14:textId="77777777" w:rsidR="00227771" w:rsidRPr="00BD336F" w:rsidRDefault="00227771" w:rsidP="00227771">
      <w:pPr>
        <w:pStyle w:val="EndNoteBibliography"/>
        <w:spacing w:after="120" w:line="259" w:lineRule="auto"/>
      </w:pPr>
      <w:r w:rsidRPr="00BD336F">
        <w:t xml:space="preserve">Hammer M.P., Adams M., Thacker C.E., Johnson J.B., Unmack P.J. (2019) Comparison of genetic structure in co-occurring freshwater eleotrids (Actinopterygii: Philypnodon) reveals cryptic species, likely translocation and regional conservation hotspots. </w:t>
      </w:r>
      <w:r w:rsidRPr="00BD336F">
        <w:rPr>
          <w:i/>
        </w:rPr>
        <w:t>Molecular Phylogenetics and Evolution</w:t>
      </w:r>
      <w:r w:rsidRPr="00BD336F">
        <w:t xml:space="preserve"> 139106556.</w:t>
      </w:r>
    </w:p>
    <w:p w14:paraId="7B4C69AE" w14:textId="698F4EB1" w:rsidR="00B82BBE" w:rsidRPr="00B82BBE" w:rsidRDefault="00B82BBE" w:rsidP="001D4ADD">
      <w:pPr>
        <w:spacing w:after="120" w:line="240" w:lineRule="auto"/>
        <w:jc w:val="left"/>
        <w:rPr>
          <w:rFonts w:asciiTheme="minorHAnsi" w:hAnsiTheme="minorHAnsi" w:cstheme="minorHAnsi"/>
          <w:szCs w:val="22"/>
        </w:rPr>
      </w:pPr>
      <w:r w:rsidRPr="00B82BBE">
        <w:rPr>
          <w:rFonts w:asciiTheme="minorHAnsi" w:hAnsiTheme="minorHAnsi" w:cstheme="minorHAnsi"/>
          <w:noProof/>
        </w:rPr>
        <w:t xml:space="preserve">Harden G.J. (1992) </w:t>
      </w:r>
      <w:r w:rsidRPr="00B82BBE">
        <w:rPr>
          <w:rFonts w:asciiTheme="minorHAnsi" w:hAnsiTheme="minorHAnsi" w:cstheme="minorHAnsi"/>
          <w:i/>
          <w:noProof/>
        </w:rPr>
        <w:t xml:space="preserve">Flora of NSW Volume 3, </w:t>
      </w:r>
      <w:r w:rsidRPr="00B82BBE">
        <w:rPr>
          <w:rFonts w:asciiTheme="minorHAnsi" w:hAnsiTheme="minorHAnsi" w:cstheme="minorHAnsi"/>
          <w:noProof/>
        </w:rPr>
        <w:t>UNSW Press, Sydney, NSW</w:t>
      </w:r>
    </w:p>
    <w:p w14:paraId="2115C1DC" w14:textId="2CCDA652" w:rsidR="00B82BBE" w:rsidRPr="00B82BBE" w:rsidRDefault="00B82BBE" w:rsidP="001D4ADD">
      <w:pPr>
        <w:pStyle w:val="Reportbodytext"/>
        <w:spacing w:before="0" w:after="120" w:line="240" w:lineRule="auto"/>
        <w:ind w:left="720" w:hanging="720"/>
        <w:jc w:val="both"/>
        <w:rPr>
          <w:rFonts w:asciiTheme="minorHAnsi" w:hAnsiTheme="minorHAnsi" w:cstheme="minorHAnsi"/>
          <w:noProof/>
        </w:rPr>
      </w:pPr>
      <w:r>
        <w:rPr>
          <w:rFonts w:asciiTheme="minorHAnsi" w:hAnsiTheme="minorHAnsi" w:cstheme="minorHAnsi"/>
          <w:noProof/>
        </w:rPr>
        <w:t>Harden</w:t>
      </w:r>
      <w:r w:rsidRPr="00B82BBE">
        <w:rPr>
          <w:rFonts w:asciiTheme="minorHAnsi" w:hAnsiTheme="minorHAnsi" w:cstheme="minorHAnsi"/>
          <w:noProof/>
        </w:rPr>
        <w:t xml:space="preserve"> G.J. (1993) </w:t>
      </w:r>
      <w:r w:rsidRPr="00B82BBE">
        <w:rPr>
          <w:rFonts w:asciiTheme="minorHAnsi" w:hAnsiTheme="minorHAnsi" w:cstheme="minorHAnsi"/>
          <w:i/>
          <w:noProof/>
        </w:rPr>
        <w:t xml:space="preserve">Flora of NSW Volume 4, </w:t>
      </w:r>
      <w:r w:rsidRPr="00B82BBE">
        <w:rPr>
          <w:rFonts w:asciiTheme="minorHAnsi" w:hAnsiTheme="minorHAnsi" w:cstheme="minorHAnsi"/>
          <w:noProof/>
        </w:rPr>
        <w:t>UNSW Press, Sydney, NSW.</w:t>
      </w:r>
    </w:p>
    <w:p w14:paraId="4E725704" w14:textId="058D0C8F" w:rsidR="00B82BBE" w:rsidRPr="00B82BBE" w:rsidRDefault="00B82BBE" w:rsidP="001D4ADD">
      <w:pPr>
        <w:pStyle w:val="Reportbodytext"/>
        <w:spacing w:before="0" w:after="120" w:line="240" w:lineRule="auto"/>
        <w:ind w:left="720" w:hanging="720"/>
        <w:jc w:val="both"/>
        <w:rPr>
          <w:rFonts w:asciiTheme="minorHAnsi" w:hAnsiTheme="minorHAnsi" w:cstheme="minorHAnsi"/>
          <w:noProof/>
        </w:rPr>
      </w:pPr>
      <w:r>
        <w:rPr>
          <w:rFonts w:asciiTheme="minorHAnsi" w:hAnsiTheme="minorHAnsi" w:cstheme="minorHAnsi"/>
          <w:noProof/>
        </w:rPr>
        <w:t>Harden</w:t>
      </w:r>
      <w:r w:rsidRPr="00B82BBE">
        <w:rPr>
          <w:rFonts w:asciiTheme="minorHAnsi" w:hAnsiTheme="minorHAnsi" w:cstheme="minorHAnsi"/>
          <w:noProof/>
        </w:rPr>
        <w:t xml:space="preserve"> G.J. (2000) </w:t>
      </w:r>
      <w:r w:rsidRPr="00B82BBE">
        <w:rPr>
          <w:rFonts w:asciiTheme="minorHAnsi" w:hAnsiTheme="minorHAnsi" w:cstheme="minorHAnsi"/>
          <w:i/>
          <w:noProof/>
        </w:rPr>
        <w:t xml:space="preserve">Flora of NSW Volume 1, </w:t>
      </w:r>
      <w:r w:rsidRPr="00B82BBE">
        <w:rPr>
          <w:rFonts w:asciiTheme="minorHAnsi" w:hAnsiTheme="minorHAnsi" w:cstheme="minorHAnsi"/>
          <w:noProof/>
        </w:rPr>
        <w:t>UNSW Press, Sydney, NSW.</w:t>
      </w:r>
    </w:p>
    <w:p w14:paraId="1491311C" w14:textId="77404492" w:rsidR="00B82BBE" w:rsidRPr="00B82BBE" w:rsidRDefault="00B82BBE" w:rsidP="001D4ADD">
      <w:pPr>
        <w:spacing w:after="120" w:line="240" w:lineRule="auto"/>
        <w:jc w:val="left"/>
        <w:rPr>
          <w:rFonts w:asciiTheme="minorHAnsi" w:hAnsiTheme="minorHAnsi" w:cstheme="minorHAnsi"/>
          <w:szCs w:val="22"/>
        </w:rPr>
      </w:pPr>
      <w:r>
        <w:rPr>
          <w:rFonts w:asciiTheme="minorHAnsi" w:hAnsiTheme="minorHAnsi" w:cstheme="minorHAnsi"/>
          <w:noProof/>
        </w:rPr>
        <w:t>Harden</w:t>
      </w:r>
      <w:r w:rsidRPr="00B82BBE">
        <w:rPr>
          <w:rFonts w:asciiTheme="minorHAnsi" w:hAnsiTheme="minorHAnsi" w:cstheme="minorHAnsi"/>
          <w:noProof/>
        </w:rPr>
        <w:t xml:space="preserve"> G.J. (2002) </w:t>
      </w:r>
      <w:r w:rsidRPr="00B82BBE">
        <w:rPr>
          <w:rFonts w:asciiTheme="minorHAnsi" w:hAnsiTheme="minorHAnsi" w:cstheme="minorHAnsi"/>
          <w:i/>
          <w:noProof/>
        </w:rPr>
        <w:t xml:space="preserve">Flora of NSW Volume 2, </w:t>
      </w:r>
      <w:r w:rsidRPr="00B82BBE">
        <w:rPr>
          <w:rFonts w:asciiTheme="minorHAnsi" w:hAnsiTheme="minorHAnsi" w:cstheme="minorHAnsi"/>
          <w:noProof/>
        </w:rPr>
        <w:t>UNSW Press, Sydney, NSW.</w:t>
      </w:r>
    </w:p>
    <w:p w14:paraId="258376C7" w14:textId="77777777" w:rsidR="00227771" w:rsidRPr="00BD336F" w:rsidRDefault="00227771" w:rsidP="00227771">
      <w:pPr>
        <w:pStyle w:val="EndNoteBibliography"/>
        <w:spacing w:after="120" w:line="259" w:lineRule="auto"/>
      </w:pPr>
      <w:r w:rsidRPr="00BD336F">
        <w:t xml:space="preserve">Hardy C.M., Adams M., Jerry D.R., Court L.N., Morgan M.J., Hartley D.M. (2011) DNA barcoding to support conservation: species identification, genetic strucutre and biogeography of fishes in the Murray-Darling River Basin, Australia. </w:t>
      </w:r>
      <w:r w:rsidRPr="00BD336F">
        <w:rPr>
          <w:i/>
        </w:rPr>
        <w:t>Marine and Freshwater Research</w:t>
      </w:r>
      <w:r w:rsidRPr="00BD336F">
        <w:t xml:space="preserve"> 62887-901.</w:t>
      </w:r>
    </w:p>
    <w:p w14:paraId="59EBFD7B" w14:textId="77777777" w:rsidR="00227771" w:rsidRPr="00BD336F" w:rsidRDefault="00227771" w:rsidP="00227771">
      <w:pPr>
        <w:pStyle w:val="EndNoteBibliography"/>
        <w:spacing w:after="120" w:line="259" w:lineRule="auto"/>
      </w:pPr>
      <w:r w:rsidRPr="00BD336F">
        <w:t xml:space="preserve">Harper L.R., Lawson Handley L., Hahn C., Boonham N., Rees H.C., Gough K.C., ... (2018) Needle in a haystack? A comparison of eDNA metabarcoding and targeted qPCR for detection of the great crested newt (Triturus cristatus). </w:t>
      </w:r>
      <w:r w:rsidRPr="00BD336F">
        <w:rPr>
          <w:i/>
        </w:rPr>
        <w:t>Ecology and Evolution</w:t>
      </w:r>
      <w:r w:rsidRPr="00BD336F">
        <w:t xml:space="preserve"> 8(12), 6330-6341.</w:t>
      </w:r>
    </w:p>
    <w:p w14:paraId="13916F65" w14:textId="6B68F68C" w:rsidR="006971DE" w:rsidRPr="00070D2D" w:rsidRDefault="00B82BBE" w:rsidP="001D4ADD">
      <w:pPr>
        <w:spacing w:after="120" w:line="240" w:lineRule="auto"/>
        <w:jc w:val="left"/>
        <w:rPr>
          <w:rFonts w:asciiTheme="minorHAnsi" w:hAnsiTheme="minorHAnsi" w:cstheme="minorHAnsi"/>
          <w:szCs w:val="22"/>
        </w:rPr>
      </w:pPr>
      <w:r>
        <w:rPr>
          <w:rFonts w:asciiTheme="minorHAnsi" w:hAnsiTheme="minorHAnsi" w:cstheme="minorHAnsi"/>
          <w:szCs w:val="22"/>
        </w:rPr>
        <w:t>Heibo E., and</w:t>
      </w:r>
      <w:r w:rsidR="006971DE" w:rsidRPr="00070D2D">
        <w:rPr>
          <w:rFonts w:asciiTheme="minorHAnsi" w:hAnsiTheme="minorHAnsi" w:cstheme="minorHAnsi"/>
          <w:szCs w:val="22"/>
        </w:rPr>
        <w:t xml:space="preserve"> Magnhagen, C. (2005). Variation in age and size at maturity in perch (</w:t>
      </w:r>
      <w:r w:rsidR="006971DE" w:rsidRPr="00070D2D">
        <w:rPr>
          <w:rFonts w:asciiTheme="minorHAnsi" w:hAnsiTheme="minorHAnsi" w:cstheme="minorHAnsi"/>
          <w:i/>
          <w:szCs w:val="22"/>
        </w:rPr>
        <w:t>Perca fluviatilis</w:t>
      </w:r>
      <w:r w:rsidR="006971DE" w:rsidRPr="00070D2D">
        <w:rPr>
          <w:rFonts w:asciiTheme="minorHAnsi" w:hAnsiTheme="minorHAnsi" w:cstheme="minorHAnsi"/>
          <w:szCs w:val="22"/>
        </w:rPr>
        <w:t xml:space="preserve"> L.), compared across lakes with different predation risk. Ecology of freshwater fish, 14(4), 344–351.</w:t>
      </w:r>
    </w:p>
    <w:p w14:paraId="6C65A54D"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Hladyz, S., Watkins, S.C., Whitworth, K.L., and Baldwin, D.S. (2011) Flows and hypoxic blackwater events in managed ephemeral river channels. </w:t>
      </w:r>
      <w:r w:rsidRPr="004837A7">
        <w:rPr>
          <w:rFonts w:cs="Calibri"/>
          <w:i/>
          <w:color w:val="000000"/>
        </w:rPr>
        <w:t>Journal of Hydrology</w:t>
      </w:r>
      <w:r w:rsidRPr="004837A7">
        <w:rPr>
          <w:rFonts w:cs="Calibri"/>
          <w:color w:val="000000"/>
        </w:rPr>
        <w:t xml:space="preserve"> </w:t>
      </w:r>
      <w:r w:rsidRPr="004837A7">
        <w:rPr>
          <w:rFonts w:cs="Calibri"/>
          <w:b/>
          <w:color w:val="000000"/>
        </w:rPr>
        <w:t>401</w:t>
      </w:r>
      <w:r w:rsidRPr="004837A7">
        <w:rPr>
          <w:rFonts w:cs="Calibri"/>
          <w:color w:val="000000"/>
        </w:rPr>
        <w:t xml:space="preserve">(1-2), 117-125. </w:t>
      </w:r>
    </w:p>
    <w:p w14:paraId="3E057FAF" w14:textId="77777777" w:rsidR="003845C6" w:rsidRPr="005F4A64" w:rsidRDefault="003845C6" w:rsidP="003845C6">
      <w:pPr>
        <w:pStyle w:val="EndNoteBibliography"/>
        <w:spacing w:after="120"/>
      </w:pPr>
      <w:r w:rsidRPr="005F4A64">
        <w:t xml:space="preserve">Holland A., Mcinerney P.J., Shackleton M.E., Rees G.N., Bond N.R. &amp; Silvester E. (2020) Dissolved organic matter and metabolic dynamics in dryland lowland rivers. </w:t>
      </w:r>
      <w:r w:rsidRPr="005F4A64">
        <w:rPr>
          <w:i/>
        </w:rPr>
        <w:t>Spectrochimica Acta - Part A: Molecular and Biomolecular Spectroscopy,</w:t>
      </w:r>
      <w:r w:rsidRPr="005F4A64">
        <w:t xml:space="preserve"> </w:t>
      </w:r>
      <w:r w:rsidRPr="005F4A64">
        <w:rPr>
          <w:b/>
        </w:rPr>
        <w:t>229</w:t>
      </w:r>
      <w:r w:rsidRPr="005F4A64">
        <w:t>.</w:t>
      </w:r>
    </w:p>
    <w:p w14:paraId="4D6B3382" w14:textId="77777777" w:rsidR="006971DE" w:rsidRPr="00070D2D" w:rsidRDefault="006971DE" w:rsidP="001D4ADD">
      <w:pPr>
        <w:pStyle w:val="EndNoteBibliography"/>
        <w:spacing w:after="120"/>
        <w:rPr>
          <w:color w:val="000000" w:themeColor="text1"/>
        </w:rPr>
      </w:pPr>
      <w:r w:rsidRPr="00070D2D">
        <w:rPr>
          <w:color w:val="000000" w:themeColor="text1"/>
        </w:rPr>
        <w:t xml:space="preserve">Howitt J.A., Baldwin D.S., Rees G.N. and Hart B.T. (2008) Photodegradation, interaction with iron oxides and bioavailability of dissolved organic matter from forested floodplain sources. </w:t>
      </w:r>
      <w:r w:rsidRPr="00070D2D">
        <w:rPr>
          <w:i/>
          <w:color w:val="000000" w:themeColor="text1"/>
        </w:rPr>
        <w:t>Marine and Freshwater Research</w:t>
      </w:r>
      <w:r w:rsidRPr="00070D2D">
        <w:rPr>
          <w:color w:val="000000" w:themeColor="text1"/>
        </w:rPr>
        <w:t xml:space="preserve"> </w:t>
      </w:r>
      <w:r w:rsidRPr="00070D2D">
        <w:rPr>
          <w:b/>
          <w:color w:val="000000" w:themeColor="text1"/>
        </w:rPr>
        <w:t>59</w:t>
      </w:r>
      <w:r w:rsidRPr="00070D2D">
        <w:rPr>
          <w:color w:val="000000" w:themeColor="text1"/>
        </w:rPr>
        <w:t>, 780-791.</w:t>
      </w:r>
    </w:p>
    <w:p w14:paraId="567E5D19"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Howitt, J.A., Baldwin, D.S., Rees, G.N., and Williams, J.L. (2007) Modelling blackwater: Predicting water quality during flooding of lowland river forests. </w:t>
      </w:r>
      <w:r w:rsidRPr="004837A7">
        <w:rPr>
          <w:rFonts w:cs="Calibri"/>
          <w:i/>
          <w:color w:val="000000"/>
        </w:rPr>
        <w:t>Ecological Modelling</w:t>
      </w:r>
      <w:r w:rsidRPr="004837A7">
        <w:rPr>
          <w:rFonts w:cs="Calibri"/>
          <w:color w:val="000000"/>
        </w:rPr>
        <w:t xml:space="preserve"> </w:t>
      </w:r>
      <w:r w:rsidRPr="004837A7">
        <w:rPr>
          <w:rFonts w:cs="Calibri"/>
          <w:b/>
          <w:color w:val="000000"/>
        </w:rPr>
        <w:t>203</w:t>
      </w:r>
      <w:r w:rsidRPr="004837A7">
        <w:rPr>
          <w:rFonts w:cs="Calibri"/>
          <w:color w:val="000000"/>
        </w:rPr>
        <w:t xml:space="preserve">(3-4), 229-242. </w:t>
      </w:r>
    </w:p>
    <w:p w14:paraId="24A3D673"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Humphries P., King A.J. and Koehn J.D. (1999) Fish, flows and floodplains: links between freshwater fishes and their environment in the Murray-Darling River system, Australia. </w:t>
      </w:r>
      <w:r w:rsidRPr="00070D2D">
        <w:rPr>
          <w:rFonts w:asciiTheme="minorHAnsi" w:hAnsiTheme="minorHAnsi"/>
          <w:i/>
          <w:color w:val="000000" w:themeColor="text1"/>
          <w:sz w:val="22"/>
          <w:szCs w:val="22"/>
        </w:rPr>
        <w:t>Environmental Biology of Fishes</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56</w:t>
      </w:r>
      <w:r w:rsidRPr="00070D2D">
        <w:rPr>
          <w:rFonts w:asciiTheme="minorHAnsi" w:hAnsiTheme="minorHAnsi"/>
          <w:color w:val="000000" w:themeColor="text1"/>
          <w:sz w:val="22"/>
          <w:szCs w:val="22"/>
        </w:rPr>
        <w:t>, 129-151.</w:t>
      </w:r>
    </w:p>
    <w:p w14:paraId="341232E4" w14:textId="77777777" w:rsidR="00227771" w:rsidRPr="00BD336F" w:rsidRDefault="00227771" w:rsidP="00227771">
      <w:pPr>
        <w:pStyle w:val="EndNoteBibliography"/>
        <w:spacing w:after="120" w:line="259" w:lineRule="auto"/>
      </w:pPr>
      <w:bookmarkStart w:id="222" w:name="_ENREF_15"/>
      <w:r w:rsidRPr="00BD336F">
        <w:t xml:space="preserve">Jane S.F., Wilcox T.M., McKelvey K.S., Young M.K., Schwartz M.K., Lowe W.H., ... (2015) Distance, flow and PCR inhibition: eDNA dynamics in two headwater streams. </w:t>
      </w:r>
      <w:r w:rsidRPr="00BD336F">
        <w:rPr>
          <w:i/>
        </w:rPr>
        <w:t>Molecular Ecology Resources</w:t>
      </w:r>
      <w:r w:rsidRPr="00BD336F">
        <w:t xml:space="preserve"> 15(1), 216-227.</w:t>
      </w:r>
    </w:p>
    <w:p w14:paraId="3C66B38C"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Johansson M.E. and Nilsson C. (2002) Responses of Riparian Plants to Flooding in Free-Flowing and Regulated Boreal Rivers: an Experimental Study. </w:t>
      </w:r>
      <w:r w:rsidRPr="00070D2D">
        <w:rPr>
          <w:i/>
          <w:iCs/>
          <w:color w:val="000000" w:themeColor="text1"/>
        </w:rPr>
        <w:t xml:space="preserve">Journal of Applied Ecology </w:t>
      </w:r>
      <w:r w:rsidRPr="00070D2D">
        <w:rPr>
          <w:b/>
          <w:color w:val="000000" w:themeColor="text1"/>
        </w:rPr>
        <w:t>39</w:t>
      </w:r>
      <w:r w:rsidRPr="00070D2D">
        <w:rPr>
          <w:color w:val="000000" w:themeColor="text1"/>
        </w:rPr>
        <w:t>, 971-986.</w:t>
      </w:r>
    </w:p>
    <w:bookmarkEnd w:id="222"/>
    <w:p w14:paraId="152B861D" w14:textId="77777777" w:rsidR="00227771" w:rsidRPr="00BD336F" w:rsidRDefault="00227771" w:rsidP="00227771">
      <w:pPr>
        <w:pStyle w:val="EndNoteBibliography"/>
        <w:spacing w:after="120" w:line="259" w:lineRule="auto"/>
      </w:pPr>
      <w:r w:rsidRPr="00BD336F">
        <w:t>Jones M.J., Stuart I.G. (2007) Movements and habitat use of common carp (</w:t>
      </w:r>
      <w:r w:rsidRPr="00BD336F">
        <w:rPr>
          <w:i/>
        </w:rPr>
        <w:t>Cyprinus carpio</w:t>
      </w:r>
      <w:r w:rsidRPr="00BD336F">
        <w:t>) and Murray cod (</w:t>
      </w:r>
      <w:r w:rsidRPr="00BD336F">
        <w:rPr>
          <w:i/>
        </w:rPr>
        <w:t>Maccullochella peelii peelii</w:t>
      </w:r>
      <w:r w:rsidRPr="00BD336F">
        <w:t xml:space="preserve">) juveniles in a large lowland Australian river. </w:t>
      </w:r>
      <w:r w:rsidRPr="00BD336F">
        <w:rPr>
          <w:i/>
        </w:rPr>
        <w:t>Ecology of Freshwater Fish</w:t>
      </w:r>
      <w:r w:rsidRPr="00BD336F">
        <w:t xml:space="preserve"> 16(2), 210-220.</w:t>
      </w:r>
    </w:p>
    <w:p w14:paraId="5F2AC8A0" w14:textId="77777777" w:rsidR="002032F6" w:rsidRPr="00BD336F" w:rsidRDefault="002032F6" w:rsidP="002032F6">
      <w:pPr>
        <w:pStyle w:val="EndNoteBibliography"/>
        <w:spacing w:after="120" w:line="259" w:lineRule="auto"/>
      </w:pPr>
      <w:r w:rsidRPr="00BD336F">
        <w:t xml:space="preserve">Kelly R.P., Port J.A., Yamahara K.M., Crowder L.B. (2014) Using Environmental DNA to Census Marine Fishes in a Large Mesocosm. </w:t>
      </w:r>
      <w:r w:rsidRPr="00BD336F">
        <w:rPr>
          <w:i/>
        </w:rPr>
        <w:t>PLOS ONE</w:t>
      </w:r>
      <w:r w:rsidRPr="00BD336F">
        <w:t xml:space="preserve"> 9(1), e86175.</w:t>
      </w:r>
    </w:p>
    <w:p w14:paraId="24D7BA00" w14:textId="77777777" w:rsidR="000640D2" w:rsidRPr="005F043D" w:rsidRDefault="000640D2" w:rsidP="000640D2">
      <w:pPr>
        <w:pStyle w:val="BodyText"/>
        <w:spacing w:after="120" w:line="259"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King A.J., Crook D.A., Koster W.M., Mahoney J. and Tonkin Z. (2005) Comparison of larval fish drift in the Lower Goulburn and mid-Murray Rivers. </w:t>
      </w:r>
      <w:r w:rsidRPr="005F043D">
        <w:rPr>
          <w:rFonts w:asciiTheme="minorHAnsi" w:hAnsiTheme="minorHAnsi"/>
          <w:i/>
          <w:color w:val="000000" w:themeColor="text1"/>
          <w:sz w:val="22"/>
          <w:szCs w:val="22"/>
        </w:rPr>
        <w:t>Ecological Management and Restoration</w:t>
      </w:r>
      <w:r w:rsidRPr="005F043D">
        <w:rPr>
          <w:rFonts w:asciiTheme="minorHAnsi" w:hAnsiTheme="minorHAnsi"/>
          <w:color w:val="000000" w:themeColor="text1"/>
          <w:sz w:val="22"/>
          <w:szCs w:val="22"/>
        </w:rPr>
        <w:t xml:space="preserve"> </w:t>
      </w:r>
      <w:r w:rsidRPr="005F043D">
        <w:rPr>
          <w:rFonts w:asciiTheme="minorHAnsi" w:hAnsiTheme="minorHAnsi"/>
          <w:b/>
          <w:color w:val="000000" w:themeColor="text1"/>
          <w:sz w:val="22"/>
          <w:szCs w:val="22"/>
        </w:rPr>
        <w:t>6</w:t>
      </w:r>
      <w:r w:rsidRPr="005F043D">
        <w:rPr>
          <w:rFonts w:asciiTheme="minorHAnsi" w:hAnsiTheme="minorHAnsi"/>
          <w:color w:val="000000" w:themeColor="text1"/>
          <w:sz w:val="22"/>
          <w:szCs w:val="22"/>
        </w:rPr>
        <w:t>, 136-139.</w:t>
      </w:r>
    </w:p>
    <w:p w14:paraId="26F9BD12" w14:textId="77777777" w:rsidR="002032F6" w:rsidRPr="00BD336F" w:rsidRDefault="002032F6" w:rsidP="002032F6">
      <w:pPr>
        <w:pStyle w:val="EndNoteBibliography"/>
        <w:spacing w:after="120" w:line="259" w:lineRule="auto"/>
      </w:pPr>
      <w:r w:rsidRPr="00BD336F">
        <w:t xml:space="preserve">Klymus K.E., Merkes C.M., Allison M.J., Goldberg C.S., Helbing C.C., Hunter M.E., ... (2020) Reporting the limits of detection and quantification for environmental DNA assays. </w:t>
      </w:r>
      <w:r w:rsidRPr="00BD336F">
        <w:rPr>
          <w:i/>
        </w:rPr>
        <w:t>Environmental DNA</w:t>
      </w:r>
      <w:r w:rsidRPr="00BD336F">
        <w:t xml:space="preserve"> 2(3), 271-282.</w:t>
      </w:r>
    </w:p>
    <w:p w14:paraId="55D713E2" w14:textId="77777777" w:rsidR="002032F6" w:rsidRPr="00BD336F" w:rsidRDefault="002032F6" w:rsidP="002032F6">
      <w:pPr>
        <w:pStyle w:val="EndNoteBibliography"/>
        <w:spacing w:after="120" w:line="259" w:lineRule="auto"/>
      </w:pPr>
      <w:r w:rsidRPr="00BD336F">
        <w:t>Koehn J.D., McKenzie J.A., O' Mahony D.J., Nicol S.J., O' Connor J.P., O' Connor W.G. (2009) Movements of Murray cod (</w:t>
      </w:r>
      <w:r w:rsidRPr="00BD336F">
        <w:rPr>
          <w:i/>
        </w:rPr>
        <w:t>Maccullochella peelii peelii</w:t>
      </w:r>
      <w:r w:rsidRPr="00BD336F">
        <w:t xml:space="preserve">) in a large Australian lowland river. </w:t>
      </w:r>
      <w:r w:rsidRPr="00BD336F">
        <w:rPr>
          <w:i/>
        </w:rPr>
        <w:t>Ecology of Freshwater Fish</w:t>
      </w:r>
      <w:r w:rsidRPr="00BD336F">
        <w:t xml:space="preserve"> 18(4), 594-602.</w:t>
      </w:r>
    </w:p>
    <w:p w14:paraId="3722B5B8" w14:textId="77777777" w:rsidR="002032F6" w:rsidRPr="00BD336F" w:rsidRDefault="002032F6" w:rsidP="002032F6">
      <w:pPr>
        <w:pStyle w:val="EndNoteBibliography"/>
        <w:spacing w:after="120" w:line="259" w:lineRule="auto"/>
      </w:pPr>
      <w:r w:rsidRPr="00BD336F">
        <w:t xml:space="preserve">Koehn J.D., Nicol S.J. (2014) Comparative habitat use by large riverine fishes. </w:t>
      </w:r>
      <w:r w:rsidRPr="00BD336F">
        <w:rPr>
          <w:i/>
        </w:rPr>
        <w:t>Marine and Freshwater Research</w:t>
      </w:r>
      <w:r w:rsidRPr="00BD336F">
        <w:t xml:space="preserve"> 65(2), 164-174.</w:t>
      </w:r>
    </w:p>
    <w:p w14:paraId="4B02DD6C" w14:textId="49A22DE8" w:rsidR="006971DE" w:rsidRPr="00070D2D" w:rsidRDefault="002032F6" w:rsidP="002032F6">
      <w:pPr>
        <w:spacing w:after="120" w:line="240" w:lineRule="auto"/>
        <w:jc w:val="left"/>
        <w:rPr>
          <w:rFonts w:asciiTheme="minorHAnsi" w:hAnsiTheme="minorHAnsi" w:cstheme="minorHAnsi"/>
          <w:szCs w:val="22"/>
        </w:rPr>
      </w:pPr>
      <w:r w:rsidRPr="00BD336F">
        <w:t xml:space="preserve">Koehn J.D., Nicol S.J., McKenzie J.A., Lieschke J.A., Lyon J.P., Pomorin K. (2008) Spatial ecology of an endangered native Australian Percichthyid fish, the trout cod Maccullochella macquariensis. </w:t>
      </w:r>
      <w:r w:rsidRPr="00BD336F">
        <w:rPr>
          <w:i/>
        </w:rPr>
        <w:t>Endangered Species Research</w:t>
      </w:r>
      <w:r w:rsidRPr="00BD336F">
        <w:t xml:space="preserve"> 4(1-2), 219-225.</w:t>
      </w:r>
      <w:r w:rsidR="006971DE" w:rsidRPr="00070D2D">
        <w:rPr>
          <w:rFonts w:asciiTheme="minorHAnsi" w:hAnsiTheme="minorHAnsi" w:cstheme="minorHAnsi"/>
          <w:szCs w:val="22"/>
        </w:rPr>
        <w:t xml:space="preserve">Llewellyn, L. (2007). Spawning and development of the Flat-headed Gudgeon </w:t>
      </w:r>
      <w:r w:rsidR="006971DE" w:rsidRPr="00070D2D">
        <w:rPr>
          <w:rFonts w:asciiTheme="minorHAnsi" w:hAnsiTheme="minorHAnsi" w:cstheme="minorHAnsi"/>
          <w:i/>
          <w:szCs w:val="22"/>
        </w:rPr>
        <w:t>Philypnodon grandiceps</w:t>
      </w:r>
      <w:r w:rsidR="006971DE" w:rsidRPr="00070D2D">
        <w:rPr>
          <w:rFonts w:asciiTheme="minorHAnsi" w:hAnsiTheme="minorHAnsi" w:cstheme="minorHAnsi"/>
          <w:szCs w:val="22"/>
        </w:rPr>
        <w:t xml:space="preserve"> (Krefft, 1864) (Teleostei: Eleotridae). Australian Zoologist, 34(1), 1–21.</w:t>
      </w:r>
    </w:p>
    <w:p w14:paraId="47F550B9"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Lorenzoni, M., Corboli, M., Ghetti, L., Pedicillo, G., &amp; Carosi, A. (2007). Growth and reproduction of the goldfish </w:t>
      </w:r>
      <w:r w:rsidRPr="00070D2D">
        <w:rPr>
          <w:rFonts w:asciiTheme="minorHAnsi" w:hAnsiTheme="minorHAnsi" w:cstheme="minorHAnsi"/>
          <w:i/>
          <w:szCs w:val="22"/>
        </w:rPr>
        <w:t>Carassius auratus</w:t>
      </w:r>
      <w:r w:rsidRPr="00070D2D">
        <w:rPr>
          <w:rFonts w:asciiTheme="minorHAnsi" w:hAnsiTheme="minorHAnsi" w:cstheme="minorHAnsi"/>
          <w:szCs w:val="22"/>
        </w:rPr>
        <w:t>: a case study from Italy. In Biological invaders in inland waters: Profiles, distribution, and threats (pp. 259-273). Springer, Netherlands.</w:t>
      </w:r>
    </w:p>
    <w:p w14:paraId="2926B6E7" w14:textId="77777777" w:rsidR="006971DE" w:rsidRPr="00070D2D" w:rsidRDefault="006971DE" w:rsidP="001D4ADD">
      <w:pPr>
        <w:tabs>
          <w:tab w:val="left" w:pos="0"/>
        </w:tabs>
        <w:spacing w:after="120" w:line="240" w:lineRule="auto"/>
        <w:jc w:val="left"/>
        <w:rPr>
          <w:rFonts w:cs="Calibri"/>
          <w:color w:val="000000" w:themeColor="text1"/>
        </w:rPr>
      </w:pPr>
      <w:r w:rsidRPr="00070D2D">
        <w:rPr>
          <w:rFonts w:cs="Calibri"/>
          <w:color w:val="000000" w:themeColor="text1"/>
        </w:rPr>
        <w:t xml:space="preserve">Lowe B.J., Watts R.J., Roberts J. and Robertson, A. (2010) The effect of experimental inundation and sediment deposition on the survival and growth of two herbaceous riverbank plant species. </w:t>
      </w:r>
      <w:r w:rsidRPr="00070D2D">
        <w:rPr>
          <w:rFonts w:cs="Calibri"/>
          <w:i/>
          <w:color w:val="000000" w:themeColor="text1"/>
        </w:rPr>
        <w:t xml:space="preserve">Plant Ecology </w:t>
      </w:r>
      <w:r w:rsidRPr="00070D2D">
        <w:rPr>
          <w:rFonts w:cs="Calibri"/>
          <w:b/>
          <w:color w:val="000000" w:themeColor="text1"/>
        </w:rPr>
        <w:t>209</w:t>
      </w:r>
      <w:r w:rsidRPr="00070D2D">
        <w:rPr>
          <w:rFonts w:cs="Calibri"/>
          <w:color w:val="000000" w:themeColor="text1"/>
        </w:rPr>
        <w:t>, 57-69.</w:t>
      </w:r>
    </w:p>
    <w:p w14:paraId="77318CBC" w14:textId="77777777" w:rsidR="002032F6" w:rsidRPr="00BD336F" w:rsidRDefault="002032F6" w:rsidP="002032F6">
      <w:pPr>
        <w:pStyle w:val="EndNoteBibliography"/>
        <w:spacing w:after="120" w:line="259" w:lineRule="auto"/>
      </w:pPr>
      <w:r w:rsidRPr="00BD336F">
        <w:t xml:space="preserve">Lugg W.H., Griffiths J., van Rooyen A.R., Weeks A.R., Tingley R. (2018) Optimal survey designs for environmental DNA sampling. </w:t>
      </w:r>
      <w:r w:rsidRPr="00BD336F">
        <w:rPr>
          <w:i/>
        </w:rPr>
        <w:t>Methods in Ecology and Evolution</w:t>
      </w:r>
      <w:r w:rsidRPr="00BD336F">
        <w:t xml:space="preserve"> 9(4), 1049-1059.</w:t>
      </w:r>
    </w:p>
    <w:p w14:paraId="4D4392C2" w14:textId="77777777" w:rsidR="006971DE" w:rsidRPr="00070D2D" w:rsidRDefault="006971DE" w:rsidP="001D4A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left"/>
        <w:rPr>
          <w:rFonts w:asciiTheme="minorHAnsi" w:hAnsiTheme="minorHAnsi" w:cs="Cambria"/>
          <w:color w:val="000000" w:themeColor="text1"/>
          <w:lang w:val="en-US"/>
        </w:rPr>
      </w:pPr>
      <w:r w:rsidRPr="00070D2D">
        <w:rPr>
          <w:rFonts w:asciiTheme="minorHAnsi" w:hAnsiTheme="minorHAnsi" w:cs="Cambria"/>
          <w:color w:val="000000" w:themeColor="text1"/>
          <w:lang w:val="en-US"/>
        </w:rPr>
        <w:t xml:space="preserve">Maheshwari B.L., Walker, K.F. McMahon T.A. (1995) Effects of regulation on the flow regime of the river Murray, Australia. </w:t>
      </w:r>
      <w:r w:rsidRPr="00070D2D">
        <w:rPr>
          <w:rFonts w:asciiTheme="minorHAnsi" w:hAnsiTheme="minorHAnsi" w:cs="Cambria"/>
          <w:i/>
          <w:color w:val="000000" w:themeColor="text1"/>
          <w:lang w:val="en-US"/>
        </w:rPr>
        <w:t>Regulated Rivers Research and Management</w:t>
      </w:r>
      <w:r w:rsidRPr="00070D2D">
        <w:rPr>
          <w:rFonts w:asciiTheme="minorHAnsi" w:hAnsiTheme="minorHAnsi" w:cs="Cambria"/>
          <w:color w:val="000000" w:themeColor="text1"/>
          <w:lang w:val="en-US"/>
        </w:rPr>
        <w:t xml:space="preserve"> </w:t>
      </w:r>
      <w:r w:rsidRPr="00070D2D">
        <w:rPr>
          <w:rFonts w:asciiTheme="minorHAnsi" w:hAnsiTheme="minorHAnsi" w:cs="Cambria"/>
          <w:b/>
          <w:color w:val="000000" w:themeColor="text1"/>
          <w:lang w:val="en-US"/>
        </w:rPr>
        <w:t>10</w:t>
      </w:r>
      <w:r w:rsidRPr="00070D2D">
        <w:rPr>
          <w:rFonts w:asciiTheme="minorHAnsi" w:hAnsiTheme="minorHAnsi" w:cs="Cambria"/>
          <w:color w:val="000000" w:themeColor="text1"/>
          <w:lang w:val="en-US"/>
        </w:rPr>
        <w:t>, 15–38.</w:t>
      </w:r>
    </w:p>
    <w:p w14:paraId="34620A5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Mallen-Cooper M. (1996) Fishways and Freshwater Fish Migration in South-Eastern Australia. University of Technology, Sydney 429 pp.</w:t>
      </w:r>
    </w:p>
    <w:p w14:paraId="3032D092" w14:textId="77777777" w:rsidR="006971DE" w:rsidRPr="00070D2D" w:rsidRDefault="006971DE" w:rsidP="001D4ADD">
      <w:pPr>
        <w:pStyle w:val="EndNoteBibliography"/>
        <w:spacing w:after="120"/>
        <w:rPr>
          <w:rFonts w:asciiTheme="minorHAnsi" w:hAnsiTheme="minorHAnsi"/>
          <w:color w:val="000000" w:themeColor="text1"/>
        </w:rPr>
      </w:pPr>
      <w:r w:rsidRPr="00070D2D">
        <w:rPr>
          <w:rFonts w:asciiTheme="minorHAnsi" w:hAnsiTheme="minorHAnsi"/>
          <w:color w:val="000000" w:themeColor="text1"/>
        </w:rPr>
        <w:t xml:space="preserve">Mallen-Cooper, M. and Zampatti B.P (2018) History, hydrology and hyraulics: Rethinking the ecological management of large rivers. </w:t>
      </w:r>
      <w:r w:rsidRPr="00070D2D">
        <w:rPr>
          <w:rFonts w:asciiTheme="minorHAnsi" w:hAnsiTheme="minorHAnsi"/>
          <w:i/>
          <w:color w:val="000000" w:themeColor="text1"/>
        </w:rPr>
        <w:t>Ecohydrology</w:t>
      </w:r>
      <w:r w:rsidRPr="00070D2D">
        <w:rPr>
          <w:rFonts w:asciiTheme="minorHAnsi" w:hAnsiTheme="minorHAnsi"/>
          <w:color w:val="000000" w:themeColor="text1"/>
        </w:rPr>
        <w:t xml:space="preserve"> </w:t>
      </w:r>
      <w:r w:rsidRPr="00070D2D">
        <w:rPr>
          <w:rFonts w:asciiTheme="minorHAnsi" w:hAnsiTheme="minorHAnsi"/>
          <w:b/>
          <w:color w:val="000000" w:themeColor="text1"/>
        </w:rPr>
        <w:t>11</w:t>
      </w:r>
      <w:r w:rsidRPr="00070D2D">
        <w:rPr>
          <w:rFonts w:asciiTheme="minorHAnsi" w:hAnsiTheme="minorHAnsi"/>
          <w:color w:val="000000" w:themeColor="text1"/>
        </w:rPr>
        <w:t>, e1965.</w:t>
      </w:r>
    </w:p>
    <w:p w14:paraId="28783048"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t xml:space="preserve">Marcarelli AM, Baxter CV, Mineau MM, Hall RO Jr (2011) Quantity and quality: unifying food web and ecosystem perspectives on the role of resource subsidies in freshwaters. </w:t>
      </w:r>
      <w:r w:rsidRPr="00070D2D">
        <w:rPr>
          <w:rFonts w:asciiTheme="minorHAnsi" w:hAnsiTheme="minorHAnsi" w:cstheme="minorHAnsi"/>
          <w:i/>
        </w:rPr>
        <w:t>Ecology</w:t>
      </w:r>
      <w:r w:rsidRPr="00070D2D">
        <w:rPr>
          <w:rFonts w:asciiTheme="minorHAnsi" w:hAnsiTheme="minorHAnsi" w:cstheme="minorHAnsi"/>
        </w:rPr>
        <w:t xml:space="preserve"> </w:t>
      </w:r>
      <w:r w:rsidRPr="00070D2D">
        <w:rPr>
          <w:rFonts w:asciiTheme="minorHAnsi" w:hAnsiTheme="minorHAnsi" w:cstheme="minorHAnsi"/>
          <w:b/>
        </w:rPr>
        <w:t>92(6)</w:t>
      </w:r>
      <w:r w:rsidRPr="00070D2D">
        <w:rPr>
          <w:rFonts w:asciiTheme="minorHAnsi" w:hAnsiTheme="minorHAnsi" w:cstheme="minorHAnsi"/>
        </w:rPr>
        <w:t>, 1215–1225.</w:t>
      </w:r>
    </w:p>
    <w:p w14:paraId="3005F488" w14:textId="77777777" w:rsidR="002032F6" w:rsidRPr="00BD336F" w:rsidRDefault="002032F6" w:rsidP="002032F6">
      <w:pPr>
        <w:pStyle w:val="EndNoteBibliography"/>
        <w:spacing w:after="120" w:line="259" w:lineRule="auto"/>
      </w:pPr>
      <w:r w:rsidRPr="00BD336F">
        <w:t xml:space="preserve">McColl-Gausden E.F., Weeks A.R., Tingley R. (2019) A field ecologist's guide to environmental DNA sampling in freshwater environments. </w:t>
      </w:r>
      <w:r w:rsidRPr="00BD336F">
        <w:rPr>
          <w:i/>
        </w:rPr>
        <w:t>Australian Zoologist</w:t>
      </w:r>
      <w:r w:rsidRPr="00BD336F">
        <w:t xml:space="preserve"> 0(0), null.</w:t>
      </w:r>
    </w:p>
    <w:p w14:paraId="25E0F95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McDowall, R.M. (1996). Family Poecilidae: livebearers. </w:t>
      </w:r>
      <w:r w:rsidRPr="00070D2D">
        <w:rPr>
          <w:rFonts w:asciiTheme="minorHAnsi" w:hAnsiTheme="minorHAnsi" w:cstheme="minorHAnsi"/>
          <w:i/>
          <w:szCs w:val="22"/>
        </w:rPr>
        <w:t>In</w:t>
      </w:r>
      <w:r w:rsidRPr="00070D2D">
        <w:rPr>
          <w:rFonts w:asciiTheme="minorHAnsi" w:hAnsiTheme="minorHAnsi" w:cstheme="minorHAnsi"/>
          <w:szCs w:val="22"/>
        </w:rPr>
        <w:t xml:space="preserve"> RM McDowall (ed), Freshwater Fishes of South-Eastern Australia. Reed Books, Sydney. Pp 116–122.</w:t>
      </w:r>
    </w:p>
    <w:p w14:paraId="59E41C08"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Moran, M.A., and Hodson, R.E. (1990) Bacterial production on humic and nonhumic components of dissolved organic carbon. </w:t>
      </w:r>
      <w:r w:rsidRPr="004837A7">
        <w:rPr>
          <w:rFonts w:cs="Calibri"/>
          <w:i/>
          <w:color w:val="000000"/>
        </w:rPr>
        <w:t xml:space="preserve">Limnology and Oceanography </w:t>
      </w:r>
      <w:r w:rsidRPr="004837A7">
        <w:rPr>
          <w:rFonts w:cs="Calibri"/>
          <w:b/>
          <w:color w:val="000000"/>
        </w:rPr>
        <w:t>35</w:t>
      </w:r>
      <w:r w:rsidRPr="004837A7">
        <w:rPr>
          <w:rFonts w:cs="Calibri"/>
          <w:color w:val="000000"/>
        </w:rPr>
        <w:t xml:space="preserve">(8), 1744-1756. </w:t>
      </w:r>
    </w:p>
    <w:p w14:paraId="1F143EBE" w14:textId="77777777" w:rsidR="008F24CA"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Moran, M.A., and Zepp, R.G. (1997) Role of photoreactions in the formation of biologically labile compounds from dissolved organic matter. </w:t>
      </w:r>
      <w:r w:rsidRPr="00A4110D">
        <w:rPr>
          <w:rFonts w:cs="Calibri"/>
          <w:i/>
          <w:color w:val="000000"/>
        </w:rPr>
        <w:t>Limnology and Oceanography</w:t>
      </w:r>
      <w:r w:rsidRPr="004837A7">
        <w:rPr>
          <w:rFonts w:cs="Calibri"/>
          <w:color w:val="000000"/>
        </w:rPr>
        <w:t xml:space="preserve"> </w:t>
      </w:r>
      <w:r w:rsidRPr="00A4110D">
        <w:rPr>
          <w:rFonts w:cs="Calibri"/>
          <w:b/>
          <w:color w:val="000000"/>
        </w:rPr>
        <w:t>42</w:t>
      </w:r>
      <w:r w:rsidRPr="004837A7">
        <w:rPr>
          <w:rFonts w:cs="Calibri"/>
          <w:color w:val="000000"/>
        </w:rPr>
        <w:t>(6), 1307-1316.</w:t>
      </w:r>
    </w:p>
    <w:p w14:paraId="42C99D59" w14:textId="77777777" w:rsidR="006971DE" w:rsidRPr="00070D2D" w:rsidRDefault="006971DE" w:rsidP="001D4ADD">
      <w:pPr>
        <w:spacing w:after="120" w:line="240" w:lineRule="auto"/>
        <w:jc w:val="left"/>
        <w:rPr>
          <w:rFonts w:asciiTheme="minorHAnsi" w:hAnsiTheme="minorHAnsi"/>
          <w:color w:val="000000" w:themeColor="text1"/>
        </w:rPr>
      </w:pPr>
      <w:r w:rsidRPr="00070D2D">
        <w:rPr>
          <w:rFonts w:asciiTheme="minorHAnsi" w:hAnsiTheme="minorHAnsi"/>
          <w:color w:val="000000" w:themeColor="text1"/>
        </w:rPr>
        <w:t>Murray Darling Basin Authority (2011) Murray–Darling Basin Authority Annual Report 2010–11. MDBA publication No. 218/11. MDBA, Canberra.</w:t>
      </w:r>
    </w:p>
    <w:p w14:paraId="321C3518" w14:textId="77777777" w:rsidR="008F24CA" w:rsidRDefault="008F24CA" w:rsidP="008F24CA">
      <w:pPr>
        <w:autoSpaceDE w:val="0"/>
        <w:autoSpaceDN w:val="0"/>
        <w:adjustRightInd w:val="0"/>
        <w:spacing w:after="120" w:line="259" w:lineRule="auto"/>
        <w:jc w:val="left"/>
        <w:rPr>
          <w:rFonts w:cs="Calibri"/>
          <w:color w:val="000000"/>
        </w:rPr>
      </w:pPr>
      <w:r w:rsidRPr="00783B02">
        <w:rPr>
          <w:rFonts w:cs="Calibri"/>
          <w:color w:val="000000"/>
        </w:rPr>
        <w:t>Murray-Darling Basin Authority (2012) Basin Plan. Prepared by the Office of Parliamentary Counsel, Canberra under subparagraph 44(3)(b)(i) of the Water Act 2007, Canberra.</w:t>
      </w:r>
    </w:p>
    <w:p w14:paraId="4BA64203" w14:textId="77777777" w:rsidR="006971DE" w:rsidRPr="00070D2D" w:rsidRDefault="006971DE" w:rsidP="001D4ADD">
      <w:pPr>
        <w:spacing w:after="120" w:line="240" w:lineRule="auto"/>
        <w:jc w:val="left"/>
        <w:rPr>
          <w:rFonts w:asciiTheme="minorHAnsi" w:hAnsiTheme="minorHAnsi"/>
          <w:color w:val="000000" w:themeColor="text1"/>
        </w:rPr>
      </w:pPr>
      <w:r w:rsidRPr="00070D2D">
        <w:rPr>
          <w:rFonts w:asciiTheme="minorHAnsi" w:hAnsiTheme="minorHAnsi"/>
          <w:color w:val="000000" w:themeColor="text1"/>
        </w:rPr>
        <w:t>Murray Darling Basin Authority (2014) Basin-wide environmental watering strategy. Murray-Darling Basin Authority</w:t>
      </w:r>
    </w:p>
    <w:p w14:paraId="443F4F65"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Nicol J. (2004) </w:t>
      </w:r>
      <w:r w:rsidRPr="00070D2D">
        <w:rPr>
          <w:i/>
          <w:color w:val="000000" w:themeColor="text1"/>
        </w:rPr>
        <w:t>Vegetation Dynamics of the Menindee Lakes with Reference to the Seed Bank</w:t>
      </w:r>
      <w:r w:rsidRPr="00070D2D">
        <w:rPr>
          <w:color w:val="000000" w:themeColor="text1"/>
        </w:rPr>
        <w:t>. PhD Thesis. The University of Adelaide, Adelaide, South Australia.</w:t>
      </w:r>
    </w:p>
    <w:p w14:paraId="144EC927"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O'Connell, M., Baldwin, D.S., Robertson, A.I., and Rees, G. (2000) Release and bioavailability of dissolved organic matter from floodplain litter: influence of origin and oxygen levels. </w:t>
      </w:r>
      <w:r w:rsidRPr="004837A7">
        <w:rPr>
          <w:rFonts w:cs="Calibri"/>
          <w:i/>
          <w:color w:val="000000"/>
        </w:rPr>
        <w:t>Freshwater Biology</w:t>
      </w:r>
      <w:r w:rsidRPr="004837A7">
        <w:rPr>
          <w:rFonts w:cs="Calibri"/>
          <w:color w:val="000000"/>
        </w:rPr>
        <w:t xml:space="preserve"> </w:t>
      </w:r>
      <w:r w:rsidRPr="004837A7">
        <w:rPr>
          <w:rFonts w:cs="Calibri"/>
          <w:b/>
          <w:color w:val="000000"/>
        </w:rPr>
        <w:t>45</w:t>
      </w:r>
      <w:r w:rsidRPr="004837A7">
        <w:rPr>
          <w:rFonts w:cs="Calibri"/>
          <w:color w:val="000000"/>
        </w:rPr>
        <w:t xml:space="preserve">, 333-342. </w:t>
      </w:r>
    </w:p>
    <w:p w14:paraId="4BD5BB85" w14:textId="77777777" w:rsidR="006971DE" w:rsidRPr="00070D2D" w:rsidRDefault="006971DE" w:rsidP="001D4ADD">
      <w:pPr>
        <w:pStyle w:val="EndNoteBibliography"/>
        <w:spacing w:after="120"/>
        <w:rPr>
          <w:color w:val="000000" w:themeColor="text1"/>
        </w:rPr>
      </w:pPr>
      <w:r w:rsidRPr="00070D2D">
        <w:rPr>
          <w:color w:val="000000" w:themeColor="text1"/>
        </w:rPr>
        <w:t xml:space="preserve">Odum, H.T. (1956) Primary production in flowing waters. </w:t>
      </w:r>
      <w:r w:rsidRPr="00070D2D">
        <w:rPr>
          <w:i/>
          <w:color w:val="000000" w:themeColor="text1"/>
        </w:rPr>
        <w:t xml:space="preserve">Limnology and Oceanography </w:t>
      </w:r>
      <w:r w:rsidRPr="00070D2D">
        <w:rPr>
          <w:b/>
          <w:color w:val="000000" w:themeColor="text1"/>
        </w:rPr>
        <w:t>1(2)</w:t>
      </w:r>
      <w:r w:rsidRPr="00070D2D">
        <w:rPr>
          <w:color w:val="000000" w:themeColor="text1"/>
        </w:rPr>
        <w:t>, 102-117.</w:t>
      </w:r>
    </w:p>
    <w:p w14:paraId="6187B162" w14:textId="77777777" w:rsidR="006971DE" w:rsidRPr="00070D2D" w:rsidRDefault="006971DE" w:rsidP="001D4ADD">
      <w:pPr>
        <w:spacing w:after="120" w:line="240" w:lineRule="auto"/>
        <w:jc w:val="left"/>
        <w:rPr>
          <w:color w:val="000000" w:themeColor="text1"/>
        </w:rPr>
      </w:pPr>
      <w:r w:rsidRPr="00070D2D">
        <w:rPr>
          <w:color w:val="000000" w:themeColor="text1"/>
        </w:rPr>
        <w:t>Office of Environment and heritage (2018) Murray and Lower Darling Catchments: Annual environmental watering priorities 2018-19. NSW Office of Environment and Heritage.</w:t>
      </w:r>
    </w:p>
    <w:p w14:paraId="2DACF52A"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Pepin P., Robert D., Bouchard C., Dower J.F., Falardeau M., Fortier L., Jenkins G.P., Leclerc V., Levesque K. and Llopiz J.K. (2015) Once upon a larva: revisiting the relationship between feeding success and growth in fish larvae. </w:t>
      </w:r>
      <w:r w:rsidRPr="00070D2D">
        <w:rPr>
          <w:rFonts w:asciiTheme="minorHAnsi" w:hAnsiTheme="minorHAnsi"/>
          <w:i/>
          <w:iCs/>
          <w:color w:val="000000" w:themeColor="text1"/>
          <w:sz w:val="22"/>
          <w:szCs w:val="22"/>
        </w:rPr>
        <w:t xml:space="preserve">ICES Journal of Marine Science: Journal du Conseil </w:t>
      </w:r>
      <w:r w:rsidRPr="00070D2D">
        <w:rPr>
          <w:rFonts w:asciiTheme="minorHAnsi" w:hAnsiTheme="minorHAnsi"/>
          <w:b/>
          <w:bCs/>
          <w:color w:val="000000" w:themeColor="text1"/>
          <w:sz w:val="22"/>
          <w:szCs w:val="22"/>
        </w:rPr>
        <w:t>72</w:t>
      </w:r>
      <w:r w:rsidRPr="00070D2D">
        <w:rPr>
          <w:rFonts w:asciiTheme="minorHAnsi" w:hAnsiTheme="minorHAnsi"/>
          <w:color w:val="000000" w:themeColor="text1"/>
          <w:sz w:val="22"/>
          <w:szCs w:val="22"/>
        </w:rPr>
        <w:t>, 359-373.</w:t>
      </w:r>
    </w:p>
    <w:p w14:paraId="3E2C7955" w14:textId="77777777" w:rsidR="00DE1C5F" w:rsidRPr="00DE1C5F" w:rsidRDefault="00DE1C5F" w:rsidP="00DE1C5F">
      <w:pPr>
        <w:pStyle w:val="Para0"/>
        <w:spacing w:line="259" w:lineRule="auto"/>
        <w:rPr>
          <w:rFonts w:ascii="Calibri" w:hAnsi="Calibri" w:cs="Calibri"/>
          <w:color w:val="000000" w:themeColor="text1"/>
          <w:sz w:val="22"/>
          <w:szCs w:val="22"/>
        </w:rPr>
      </w:pPr>
      <w:r w:rsidRPr="00DE1C5F">
        <w:rPr>
          <w:rFonts w:ascii="Calibri" w:hAnsi="Calibri" w:cs="Calibri"/>
          <w:color w:val="000000" w:themeColor="text1"/>
          <w:sz w:val="22"/>
          <w:szCs w:val="22"/>
        </w:rPr>
        <w:t>Peter Cottingham and Associates and SKM (2011). Environmental Water Delivery: Lower Goulburn River. Prepared for Commonwealth Environmental Water, Department of Sustainability, Environment, Water, Population and Communities, Canberra.</w:t>
      </w:r>
    </w:p>
    <w:p w14:paraId="5F4609B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Pusey, B., Kennard, M., &amp; Arthington, A. (2004). Freshwater fishes of north-eastern Australia. CSIRO publishing.</w:t>
      </w:r>
    </w:p>
    <w:p w14:paraId="1CEEEFC5"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R Core Team (2016) R: A language and environment for statistical computing. R Foundation for Statistical Computing, Vienna, Austria. URL </w:t>
      </w:r>
      <w:hyperlink r:id="rId210" w:history="1">
        <w:r w:rsidRPr="00070D2D">
          <w:rPr>
            <w:rStyle w:val="Hyperlink"/>
            <w:rFonts w:asciiTheme="minorHAnsi" w:hAnsiTheme="minorHAnsi"/>
            <w:color w:val="000000" w:themeColor="text1"/>
            <w:sz w:val="22"/>
            <w:szCs w:val="22"/>
          </w:rPr>
          <w:t>https://www.R-project.org/</w:t>
        </w:r>
      </w:hyperlink>
      <w:r w:rsidRPr="00070D2D">
        <w:rPr>
          <w:rFonts w:asciiTheme="minorHAnsi" w:hAnsiTheme="minorHAnsi"/>
          <w:color w:val="000000" w:themeColor="text1"/>
          <w:sz w:val="22"/>
          <w:szCs w:val="22"/>
        </w:rPr>
        <w:t>.</w:t>
      </w:r>
    </w:p>
    <w:p w14:paraId="157126F2" w14:textId="77777777" w:rsidR="006971DE" w:rsidRPr="00070D2D" w:rsidRDefault="006971DE" w:rsidP="001D4ADD">
      <w:pPr>
        <w:spacing w:after="120" w:line="240" w:lineRule="auto"/>
        <w:jc w:val="left"/>
        <w:rPr>
          <w:noProof/>
          <w:color w:val="000000" w:themeColor="text1"/>
          <w:szCs w:val="22"/>
          <w:lang w:val="en-US"/>
        </w:rPr>
      </w:pPr>
      <w:r w:rsidRPr="00070D2D">
        <w:rPr>
          <w:color w:val="000000" w:themeColor="text1"/>
        </w:rPr>
        <w:t xml:space="preserve">Roberts J. and Marston F. (2011) </w:t>
      </w:r>
      <w:r w:rsidRPr="00070D2D">
        <w:rPr>
          <w:i/>
          <w:color w:val="000000" w:themeColor="text1"/>
        </w:rPr>
        <w:t>Water regime for wetland and floodplain plants: A source book for the Murray-</w:t>
      </w:r>
      <w:r w:rsidRPr="00070D2D">
        <w:rPr>
          <w:noProof/>
          <w:color w:val="000000" w:themeColor="text1"/>
          <w:szCs w:val="22"/>
          <w:lang w:val="en-US"/>
        </w:rPr>
        <w:t>Darling Basin. National Water Commission, Canberra.</w:t>
      </w:r>
    </w:p>
    <w:p w14:paraId="30EFC53E" w14:textId="77777777" w:rsidR="006971DE" w:rsidRPr="00070D2D" w:rsidRDefault="006971DE" w:rsidP="001D4ADD">
      <w:pPr>
        <w:spacing w:after="120" w:line="240" w:lineRule="auto"/>
        <w:jc w:val="left"/>
        <w:rPr>
          <w:noProof/>
          <w:color w:val="000000" w:themeColor="text1"/>
          <w:szCs w:val="22"/>
          <w:lang w:val="en-US"/>
        </w:rPr>
      </w:pPr>
      <w:r w:rsidRPr="00070D2D">
        <w:rPr>
          <w:noProof/>
          <w:color w:val="000000" w:themeColor="text1"/>
          <w:szCs w:val="22"/>
          <w:lang w:val="en-US"/>
        </w:rPr>
        <w:t xml:space="preserve">Roberts , B.J., Mulholland, P.J., &amp; Hill, W.R. (2007) Multiple scales of temporal variability in ecosystem matabolism rates: Results from 2 years of continuous monitoring in a forested headwater stream. </w:t>
      </w:r>
      <w:r w:rsidRPr="00070D2D">
        <w:rPr>
          <w:i/>
          <w:noProof/>
          <w:color w:val="000000" w:themeColor="text1"/>
          <w:szCs w:val="22"/>
          <w:lang w:val="en-US"/>
        </w:rPr>
        <w:t>Ecosystems</w:t>
      </w:r>
      <w:r w:rsidRPr="00070D2D">
        <w:rPr>
          <w:noProof/>
          <w:color w:val="000000" w:themeColor="text1"/>
          <w:szCs w:val="22"/>
          <w:lang w:val="en-US"/>
        </w:rPr>
        <w:t xml:space="preserve"> </w:t>
      </w:r>
      <w:r w:rsidRPr="00070D2D">
        <w:rPr>
          <w:b/>
          <w:noProof/>
          <w:color w:val="000000" w:themeColor="text1"/>
          <w:szCs w:val="22"/>
          <w:lang w:val="en-US"/>
        </w:rPr>
        <w:t>10</w:t>
      </w:r>
      <w:r w:rsidRPr="00070D2D">
        <w:rPr>
          <w:noProof/>
          <w:color w:val="000000" w:themeColor="text1"/>
          <w:szCs w:val="22"/>
          <w:lang w:val="en-US"/>
        </w:rPr>
        <w:t>, 588-606.</w:t>
      </w:r>
    </w:p>
    <w:p w14:paraId="48A1AF20" w14:textId="77777777" w:rsidR="008F24CA"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Robertson, A.I., Bunn, S.E., Boon, P.I., and Walker, K.F. (1999) Sources, sinks and transformations of organic carbon in Australian floodplain rivers. </w:t>
      </w:r>
      <w:r w:rsidRPr="004837A7">
        <w:rPr>
          <w:rFonts w:cs="Calibri"/>
          <w:i/>
          <w:color w:val="000000"/>
        </w:rPr>
        <w:t>Marine and Freshwater Research</w:t>
      </w:r>
      <w:r w:rsidRPr="004837A7">
        <w:rPr>
          <w:rFonts w:cs="Calibri"/>
          <w:color w:val="000000"/>
        </w:rPr>
        <w:t xml:space="preserve"> </w:t>
      </w:r>
      <w:r w:rsidRPr="004837A7">
        <w:rPr>
          <w:rFonts w:cs="Calibri"/>
          <w:b/>
          <w:color w:val="000000"/>
        </w:rPr>
        <w:t>50</w:t>
      </w:r>
      <w:r w:rsidRPr="004837A7">
        <w:rPr>
          <w:rFonts w:cs="Calibri"/>
          <w:color w:val="000000"/>
        </w:rPr>
        <w:t xml:space="preserve">, 813-829. </w:t>
      </w:r>
    </w:p>
    <w:p w14:paraId="796E9F41" w14:textId="77777777" w:rsidR="006971DE" w:rsidRPr="00070D2D" w:rsidRDefault="006971DE" w:rsidP="001D4ADD">
      <w:pPr>
        <w:pStyle w:val="EndNoteBibliography"/>
        <w:spacing w:after="120"/>
        <w:rPr>
          <w:color w:val="000000" w:themeColor="text1"/>
        </w:rPr>
      </w:pPr>
      <w:r w:rsidRPr="00070D2D">
        <w:rPr>
          <w:color w:val="000000" w:themeColor="text1"/>
        </w:rPr>
        <w:t xml:space="preserve">Robertson A., Burns A. and Hillman T. (2016) Scale dependent lateral exchanges of organic carbon in a dryland river during a high flow experiment. </w:t>
      </w:r>
      <w:r w:rsidRPr="00070D2D">
        <w:rPr>
          <w:i/>
          <w:color w:val="000000" w:themeColor="text1"/>
        </w:rPr>
        <w:t>Marine and Freshwater Research</w:t>
      </w:r>
      <w:r w:rsidRPr="00070D2D">
        <w:rPr>
          <w:color w:val="000000" w:themeColor="text1"/>
        </w:rPr>
        <w:t xml:space="preserve"> </w:t>
      </w:r>
      <w:r w:rsidRPr="00070D2D">
        <w:rPr>
          <w:b/>
          <w:color w:val="000000" w:themeColor="text1"/>
        </w:rPr>
        <w:t>67</w:t>
      </w:r>
      <w:r w:rsidRPr="00070D2D">
        <w:rPr>
          <w:color w:val="000000" w:themeColor="text1"/>
        </w:rPr>
        <w:t>, 1293-1301.</w:t>
      </w:r>
    </w:p>
    <w:p w14:paraId="23E0889C" w14:textId="3686C836" w:rsidR="006971DE" w:rsidRPr="00B82BBE"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Robinson W. (2012). Calculating statistics, metrics, sub-indicators and the SRA Fish theme </w:t>
      </w:r>
      <w:r w:rsidRPr="00B82BBE">
        <w:rPr>
          <w:rFonts w:asciiTheme="minorHAnsi" w:hAnsiTheme="minorHAnsi" w:cstheme="minorHAnsi"/>
          <w:szCs w:val="22"/>
        </w:rPr>
        <w:t>index. A Sustainable Rivers Audit Technical Report. Murray-Darl</w:t>
      </w:r>
      <w:r w:rsidR="00B82BBE" w:rsidRPr="00B82BBE">
        <w:rPr>
          <w:rFonts w:asciiTheme="minorHAnsi" w:hAnsiTheme="minorHAnsi" w:cstheme="minorHAnsi"/>
          <w:szCs w:val="22"/>
        </w:rPr>
        <w:t>ing Basin Authority, Canberra.</w:t>
      </w:r>
    </w:p>
    <w:p w14:paraId="041BB8A2" w14:textId="5F872849" w:rsidR="00B82BBE" w:rsidRPr="00B82BBE" w:rsidRDefault="00B82BBE" w:rsidP="001D4ADD">
      <w:pPr>
        <w:spacing w:after="120" w:line="240" w:lineRule="auto"/>
        <w:jc w:val="left"/>
        <w:rPr>
          <w:rFonts w:asciiTheme="minorHAnsi" w:hAnsiTheme="minorHAnsi" w:cstheme="minorHAnsi"/>
          <w:szCs w:val="22"/>
        </w:rPr>
      </w:pPr>
      <w:r>
        <w:rPr>
          <w:rStyle w:val="st"/>
        </w:rPr>
        <w:t>Royal Botanic Gardens and Domain Trus</w:t>
      </w:r>
      <w:r>
        <w:rPr>
          <w:rFonts w:asciiTheme="minorHAnsi" w:hAnsiTheme="minorHAnsi" w:cstheme="minorHAnsi"/>
          <w:noProof/>
          <w:szCs w:val="18"/>
          <w:lang w:eastAsia="en-AU"/>
        </w:rPr>
        <w:t xml:space="preserve">t </w:t>
      </w:r>
      <w:r w:rsidRPr="00B82BBE">
        <w:rPr>
          <w:rFonts w:asciiTheme="minorHAnsi" w:hAnsiTheme="minorHAnsi" w:cstheme="minorHAnsi"/>
          <w:noProof/>
          <w:szCs w:val="18"/>
          <w:lang w:eastAsia="en-AU"/>
        </w:rPr>
        <w:t xml:space="preserve">(2019) PlantNET The Plant Information Network System of The Royal Botanic Gardens and Domain Trust December 2019 </w:t>
      </w:r>
      <w:hyperlink r:id="rId211" w:history="1">
        <w:r w:rsidRPr="00B82BBE">
          <w:rPr>
            <w:rFonts w:asciiTheme="minorHAnsi" w:hAnsiTheme="minorHAnsi" w:cstheme="minorHAnsi"/>
            <w:noProof/>
            <w:color w:val="0000FF"/>
            <w:szCs w:val="18"/>
            <w:u w:val="single"/>
            <w:lang w:eastAsia="en-AU"/>
          </w:rPr>
          <w:t>http://plantnet.rbgsyd.nsw.gov.au</w:t>
        </w:r>
      </w:hyperlink>
    </w:p>
    <w:p w14:paraId="77E59638" w14:textId="77777777" w:rsidR="006971DE" w:rsidRPr="001D4ADD" w:rsidRDefault="006971DE" w:rsidP="001D4ADD">
      <w:pPr>
        <w:pStyle w:val="BodyText"/>
        <w:spacing w:after="120" w:line="240" w:lineRule="auto"/>
        <w:jc w:val="left"/>
        <w:rPr>
          <w:rFonts w:asciiTheme="minorHAnsi" w:hAnsiTheme="minorHAnsi" w:cstheme="minorHAnsi"/>
          <w:color w:val="000000" w:themeColor="text1"/>
          <w:sz w:val="22"/>
          <w:szCs w:val="22"/>
        </w:rPr>
      </w:pPr>
      <w:r w:rsidRPr="00070D2D">
        <w:rPr>
          <w:rFonts w:asciiTheme="minorHAnsi" w:hAnsiTheme="minorHAnsi" w:cs="AdvPSPH-R"/>
          <w:color w:val="000000" w:themeColor="text1"/>
          <w:sz w:val="22"/>
          <w:szCs w:val="22"/>
        </w:rPr>
        <w:t xml:space="preserve">Rowland S.J. (1998) Aspects of the reproductive biology of Murray cod, </w:t>
      </w:r>
      <w:r w:rsidRPr="00070D2D">
        <w:rPr>
          <w:rFonts w:asciiTheme="minorHAnsi" w:hAnsiTheme="minorHAnsi" w:cs="AdvPSPH-I"/>
          <w:i/>
          <w:color w:val="000000" w:themeColor="text1"/>
          <w:sz w:val="22"/>
          <w:szCs w:val="22"/>
        </w:rPr>
        <w:t>Maccullochella peelii</w:t>
      </w:r>
      <w:r w:rsidRPr="00070D2D">
        <w:rPr>
          <w:rFonts w:asciiTheme="minorHAnsi" w:hAnsiTheme="minorHAnsi" w:cs="AdvPSPH-R"/>
          <w:color w:val="000000" w:themeColor="text1"/>
          <w:sz w:val="22"/>
          <w:szCs w:val="22"/>
        </w:rPr>
        <w:t xml:space="preserve">. </w:t>
      </w:r>
      <w:r w:rsidRPr="00070D2D">
        <w:rPr>
          <w:rFonts w:asciiTheme="minorHAnsi" w:hAnsiTheme="minorHAnsi" w:cs="AdvPSPH-I"/>
          <w:i/>
          <w:color w:val="000000" w:themeColor="text1"/>
          <w:sz w:val="22"/>
          <w:szCs w:val="22"/>
        </w:rPr>
        <w:t xml:space="preserve">Proceedings of </w:t>
      </w:r>
      <w:r w:rsidRPr="001D4ADD">
        <w:rPr>
          <w:rFonts w:asciiTheme="minorHAnsi" w:hAnsiTheme="minorHAnsi" w:cstheme="minorHAnsi"/>
          <w:i/>
          <w:color w:val="000000" w:themeColor="text1"/>
          <w:sz w:val="22"/>
          <w:szCs w:val="22"/>
        </w:rPr>
        <w:t xml:space="preserve">the Linnaean Society of New South Wales </w:t>
      </w:r>
      <w:r w:rsidRPr="001D4ADD">
        <w:rPr>
          <w:rFonts w:asciiTheme="minorHAnsi" w:hAnsiTheme="minorHAnsi" w:cstheme="minorHAnsi"/>
          <w:b/>
          <w:color w:val="000000" w:themeColor="text1"/>
          <w:sz w:val="22"/>
          <w:szCs w:val="22"/>
        </w:rPr>
        <w:t>120</w:t>
      </w:r>
      <w:r w:rsidRPr="001D4ADD">
        <w:rPr>
          <w:rFonts w:asciiTheme="minorHAnsi" w:hAnsiTheme="minorHAnsi" w:cstheme="minorHAnsi"/>
          <w:color w:val="000000" w:themeColor="text1"/>
          <w:sz w:val="22"/>
          <w:szCs w:val="22"/>
        </w:rPr>
        <w:t>, 147-162.</w:t>
      </w:r>
    </w:p>
    <w:p w14:paraId="088FC96B" w14:textId="0F2ECE3D" w:rsidR="001D4ADD" w:rsidRPr="001D4ADD" w:rsidRDefault="001D4ADD" w:rsidP="001D4ADD">
      <w:pPr>
        <w:pStyle w:val="BodyText"/>
        <w:spacing w:after="120" w:line="240" w:lineRule="auto"/>
        <w:jc w:val="left"/>
        <w:rPr>
          <w:rFonts w:asciiTheme="minorHAnsi" w:hAnsiTheme="minorHAnsi" w:cstheme="minorHAnsi"/>
          <w:color w:val="000000" w:themeColor="text1"/>
          <w:sz w:val="22"/>
          <w:szCs w:val="22"/>
        </w:rPr>
      </w:pPr>
      <w:r w:rsidRPr="001D4ADD">
        <w:rPr>
          <w:rFonts w:asciiTheme="minorHAnsi" w:hAnsiTheme="minorHAnsi" w:cstheme="minorHAnsi"/>
          <w:noProof/>
          <w:sz w:val="22"/>
          <w:szCs w:val="22"/>
        </w:rPr>
        <w:t xml:space="preserve">Sainty, G.R. &amp; Jacobs, S.W.L. (2003) </w:t>
      </w:r>
      <w:r w:rsidRPr="001D4ADD">
        <w:rPr>
          <w:rFonts w:asciiTheme="minorHAnsi" w:hAnsiTheme="minorHAnsi" w:cstheme="minorHAnsi"/>
          <w:i/>
          <w:noProof/>
          <w:sz w:val="22"/>
          <w:szCs w:val="22"/>
        </w:rPr>
        <w:t xml:space="preserve">Waterplants in Australia, </w:t>
      </w:r>
      <w:r w:rsidRPr="001D4ADD">
        <w:rPr>
          <w:rFonts w:asciiTheme="minorHAnsi" w:hAnsiTheme="minorHAnsi" w:cstheme="minorHAnsi"/>
          <w:noProof/>
          <w:sz w:val="22"/>
          <w:szCs w:val="22"/>
        </w:rPr>
        <w:t>Sainty and Associates Pty Ltd, Potts Point, NSW.</w:t>
      </w:r>
    </w:p>
    <w:p w14:paraId="3DC0E279"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s="AdvPSPH-R"/>
          <w:color w:val="000000" w:themeColor="text1"/>
          <w:sz w:val="22"/>
          <w:szCs w:val="22"/>
        </w:rPr>
        <w:t>Serafini, L.G and Humphries, P. (2004) Preliminary guide to the identification of larvae of fish, with a bibliography of their studies, from the Murray-Darling Basin.  Technical Series, Report no. 48. Cooperative Research Centre Fresh Water Ecology, Albury.</w:t>
      </w:r>
    </w:p>
    <w:p w14:paraId="09C6F08E" w14:textId="77777777" w:rsidR="002032F6" w:rsidRPr="00BD336F" w:rsidRDefault="002032F6" w:rsidP="002032F6">
      <w:pPr>
        <w:pStyle w:val="EndNoteBibliography"/>
        <w:spacing w:after="120" w:line="259" w:lineRule="auto"/>
      </w:pPr>
      <w:r w:rsidRPr="00BD336F">
        <w:t xml:space="preserve">Shogren A.J., Tank J.L., Andruszkiewicz E., Olds B., Mahon A.R., Jerde C.L., ... (2017) Controls on eDNA movement in streams: Transport, Retention, and Resuspension. </w:t>
      </w:r>
      <w:r w:rsidRPr="00BD336F">
        <w:rPr>
          <w:i/>
        </w:rPr>
        <w:t>Scientific Reports</w:t>
      </w:r>
      <w:r w:rsidRPr="00BD336F">
        <w:t xml:space="preserve"> 7(1), 5065.</w:t>
      </w:r>
    </w:p>
    <w:p w14:paraId="12AA15BD" w14:textId="77777777" w:rsidR="00D532A8" w:rsidRPr="00DD5CBD" w:rsidRDefault="00D532A8" w:rsidP="00D532A8">
      <w:pPr>
        <w:spacing w:after="120" w:line="259" w:lineRule="auto"/>
        <w:rPr>
          <w:rFonts w:cstheme="minorHAnsi"/>
          <w:color w:val="000000" w:themeColor="text1"/>
        </w:rPr>
      </w:pPr>
      <w:r w:rsidRPr="00DD5CBD">
        <w:rPr>
          <w:rFonts w:cstheme="minorHAnsi"/>
          <w:color w:val="000000" w:themeColor="text1"/>
        </w:rPr>
        <w:t>Stuart, I.G and Sharpe, C.P (2020). River spawning, long distance larval drift, and floodplain recruitment of a pelagophilic fish: A case study of golden perch (</w:t>
      </w:r>
      <w:r w:rsidRPr="0076317D">
        <w:rPr>
          <w:rFonts w:cstheme="minorHAnsi"/>
          <w:i/>
          <w:color w:val="000000" w:themeColor="text1"/>
        </w:rPr>
        <w:t>Macquaria ambigua</w:t>
      </w:r>
      <w:r w:rsidRPr="00DD5CBD">
        <w:rPr>
          <w:rFonts w:cstheme="minorHAnsi"/>
          <w:color w:val="000000" w:themeColor="text1"/>
        </w:rPr>
        <w:t xml:space="preserve">) in the arid Daring River, Australia. </w:t>
      </w:r>
      <w:r w:rsidRPr="003123EA">
        <w:rPr>
          <w:rFonts w:cstheme="minorHAnsi"/>
          <w:color w:val="000000" w:themeColor="text1"/>
        </w:rPr>
        <w:t>Aquatic Conservation: Marine and Freshwater Ecosystems</w:t>
      </w:r>
      <w:r w:rsidRPr="00DD5CBD">
        <w:rPr>
          <w:rFonts w:cstheme="minorHAnsi"/>
          <w:color w:val="000000" w:themeColor="text1"/>
        </w:rPr>
        <w:t>. 30, 675-690.</w:t>
      </w:r>
    </w:p>
    <w:p w14:paraId="0689F5DC" w14:textId="77777777" w:rsidR="000640D2" w:rsidRDefault="000640D2" w:rsidP="000640D2">
      <w:pPr>
        <w:pStyle w:val="NormalWeb"/>
        <w:shd w:val="clear" w:color="auto" w:fill="FFFFFF"/>
        <w:spacing w:before="0" w:beforeAutospacing="0" w:after="120" w:afterAutospacing="0" w:line="259" w:lineRule="auto"/>
        <w:ind w:right="-285"/>
        <w:rPr>
          <w:rFonts w:asciiTheme="minorHAnsi" w:hAnsiTheme="minorHAnsi" w:cstheme="minorHAnsi"/>
          <w:color w:val="000000" w:themeColor="text1"/>
          <w:sz w:val="22"/>
          <w:szCs w:val="22"/>
        </w:rPr>
      </w:pPr>
      <w:r>
        <w:rPr>
          <w:rFonts w:asciiTheme="minorHAnsi" w:eastAsiaTheme="minorHAnsi" w:hAnsiTheme="minorHAnsi" w:cstheme="minorBidi"/>
          <w:sz w:val="22"/>
          <w:szCs w:val="22"/>
          <w:lang w:eastAsia="en-US"/>
        </w:rPr>
        <w:t>S</w:t>
      </w:r>
      <w:r>
        <w:rPr>
          <w:rFonts w:asciiTheme="minorHAnsi" w:hAnsiTheme="minorHAnsi" w:cstheme="minorHAnsi"/>
          <w:color w:val="000000" w:themeColor="text1"/>
          <w:sz w:val="22"/>
          <w:szCs w:val="22"/>
        </w:rPr>
        <w:t>tuart I, Sharpe C, Stanislawski K, Parker A, and Mallen-Cooper M.</w:t>
      </w:r>
      <w:r w:rsidRPr="004B1971">
        <w:rPr>
          <w:rFonts w:asciiTheme="minorHAnsi" w:hAnsiTheme="minorHAnsi" w:cstheme="minorHAnsi"/>
          <w:color w:val="000000" w:themeColor="text1"/>
          <w:sz w:val="22"/>
          <w:szCs w:val="22"/>
        </w:rPr>
        <w:t xml:space="preserve"> (2019)</w:t>
      </w:r>
      <w:r>
        <w:rPr>
          <w:rFonts w:asciiTheme="minorHAnsi" w:hAnsiTheme="minorHAnsi" w:cstheme="minorHAnsi"/>
          <w:color w:val="000000" w:themeColor="text1"/>
          <w:sz w:val="22"/>
          <w:szCs w:val="22"/>
        </w:rPr>
        <w:t>.</w:t>
      </w:r>
      <w:r w:rsidRPr="004B1971">
        <w:rPr>
          <w:rFonts w:asciiTheme="minorHAnsi" w:hAnsiTheme="minorHAnsi" w:cstheme="minorHAnsi"/>
          <w:color w:val="000000" w:themeColor="text1"/>
          <w:sz w:val="22"/>
          <w:szCs w:val="22"/>
        </w:rPr>
        <w:t xml:space="preserve"> From an irrigation system to an ecological asset: adding environmental flows establishes recovery of a threatened fish species. </w:t>
      </w:r>
      <w:r w:rsidRPr="004B1971">
        <w:rPr>
          <w:rFonts w:asciiTheme="minorHAnsi" w:hAnsiTheme="minorHAnsi" w:cstheme="minorHAnsi"/>
          <w:i/>
          <w:iCs/>
          <w:color w:val="000000" w:themeColor="text1"/>
          <w:sz w:val="22"/>
          <w:szCs w:val="22"/>
        </w:rPr>
        <w:t>Marine and Freshwater Research</w:t>
      </w:r>
      <w:r>
        <w:rPr>
          <w:rFonts w:asciiTheme="minorHAnsi" w:hAnsiTheme="minorHAnsi" w:cstheme="minorHAnsi"/>
          <w:i/>
          <w:iCs/>
          <w:color w:val="000000" w:themeColor="text1"/>
          <w:sz w:val="22"/>
          <w:szCs w:val="22"/>
        </w:rPr>
        <w:t>,</w:t>
      </w:r>
      <w:r>
        <w:rPr>
          <w:rFonts w:asciiTheme="minorHAnsi" w:hAnsiTheme="minorHAnsi" w:cstheme="minorHAnsi"/>
          <w:color w:val="000000" w:themeColor="text1"/>
          <w:sz w:val="22"/>
          <w:szCs w:val="22"/>
        </w:rPr>
        <w:t xml:space="preserve"> </w:t>
      </w:r>
      <w:r w:rsidRPr="004B1971">
        <w:rPr>
          <w:rStyle w:val="Strong"/>
          <w:rFonts w:asciiTheme="minorHAnsi" w:hAnsiTheme="minorHAnsi" w:cstheme="minorHAnsi"/>
          <w:color w:val="000000" w:themeColor="text1"/>
          <w:sz w:val="22"/>
          <w:szCs w:val="22"/>
        </w:rPr>
        <w:t>70</w:t>
      </w:r>
      <w:r w:rsidRPr="004B1971">
        <w:rPr>
          <w:rFonts w:asciiTheme="minorHAnsi" w:hAnsiTheme="minorHAnsi" w:cstheme="minorHAnsi"/>
          <w:b/>
          <w:color w:val="000000" w:themeColor="text1"/>
          <w:sz w:val="22"/>
          <w:szCs w:val="22"/>
        </w:rPr>
        <w:t xml:space="preserve">, </w:t>
      </w:r>
      <w:r>
        <w:rPr>
          <w:rFonts w:asciiTheme="minorHAnsi" w:hAnsiTheme="minorHAnsi" w:cstheme="minorHAnsi"/>
          <w:color w:val="000000" w:themeColor="text1"/>
          <w:sz w:val="22"/>
          <w:szCs w:val="22"/>
        </w:rPr>
        <w:t>1295-1306.</w:t>
      </w:r>
    </w:p>
    <w:p w14:paraId="2BBD06D0" w14:textId="77777777" w:rsidR="006971DE" w:rsidRPr="00070D2D" w:rsidRDefault="006971DE" w:rsidP="001D4ADD">
      <w:pPr>
        <w:pStyle w:val="References"/>
        <w:spacing w:after="120" w:line="240" w:lineRule="auto"/>
        <w:ind w:left="0" w:firstLine="0"/>
        <w:jc w:val="left"/>
        <w:rPr>
          <w:rStyle w:val="Strong"/>
          <w:rFonts w:asciiTheme="minorHAnsi" w:hAnsiTheme="minorHAnsi" w:cstheme="minorHAnsi"/>
          <w:b w:val="0"/>
          <w:bCs w:val="0"/>
        </w:rPr>
      </w:pPr>
      <w:r w:rsidRPr="00070D2D">
        <w:rPr>
          <w:rStyle w:val="Strong"/>
          <w:rFonts w:asciiTheme="minorHAnsi" w:hAnsiTheme="minorHAnsi" w:cstheme="minorHAnsi"/>
          <w:b w:val="0"/>
        </w:rPr>
        <w:t xml:space="preserve">Song C, Dodds WK, Trentman MT, Rüegg J, Ballantyne F (2016) Methods of approximation influence aquatic ecosystem metabolism estimates. </w:t>
      </w:r>
      <w:r w:rsidRPr="00070D2D">
        <w:rPr>
          <w:rStyle w:val="Strong"/>
          <w:rFonts w:asciiTheme="minorHAnsi" w:hAnsiTheme="minorHAnsi" w:cstheme="minorHAnsi"/>
          <w:b w:val="0"/>
          <w:i/>
        </w:rPr>
        <w:t>Limnology and Oceanography: Methods</w:t>
      </w:r>
      <w:r w:rsidRPr="00070D2D">
        <w:rPr>
          <w:rStyle w:val="Strong"/>
          <w:rFonts w:asciiTheme="minorHAnsi" w:hAnsiTheme="minorHAnsi" w:cstheme="minorHAnsi"/>
          <w:b w:val="0"/>
        </w:rPr>
        <w:t xml:space="preserve"> </w:t>
      </w:r>
      <w:r w:rsidRPr="00070D2D">
        <w:rPr>
          <w:rStyle w:val="Strong"/>
          <w:rFonts w:asciiTheme="minorHAnsi" w:hAnsiTheme="minorHAnsi" w:cstheme="minorHAnsi"/>
        </w:rPr>
        <w:t>14(9</w:t>
      </w:r>
      <w:r w:rsidRPr="00070D2D">
        <w:rPr>
          <w:rStyle w:val="Strong"/>
          <w:rFonts w:asciiTheme="minorHAnsi" w:hAnsiTheme="minorHAnsi" w:cstheme="minorHAnsi"/>
          <w:b w:val="0"/>
        </w:rPr>
        <w:t>), 557–569.</w:t>
      </w:r>
    </w:p>
    <w:p w14:paraId="1EBE0E78" w14:textId="77777777" w:rsidR="002032F6" w:rsidRPr="00BD336F" w:rsidRDefault="002032F6" w:rsidP="002032F6">
      <w:pPr>
        <w:pStyle w:val="EndNoteBibliography"/>
        <w:spacing w:after="120" w:line="259" w:lineRule="auto"/>
      </w:pPr>
      <w:r w:rsidRPr="00BD336F">
        <w:t xml:space="preserve">Song J.W., Schultz M.T., Casman E.A., Bockrath K.D., Mize E., Monroe E.M., ... (2020) A probabilistic model for designing and assessing the performance of eDNA sampling protocols. </w:t>
      </w:r>
      <w:r w:rsidRPr="00BD336F">
        <w:rPr>
          <w:i/>
        </w:rPr>
        <w:t>Molecular Ecology Resources</w:t>
      </w:r>
      <w:r w:rsidRPr="00BD336F">
        <w:t xml:space="preserve"> 20(2), 404-414.</w:t>
      </w:r>
    </w:p>
    <w:p w14:paraId="7A669A2A" w14:textId="77777777" w:rsidR="002032F6" w:rsidRPr="00BD336F" w:rsidRDefault="002032F6" w:rsidP="002032F6">
      <w:pPr>
        <w:pStyle w:val="EndNoteBibliography"/>
        <w:spacing w:after="120" w:line="259" w:lineRule="auto"/>
      </w:pPr>
      <w:r w:rsidRPr="00BD336F">
        <w:t xml:space="preserve">Strickland G.J., Roberts J.H. (2019) Utility of eDNA and occupancy models for monitoring an endangered fish across diverse riverine habitats. </w:t>
      </w:r>
      <w:r w:rsidRPr="00BD336F">
        <w:rPr>
          <w:i/>
        </w:rPr>
        <w:t>Hydrobiologia</w:t>
      </w:r>
      <w:r w:rsidRPr="00BD336F">
        <w:t xml:space="preserve"> 826(1), 129-144.</w:t>
      </w:r>
    </w:p>
    <w:p w14:paraId="4D35276E" w14:textId="77777777" w:rsidR="002032F6" w:rsidRPr="00BD336F" w:rsidRDefault="002032F6" w:rsidP="002032F6">
      <w:pPr>
        <w:pStyle w:val="EndNoteBibliography"/>
        <w:spacing w:after="120" w:line="259" w:lineRule="auto"/>
      </w:pPr>
      <w:r w:rsidRPr="00BD336F">
        <w:t xml:space="preserve">Strickler K.M., Fremier A.K., Goldberg C.S. (2015) Quantifying effects of UV-B, temperature, and pH on eDNA degradation in aquatic microcosms. </w:t>
      </w:r>
      <w:r w:rsidRPr="00BD336F">
        <w:rPr>
          <w:i/>
        </w:rPr>
        <w:t>Biological Conservation</w:t>
      </w:r>
      <w:r w:rsidRPr="00BD336F">
        <w:t xml:space="preserve"> 18385-92.</w:t>
      </w:r>
    </w:p>
    <w:p w14:paraId="0B368FA4" w14:textId="77777777" w:rsidR="002032F6" w:rsidRPr="00BD336F" w:rsidRDefault="002032F6" w:rsidP="002032F6">
      <w:pPr>
        <w:pStyle w:val="EndNoteBibliography"/>
        <w:spacing w:after="120" w:line="259" w:lineRule="auto"/>
      </w:pPr>
      <w:r w:rsidRPr="00BD336F">
        <w:t xml:space="preserve">Taberlet P., Coissac E., Hajibabaei M., Rieseberg L.H. (2012) Environmental DNA. </w:t>
      </w:r>
      <w:r w:rsidRPr="00BD336F">
        <w:rPr>
          <w:i/>
        </w:rPr>
        <w:t>Molecular Ecology</w:t>
      </w:r>
      <w:r w:rsidRPr="00BD336F">
        <w:t xml:space="preserve"> 21(8), 1789-1793.</w:t>
      </w:r>
    </w:p>
    <w:p w14:paraId="4731308A" w14:textId="77777777" w:rsidR="002032F6" w:rsidRPr="00BD336F" w:rsidRDefault="002032F6" w:rsidP="002032F6">
      <w:pPr>
        <w:pStyle w:val="EndNoteBibliography"/>
        <w:spacing w:after="120" w:line="259" w:lineRule="auto"/>
      </w:pPr>
      <w:r w:rsidRPr="00BD336F">
        <w:t xml:space="preserve">Thalinger B., Deiner K., Harper L.R., Rees H.C., Blackman R.C., Sint D., ... (2020 in review) A validation scale to determine the readiness of environmental DNA assays for routine species monitoring. </w:t>
      </w:r>
      <w:r w:rsidRPr="00BD336F">
        <w:rPr>
          <w:i/>
        </w:rPr>
        <w:t>bioRxiv</w:t>
      </w:r>
      <w:r w:rsidRPr="00BD336F">
        <w:t>2020.2004.2027.063990.</w:t>
      </w:r>
    </w:p>
    <w:p w14:paraId="0DBB1EA6"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Thiem J.D., Hatin, D., Dumont P., Van Der Kraak G. and Cooke S.J. (2013) Biology of lake sturgeon (</w:t>
      </w:r>
      <w:r w:rsidRPr="00070D2D">
        <w:rPr>
          <w:rFonts w:asciiTheme="minorHAnsi" w:hAnsiTheme="minorHAnsi"/>
          <w:i/>
          <w:color w:val="000000" w:themeColor="text1"/>
          <w:sz w:val="22"/>
          <w:szCs w:val="22"/>
        </w:rPr>
        <w:t>Acipenser fulvescens</w:t>
      </w:r>
      <w:r w:rsidRPr="00070D2D">
        <w:rPr>
          <w:rFonts w:asciiTheme="minorHAnsi" w:hAnsiTheme="minorHAnsi"/>
          <w:color w:val="000000" w:themeColor="text1"/>
          <w:sz w:val="22"/>
          <w:szCs w:val="22"/>
        </w:rPr>
        <w:t xml:space="preserve">) spawning below a dam on the Richelieu River, Quebec; behavior, egg deposition, and endocrinology. </w:t>
      </w:r>
      <w:r w:rsidRPr="00070D2D">
        <w:rPr>
          <w:rFonts w:asciiTheme="minorHAnsi" w:hAnsiTheme="minorHAnsi"/>
          <w:i/>
          <w:color w:val="000000" w:themeColor="text1"/>
          <w:sz w:val="22"/>
          <w:szCs w:val="22"/>
        </w:rPr>
        <w:t xml:space="preserve">Canadian Journal of Zoology </w:t>
      </w:r>
      <w:r w:rsidRPr="00070D2D">
        <w:rPr>
          <w:rFonts w:asciiTheme="minorHAnsi" w:hAnsiTheme="minorHAnsi"/>
          <w:b/>
          <w:color w:val="000000" w:themeColor="text1"/>
          <w:sz w:val="22"/>
          <w:szCs w:val="22"/>
        </w:rPr>
        <w:t>91</w:t>
      </w:r>
      <w:r w:rsidRPr="00070D2D">
        <w:rPr>
          <w:rFonts w:asciiTheme="minorHAnsi" w:hAnsiTheme="minorHAnsi"/>
          <w:color w:val="000000" w:themeColor="text1"/>
          <w:sz w:val="22"/>
          <w:szCs w:val="22"/>
        </w:rPr>
        <w:t>, 175-186.</w:t>
      </w:r>
    </w:p>
    <w:p w14:paraId="5E938BE9" w14:textId="77777777" w:rsidR="006971DE" w:rsidRPr="00070D2D" w:rsidRDefault="006971DE" w:rsidP="001D4ADD">
      <w:pPr>
        <w:spacing w:after="120" w:line="240" w:lineRule="auto"/>
        <w:jc w:val="left"/>
        <w:rPr>
          <w:rFonts w:asciiTheme="minorHAnsi" w:hAnsiTheme="minorHAnsi"/>
          <w:color w:val="000000" w:themeColor="text1"/>
          <w:szCs w:val="22"/>
        </w:rPr>
      </w:pPr>
      <w:r w:rsidRPr="00070D2D">
        <w:rPr>
          <w:rFonts w:asciiTheme="minorHAnsi" w:hAnsiTheme="minorHAnsi"/>
          <w:color w:val="000000" w:themeColor="text1"/>
          <w:szCs w:val="22"/>
        </w:rPr>
        <w:t xml:space="preserve">Thiem J.D., Wooden I.J., Baumgartner L.J., Butler G.L., Forbes J.P. and Conallin J. (2017) Recovery from a fish kill in a semi-arid Australian river: Can stocking augment natural recruitment processes? </w:t>
      </w:r>
      <w:r w:rsidRPr="00070D2D">
        <w:rPr>
          <w:rFonts w:asciiTheme="minorHAnsi" w:hAnsiTheme="minorHAnsi"/>
          <w:i/>
          <w:color w:val="000000" w:themeColor="text1"/>
          <w:szCs w:val="22"/>
        </w:rPr>
        <w:t>Austral Ecology</w:t>
      </w:r>
      <w:r w:rsidRPr="00070D2D">
        <w:rPr>
          <w:rFonts w:asciiTheme="minorHAnsi" w:hAnsiTheme="minorHAnsi"/>
          <w:color w:val="000000" w:themeColor="text1"/>
          <w:szCs w:val="22"/>
        </w:rPr>
        <w:t xml:space="preserve"> </w:t>
      </w:r>
      <w:r w:rsidRPr="00070D2D">
        <w:rPr>
          <w:rFonts w:asciiTheme="minorHAnsi" w:hAnsiTheme="minorHAnsi"/>
          <w:b/>
          <w:color w:val="000000" w:themeColor="text1"/>
          <w:szCs w:val="22"/>
        </w:rPr>
        <w:t>42</w:t>
      </w:r>
      <w:r w:rsidRPr="00070D2D">
        <w:rPr>
          <w:rFonts w:asciiTheme="minorHAnsi" w:hAnsiTheme="minorHAnsi"/>
          <w:color w:val="000000" w:themeColor="text1"/>
          <w:szCs w:val="22"/>
        </w:rPr>
        <w:t>, 218-226.</w:t>
      </w:r>
    </w:p>
    <w:p w14:paraId="090E1951" w14:textId="77777777" w:rsidR="000640D2" w:rsidRDefault="000640D2" w:rsidP="000640D2">
      <w:pPr>
        <w:spacing w:after="120" w:line="259" w:lineRule="auto"/>
        <w:ind w:right="-284"/>
        <w:rPr>
          <w:rFonts w:cstheme="minorHAnsi"/>
        </w:rPr>
      </w:pPr>
      <w:r>
        <w:rPr>
          <w:rFonts w:cstheme="minorHAnsi"/>
        </w:rPr>
        <w:t>Thiem J, Wooden I</w:t>
      </w:r>
      <w:r w:rsidRPr="00D23A42">
        <w:rPr>
          <w:rFonts w:cstheme="minorHAnsi"/>
        </w:rPr>
        <w:t>, Baumga</w:t>
      </w:r>
      <w:r>
        <w:rPr>
          <w:rFonts w:cstheme="minorHAnsi"/>
        </w:rPr>
        <w:t>rtner L, Butler G, Taylor M, and Watts R</w:t>
      </w:r>
      <w:r w:rsidRPr="00D23A42">
        <w:rPr>
          <w:rFonts w:cstheme="minorHAnsi"/>
        </w:rPr>
        <w:t xml:space="preserve"> </w:t>
      </w:r>
      <w:r>
        <w:rPr>
          <w:rFonts w:cstheme="minorHAnsi"/>
        </w:rPr>
        <w:t>(2020)</w:t>
      </w:r>
      <w:r w:rsidRPr="00D23A42">
        <w:rPr>
          <w:rFonts w:cstheme="minorHAnsi"/>
        </w:rPr>
        <w:t xml:space="preserve">. Hypoxic conditions interrupt flood-response movements of three lowland river fish species: implications for flow restoration in modified landscapes. </w:t>
      </w:r>
      <w:r w:rsidRPr="004B1971">
        <w:rPr>
          <w:rFonts w:cstheme="minorHAnsi"/>
          <w:i/>
        </w:rPr>
        <w:t>Ecohydrology</w:t>
      </w:r>
      <w:r>
        <w:rPr>
          <w:rFonts w:cstheme="minorHAnsi"/>
          <w:i/>
        </w:rPr>
        <w:t>,</w:t>
      </w:r>
      <w:r>
        <w:rPr>
          <w:rFonts w:cstheme="minorHAnsi"/>
        </w:rPr>
        <w:t xml:space="preserve"> 13:</w:t>
      </w:r>
      <w:r w:rsidRPr="001A01E1">
        <w:rPr>
          <w:rFonts w:cstheme="minorHAnsi"/>
        </w:rPr>
        <w:t>e2197</w:t>
      </w:r>
      <w:r>
        <w:rPr>
          <w:rFonts w:cstheme="minorHAnsi"/>
        </w:rPr>
        <w:t>.</w:t>
      </w:r>
    </w:p>
    <w:p w14:paraId="5D6B6008" w14:textId="77777777" w:rsidR="006971DE" w:rsidRDefault="006971DE" w:rsidP="001D4ADD">
      <w:pPr>
        <w:spacing w:after="120" w:line="240" w:lineRule="auto"/>
        <w:jc w:val="left"/>
        <w:rPr>
          <w:color w:val="000000" w:themeColor="text1"/>
        </w:rPr>
      </w:pPr>
      <w:r w:rsidRPr="00070D2D">
        <w:rPr>
          <w:color w:val="000000" w:themeColor="text1"/>
        </w:rPr>
        <w:t xml:space="preserve">Toner M. and Keddy P. (1997) River hydrology and riparian wetlands - a predictive model for ecological assembly. </w:t>
      </w:r>
      <w:r w:rsidRPr="00070D2D">
        <w:rPr>
          <w:i/>
          <w:iCs/>
          <w:color w:val="000000" w:themeColor="text1"/>
        </w:rPr>
        <w:t xml:space="preserve">Ecological Applications </w:t>
      </w:r>
      <w:r w:rsidRPr="00070D2D">
        <w:rPr>
          <w:b/>
          <w:bCs/>
          <w:color w:val="000000" w:themeColor="text1"/>
        </w:rPr>
        <w:t>7</w:t>
      </w:r>
      <w:r w:rsidRPr="00070D2D">
        <w:rPr>
          <w:color w:val="000000" w:themeColor="text1"/>
        </w:rPr>
        <w:t>, 236-246.</w:t>
      </w:r>
    </w:p>
    <w:p w14:paraId="4BE17DE2" w14:textId="24A72F41" w:rsidR="00B82BBE" w:rsidRPr="00070D2D" w:rsidRDefault="00B82BBE" w:rsidP="001D4ADD">
      <w:pPr>
        <w:spacing w:after="120" w:line="240" w:lineRule="auto"/>
        <w:jc w:val="left"/>
        <w:rPr>
          <w:color w:val="000000" w:themeColor="text1"/>
        </w:rPr>
      </w:pPr>
      <w:r w:rsidRPr="00BA592B">
        <w:rPr>
          <w:color w:val="000000" w:themeColor="text1"/>
        </w:rPr>
        <w:t xml:space="preserve">Tonkin, Z., A. Kitchingman, J. Lyon, J. Kearns, G. Hackett, J. O’Mahony, P. D. Moloney, K. Krusic-Golub, and T. Bird. 2017. Flow magnitude and variability influence growth of two freshwater fish species in a large regulated floodplain river. </w:t>
      </w:r>
      <w:r w:rsidRPr="00B82BBE">
        <w:rPr>
          <w:i/>
          <w:color w:val="000000" w:themeColor="text1"/>
        </w:rPr>
        <w:t>Hydrobiologia</w:t>
      </w:r>
      <w:r w:rsidRPr="00BA592B">
        <w:rPr>
          <w:color w:val="000000" w:themeColor="text1"/>
        </w:rPr>
        <w:t xml:space="preserve"> 797:289-301</w:t>
      </w:r>
    </w:p>
    <w:p w14:paraId="7B4FEC71" w14:textId="77777777" w:rsidR="006971DE" w:rsidRPr="00070D2D" w:rsidRDefault="006971DE" w:rsidP="001D4ADD">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Tonkin Z., Stuart I., Kitchingman, A., Thiem, J.D, Zampatti, B., Hackett, G., Koster, W., Koehn, J., Morrongiello, J., Mallen-Cooper, M. &amp; Lyon, J. (2019) Hydrology and water temperature influence recruitment dynamics of the threatened silver perch </w:t>
      </w:r>
      <w:r w:rsidRPr="00070D2D">
        <w:rPr>
          <w:rFonts w:asciiTheme="minorHAnsi" w:hAnsiTheme="minorHAnsi"/>
          <w:i/>
          <w:color w:val="000000" w:themeColor="text1"/>
          <w:sz w:val="22"/>
          <w:szCs w:val="22"/>
        </w:rPr>
        <w:t>Bidyanus bidynaus</w:t>
      </w:r>
      <w:r w:rsidRPr="00070D2D">
        <w:rPr>
          <w:rFonts w:asciiTheme="minorHAnsi" w:hAnsiTheme="minorHAnsi"/>
          <w:color w:val="000000" w:themeColor="text1"/>
          <w:sz w:val="22"/>
          <w:szCs w:val="22"/>
        </w:rPr>
        <w:t xml:space="preserve"> in a regulated lowland river. </w:t>
      </w:r>
      <w:r w:rsidRPr="00070D2D">
        <w:rPr>
          <w:rFonts w:asciiTheme="minorHAnsi" w:hAnsiTheme="minorHAnsi"/>
          <w:i/>
          <w:color w:val="000000" w:themeColor="text1"/>
          <w:sz w:val="22"/>
          <w:szCs w:val="22"/>
        </w:rPr>
        <w:t>Marine and Freshwater Research</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70(9</w:t>
      </w:r>
      <w:r w:rsidRPr="00070D2D">
        <w:rPr>
          <w:rFonts w:asciiTheme="minorHAnsi" w:hAnsiTheme="minorHAnsi"/>
          <w:color w:val="000000" w:themeColor="text1"/>
          <w:sz w:val="22"/>
          <w:szCs w:val="22"/>
        </w:rPr>
        <w:t>), 1333-1344.</w:t>
      </w:r>
    </w:p>
    <w:p w14:paraId="203A6F88" w14:textId="77777777" w:rsidR="000640D2" w:rsidRDefault="000640D2" w:rsidP="000640D2">
      <w:pPr>
        <w:pStyle w:val="NormalWeb"/>
        <w:shd w:val="clear" w:color="auto" w:fill="FFFFFF"/>
        <w:spacing w:before="0" w:beforeAutospacing="0" w:after="120" w:afterAutospacing="0" w:line="259" w:lineRule="auto"/>
        <w:ind w:right="-285"/>
        <w:rPr>
          <w:rFonts w:asciiTheme="minorHAnsi" w:hAnsiTheme="minorHAnsi" w:cstheme="minorHAnsi"/>
          <w:sz w:val="22"/>
          <w:szCs w:val="22"/>
        </w:rPr>
      </w:pPr>
      <w:r w:rsidRPr="004B1971">
        <w:rPr>
          <w:rFonts w:asciiTheme="minorHAnsi" w:hAnsiTheme="minorHAnsi" w:cstheme="minorHAnsi"/>
          <w:sz w:val="22"/>
          <w:szCs w:val="22"/>
        </w:rPr>
        <w:t>Tonkin</w:t>
      </w:r>
      <w:r>
        <w:rPr>
          <w:rFonts w:asciiTheme="minorHAnsi" w:hAnsiTheme="minorHAnsi" w:cstheme="minorHAnsi"/>
          <w:sz w:val="22"/>
          <w:szCs w:val="22"/>
        </w:rPr>
        <w:t xml:space="preserve"> Z</w:t>
      </w:r>
      <w:r w:rsidRPr="004B1971">
        <w:rPr>
          <w:rFonts w:asciiTheme="minorHAnsi" w:hAnsiTheme="minorHAnsi" w:cstheme="minorHAnsi"/>
          <w:sz w:val="22"/>
          <w:szCs w:val="22"/>
        </w:rPr>
        <w:t>,</w:t>
      </w:r>
      <w:r>
        <w:rPr>
          <w:rFonts w:asciiTheme="minorHAnsi" w:hAnsiTheme="minorHAnsi" w:cstheme="minorHAnsi"/>
          <w:sz w:val="22"/>
          <w:szCs w:val="22"/>
        </w:rPr>
        <w:t xml:space="preserve"> </w:t>
      </w:r>
      <w:r w:rsidRPr="004B1971">
        <w:rPr>
          <w:rFonts w:asciiTheme="minorHAnsi" w:hAnsiTheme="minorHAnsi" w:cstheme="minorHAnsi"/>
          <w:sz w:val="22"/>
          <w:szCs w:val="22"/>
        </w:rPr>
        <w:t>Yen</w:t>
      </w:r>
      <w:r>
        <w:rPr>
          <w:rFonts w:asciiTheme="minorHAnsi" w:hAnsiTheme="minorHAnsi" w:cstheme="minorHAnsi"/>
          <w:sz w:val="22"/>
          <w:szCs w:val="22"/>
        </w:rPr>
        <w:t xml:space="preserve"> J, </w:t>
      </w:r>
      <w:r w:rsidRPr="004B1971">
        <w:rPr>
          <w:rFonts w:asciiTheme="minorHAnsi" w:hAnsiTheme="minorHAnsi" w:cstheme="minorHAnsi"/>
          <w:sz w:val="22"/>
          <w:szCs w:val="22"/>
        </w:rPr>
        <w:t>Lyon</w:t>
      </w:r>
      <w:r>
        <w:rPr>
          <w:rFonts w:asciiTheme="minorHAnsi" w:hAnsiTheme="minorHAnsi" w:cstheme="minorHAnsi"/>
          <w:sz w:val="22"/>
          <w:szCs w:val="22"/>
        </w:rPr>
        <w:t xml:space="preserve"> J, </w:t>
      </w:r>
      <w:r w:rsidRPr="004B1971">
        <w:rPr>
          <w:rFonts w:asciiTheme="minorHAnsi" w:hAnsiTheme="minorHAnsi" w:cstheme="minorHAnsi"/>
          <w:sz w:val="22"/>
          <w:szCs w:val="22"/>
        </w:rPr>
        <w:t>Kitchingman</w:t>
      </w:r>
      <w:r>
        <w:rPr>
          <w:rFonts w:asciiTheme="minorHAnsi" w:hAnsiTheme="minorHAnsi" w:cstheme="minorHAnsi"/>
          <w:sz w:val="22"/>
          <w:szCs w:val="22"/>
        </w:rPr>
        <w:t xml:space="preserve"> A, </w:t>
      </w:r>
      <w:r w:rsidRPr="004B1971">
        <w:rPr>
          <w:rFonts w:asciiTheme="minorHAnsi" w:hAnsiTheme="minorHAnsi" w:cstheme="minorHAnsi"/>
          <w:sz w:val="22"/>
          <w:szCs w:val="22"/>
        </w:rPr>
        <w:t>Koehn</w:t>
      </w:r>
      <w:r>
        <w:rPr>
          <w:rFonts w:asciiTheme="minorHAnsi" w:hAnsiTheme="minorHAnsi" w:cstheme="minorHAnsi"/>
          <w:sz w:val="22"/>
          <w:szCs w:val="22"/>
        </w:rPr>
        <w:t xml:space="preserve"> J, </w:t>
      </w:r>
      <w:r w:rsidRPr="004B1971">
        <w:rPr>
          <w:rFonts w:asciiTheme="minorHAnsi" w:hAnsiTheme="minorHAnsi" w:cstheme="minorHAnsi"/>
          <w:sz w:val="22"/>
          <w:szCs w:val="22"/>
        </w:rPr>
        <w:t>Koster</w:t>
      </w:r>
      <w:r>
        <w:rPr>
          <w:rFonts w:asciiTheme="minorHAnsi" w:hAnsiTheme="minorHAnsi" w:cstheme="minorHAnsi"/>
          <w:sz w:val="22"/>
          <w:szCs w:val="22"/>
        </w:rPr>
        <w:t xml:space="preserve"> W, </w:t>
      </w:r>
      <w:r w:rsidRPr="004B1971">
        <w:rPr>
          <w:rFonts w:asciiTheme="minorHAnsi" w:hAnsiTheme="minorHAnsi" w:cstheme="minorHAnsi"/>
          <w:sz w:val="22"/>
          <w:szCs w:val="22"/>
        </w:rPr>
        <w:t>Lieschke</w:t>
      </w:r>
      <w:r>
        <w:rPr>
          <w:rFonts w:asciiTheme="minorHAnsi" w:hAnsiTheme="minorHAnsi" w:cstheme="minorHAnsi"/>
          <w:sz w:val="22"/>
          <w:szCs w:val="22"/>
        </w:rPr>
        <w:t xml:space="preserve"> J, </w:t>
      </w:r>
      <w:r w:rsidRPr="004B1971">
        <w:rPr>
          <w:rFonts w:asciiTheme="minorHAnsi" w:hAnsiTheme="minorHAnsi" w:cstheme="minorHAnsi"/>
          <w:sz w:val="22"/>
          <w:szCs w:val="22"/>
        </w:rPr>
        <w:t>Raymond</w:t>
      </w:r>
      <w:r>
        <w:rPr>
          <w:rFonts w:asciiTheme="minorHAnsi" w:hAnsiTheme="minorHAnsi" w:cstheme="minorHAnsi"/>
          <w:sz w:val="22"/>
          <w:szCs w:val="22"/>
        </w:rPr>
        <w:t xml:space="preserve"> S,</w:t>
      </w:r>
      <w:r w:rsidRPr="004B1971">
        <w:rPr>
          <w:rFonts w:asciiTheme="minorHAnsi" w:hAnsiTheme="minorHAnsi" w:cstheme="minorHAnsi"/>
          <w:sz w:val="22"/>
          <w:szCs w:val="22"/>
        </w:rPr>
        <w:t xml:space="preserve"> Sharley</w:t>
      </w:r>
      <w:r>
        <w:rPr>
          <w:rFonts w:asciiTheme="minorHAnsi" w:hAnsiTheme="minorHAnsi" w:cstheme="minorHAnsi"/>
          <w:sz w:val="22"/>
          <w:szCs w:val="22"/>
        </w:rPr>
        <w:t xml:space="preserve"> J,</w:t>
      </w:r>
      <w:r w:rsidRPr="004B1971">
        <w:rPr>
          <w:rFonts w:asciiTheme="minorHAnsi" w:hAnsiTheme="minorHAnsi" w:cstheme="minorHAnsi"/>
          <w:sz w:val="22"/>
          <w:szCs w:val="22"/>
        </w:rPr>
        <w:t xml:space="preserve"> Stuart</w:t>
      </w:r>
      <w:r>
        <w:rPr>
          <w:rFonts w:asciiTheme="minorHAnsi" w:hAnsiTheme="minorHAnsi" w:cstheme="minorHAnsi"/>
          <w:sz w:val="22"/>
          <w:szCs w:val="22"/>
        </w:rPr>
        <w:t xml:space="preserve"> I, and </w:t>
      </w:r>
      <w:r w:rsidRPr="004B1971">
        <w:rPr>
          <w:rFonts w:asciiTheme="minorHAnsi" w:hAnsiTheme="minorHAnsi" w:cstheme="minorHAnsi"/>
          <w:sz w:val="22"/>
          <w:szCs w:val="22"/>
        </w:rPr>
        <w:t>Todd</w:t>
      </w:r>
      <w:r>
        <w:rPr>
          <w:rFonts w:asciiTheme="minorHAnsi" w:hAnsiTheme="minorHAnsi" w:cstheme="minorHAnsi"/>
          <w:sz w:val="22"/>
          <w:szCs w:val="22"/>
        </w:rPr>
        <w:t xml:space="preserve"> C (2020</w:t>
      </w:r>
      <w:r w:rsidRPr="004B1971">
        <w:rPr>
          <w:rFonts w:asciiTheme="minorHAnsi" w:hAnsiTheme="minorHAnsi" w:cstheme="minorHAnsi"/>
          <w:sz w:val="22"/>
          <w:szCs w:val="22"/>
        </w:rPr>
        <w:t>)</w:t>
      </w:r>
      <w:r>
        <w:rPr>
          <w:rFonts w:asciiTheme="minorHAnsi" w:hAnsiTheme="minorHAnsi" w:cstheme="minorHAnsi"/>
          <w:sz w:val="22"/>
          <w:szCs w:val="22"/>
        </w:rPr>
        <w:t>.</w:t>
      </w:r>
      <w:r w:rsidRPr="004B1971">
        <w:rPr>
          <w:rFonts w:asciiTheme="minorHAnsi" w:hAnsiTheme="minorHAnsi" w:cstheme="minorHAnsi"/>
          <w:sz w:val="22"/>
          <w:szCs w:val="22"/>
        </w:rPr>
        <w:t xml:space="preserve"> Linking flow attributes to recruitment to inform water management for an Australian freshwater fish with an equ</w:t>
      </w:r>
      <w:r>
        <w:rPr>
          <w:rFonts w:asciiTheme="minorHAnsi" w:hAnsiTheme="minorHAnsi" w:cstheme="minorHAnsi"/>
          <w:sz w:val="22"/>
          <w:szCs w:val="22"/>
        </w:rPr>
        <w:t>ilibrium life-history strategy.</w:t>
      </w:r>
      <w:r w:rsidRPr="004B1971">
        <w:rPr>
          <w:rFonts w:asciiTheme="minorHAnsi" w:hAnsiTheme="minorHAnsi" w:cstheme="minorHAnsi"/>
          <w:sz w:val="22"/>
          <w:szCs w:val="22"/>
        </w:rPr>
        <w:t xml:space="preserve"> </w:t>
      </w:r>
      <w:r w:rsidRPr="004B1971">
        <w:rPr>
          <w:rFonts w:asciiTheme="minorHAnsi" w:hAnsiTheme="minorHAnsi" w:cstheme="minorHAnsi"/>
          <w:i/>
          <w:sz w:val="22"/>
          <w:szCs w:val="22"/>
        </w:rPr>
        <w:t>Sc</w:t>
      </w:r>
      <w:r>
        <w:rPr>
          <w:rFonts w:asciiTheme="minorHAnsi" w:hAnsiTheme="minorHAnsi" w:cstheme="minorHAnsi"/>
          <w:i/>
          <w:sz w:val="22"/>
          <w:szCs w:val="22"/>
        </w:rPr>
        <w:t>ience of t</w:t>
      </w:r>
      <w:r w:rsidRPr="004B1971">
        <w:rPr>
          <w:rFonts w:asciiTheme="minorHAnsi" w:hAnsiTheme="minorHAnsi" w:cstheme="minorHAnsi"/>
          <w:i/>
          <w:sz w:val="22"/>
          <w:szCs w:val="22"/>
        </w:rPr>
        <w:t>he Total Environment</w:t>
      </w:r>
      <w:r w:rsidRPr="004B1971">
        <w:rPr>
          <w:rFonts w:asciiTheme="minorHAnsi" w:hAnsiTheme="minorHAnsi" w:cstheme="minorHAnsi"/>
          <w:sz w:val="22"/>
          <w:szCs w:val="22"/>
        </w:rPr>
        <w:t xml:space="preserve">, </w:t>
      </w:r>
      <w:r>
        <w:rPr>
          <w:rFonts w:asciiTheme="minorHAnsi" w:hAnsiTheme="minorHAnsi" w:cstheme="minorHAnsi"/>
          <w:sz w:val="22"/>
          <w:szCs w:val="22"/>
        </w:rPr>
        <w:t>752, 141863.</w:t>
      </w:r>
    </w:p>
    <w:p w14:paraId="442EAD93" w14:textId="77777777" w:rsidR="006971DE" w:rsidRPr="00070D2D" w:rsidRDefault="006971DE" w:rsidP="001D4ADD">
      <w:pPr>
        <w:pStyle w:val="References"/>
        <w:spacing w:after="120" w:line="240" w:lineRule="auto"/>
        <w:ind w:left="0" w:firstLine="0"/>
        <w:jc w:val="left"/>
        <w:rPr>
          <w:rFonts w:asciiTheme="minorHAnsi" w:hAnsiTheme="minorHAnsi" w:cstheme="minorHAnsi"/>
        </w:rPr>
      </w:pPr>
      <w:r w:rsidRPr="00070D2D">
        <w:rPr>
          <w:rFonts w:asciiTheme="minorHAnsi" w:hAnsiTheme="minorHAnsi" w:cstheme="minorHAnsi"/>
        </w:rPr>
        <w:t xml:space="preserve">Uehlinger U (2000) Resistance and resilience of ecosystem metabolism in a flood-prone river system. </w:t>
      </w:r>
      <w:r w:rsidRPr="00070D2D">
        <w:rPr>
          <w:rFonts w:asciiTheme="minorHAnsi" w:hAnsiTheme="minorHAnsi" w:cstheme="minorHAnsi"/>
          <w:i/>
        </w:rPr>
        <w:t>Freshwater Biology</w:t>
      </w:r>
      <w:r w:rsidRPr="00070D2D">
        <w:rPr>
          <w:rFonts w:asciiTheme="minorHAnsi" w:hAnsiTheme="minorHAnsi" w:cstheme="minorHAnsi"/>
        </w:rPr>
        <w:t xml:space="preserve"> </w:t>
      </w:r>
      <w:r w:rsidRPr="00070D2D">
        <w:rPr>
          <w:rFonts w:asciiTheme="minorHAnsi" w:hAnsiTheme="minorHAnsi" w:cstheme="minorHAnsi"/>
          <w:b/>
          <w:bCs/>
        </w:rPr>
        <w:t>45</w:t>
      </w:r>
      <w:r w:rsidRPr="00070D2D">
        <w:rPr>
          <w:rFonts w:asciiTheme="minorHAnsi" w:hAnsiTheme="minorHAnsi" w:cstheme="minorHAnsi"/>
        </w:rPr>
        <w:t>, 319–332.</w:t>
      </w:r>
    </w:p>
    <w:p w14:paraId="4DC5CA6D" w14:textId="77777777" w:rsidR="006971DE" w:rsidRPr="00070D2D" w:rsidRDefault="006971DE" w:rsidP="001D4ADD">
      <w:pPr>
        <w:spacing w:after="120" w:line="240" w:lineRule="auto"/>
        <w:jc w:val="left"/>
        <w:rPr>
          <w:color w:val="000000" w:themeColor="text1"/>
        </w:rPr>
      </w:pPr>
      <w:r w:rsidRPr="00070D2D">
        <w:rPr>
          <w:color w:val="000000" w:themeColor="text1"/>
        </w:rPr>
        <w:t xml:space="preserve">van Dijk A.I., Beck H.E., Crosbie .R.S, de Jeu R.A., Liu Y.Y., Podger G.M., Timbal B. and Viney N.R. (2013) The Millennium Drought in southeast Australia (2001–2009): Natural and human causes and implications for water resources, ecosystems, economy, and society. </w:t>
      </w:r>
      <w:r w:rsidRPr="00070D2D">
        <w:rPr>
          <w:i/>
          <w:color w:val="000000" w:themeColor="text1"/>
        </w:rPr>
        <w:t>Water Resources Research,</w:t>
      </w:r>
      <w:r w:rsidRPr="00070D2D">
        <w:rPr>
          <w:color w:val="000000" w:themeColor="text1"/>
        </w:rPr>
        <w:t xml:space="preserve"> </w:t>
      </w:r>
      <w:r w:rsidRPr="00070D2D">
        <w:rPr>
          <w:b/>
          <w:color w:val="000000" w:themeColor="text1"/>
        </w:rPr>
        <w:t>49</w:t>
      </w:r>
      <w:r w:rsidRPr="00070D2D">
        <w:rPr>
          <w:color w:val="000000" w:themeColor="text1"/>
        </w:rPr>
        <w:t xml:space="preserve">, doi:10.1002/wrcr.20123. </w:t>
      </w:r>
    </w:p>
    <w:p w14:paraId="2D29940B" w14:textId="5ECF0165" w:rsidR="00DE1C5F" w:rsidRPr="00DE1C5F" w:rsidRDefault="00DE1C5F" w:rsidP="00DE1C5F">
      <w:pPr>
        <w:pStyle w:val="Para0"/>
        <w:spacing w:line="259" w:lineRule="auto"/>
        <w:rPr>
          <w:rFonts w:ascii="Calibri" w:hAnsi="Calibri" w:cs="Calibri"/>
          <w:color w:val="000000" w:themeColor="text1"/>
          <w:sz w:val="22"/>
          <w:szCs w:val="22"/>
          <w:shd w:val="clear" w:color="auto" w:fill="FFFFFF"/>
        </w:rPr>
      </w:pPr>
      <w:r w:rsidRPr="00DE1C5F">
        <w:rPr>
          <w:rFonts w:ascii="Calibri" w:hAnsi="Calibri" w:cs="Calibri"/>
          <w:color w:val="000000" w:themeColor="text1"/>
          <w:sz w:val="22"/>
          <w:szCs w:val="22"/>
          <w:shd w:val="clear" w:color="auto" w:fill="FFFFFF"/>
        </w:rPr>
        <w:t>Vietz, G.J., Casanelia, S., Earl, G., Conlan, I., Johnson, C. (2016) Knowing then doing, or is it doing then Knowing? Environmental flows and bank condition monitoring in the Goulburn River, Australia. 11th I</w:t>
      </w:r>
      <w:r w:rsidR="00131521">
        <w:rPr>
          <w:rFonts w:ascii="Calibri" w:hAnsi="Calibri" w:cs="Calibri"/>
          <w:color w:val="000000" w:themeColor="text1"/>
          <w:sz w:val="22"/>
          <w:szCs w:val="22"/>
          <w:shd w:val="clear" w:color="auto" w:fill="FFFFFF"/>
        </w:rPr>
        <w:t>SE 2016, Melbourne, Australia.</w:t>
      </w:r>
    </w:p>
    <w:p w14:paraId="2F214602" w14:textId="2EABCCBA" w:rsidR="00DE1C5F" w:rsidRPr="00DE1C5F" w:rsidRDefault="00DE1C5F" w:rsidP="00DE1C5F">
      <w:pPr>
        <w:pStyle w:val="Para0"/>
        <w:spacing w:line="259" w:lineRule="auto"/>
        <w:rPr>
          <w:rFonts w:ascii="Calibri" w:hAnsi="Calibri" w:cs="Calibri"/>
          <w:color w:val="000000" w:themeColor="text1"/>
          <w:sz w:val="22"/>
          <w:szCs w:val="22"/>
          <w:shd w:val="clear" w:color="auto" w:fill="FFFFFF"/>
        </w:rPr>
      </w:pPr>
      <w:r w:rsidRPr="00DE1C5F">
        <w:rPr>
          <w:rFonts w:ascii="Calibri" w:hAnsi="Calibri" w:cs="Calibri"/>
          <w:color w:val="000000" w:themeColor="text1"/>
          <w:sz w:val="22"/>
          <w:szCs w:val="22"/>
          <w:shd w:val="clear" w:color="auto" w:fill="FFFFFF"/>
        </w:rPr>
        <w:t xml:space="preserve">Vietz, G. J., Lintern, A., Webb, J. A., Straccione, D. (2017) River bank erosion and the influence of environmental flow management, Journal of Environmental Management, </w:t>
      </w:r>
      <w:r w:rsidRPr="00DE1C5F">
        <w:rPr>
          <w:rFonts w:ascii="Calibri" w:hAnsi="Calibri" w:cs="Calibri"/>
          <w:i/>
          <w:color w:val="000000" w:themeColor="text1"/>
          <w:sz w:val="22"/>
          <w:szCs w:val="22"/>
          <w:shd w:val="clear" w:color="auto" w:fill="FFFFFF"/>
        </w:rPr>
        <w:t>61</w:t>
      </w:r>
      <w:r w:rsidRPr="00DE1C5F">
        <w:rPr>
          <w:rFonts w:ascii="Calibri" w:hAnsi="Calibri" w:cs="Calibri"/>
          <w:color w:val="000000" w:themeColor="text1"/>
          <w:sz w:val="22"/>
          <w:szCs w:val="22"/>
          <w:shd w:val="clear" w:color="auto" w:fill="FFFFFF"/>
        </w:rPr>
        <w:t>(3), 454-468.</w:t>
      </w:r>
    </w:p>
    <w:p w14:paraId="37F39243"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Vilizzi, L., &amp; Walker, K. F. (1999). Age and growth of the common carp, </w:t>
      </w:r>
      <w:r w:rsidRPr="00070D2D">
        <w:rPr>
          <w:rFonts w:asciiTheme="minorHAnsi" w:hAnsiTheme="minorHAnsi" w:cstheme="minorHAnsi"/>
          <w:i/>
          <w:szCs w:val="22"/>
        </w:rPr>
        <w:t>Cyprinus carpio</w:t>
      </w:r>
      <w:r w:rsidRPr="00070D2D">
        <w:rPr>
          <w:rFonts w:asciiTheme="minorHAnsi" w:hAnsiTheme="minorHAnsi" w:cstheme="minorHAnsi"/>
          <w:szCs w:val="22"/>
        </w:rPr>
        <w:t>, in the River Murray, Australia: validation, consistency of age interpretation, and growth models. Environmental Biology of Fishes, 54(1), 77–106.</w:t>
      </w:r>
    </w:p>
    <w:p w14:paraId="163EE5F1" w14:textId="77777777" w:rsidR="006971DE" w:rsidRPr="00070D2D" w:rsidRDefault="006971DE" w:rsidP="001D4ADD">
      <w:pPr>
        <w:pStyle w:val="HTMLPreformatted"/>
        <w:shd w:val="clear" w:color="auto" w:fill="FFFFFF"/>
        <w:spacing w:after="120"/>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Walsh C.T., Reinfelds, I.V., Ives M.C., Gray C.A., West R.J. and van der Meulen D.E (2013) Environmental influences on the spatial ecology and spawning behaviour of an estuarine resident fish, </w:t>
      </w:r>
      <w:r w:rsidRPr="00070D2D">
        <w:rPr>
          <w:rFonts w:asciiTheme="minorHAnsi" w:hAnsiTheme="minorHAnsi"/>
          <w:i/>
          <w:color w:val="000000" w:themeColor="text1"/>
          <w:sz w:val="22"/>
          <w:szCs w:val="22"/>
        </w:rPr>
        <w:t>Macquaria colonorum</w:t>
      </w:r>
      <w:r w:rsidRPr="00070D2D">
        <w:rPr>
          <w:rFonts w:asciiTheme="minorHAnsi" w:hAnsiTheme="minorHAnsi"/>
          <w:color w:val="000000" w:themeColor="text1"/>
          <w:sz w:val="22"/>
          <w:szCs w:val="22"/>
        </w:rPr>
        <w:t xml:space="preserve">. </w:t>
      </w:r>
      <w:r w:rsidRPr="00070D2D">
        <w:rPr>
          <w:rFonts w:asciiTheme="minorHAnsi" w:hAnsiTheme="minorHAnsi"/>
          <w:i/>
          <w:color w:val="000000" w:themeColor="text1"/>
          <w:sz w:val="22"/>
          <w:szCs w:val="22"/>
        </w:rPr>
        <w:t>Estuarine, Coastal and Shelf Science</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118</w:t>
      </w:r>
      <w:r w:rsidRPr="00070D2D">
        <w:rPr>
          <w:rFonts w:asciiTheme="minorHAnsi" w:hAnsiTheme="minorHAnsi"/>
          <w:color w:val="000000" w:themeColor="text1"/>
          <w:sz w:val="22"/>
          <w:szCs w:val="22"/>
        </w:rPr>
        <w:t xml:space="preserve">, 60-71. </w:t>
      </w:r>
    </w:p>
    <w:p w14:paraId="0607FA9D" w14:textId="77777777" w:rsidR="006971DE" w:rsidRPr="00070D2D" w:rsidRDefault="006971DE" w:rsidP="001D4ADD">
      <w:pPr>
        <w:spacing w:after="120" w:line="240" w:lineRule="auto"/>
        <w:jc w:val="left"/>
        <w:rPr>
          <w:rFonts w:asciiTheme="minorHAnsi" w:hAnsiTheme="minorHAnsi" w:cstheme="minorHAnsi"/>
          <w:szCs w:val="22"/>
        </w:rPr>
      </w:pPr>
      <w:r w:rsidRPr="00070D2D">
        <w:rPr>
          <w:rFonts w:asciiTheme="minorHAnsi" w:hAnsiTheme="minorHAnsi" w:cstheme="minorHAnsi"/>
          <w:szCs w:val="22"/>
        </w:rPr>
        <w:t xml:space="preserve">Wang, K., Ling, O., Li, Q, Cheng, F. and Xu H. (2009). Primary study on the age and growth of </w:t>
      </w:r>
      <w:r w:rsidRPr="00070D2D">
        <w:rPr>
          <w:rFonts w:asciiTheme="minorHAnsi" w:hAnsiTheme="minorHAnsi" w:cstheme="minorHAnsi"/>
          <w:i/>
          <w:szCs w:val="22"/>
        </w:rPr>
        <w:t>Misgurnus anguillicaudatus</w:t>
      </w:r>
      <w:r w:rsidRPr="00070D2D">
        <w:rPr>
          <w:rFonts w:asciiTheme="minorHAnsi" w:hAnsiTheme="minorHAnsi" w:cstheme="minorHAnsi"/>
          <w:szCs w:val="22"/>
        </w:rPr>
        <w:t xml:space="preserve"> and </w:t>
      </w:r>
      <w:r w:rsidRPr="00070D2D">
        <w:rPr>
          <w:rFonts w:asciiTheme="minorHAnsi" w:hAnsiTheme="minorHAnsi" w:cstheme="minorHAnsi"/>
          <w:i/>
          <w:szCs w:val="22"/>
        </w:rPr>
        <w:t>Paramisgurnus dabryanus</w:t>
      </w:r>
      <w:r w:rsidRPr="00070D2D">
        <w:rPr>
          <w:rFonts w:asciiTheme="minorHAnsi" w:hAnsiTheme="minorHAnsi" w:cstheme="minorHAnsi"/>
          <w:szCs w:val="22"/>
        </w:rPr>
        <w:t xml:space="preserve"> in the area of Suzhou. Journal of Shanghai Ocean University (English abstract accessed on 10 Aug 2015 at: </w:t>
      </w:r>
      <w:hyperlink r:id="rId212" w:history="1">
        <w:r w:rsidRPr="00070D2D">
          <w:rPr>
            <w:rStyle w:val="Hyperlink"/>
            <w:rFonts w:asciiTheme="minorHAnsi" w:hAnsiTheme="minorHAnsi" w:cstheme="minorHAnsi"/>
            <w:szCs w:val="22"/>
          </w:rPr>
          <w:t>http://en.cnki.com.cn/Article_en/CJFDTotal-SSDB200905007.htm</w:t>
        </w:r>
      </w:hyperlink>
      <w:r w:rsidRPr="00070D2D">
        <w:rPr>
          <w:rFonts w:asciiTheme="minorHAnsi" w:hAnsiTheme="minorHAnsi" w:cstheme="minorHAnsi"/>
          <w:szCs w:val="22"/>
        </w:rPr>
        <w:t>)</w:t>
      </w:r>
    </w:p>
    <w:p w14:paraId="75C8DCCA" w14:textId="77777777" w:rsidR="00D532A8" w:rsidRPr="00DD5CBD" w:rsidRDefault="00D532A8" w:rsidP="00D532A8">
      <w:pPr>
        <w:spacing w:after="120" w:line="259" w:lineRule="auto"/>
        <w:rPr>
          <w:rFonts w:cstheme="minorHAnsi"/>
        </w:rPr>
      </w:pPr>
      <w:r w:rsidRPr="003123EA">
        <w:rPr>
          <w:rFonts w:cstheme="minorHAnsi"/>
          <w:color w:val="000000" w:themeColor="text1"/>
        </w:rPr>
        <w:t>Wassens, S., Michael, D., Spencer, J.,</w:t>
      </w:r>
      <w:r>
        <w:rPr>
          <w:rFonts w:cstheme="minorHAnsi"/>
          <w:color w:val="000000" w:themeColor="text1"/>
        </w:rPr>
        <w:t xml:space="preserve"> </w:t>
      </w:r>
      <w:r w:rsidRPr="003123EA">
        <w:rPr>
          <w:rFonts w:cstheme="minorHAnsi"/>
          <w:color w:val="000000" w:themeColor="text1"/>
        </w:rPr>
        <w:t>Thiem, J., Thomas, R., Kobayashi, T., Jenkins, K., Wolfenden, B., Hall, A., Bourke, G., Bino, G., Davis, T., Heath, J., Kuo, W., Amos, C. and Brandis, K. (2020)</w:t>
      </w:r>
      <w:r w:rsidRPr="00DD5CBD">
        <w:rPr>
          <w:rFonts w:cstheme="minorHAnsi"/>
        </w:rPr>
        <w:t xml:space="preserve"> Commonwealth Environmental Water Office Long-Term Intervention Monitoring project Murrumbidgee River System Selected Area evaluation. Technical Report, 2014-19. Report prepared for the Commonwealth Environmental Water Office</w:t>
      </w:r>
    </w:p>
    <w:p w14:paraId="7B260504" w14:textId="3075F42C" w:rsidR="006971DE" w:rsidRPr="00070D2D" w:rsidRDefault="006971DE" w:rsidP="001D4ADD">
      <w:pPr>
        <w:pStyle w:val="BodyText1"/>
        <w:spacing w:before="0" w:line="240" w:lineRule="auto"/>
        <w:jc w:val="left"/>
        <w:rPr>
          <w:rFonts w:asciiTheme="minorHAnsi" w:hAnsiTheme="minorHAnsi"/>
        </w:rPr>
      </w:pPr>
      <w:r w:rsidRPr="00070D2D">
        <w:rPr>
          <w:rFonts w:asciiTheme="minorHAnsi" w:hAnsiTheme="minorHAnsi"/>
          <w:bCs/>
        </w:rPr>
        <w:t>Watts R.J., Bond N.R, Grace M.R., Healy S., Howitt J.A., Liu X., McCasker N.G., Thiem J.D., Trethewie J.A. (2019).</w:t>
      </w:r>
      <w:r w:rsidRPr="00070D2D">
        <w:rPr>
          <w:bCs/>
        </w:rPr>
        <w:t xml:space="preserve"> </w:t>
      </w:r>
      <w:r w:rsidRPr="00070D2D">
        <w:rPr>
          <w:rFonts w:asciiTheme="minorHAnsi" w:hAnsiTheme="minorHAnsi" w:cstheme="minorHAnsi"/>
        </w:rPr>
        <w:t xml:space="preserve">‘Commonwealth Environmental Water Office Long Term Intervention Monitoring Project: </w:t>
      </w:r>
      <w:r w:rsidR="008E27F6">
        <w:rPr>
          <w:rFonts w:asciiTheme="minorHAnsi" w:hAnsiTheme="minorHAnsi" w:cstheme="minorHAnsi"/>
        </w:rPr>
        <w:t>Edward/Kolety-Wakool</w:t>
      </w:r>
      <w:r w:rsidRPr="00070D2D">
        <w:rPr>
          <w:rFonts w:asciiTheme="minorHAnsi" w:hAnsiTheme="minorHAnsi" w:cstheme="minorHAnsi"/>
        </w:rPr>
        <w:t xml:space="preserve"> River System Selected Area Summary Report, 2018-19’. </w:t>
      </w:r>
      <w:r w:rsidRPr="00070D2D">
        <w:rPr>
          <w:rFonts w:asciiTheme="minorHAnsi" w:hAnsiTheme="minorHAnsi"/>
          <w:bCs/>
        </w:rPr>
        <w:t xml:space="preserve">Report prepared for </w:t>
      </w:r>
      <w:r w:rsidRPr="00070D2D">
        <w:rPr>
          <w:rFonts w:asciiTheme="minorHAnsi" w:hAnsiTheme="minorHAnsi"/>
        </w:rPr>
        <w:t>Commonwealth Environmental Water Office. Commonwealth of Australia.</w:t>
      </w:r>
    </w:p>
    <w:p w14:paraId="10A5F194" w14:textId="77777777" w:rsidR="008F24CA" w:rsidRPr="004837A7" w:rsidRDefault="008F24CA" w:rsidP="008F24CA">
      <w:pPr>
        <w:autoSpaceDE w:val="0"/>
        <w:autoSpaceDN w:val="0"/>
        <w:adjustRightInd w:val="0"/>
        <w:spacing w:after="120" w:line="259" w:lineRule="auto"/>
        <w:jc w:val="left"/>
        <w:rPr>
          <w:rFonts w:cs="Calibri"/>
          <w:color w:val="000000"/>
        </w:rPr>
      </w:pPr>
      <w:r w:rsidRPr="006051FB">
        <w:rPr>
          <w:rFonts w:cs="Calibri"/>
          <w:color w:val="000000"/>
        </w:rPr>
        <w:t>Watts R.J., Bond</w:t>
      </w:r>
      <w:r>
        <w:t xml:space="preserve"> N.R, Grace M.R., Healy S., Howitt J.A., Liu X., McCasker N.G., Thiem J.D., Trethewie J.A., Wright D.W. (2019) ‘Commonwealth Environmental Water Office Long Term Intervention Monitoring Project: Edward/Kolety-Wakool River System Selected Area Technical Report, 2018-19’. Report prepared for Commonwealth Environmental Water Office. Commonwealth of Australia.</w:t>
      </w:r>
    </w:p>
    <w:p w14:paraId="6F2CB9CF" w14:textId="77777777" w:rsidR="006971DE" w:rsidRPr="00070D2D" w:rsidRDefault="006971DE" w:rsidP="001D4ADD">
      <w:pPr>
        <w:spacing w:after="120" w:line="240" w:lineRule="auto"/>
        <w:jc w:val="left"/>
        <w:rPr>
          <w:rFonts w:ascii="AdvOTf9433e2d" w:hAnsi="AdvOTf9433e2d" w:cs="AdvOTf9433e2d"/>
          <w:color w:val="000000" w:themeColor="text1"/>
          <w:sz w:val="17"/>
          <w:szCs w:val="17"/>
          <w:lang w:eastAsia="en-AU"/>
        </w:rPr>
      </w:pPr>
      <w:r w:rsidRPr="00070D2D">
        <w:rPr>
          <w:color w:val="000000" w:themeColor="text1"/>
        </w:rPr>
        <w:t xml:space="preserve">Watts R.J., Kopf R.K., McCasker N., Howitt J.A., Conallin J., Wooden I. and Baumgartner L. (2017a) Adaptive management of environmental flows: Using irrigation infrastructure to deliver environmental benefits during a large hypoxic blackwater event in the southern Murray-Darling Basin. </w:t>
      </w:r>
      <w:r w:rsidRPr="00070D2D">
        <w:rPr>
          <w:i/>
          <w:color w:val="000000" w:themeColor="text1"/>
        </w:rPr>
        <w:t>Environmental Management</w:t>
      </w:r>
      <w:r w:rsidRPr="00070D2D">
        <w:rPr>
          <w:color w:val="000000" w:themeColor="text1"/>
        </w:rPr>
        <w:t xml:space="preserve">. </w:t>
      </w:r>
      <w:r w:rsidRPr="00070D2D">
        <w:rPr>
          <w:rFonts w:cs="AdvOTf9433e2d"/>
          <w:color w:val="000000" w:themeColor="text1"/>
          <w:lang w:eastAsia="en-AU"/>
        </w:rPr>
        <w:t>DOI 10.1007/s00267-017-0941-1.</w:t>
      </w:r>
      <w:r w:rsidRPr="00070D2D">
        <w:rPr>
          <w:rFonts w:ascii="AdvOTf9433e2d" w:hAnsi="AdvOTf9433e2d" w:cs="AdvOTf9433e2d"/>
          <w:color w:val="000000" w:themeColor="text1"/>
          <w:sz w:val="17"/>
          <w:szCs w:val="17"/>
          <w:lang w:eastAsia="en-AU"/>
        </w:rPr>
        <w:t xml:space="preserve">  </w:t>
      </w:r>
    </w:p>
    <w:p w14:paraId="055EBC94" w14:textId="77777777" w:rsidR="008F24CA" w:rsidRPr="006051FB" w:rsidRDefault="008F24CA" w:rsidP="008F24CA">
      <w:pPr>
        <w:autoSpaceDE w:val="0"/>
        <w:autoSpaceDN w:val="0"/>
        <w:adjustRightInd w:val="0"/>
        <w:spacing w:after="120" w:line="259" w:lineRule="auto"/>
        <w:jc w:val="left"/>
        <w:rPr>
          <w:rFonts w:cs="Calibri"/>
          <w:color w:val="000000"/>
        </w:rPr>
      </w:pPr>
      <w:r>
        <w:t xml:space="preserve">Watts, </w:t>
      </w:r>
      <w:r w:rsidRPr="006051FB">
        <w:rPr>
          <w:rFonts w:cs="Calibri"/>
          <w:color w:val="000000"/>
        </w:rPr>
        <w:t>R.J., McCasker, N., Baumgartner, L., Bowen, P., Burns, A., Conallin, A., Dyer, J.G., Grace, M., Healy, S., Howitt, J.A., Kopf, R.K., Wassens, S</w:t>
      </w:r>
      <w:r>
        <w:rPr>
          <w:rFonts w:cs="Calibri"/>
          <w:color w:val="000000"/>
        </w:rPr>
        <w:t>., Watkins, S., Wooden I. (2013</w:t>
      </w:r>
      <w:r w:rsidRPr="006051FB">
        <w:rPr>
          <w:rFonts w:cs="Calibri"/>
          <w:color w:val="000000"/>
        </w:rPr>
        <w:t xml:space="preserve">) Monitoring the ecosystem responses to Commonwealth environmental water delivered to the Edward-Wakool river system, 2012-13. Institute for Land, Water and Society, Charles Sturt University, Final Report. Prepared for Commonwealth Environmental Water. </w:t>
      </w:r>
    </w:p>
    <w:p w14:paraId="21E13DB3" w14:textId="7E8176D3" w:rsidR="006971DE" w:rsidRPr="00070D2D" w:rsidRDefault="006971DE" w:rsidP="001D4ADD">
      <w:pPr>
        <w:pStyle w:val="Default"/>
        <w:spacing w:after="120"/>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Watts R.J., McCasker N., Baumgartner L., Bond N., Bowen P., Conallin A., Grace M., Healy S., Howitt J.A., Kopf R.K., Scott N., Thiem J. and Wooden I. (2014a) </w:t>
      </w:r>
      <w:r w:rsidRPr="00070D2D">
        <w:rPr>
          <w:rFonts w:asciiTheme="minorHAnsi" w:hAnsiTheme="minorHAnsi"/>
          <w:i/>
          <w:iCs/>
          <w:color w:val="000000" w:themeColor="text1"/>
          <w:sz w:val="22"/>
          <w:szCs w:val="22"/>
        </w:rPr>
        <w:t xml:space="preserve">Monitoring and Evaluation Plan for the </w:t>
      </w:r>
      <w:r w:rsidR="008E27F6">
        <w:rPr>
          <w:rFonts w:asciiTheme="minorHAnsi" w:hAnsiTheme="minorHAnsi"/>
          <w:i/>
          <w:iCs/>
          <w:color w:val="000000" w:themeColor="text1"/>
          <w:sz w:val="22"/>
          <w:szCs w:val="22"/>
        </w:rPr>
        <w:t>Edward/Kolety-Wakool</w:t>
      </w:r>
      <w:r w:rsidRPr="00070D2D">
        <w:rPr>
          <w:rFonts w:asciiTheme="minorHAnsi" w:hAnsiTheme="minorHAnsi"/>
          <w:i/>
          <w:iCs/>
          <w:color w:val="000000" w:themeColor="text1"/>
          <w:sz w:val="22"/>
          <w:szCs w:val="22"/>
        </w:rPr>
        <w:t xml:space="preserve"> Selected Area</w:t>
      </w:r>
      <w:r w:rsidRPr="00070D2D">
        <w:rPr>
          <w:rFonts w:asciiTheme="minorHAnsi" w:hAnsiTheme="minorHAnsi"/>
          <w:color w:val="000000" w:themeColor="text1"/>
          <w:sz w:val="22"/>
          <w:szCs w:val="22"/>
        </w:rPr>
        <w:t xml:space="preserve">. Institute for Land, Water and Society, Charles Sturt University. Prepared for Commonwealth Environmental Water Office. </w:t>
      </w:r>
    </w:p>
    <w:p w14:paraId="5908CD79" w14:textId="0C69A5FF" w:rsidR="006971DE" w:rsidRPr="00070D2D" w:rsidRDefault="006971DE" w:rsidP="001D4ADD">
      <w:pPr>
        <w:pStyle w:val="References"/>
        <w:spacing w:after="120" w:line="240" w:lineRule="auto"/>
        <w:ind w:left="0" w:firstLine="0"/>
        <w:jc w:val="left"/>
        <w:rPr>
          <w:rFonts w:asciiTheme="minorHAnsi" w:hAnsiTheme="minorHAnsi" w:cstheme="minorHAnsi"/>
          <w:szCs w:val="22"/>
        </w:rPr>
      </w:pPr>
      <w:r w:rsidRPr="00070D2D">
        <w:rPr>
          <w:rFonts w:asciiTheme="minorHAnsi" w:hAnsiTheme="minorHAnsi" w:cstheme="minorHAnsi"/>
          <w:szCs w:val="22"/>
        </w:rPr>
        <w:t xml:space="preserve">Watts, R.J., McCasker, N., Thiem, J., Howitt, J.A., Grace, M., Healy, S., Kopf, R.K., Dyer, J.G. Conallin, A., Wooden, I., Baumgartner, L. &amp; Bowen, P. (2014b). Monitoring the ecosystem responses to Commonwealth environmental water delivered to the </w:t>
      </w:r>
      <w:r w:rsidR="008E27F6">
        <w:rPr>
          <w:rFonts w:asciiTheme="minorHAnsi" w:hAnsiTheme="minorHAnsi" w:cstheme="minorHAnsi"/>
          <w:szCs w:val="22"/>
        </w:rPr>
        <w:t>Edward/Kolety-Wakool</w:t>
      </w:r>
      <w:r w:rsidRPr="00070D2D">
        <w:rPr>
          <w:rFonts w:asciiTheme="minorHAnsi" w:hAnsiTheme="minorHAnsi" w:cstheme="minorHAnsi"/>
          <w:szCs w:val="22"/>
        </w:rPr>
        <w:t xml:space="preserve"> river system, 2013-14. Final Report Prepared for Commonwealth Environmental Water. Institute for Land, Water and Society, Charles Sturt University.</w:t>
      </w:r>
    </w:p>
    <w:p w14:paraId="41BF85CE" w14:textId="6690BC5E" w:rsidR="006971DE" w:rsidRPr="00070D2D" w:rsidRDefault="006971DE" w:rsidP="001D4ADD">
      <w:pPr>
        <w:spacing w:after="120" w:line="240" w:lineRule="auto"/>
        <w:jc w:val="left"/>
        <w:rPr>
          <w:color w:val="000000" w:themeColor="text1"/>
          <w:szCs w:val="22"/>
        </w:rPr>
      </w:pPr>
      <w:r w:rsidRPr="00070D2D">
        <w:rPr>
          <w:bCs/>
          <w:color w:val="000000" w:themeColor="text1"/>
          <w:szCs w:val="22"/>
        </w:rPr>
        <w:t xml:space="preserve">Watts R., McCasker N., Thiem J., Howitt J., Grace M., Kopf R., Healy S. and Bond N. (2015) </w:t>
      </w:r>
      <w:r w:rsidRPr="00070D2D">
        <w:rPr>
          <w:bCs/>
          <w:i/>
          <w:color w:val="000000" w:themeColor="text1"/>
          <w:szCs w:val="22"/>
        </w:rPr>
        <w:t xml:space="preserve">Commonwealth Environmental Water Office Long Term Intervention Monitoring Project: </w:t>
      </w:r>
      <w:r w:rsidR="008E27F6">
        <w:rPr>
          <w:bCs/>
          <w:i/>
          <w:color w:val="000000" w:themeColor="text1"/>
          <w:szCs w:val="22"/>
        </w:rPr>
        <w:t>Edward/Kolety-Wakool</w:t>
      </w:r>
      <w:r w:rsidRPr="00070D2D">
        <w:rPr>
          <w:bCs/>
          <w:i/>
          <w:color w:val="000000" w:themeColor="text1"/>
          <w:szCs w:val="22"/>
        </w:rPr>
        <w:t xml:space="preserve"> Selected Area Technical Report, 2014-15</w:t>
      </w:r>
      <w:r w:rsidRPr="00070D2D">
        <w:rPr>
          <w:bCs/>
          <w:color w:val="000000" w:themeColor="text1"/>
          <w:szCs w:val="22"/>
        </w:rPr>
        <w:t xml:space="preserve">. Prepared for </w:t>
      </w:r>
      <w:r w:rsidRPr="00070D2D">
        <w:rPr>
          <w:color w:val="000000" w:themeColor="text1"/>
          <w:szCs w:val="22"/>
        </w:rPr>
        <w:t xml:space="preserve">Commonwealth Environmental Water Office. </w:t>
      </w:r>
    </w:p>
    <w:p w14:paraId="6B7D0A6C" w14:textId="1A160863" w:rsidR="006971DE" w:rsidRPr="00070D2D" w:rsidRDefault="006971DE" w:rsidP="001D4ADD">
      <w:pPr>
        <w:pStyle w:val="BodyText1"/>
        <w:spacing w:before="0" w:line="240" w:lineRule="auto"/>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(2016)</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sidR="008E27F6">
        <w:rPr>
          <w:rFonts w:asciiTheme="minorHAnsi" w:hAnsiTheme="minorHAnsi" w:cstheme="minorHAnsi"/>
          <w:i/>
          <w:color w:val="000000" w:themeColor="text1"/>
        </w:rPr>
        <w:t>Edward/Kolety-Wakool</w:t>
      </w:r>
      <w:r w:rsidRPr="00070D2D">
        <w:rPr>
          <w:rFonts w:asciiTheme="minorHAnsi" w:hAnsiTheme="minorHAnsi" w:cstheme="minorHAnsi"/>
          <w:i/>
          <w:color w:val="000000" w:themeColor="text1"/>
        </w:rPr>
        <w:t xml:space="preserve"> River System Selected Area Evaluation Report, 2015-16.</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3705C23A" w14:textId="429762FD" w:rsidR="006971DE" w:rsidRPr="00070D2D" w:rsidRDefault="006971DE" w:rsidP="001D4ADD">
      <w:pPr>
        <w:pStyle w:val="BodyText1"/>
        <w:spacing w:before="0" w:line="240" w:lineRule="auto"/>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(2017b)</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sidR="008E27F6">
        <w:rPr>
          <w:rFonts w:asciiTheme="minorHAnsi" w:hAnsiTheme="minorHAnsi" w:cstheme="minorHAnsi"/>
          <w:i/>
          <w:color w:val="000000" w:themeColor="text1"/>
        </w:rPr>
        <w:t>Edward/Kolety-Wakool</w:t>
      </w:r>
      <w:r w:rsidRPr="00070D2D">
        <w:rPr>
          <w:rFonts w:asciiTheme="minorHAnsi" w:hAnsiTheme="minorHAnsi" w:cstheme="minorHAnsi"/>
          <w:i/>
          <w:color w:val="000000" w:themeColor="text1"/>
        </w:rPr>
        <w:t xml:space="preserve"> River System Selected Area Evaluation Report, 2016-17.</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72F9019C" w14:textId="302CBBA3" w:rsidR="006971DE" w:rsidRPr="00070D2D" w:rsidRDefault="006971DE" w:rsidP="001D4ADD">
      <w:pPr>
        <w:pStyle w:val="BodyText1"/>
        <w:spacing w:before="0" w:line="240" w:lineRule="auto"/>
        <w:jc w:val="left"/>
        <w:rPr>
          <w:rFonts w:asciiTheme="minorHAnsi" w:hAnsiTheme="minorHAnsi"/>
        </w:rPr>
      </w:pPr>
      <w:r w:rsidRPr="00070D2D">
        <w:rPr>
          <w:rFonts w:asciiTheme="minorHAnsi" w:hAnsiTheme="minorHAnsi"/>
          <w:bCs/>
        </w:rPr>
        <w:t>Watts R.J., McCasker N.G., Howitt J.A., Thiem J.D., Grace M.R., Trethewie J.A., Healy S., Bond N.R. (2018).</w:t>
      </w:r>
      <w:r w:rsidRPr="00070D2D">
        <w:rPr>
          <w:bCs/>
        </w:rPr>
        <w:t xml:space="preserve"> </w:t>
      </w:r>
      <w:r w:rsidRPr="00070D2D">
        <w:rPr>
          <w:rFonts w:asciiTheme="minorHAnsi" w:hAnsiTheme="minorHAnsi" w:cstheme="minorHAnsi"/>
        </w:rPr>
        <w:t xml:space="preserve">Commonwealth Environmental Water Office Long Term Intervention Monitoring Project: </w:t>
      </w:r>
      <w:r w:rsidR="008E27F6">
        <w:rPr>
          <w:rFonts w:asciiTheme="minorHAnsi" w:hAnsiTheme="minorHAnsi" w:cstheme="minorHAnsi"/>
        </w:rPr>
        <w:t>Edward/Kolety-Wakool</w:t>
      </w:r>
      <w:r w:rsidRPr="00070D2D">
        <w:rPr>
          <w:rFonts w:asciiTheme="minorHAnsi" w:hAnsiTheme="minorHAnsi" w:cstheme="minorHAnsi"/>
        </w:rPr>
        <w:t xml:space="preserve"> River System Selected Area Summary Report, 2017-18. </w:t>
      </w:r>
      <w:r w:rsidRPr="00070D2D">
        <w:rPr>
          <w:rFonts w:asciiTheme="minorHAnsi" w:hAnsiTheme="minorHAnsi"/>
          <w:bCs/>
        </w:rPr>
        <w:t xml:space="preserve">Report prepared for </w:t>
      </w:r>
      <w:r w:rsidRPr="00070D2D">
        <w:rPr>
          <w:rFonts w:asciiTheme="minorHAnsi" w:hAnsiTheme="minorHAnsi"/>
        </w:rPr>
        <w:t>Commonwealth Environmental Water Office. Commonwealth of Australia.</w:t>
      </w:r>
    </w:p>
    <w:p w14:paraId="0BBF88EF" w14:textId="77777777" w:rsidR="000640D2" w:rsidRPr="004B1971" w:rsidRDefault="000640D2" w:rsidP="000640D2">
      <w:pPr>
        <w:pStyle w:val="NormalWeb"/>
        <w:shd w:val="clear" w:color="auto" w:fill="FFFFFF"/>
        <w:spacing w:before="0" w:beforeAutospacing="0" w:after="120" w:afterAutospacing="0" w:line="259" w:lineRule="auto"/>
        <w:ind w:right="-285"/>
        <w:rPr>
          <w:rFonts w:asciiTheme="minorHAnsi" w:hAnsiTheme="minorHAnsi" w:cstheme="minorHAnsi"/>
          <w:color w:val="000000" w:themeColor="text1"/>
          <w:sz w:val="22"/>
          <w:szCs w:val="22"/>
        </w:rPr>
      </w:pPr>
      <w:bookmarkStart w:id="223" w:name="_ENREF_38"/>
      <w:bookmarkStart w:id="224" w:name="_ENREF_36"/>
      <w:r>
        <w:rPr>
          <w:rFonts w:asciiTheme="minorHAnsi" w:hAnsiTheme="minorHAnsi" w:cstheme="minorHAnsi"/>
          <w:sz w:val="22"/>
          <w:szCs w:val="22"/>
        </w:rPr>
        <w:t xml:space="preserve">Watts R., McCasker, N, Howitt, J, Liu X, Trethewie J, Allan C, Thiem J, Duncan M, Healy S, Bond N, Van Dyke J, Vietz G, Donges M. (2019a) Cbommonwealth Environmental Water Office: Edward/Kolety-Wakool Selected Area Monitoring, Evaluation and Research Plan 2019-22. </w:t>
      </w:r>
      <w:r>
        <w:rPr>
          <w:rFonts w:asciiTheme="minorHAnsi" w:hAnsiTheme="minorHAnsi"/>
          <w:color w:val="000000" w:themeColor="text1"/>
          <w:sz w:val="22"/>
          <w:szCs w:val="22"/>
        </w:rPr>
        <w:t>Report to the Commonwealth Environmental Water Office.</w:t>
      </w:r>
    </w:p>
    <w:p w14:paraId="49C37506" w14:textId="4DF4EAE0" w:rsidR="000640D2" w:rsidRPr="005F4A64" w:rsidRDefault="000640D2" w:rsidP="000640D2">
      <w:pPr>
        <w:pStyle w:val="EndNoteBibliography"/>
        <w:spacing w:after="120"/>
      </w:pPr>
      <w:r w:rsidRPr="005F4A64">
        <w:t>Watts R.J., Mccasker N., Howitt J.A., Thiem J., Grace M., Kopf R.K., Healy S. &amp; Bond N. (2019</w:t>
      </w:r>
      <w:r>
        <w:t>b</w:t>
      </w:r>
      <w:r w:rsidRPr="005F4A64">
        <w:t xml:space="preserve">) Commonwealth Environmental Water Office Long Term Intervention Monitoring Project: Edward–Wakool River system-selected area evaluation report, 2018–19. </w:t>
      </w:r>
      <w:r w:rsidRPr="005F4A64">
        <w:rPr>
          <w:i/>
        </w:rPr>
        <w:t>Report prepared for Commonwealth Environmental Water Office. Commonwealth of Australia, Albury, NSW Australia</w:t>
      </w:r>
      <w:r w:rsidRPr="005F4A64">
        <w:t>.</w:t>
      </w:r>
    </w:p>
    <w:p w14:paraId="0842537E" w14:textId="77777777" w:rsidR="008F24CA" w:rsidRPr="004837A7" w:rsidRDefault="008F24CA" w:rsidP="008F24CA">
      <w:pPr>
        <w:autoSpaceDE w:val="0"/>
        <w:autoSpaceDN w:val="0"/>
        <w:adjustRightInd w:val="0"/>
        <w:spacing w:after="120" w:line="259" w:lineRule="auto"/>
        <w:jc w:val="left"/>
        <w:rPr>
          <w:rFonts w:cs="Calibri"/>
          <w:color w:val="000000"/>
        </w:rPr>
      </w:pPr>
      <w:r w:rsidRPr="004837A7">
        <w:rPr>
          <w:rFonts w:cs="Calibri"/>
          <w:color w:val="000000"/>
        </w:rPr>
        <w:t xml:space="preserve">Wehr, J.D., Peterson, J., and Findlay, S. (1999) Influence of three contrasting detrital carbon sources on planktonic bacterial metabolism in a mesotrophic lake. </w:t>
      </w:r>
      <w:r w:rsidRPr="004837A7">
        <w:rPr>
          <w:rFonts w:cs="Calibri"/>
          <w:i/>
          <w:color w:val="000000"/>
        </w:rPr>
        <w:t>Microbial Ecology</w:t>
      </w:r>
      <w:r w:rsidRPr="004837A7">
        <w:rPr>
          <w:rFonts w:cs="Calibri"/>
          <w:color w:val="000000"/>
        </w:rPr>
        <w:t xml:space="preserve"> </w:t>
      </w:r>
      <w:r w:rsidRPr="004837A7">
        <w:rPr>
          <w:rFonts w:cs="Calibri"/>
          <w:b/>
          <w:color w:val="000000"/>
        </w:rPr>
        <w:t>37</w:t>
      </w:r>
      <w:r w:rsidRPr="004837A7">
        <w:rPr>
          <w:rFonts w:cs="Calibri"/>
          <w:color w:val="000000"/>
        </w:rPr>
        <w:t xml:space="preserve">, 23-35. </w:t>
      </w:r>
    </w:p>
    <w:p w14:paraId="55BFB601" w14:textId="77777777" w:rsidR="006971DE" w:rsidRDefault="006971DE" w:rsidP="001D4ADD">
      <w:pPr>
        <w:pStyle w:val="EndNoteBibliography"/>
        <w:spacing w:after="120"/>
        <w:rPr>
          <w:color w:val="000000" w:themeColor="text1"/>
        </w:rPr>
      </w:pPr>
      <w:r w:rsidRPr="00070D2D">
        <w:rPr>
          <w:color w:val="000000" w:themeColor="text1"/>
        </w:rPr>
        <w:t xml:space="preserve">Whitworth K.L., Baldwin D.S. and Kerr J.L. (2012) Drought, floods and water quality: Drivers of a severe hypoxic blackwater event in a major river system (the southern Murray-Darling Basin, Australia). </w:t>
      </w:r>
      <w:r w:rsidRPr="00070D2D">
        <w:rPr>
          <w:i/>
          <w:color w:val="000000" w:themeColor="text1"/>
        </w:rPr>
        <w:t>Journal of Hydrology</w:t>
      </w:r>
      <w:r w:rsidRPr="00070D2D">
        <w:rPr>
          <w:color w:val="000000" w:themeColor="text1"/>
        </w:rPr>
        <w:t xml:space="preserve"> </w:t>
      </w:r>
      <w:r w:rsidRPr="00070D2D">
        <w:rPr>
          <w:b/>
          <w:color w:val="000000" w:themeColor="text1"/>
        </w:rPr>
        <w:t>450</w:t>
      </w:r>
      <w:r w:rsidRPr="00070D2D">
        <w:rPr>
          <w:color w:val="000000" w:themeColor="text1"/>
        </w:rPr>
        <w:t>, 190-198.</w:t>
      </w:r>
      <w:bookmarkEnd w:id="223"/>
    </w:p>
    <w:p w14:paraId="055CAAB9" w14:textId="57B79F33" w:rsidR="002032F6" w:rsidRPr="002032F6" w:rsidRDefault="008F24CA" w:rsidP="002032F6">
      <w:pPr>
        <w:autoSpaceDE w:val="0"/>
        <w:autoSpaceDN w:val="0"/>
        <w:adjustRightInd w:val="0"/>
        <w:spacing w:after="120" w:line="259" w:lineRule="auto"/>
        <w:jc w:val="left"/>
        <w:rPr>
          <w:rFonts w:cs="Calibri"/>
          <w:color w:val="000000"/>
        </w:rPr>
      </w:pPr>
      <w:r w:rsidRPr="004837A7">
        <w:rPr>
          <w:rFonts w:cs="Calibri"/>
          <w:color w:val="000000"/>
        </w:rPr>
        <w:t xml:space="preserve">Whitworth, K.L., Baldwin, D.S., and Kerr, J.L. (2014) The effect of temperature on leaching and subsequent decomposition of dissolved carbon from inundated floodplain litter: implications for the generation of hypoxic blackwater in lowland floodplain rivers. </w:t>
      </w:r>
      <w:r w:rsidRPr="004837A7">
        <w:rPr>
          <w:rFonts w:cs="Calibri"/>
          <w:i/>
          <w:iCs/>
          <w:color w:val="000000"/>
        </w:rPr>
        <w:t>Chemistry and Ecology</w:t>
      </w:r>
      <w:r w:rsidRPr="004837A7">
        <w:rPr>
          <w:rFonts w:cs="Calibri"/>
          <w:color w:val="000000"/>
        </w:rPr>
        <w:t>, 1-10.</w:t>
      </w:r>
      <w:r w:rsidR="002032F6" w:rsidRPr="00364C60">
        <w:rPr>
          <w:rFonts w:asciiTheme="minorHAnsi" w:eastAsiaTheme="minorHAnsi" w:hAnsiTheme="minorHAnsi"/>
        </w:rPr>
        <w:fldChar w:fldCharType="begin"/>
      </w:r>
      <w:r w:rsidR="002032F6">
        <w:rPr>
          <w:rFonts w:ascii="Times New Roman" w:hAnsi="Times New Roman"/>
          <w:sz w:val="24"/>
          <w:szCs w:val="24"/>
        </w:rPr>
        <w:instrText xml:space="preserve"> ADDIN EN.REFLIST </w:instrText>
      </w:r>
      <w:r w:rsidR="002032F6" w:rsidRPr="00364C60">
        <w:rPr>
          <w:rFonts w:asciiTheme="minorHAnsi" w:eastAsiaTheme="minorHAnsi" w:hAnsiTheme="minorHAnsi"/>
        </w:rPr>
        <w:fldChar w:fldCharType="separate"/>
      </w:r>
    </w:p>
    <w:p w14:paraId="4F0E29E3" w14:textId="77777777" w:rsidR="002032F6" w:rsidRPr="00BD336F" w:rsidRDefault="002032F6" w:rsidP="002032F6">
      <w:pPr>
        <w:pStyle w:val="EndNoteBibliography"/>
        <w:spacing w:after="120" w:line="259" w:lineRule="auto"/>
      </w:pPr>
      <w:r w:rsidRPr="00BD336F">
        <w:t xml:space="preserve">Wood Z.T., Erdman B.F., York G., Trial J.G., Kinnison M.T. (2020) Experimental assessment of optimal lotic eDNA sampling and assay multiplexing for a critically endangered fish. </w:t>
      </w:r>
      <w:r w:rsidRPr="00BD336F">
        <w:rPr>
          <w:i/>
        </w:rPr>
        <w:t>Environmental DNA</w:t>
      </w:r>
      <w:r w:rsidRPr="00BD336F">
        <w:t xml:space="preserve"> n/a(n/a).</w:t>
      </w:r>
    </w:p>
    <w:p w14:paraId="6D69C985" w14:textId="77777777" w:rsidR="002032F6" w:rsidRPr="00BD336F" w:rsidRDefault="002032F6" w:rsidP="002032F6">
      <w:pPr>
        <w:pStyle w:val="EndNoteBibliography"/>
        <w:spacing w:after="120" w:line="259" w:lineRule="auto"/>
      </w:pPr>
      <w:r w:rsidRPr="00BD336F">
        <w:t xml:space="preserve">Ye J., Coulouris G., Zaretskaya I., Cutcutache I., Rozen S., Madden T.L. (2012) Primer-BLAST: A tool to design target-specific primers for polymerase chain reaction. </w:t>
      </w:r>
      <w:r w:rsidRPr="00BD336F">
        <w:rPr>
          <w:i/>
        </w:rPr>
        <w:t>BMC Bioinformatics</w:t>
      </w:r>
      <w:r w:rsidRPr="00BD336F">
        <w:t xml:space="preserve"> 13(1), 134.</w:t>
      </w:r>
    </w:p>
    <w:p w14:paraId="4E2625A7" w14:textId="0E64EE47" w:rsidR="00D532A8" w:rsidRDefault="002032F6" w:rsidP="002032F6">
      <w:pPr>
        <w:spacing w:line="259" w:lineRule="auto"/>
        <w:rPr>
          <w:rFonts w:cstheme="minorHAnsi"/>
        </w:rPr>
      </w:pPr>
      <w:r w:rsidRPr="00364C60">
        <w:rPr>
          <w:rFonts w:asciiTheme="minorHAnsi" w:hAnsiTheme="minorHAnsi"/>
          <w:szCs w:val="22"/>
        </w:rPr>
        <w:fldChar w:fldCharType="end"/>
      </w:r>
      <w:r w:rsidR="00D532A8" w:rsidRPr="00DD5CBD">
        <w:rPr>
          <w:rFonts w:cstheme="minorHAnsi"/>
        </w:rPr>
        <w:t>Zampatti, B.P., Wilson, P.J., Baumgartner, L., Koster, W., Livore, J.P., McCasker, N., Thiem, J., Tonkin, Z.  and Ye, Q. (2015). Reproduction and recruitment of golden perch (</w:t>
      </w:r>
      <w:r w:rsidR="00D532A8" w:rsidRPr="00DD5CBD">
        <w:rPr>
          <w:rFonts w:cstheme="minorHAnsi"/>
          <w:i/>
        </w:rPr>
        <w:t>Macquaria ambigua ambigua</w:t>
      </w:r>
      <w:r w:rsidR="00D532A8" w:rsidRPr="00DD5CBD">
        <w:rPr>
          <w:rFonts w:cstheme="minorHAnsi"/>
        </w:rPr>
        <w:t>) in the southern Murray–Darling Basin in 2013–2014: an exploration of river-scale response, connectivity and population dynamics. South Australian Research and Development Institute (Aquatic Sciences), Adelaide. SARDI Publication No. F2014/000756-1. SARDI Research Report Series No. 820. 61pp</w:t>
      </w:r>
      <w:bookmarkEnd w:id="224"/>
    </w:p>
    <w:sectPr w:rsidR="00D532A8" w:rsidSect="008E21B1">
      <w:footerReference w:type="default" r:id="rId213"/>
      <w:pgSz w:w="11906" w:h="16838"/>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CB659B" w14:textId="77777777" w:rsidR="009B0839" w:rsidRDefault="009B0839" w:rsidP="003D4358">
      <w:pPr>
        <w:spacing w:after="0" w:line="240" w:lineRule="auto"/>
      </w:pPr>
      <w:r>
        <w:separator/>
      </w:r>
    </w:p>
  </w:endnote>
  <w:endnote w:type="continuationSeparator" w:id="0">
    <w:p w14:paraId="26F3BC50" w14:textId="77777777" w:rsidR="009B0839" w:rsidRDefault="009B0839" w:rsidP="003D4358">
      <w:pPr>
        <w:spacing w:after="0" w:line="240" w:lineRule="auto"/>
      </w:pPr>
      <w:r>
        <w:continuationSeparator/>
      </w:r>
    </w:p>
  </w:endnote>
  <w:endnote w:type="continuationNotice" w:id="1">
    <w:p w14:paraId="68D146E3" w14:textId="77777777" w:rsidR="009B0839" w:rsidRDefault="009B083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charset w:val="00"/>
    <w:family w:val="swiss"/>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Pero">
    <w:altName w:val="Calibri"/>
    <w:panose1 w:val="00000000000000000000"/>
    <w:charset w:val="4D"/>
    <w:family w:val="swiss"/>
    <w:notTrueType/>
    <w:pitch w:val="variable"/>
    <w:sig w:usb0="A00000AF" w:usb1="5000205B" w:usb2="00000000" w:usb3="00000000" w:csb0="00000093" w:csb1="00000000"/>
  </w:font>
  <w:font w:name="inherit">
    <w:altName w:val="Cambria"/>
    <w:panose1 w:val="00000000000000000000"/>
    <w:charset w:val="00"/>
    <w:family w:val="roman"/>
    <w:notTrueType/>
    <w:pitch w:val="default"/>
  </w:font>
  <w:font w:name="Bodoni MT Condensed">
    <w:panose1 w:val="020706060806060202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dobe Fan Heiti Std B">
    <w:panose1 w:val="00000000000000000000"/>
    <w:charset w:val="80"/>
    <w:family w:val="swiss"/>
    <w:notTrueType/>
    <w:pitch w:val="variable"/>
    <w:sig w:usb0="00000203" w:usb1="1A0F1900" w:usb2="00000016" w:usb3="00000000" w:csb0="00120005" w:csb1="00000000"/>
  </w:font>
  <w:font w:name="AdvPSPAL-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PSPH-R">
    <w:panose1 w:val="00000000000000000000"/>
    <w:charset w:val="00"/>
    <w:family w:val="roman"/>
    <w:notTrueType/>
    <w:pitch w:val="default"/>
    <w:sig w:usb0="00000003" w:usb1="00000000" w:usb2="00000000" w:usb3="00000000" w:csb0="00000001" w:csb1="00000000"/>
  </w:font>
  <w:font w:name="AdvPSPH-I">
    <w:panose1 w:val="00000000000000000000"/>
    <w:charset w:val="00"/>
    <w:family w:val="roman"/>
    <w:notTrueType/>
    <w:pitch w:val="default"/>
    <w:sig w:usb0="00000003" w:usb1="00000000" w:usb2="00000000" w:usb3="00000000" w:csb0="00000001" w:csb1="00000000"/>
  </w:font>
  <w:font w:name="AdvOTf9433e2d">
    <w:altName w:val="Calibri"/>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4404362"/>
      <w:docPartObj>
        <w:docPartGallery w:val="Page Numbers (Bottom of Page)"/>
        <w:docPartUnique/>
      </w:docPartObj>
    </w:sdtPr>
    <w:sdtEndPr>
      <w:rPr>
        <w:noProof/>
      </w:rPr>
    </w:sdtEndPr>
    <w:sdtContent>
      <w:p w14:paraId="3B4F969F" w14:textId="77777777" w:rsidR="00E30D62" w:rsidRDefault="00E30D62">
        <w:pPr>
          <w:pStyle w:val="Footer"/>
          <w:jc w:val="center"/>
        </w:pPr>
        <w:r>
          <w:fldChar w:fldCharType="begin"/>
        </w:r>
        <w:r>
          <w:instrText xml:space="preserve"> PAGE   \* MERGEFORMAT </w:instrText>
        </w:r>
        <w:r>
          <w:fldChar w:fldCharType="separate"/>
        </w:r>
        <w:r w:rsidR="000A6D80">
          <w:rPr>
            <w:noProof/>
          </w:rPr>
          <w:t>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002454"/>
      <w:docPartObj>
        <w:docPartGallery w:val="Page Numbers (Bottom of Page)"/>
        <w:docPartUnique/>
      </w:docPartObj>
    </w:sdtPr>
    <w:sdtEndPr>
      <w:rPr>
        <w:noProof/>
      </w:rPr>
    </w:sdtEndPr>
    <w:sdtContent>
      <w:p w14:paraId="2DC9B3C7" w14:textId="77777777" w:rsidR="00E30D62" w:rsidRDefault="00E30D62" w:rsidP="008243BB">
        <w:pPr>
          <w:pStyle w:val="Footer"/>
          <w:jc w:val="center"/>
        </w:pPr>
        <w:r>
          <w:fldChar w:fldCharType="begin"/>
        </w:r>
        <w:r>
          <w:instrText xml:space="preserve"> PAGE   \* MERGEFORMAT </w:instrText>
        </w:r>
        <w:r>
          <w:fldChar w:fldCharType="separate"/>
        </w:r>
        <w:r w:rsidR="000A6D80">
          <w:rPr>
            <w:noProof/>
          </w:rPr>
          <w:t>170</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2720183"/>
      <w:docPartObj>
        <w:docPartGallery w:val="Page Numbers (Bottom of Page)"/>
        <w:docPartUnique/>
      </w:docPartObj>
    </w:sdtPr>
    <w:sdtEndPr>
      <w:rPr>
        <w:noProof/>
      </w:rPr>
    </w:sdtEndPr>
    <w:sdtContent>
      <w:p w14:paraId="3B4F96A1" w14:textId="77777777" w:rsidR="00E30D62" w:rsidRPr="00364562" w:rsidRDefault="00E30D62" w:rsidP="00364562">
        <w:pPr>
          <w:pStyle w:val="Footer"/>
          <w:jc w:val="center"/>
        </w:pPr>
        <w:r>
          <w:fldChar w:fldCharType="begin"/>
        </w:r>
        <w:r>
          <w:instrText xml:space="preserve"> PAGE   \* MERGEFORMAT </w:instrText>
        </w:r>
        <w:r>
          <w:fldChar w:fldCharType="separate"/>
        </w:r>
        <w:r w:rsidR="000A6D80">
          <w:rPr>
            <w:noProof/>
          </w:rPr>
          <w:t>257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D8696" w14:textId="77777777" w:rsidR="009B0839" w:rsidRDefault="009B0839" w:rsidP="003D4358">
      <w:pPr>
        <w:spacing w:after="0" w:line="240" w:lineRule="auto"/>
      </w:pPr>
      <w:r>
        <w:separator/>
      </w:r>
    </w:p>
  </w:footnote>
  <w:footnote w:type="continuationSeparator" w:id="0">
    <w:p w14:paraId="1783FCBF" w14:textId="77777777" w:rsidR="009B0839" w:rsidRDefault="009B0839" w:rsidP="003D4358">
      <w:pPr>
        <w:spacing w:after="0" w:line="240" w:lineRule="auto"/>
      </w:pPr>
      <w:r>
        <w:continuationSeparator/>
      </w:r>
    </w:p>
  </w:footnote>
  <w:footnote w:type="continuationNotice" w:id="1">
    <w:p w14:paraId="0693BB43" w14:textId="77777777" w:rsidR="009B0839" w:rsidRDefault="009B083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F969E" w14:textId="7A0B609B" w:rsidR="00E30D62" w:rsidRPr="00A15430" w:rsidRDefault="00E30D62" w:rsidP="008243BB">
    <w:pPr>
      <w:pBdr>
        <w:bottom w:val="single" w:sz="4" w:space="1" w:color="auto"/>
      </w:pBdr>
      <w:spacing w:line="240" w:lineRule="auto"/>
      <w:ind w:right="-217"/>
      <w:rPr>
        <w:b/>
        <w:bCs/>
        <w:i/>
        <w:sz w:val="20"/>
      </w:rPr>
    </w:pPr>
    <w:r w:rsidRPr="008C6047">
      <w:rPr>
        <w:b/>
        <w:bCs/>
        <w:i/>
        <w:sz w:val="20"/>
      </w:rPr>
      <w:t>W</w:t>
    </w:r>
    <w:r>
      <w:rPr>
        <w:b/>
        <w:bCs/>
        <w:i/>
        <w:sz w:val="20"/>
      </w:rPr>
      <w:t>atts, R.J. et al. (2020</w:t>
    </w:r>
    <w:r w:rsidRPr="008C6047">
      <w:rPr>
        <w:b/>
        <w:bCs/>
        <w:i/>
        <w:sz w:val="20"/>
      </w:rPr>
      <w:t>).</w:t>
    </w:r>
    <w:r w:rsidRPr="001B2C5A">
      <w:rPr>
        <w:b/>
        <w:bCs/>
        <w:i/>
        <w:sz w:val="20"/>
      </w:rPr>
      <w:t xml:space="preserve"> Commonwealth Environmental Water Office </w:t>
    </w:r>
    <w:r>
      <w:rPr>
        <w:b/>
        <w:bCs/>
        <w:i/>
        <w:sz w:val="20"/>
      </w:rPr>
      <w:t xml:space="preserve">Monitoring, Evaluation and Research </w:t>
    </w:r>
    <w:r w:rsidRPr="001B2C5A">
      <w:rPr>
        <w:b/>
        <w:bCs/>
        <w:i/>
        <w:sz w:val="20"/>
      </w:rPr>
      <w:t xml:space="preserve">Project: </w:t>
    </w:r>
    <w:r>
      <w:rPr>
        <w:b/>
        <w:bCs/>
        <w:i/>
        <w:sz w:val="20"/>
      </w:rPr>
      <w:t>Edward/Kolety-Wakool</w:t>
    </w:r>
    <w:r w:rsidRPr="001B2C5A">
      <w:rPr>
        <w:b/>
        <w:bCs/>
        <w:i/>
        <w:sz w:val="20"/>
      </w:rPr>
      <w:t xml:space="preserve"> Selected Area </w:t>
    </w:r>
    <w:r>
      <w:rPr>
        <w:b/>
        <w:bCs/>
        <w:i/>
        <w:sz w:val="20"/>
      </w:rPr>
      <w:t>Technical</w:t>
    </w:r>
    <w:r w:rsidRPr="001B2C5A">
      <w:rPr>
        <w:b/>
        <w:bCs/>
        <w:i/>
        <w:sz w:val="20"/>
      </w:rPr>
      <w:t xml:space="preserve"> Report, 201</w:t>
    </w:r>
    <w:r>
      <w:rPr>
        <w:b/>
        <w:bCs/>
        <w:i/>
        <w:sz w:val="20"/>
      </w:rPr>
      <w:t>9-20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pStyle w:val="LightList-Accent31"/>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94E1730"/>
    <w:multiLevelType w:val="hybridMultilevel"/>
    <w:tmpl w:val="0E620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8612AF"/>
    <w:multiLevelType w:val="hybridMultilevel"/>
    <w:tmpl w:val="445263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BB2D9C"/>
    <w:multiLevelType w:val="hybridMultilevel"/>
    <w:tmpl w:val="CEC03B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3B237E"/>
    <w:multiLevelType w:val="hybridMultilevel"/>
    <w:tmpl w:val="156633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7E2123"/>
    <w:multiLevelType w:val="multilevel"/>
    <w:tmpl w:val="DEEC8C18"/>
    <w:name w:val="StandardBulletedList"/>
    <w:lvl w:ilvl="0">
      <w:start w:val="1"/>
      <w:numFmt w:val="bullet"/>
      <w:lvlText w:val=""/>
      <w:lvlJc w:val="left"/>
      <w:pPr>
        <w:tabs>
          <w:tab w:val="num" w:pos="5718"/>
        </w:tabs>
        <w:ind w:left="5718" w:hanging="360"/>
      </w:pPr>
      <w:rPr>
        <w:rFonts w:ascii="Symbol" w:hAnsi="Symbol" w:hint="default"/>
        <w:sz w:val="20"/>
      </w:rPr>
    </w:lvl>
    <w:lvl w:ilvl="1">
      <w:start w:val="1"/>
      <w:numFmt w:val="decimal"/>
      <w:lvlText w:val="%2."/>
      <w:lvlJc w:val="left"/>
      <w:pPr>
        <w:tabs>
          <w:tab w:val="num" w:pos="6438"/>
        </w:tabs>
        <w:ind w:left="6438" w:hanging="360"/>
      </w:pPr>
    </w:lvl>
    <w:lvl w:ilvl="2">
      <w:start w:val="1"/>
      <w:numFmt w:val="decimal"/>
      <w:lvlText w:val="%3."/>
      <w:lvlJc w:val="left"/>
      <w:pPr>
        <w:tabs>
          <w:tab w:val="num" w:pos="7158"/>
        </w:tabs>
        <w:ind w:left="7158" w:hanging="360"/>
      </w:pPr>
    </w:lvl>
    <w:lvl w:ilvl="3">
      <w:start w:val="1"/>
      <w:numFmt w:val="decimal"/>
      <w:lvlText w:val="%4."/>
      <w:lvlJc w:val="left"/>
      <w:pPr>
        <w:tabs>
          <w:tab w:val="num" w:pos="7878"/>
        </w:tabs>
        <w:ind w:left="7878" w:hanging="360"/>
      </w:pPr>
    </w:lvl>
    <w:lvl w:ilvl="4">
      <w:start w:val="1"/>
      <w:numFmt w:val="decimal"/>
      <w:lvlText w:val="%5."/>
      <w:lvlJc w:val="left"/>
      <w:pPr>
        <w:tabs>
          <w:tab w:val="num" w:pos="8598"/>
        </w:tabs>
        <w:ind w:left="8598" w:hanging="360"/>
      </w:pPr>
    </w:lvl>
    <w:lvl w:ilvl="5">
      <w:start w:val="1"/>
      <w:numFmt w:val="decimal"/>
      <w:lvlText w:val="%6."/>
      <w:lvlJc w:val="left"/>
      <w:pPr>
        <w:tabs>
          <w:tab w:val="num" w:pos="9318"/>
        </w:tabs>
        <w:ind w:left="9318" w:hanging="360"/>
      </w:pPr>
    </w:lvl>
    <w:lvl w:ilvl="6">
      <w:start w:val="1"/>
      <w:numFmt w:val="decimal"/>
      <w:lvlText w:val="%7."/>
      <w:lvlJc w:val="left"/>
      <w:pPr>
        <w:tabs>
          <w:tab w:val="num" w:pos="10038"/>
        </w:tabs>
        <w:ind w:left="10038" w:hanging="360"/>
      </w:pPr>
    </w:lvl>
    <w:lvl w:ilvl="7">
      <w:start w:val="1"/>
      <w:numFmt w:val="decimal"/>
      <w:lvlText w:val="%8."/>
      <w:lvlJc w:val="left"/>
      <w:pPr>
        <w:tabs>
          <w:tab w:val="num" w:pos="10758"/>
        </w:tabs>
        <w:ind w:left="10758" w:hanging="360"/>
      </w:pPr>
    </w:lvl>
    <w:lvl w:ilvl="8">
      <w:start w:val="1"/>
      <w:numFmt w:val="decimal"/>
      <w:lvlText w:val="%9."/>
      <w:lvlJc w:val="left"/>
      <w:pPr>
        <w:tabs>
          <w:tab w:val="num" w:pos="11478"/>
        </w:tabs>
        <w:ind w:left="11478" w:hanging="360"/>
      </w:pPr>
    </w:lvl>
  </w:abstractNum>
  <w:abstractNum w:abstractNumId="8" w15:restartNumberingAfterBreak="0">
    <w:nsid w:val="13C21E3E"/>
    <w:multiLevelType w:val="hybridMultilevel"/>
    <w:tmpl w:val="C6DA24C8"/>
    <w:lvl w:ilvl="0" w:tplc="59187A9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0" w15:restartNumberingAfterBreak="0">
    <w:nsid w:val="1FD44CD3"/>
    <w:multiLevelType w:val="multilevel"/>
    <w:tmpl w:val="CEF665D2"/>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15:restartNumberingAfterBreak="0">
    <w:nsid w:val="24256671"/>
    <w:multiLevelType w:val="hybridMultilevel"/>
    <w:tmpl w:val="902EB9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4FB5D7F"/>
    <w:multiLevelType w:val="hybridMultilevel"/>
    <w:tmpl w:val="BD3417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2378E9"/>
    <w:multiLevelType w:val="hybridMultilevel"/>
    <w:tmpl w:val="8AFC8640"/>
    <w:lvl w:ilvl="0" w:tplc="56A4274C">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4" w15:restartNumberingAfterBreak="0">
    <w:nsid w:val="27326986"/>
    <w:multiLevelType w:val="hybridMultilevel"/>
    <w:tmpl w:val="0E148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9166B9F"/>
    <w:multiLevelType w:val="hybridMultilevel"/>
    <w:tmpl w:val="084A4C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2B4D3F"/>
    <w:multiLevelType w:val="hybridMultilevel"/>
    <w:tmpl w:val="22C067F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34D51515"/>
    <w:multiLevelType w:val="hybridMultilevel"/>
    <w:tmpl w:val="DF8A7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7E17D9B"/>
    <w:multiLevelType w:val="multilevel"/>
    <w:tmpl w:val="F9CA5B2A"/>
    <w:lvl w:ilvl="0">
      <w:start w:val="1"/>
      <w:numFmt w:val="bullet"/>
      <w:lvlText w:val=""/>
      <w:lvlJc w:val="left"/>
      <w:pPr>
        <w:ind w:left="6" w:hanging="360"/>
      </w:pPr>
      <w:rPr>
        <w:rFonts w:ascii="Symbol" w:hAnsi="Symbol" w:hint="default"/>
      </w:rPr>
    </w:lvl>
    <w:lvl w:ilvl="1">
      <w:start w:val="2"/>
      <w:numFmt w:val="decimal"/>
      <w:isLgl/>
      <w:lvlText w:val="%1.%2"/>
      <w:lvlJc w:val="left"/>
      <w:pPr>
        <w:ind w:left="6" w:hanging="360"/>
      </w:pPr>
      <w:rPr>
        <w:rFonts w:hint="default"/>
      </w:rPr>
    </w:lvl>
    <w:lvl w:ilvl="2">
      <w:start w:val="1"/>
      <w:numFmt w:val="decimal"/>
      <w:isLgl/>
      <w:lvlText w:val="%1.%2.%3"/>
      <w:lvlJc w:val="left"/>
      <w:pPr>
        <w:ind w:left="366" w:hanging="720"/>
      </w:pPr>
      <w:rPr>
        <w:rFonts w:hint="default"/>
      </w:rPr>
    </w:lvl>
    <w:lvl w:ilvl="3">
      <w:start w:val="1"/>
      <w:numFmt w:val="decimal"/>
      <w:isLgl/>
      <w:lvlText w:val="%1.%2.%3.%4"/>
      <w:lvlJc w:val="left"/>
      <w:pPr>
        <w:ind w:left="366" w:hanging="720"/>
      </w:pPr>
      <w:rPr>
        <w:rFonts w:hint="default"/>
      </w:rPr>
    </w:lvl>
    <w:lvl w:ilvl="4">
      <w:start w:val="1"/>
      <w:numFmt w:val="decimal"/>
      <w:isLgl/>
      <w:lvlText w:val="%1.%2.%3.%4.%5"/>
      <w:lvlJc w:val="left"/>
      <w:pPr>
        <w:ind w:left="726" w:hanging="1080"/>
      </w:pPr>
      <w:rPr>
        <w:rFonts w:hint="default"/>
      </w:rPr>
    </w:lvl>
    <w:lvl w:ilvl="5">
      <w:start w:val="1"/>
      <w:numFmt w:val="decimal"/>
      <w:isLgl/>
      <w:lvlText w:val="%1.%2.%3.%4.%5.%6"/>
      <w:lvlJc w:val="left"/>
      <w:pPr>
        <w:ind w:left="726" w:hanging="1080"/>
      </w:pPr>
      <w:rPr>
        <w:rFonts w:hint="default"/>
      </w:rPr>
    </w:lvl>
    <w:lvl w:ilvl="6">
      <w:start w:val="1"/>
      <w:numFmt w:val="decimal"/>
      <w:isLgl/>
      <w:lvlText w:val="%1.%2.%3.%4.%5.%6.%7"/>
      <w:lvlJc w:val="left"/>
      <w:pPr>
        <w:ind w:left="1086" w:hanging="1440"/>
      </w:pPr>
      <w:rPr>
        <w:rFonts w:hint="default"/>
      </w:rPr>
    </w:lvl>
    <w:lvl w:ilvl="7">
      <w:start w:val="1"/>
      <w:numFmt w:val="decimal"/>
      <w:isLgl/>
      <w:lvlText w:val="%1.%2.%3.%4.%5.%6.%7.%8"/>
      <w:lvlJc w:val="left"/>
      <w:pPr>
        <w:ind w:left="1086" w:hanging="1440"/>
      </w:pPr>
      <w:rPr>
        <w:rFonts w:hint="default"/>
      </w:rPr>
    </w:lvl>
    <w:lvl w:ilvl="8">
      <w:start w:val="1"/>
      <w:numFmt w:val="decimal"/>
      <w:isLgl/>
      <w:lvlText w:val="%1.%2.%3.%4.%5.%6.%7.%8.%9"/>
      <w:lvlJc w:val="left"/>
      <w:pPr>
        <w:ind w:left="1446" w:hanging="1800"/>
      </w:pPr>
      <w:rPr>
        <w:rFonts w:hint="default"/>
      </w:rPr>
    </w:lvl>
  </w:abstractNum>
  <w:abstractNum w:abstractNumId="19" w15:restartNumberingAfterBreak="0">
    <w:nsid w:val="3A9F141A"/>
    <w:multiLevelType w:val="hybridMultilevel"/>
    <w:tmpl w:val="C046DF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BBD04B1"/>
    <w:multiLevelType w:val="hybridMultilevel"/>
    <w:tmpl w:val="1F1CB64E"/>
    <w:lvl w:ilvl="0" w:tplc="8076ACA4">
      <w:start w:val="1"/>
      <w:numFmt w:val="bullet"/>
      <w:lvlText w:val=""/>
      <w:lvlJc w:val="left"/>
      <w:pPr>
        <w:ind w:left="720" w:hanging="360"/>
      </w:pPr>
      <w:rPr>
        <w:rFonts w:ascii="Symbol" w:hAnsi="Symbol" w:hint="default"/>
      </w:rPr>
    </w:lvl>
    <w:lvl w:ilvl="1" w:tplc="9412FE98" w:tentative="1">
      <w:start w:val="1"/>
      <w:numFmt w:val="bullet"/>
      <w:lvlText w:val="o"/>
      <w:lvlJc w:val="left"/>
      <w:pPr>
        <w:ind w:left="1440" w:hanging="360"/>
      </w:pPr>
      <w:rPr>
        <w:rFonts w:ascii="Courier New" w:hAnsi="Courier New" w:cs="Courier New" w:hint="default"/>
      </w:rPr>
    </w:lvl>
    <w:lvl w:ilvl="2" w:tplc="A3C41934" w:tentative="1">
      <w:start w:val="1"/>
      <w:numFmt w:val="bullet"/>
      <w:lvlText w:val=""/>
      <w:lvlJc w:val="left"/>
      <w:pPr>
        <w:ind w:left="2160" w:hanging="360"/>
      </w:pPr>
      <w:rPr>
        <w:rFonts w:ascii="Wingdings" w:hAnsi="Wingdings" w:hint="default"/>
      </w:rPr>
    </w:lvl>
    <w:lvl w:ilvl="3" w:tplc="3084BE28" w:tentative="1">
      <w:start w:val="1"/>
      <w:numFmt w:val="bullet"/>
      <w:lvlText w:val=""/>
      <w:lvlJc w:val="left"/>
      <w:pPr>
        <w:ind w:left="2880" w:hanging="360"/>
      </w:pPr>
      <w:rPr>
        <w:rFonts w:ascii="Symbol" w:hAnsi="Symbol" w:hint="default"/>
      </w:rPr>
    </w:lvl>
    <w:lvl w:ilvl="4" w:tplc="BBA64520" w:tentative="1">
      <w:start w:val="1"/>
      <w:numFmt w:val="bullet"/>
      <w:lvlText w:val="o"/>
      <w:lvlJc w:val="left"/>
      <w:pPr>
        <w:ind w:left="3600" w:hanging="360"/>
      </w:pPr>
      <w:rPr>
        <w:rFonts w:ascii="Courier New" w:hAnsi="Courier New" w:cs="Courier New" w:hint="default"/>
      </w:rPr>
    </w:lvl>
    <w:lvl w:ilvl="5" w:tplc="369C8838" w:tentative="1">
      <w:start w:val="1"/>
      <w:numFmt w:val="bullet"/>
      <w:lvlText w:val=""/>
      <w:lvlJc w:val="left"/>
      <w:pPr>
        <w:ind w:left="4320" w:hanging="360"/>
      </w:pPr>
      <w:rPr>
        <w:rFonts w:ascii="Wingdings" w:hAnsi="Wingdings" w:hint="default"/>
      </w:rPr>
    </w:lvl>
    <w:lvl w:ilvl="6" w:tplc="6B180640" w:tentative="1">
      <w:start w:val="1"/>
      <w:numFmt w:val="bullet"/>
      <w:lvlText w:val=""/>
      <w:lvlJc w:val="left"/>
      <w:pPr>
        <w:ind w:left="5040" w:hanging="360"/>
      </w:pPr>
      <w:rPr>
        <w:rFonts w:ascii="Symbol" w:hAnsi="Symbol" w:hint="default"/>
      </w:rPr>
    </w:lvl>
    <w:lvl w:ilvl="7" w:tplc="380EDD5E" w:tentative="1">
      <w:start w:val="1"/>
      <w:numFmt w:val="bullet"/>
      <w:lvlText w:val="o"/>
      <w:lvlJc w:val="left"/>
      <w:pPr>
        <w:ind w:left="5760" w:hanging="360"/>
      </w:pPr>
      <w:rPr>
        <w:rFonts w:ascii="Courier New" w:hAnsi="Courier New" w:cs="Courier New" w:hint="default"/>
      </w:rPr>
    </w:lvl>
    <w:lvl w:ilvl="8" w:tplc="E4AC6176" w:tentative="1">
      <w:start w:val="1"/>
      <w:numFmt w:val="bullet"/>
      <w:lvlText w:val=""/>
      <w:lvlJc w:val="left"/>
      <w:pPr>
        <w:ind w:left="6480" w:hanging="360"/>
      </w:pPr>
      <w:rPr>
        <w:rFonts w:ascii="Wingdings" w:hAnsi="Wingdings" w:hint="default"/>
      </w:rPr>
    </w:lvl>
  </w:abstractNum>
  <w:abstractNum w:abstractNumId="21"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2" w15:restartNumberingAfterBreak="0">
    <w:nsid w:val="3EF6175C"/>
    <w:multiLevelType w:val="hybridMultilevel"/>
    <w:tmpl w:val="57001AC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F060C73"/>
    <w:multiLevelType w:val="hybridMultilevel"/>
    <w:tmpl w:val="B47695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5" w15:restartNumberingAfterBreak="0">
    <w:nsid w:val="4791420D"/>
    <w:multiLevelType w:val="hybridMultilevel"/>
    <w:tmpl w:val="7368EB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7" w15:restartNumberingAfterBreak="0">
    <w:nsid w:val="49CD7C72"/>
    <w:multiLevelType w:val="hybridMultilevel"/>
    <w:tmpl w:val="CC5EE0F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4C367099"/>
    <w:multiLevelType w:val="multilevel"/>
    <w:tmpl w:val="739C9E4C"/>
    <w:numStyleLink w:val="MurrumListStyle"/>
  </w:abstractNum>
  <w:abstractNum w:abstractNumId="29" w15:restartNumberingAfterBreak="0">
    <w:nsid w:val="51FF7A73"/>
    <w:multiLevelType w:val="hybridMultilevel"/>
    <w:tmpl w:val="D13A16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24900D1"/>
    <w:multiLevelType w:val="hybridMultilevel"/>
    <w:tmpl w:val="872C42E4"/>
    <w:lvl w:ilvl="0" w:tplc="8B5E044C">
      <w:start w:val="1"/>
      <w:numFmt w:val="decimal"/>
      <w:pStyle w:val="Normalnumbered"/>
      <w:lvlText w:val="%1."/>
      <w:lvlJc w:val="left"/>
      <w:pPr>
        <w:ind w:left="360" w:hanging="360"/>
      </w:pPr>
      <w:rPr>
        <w:rFonts w:asciiTheme="minorHAnsi" w:hAnsiTheme="minorHAnsi" w:cs="Times New Roman" w:hint="default"/>
        <w:b/>
        <w:bCs/>
        <w:sz w:val="22"/>
        <w:szCs w:val="22"/>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1" w15:restartNumberingAfterBreak="0">
    <w:nsid w:val="56233969"/>
    <w:multiLevelType w:val="hybridMultilevel"/>
    <w:tmpl w:val="AC06F2EC"/>
    <w:lvl w:ilvl="0" w:tplc="0C090001">
      <w:start w:val="1"/>
      <w:numFmt w:val="bullet"/>
      <w:lvlText w:val=""/>
      <w:lvlJc w:val="left"/>
      <w:pPr>
        <w:ind w:left="360" w:hanging="360"/>
      </w:pPr>
      <w:rPr>
        <w:rFonts w:ascii="Symbol" w:hAnsi="Symbol" w:hint="default"/>
      </w:rPr>
    </w:lvl>
    <w:lvl w:ilvl="1" w:tplc="0C090003">
      <w:start w:val="1"/>
      <w:numFmt w:val="lowerLetter"/>
      <w:lvlText w:val="%2."/>
      <w:lvlJc w:val="left"/>
      <w:pPr>
        <w:ind w:left="1080" w:hanging="360"/>
      </w:pPr>
    </w:lvl>
    <w:lvl w:ilvl="2" w:tplc="0C090005">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32" w15:restartNumberingAfterBreak="0">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33" w15:restartNumberingAfterBreak="0">
    <w:nsid w:val="58C24DAD"/>
    <w:multiLevelType w:val="hybridMultilevel"/>
    <w:tmpl w:val="637877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1E85773"/>
    <w:multiLevelType w:val="hybridMultilevel"/>
    <w:tmpl w:val="38DA7B22"/>
    <w:lvl w:ilvl="0" w:tplc="0C090001">
      <w:start w:val="1"/>
      <w:numFmt w:val="bullet"/>
      <w:lvlText w:val=""/>
      <w:lvlJc w:val="left"/>
      <w:pPr>
        <w:ind w:left="6" w:hanging="360"/>
      </w:pPr>
      <w:rPr>
        <w:rFonts w:ascii="Symbol" w:hAnsi="Symbol" w:hint="default"/>
      </w:rPr>
    </w:lvl>
    <w:lvl w:ilvl="1" w:tplc="0C090003">
      <w:start w:val="1"/>
      <w:numFmt w:val="bullet"/>
      <w:lvlText w:val="o"/>
      <w:lvlJc w:val="left"/>
      <w:pPr>
        <w:ind w:left="726" w:hanging="360"/>
      </w:pPr>
      <w:rPr>
        <w:rFonts w:ascii="Courier New" w:hAnsi="Courier New" w:cs="Courier New" w:hint="default"/>
      </w:rPr>
    </w:lvl>
    <w:lvl w:ilvl="2" w:tplc="0C090005">
      <w:start w:val="1"/>
      <w:numFmt w:val="bullet"/>
      <w:lvlText w:val=""/>
      <w:lvlJc w:val="left"/>
      <w:pPr>
        <w:ind w:left="1446" w:hanging="360"/>
      </w:pPr>
      <w:rPr>
        <w:rFonts w:ascii="Wingdings" w:hAnsi="Wingdings" w:hint="default"/>
      </w:rPr>
    </w:lvl>
    <w:lvl w:ilvl="3" w:tplc="0C090001">
      <w:start w:val="1"/>
      <w:numFmt w:val="bullet"/>
      <w:lvlText w:val=""/>
      <w:lvlJc w:val="left"/>
      <w:pPr>
        <w:ind w:left="2166" w:hanging="360"/>
      </w:pPr>
      <w:rPr>
        <w:rFonts w:ascii="Symbol" w:hAnsi="Symbol" w:hint="default"/>
      </w:rPr>
    </w:lvl>
    <w:lvl w:ilvl="4" w:tplc="0C090003">
      <w:start w:val="1"/>
      <w:numFmt w:val="bullet"/>
      <w:lvlText w:val="o"/>
      <w:lvlJc w:val="left"/>
      <w:pPr>
        <w:ind w:left="2886" w:hanging="360"/>
      </w:pPr>
      <w:rPr>
        <w:rFonts w:ascii="Courier New" w:hAnsi="Courier New" w:cs="Courier New" w:hint="default"/>
      </w:rPr>
    </w:lvl>
    <w:lvl w:ilvl="5" w:tplc="0C090005">
      <w:start w:val="1"/>
      <w:numFmt w:val="bullet"/>
      <w:lvlText w:val=""/>
      <w:lvlJc w:val="left"/>
      <w:pPr>
        <w:ind w:left="3606" w:hanging="360"/>
      </w:pPr>
      <w:rPr>
        <w:rFonts w:ascii="Wingdings" w:hAnsi="Wingdings" w:hint="default"/>
      </w:rPr>
    </w:lvl>
    <w:lvl w:ilvl="6" w:tplc="0C090001">
      <w:start w:val="1"/>
      <w:numFmt w:val="bullet"/>
      <w:lvlText w:val=""/>
      <w:lvlJc w:val="left"/>
      <w:pPr>
        <w:ind w:left="4326" w:hanging="360"/>
      </w:pPr>
      <w:rPr>
        <w:rFonts w:ascii="Symbol" w:hAnsi="Symbol" w:hint="default"/>
      </w:rPr>
    </w:lvl>
    <w:lvl w:ilvl="7" w:tplc="0C090003">
      <w:start w:val="1"/>
      <w:numFmt w:val="bullet"/>
      <w:lvlText w:val="o"/>
      <w:lvlJc w:val="left"/>
      <w:pPr>
        <w:ind w:left="5046" w:hanging="360"/>
      </w:pPr>
      <w:rPr>
        <w:rFonts w:ascii="Courier New" w:hAnsi="Courier New" w:cs="Courier New" w:hint="default"/>
      </w:rPr>
    </w:lvl>
    <w:lvl w:ilvl="8" w:tplc="0C090005">
      <w:start w:val="1"/>
      <w:numFmt w:val="bullet"/>
      <w:lvlText w:val=""/>
      <w:lvlJc w:val="left"/>
      <w:pPr>
        <w:ind w:left="5766" w:hanging="360"/>
      </w:pPr>
      <w:rPr>
        <w:rFonts w:ascii="Wingdings" w:hAnsi="Wingdings" w:hint="default"/>
      </w:rPr>
    </w:lvl>
  </w:abstractNum>
  <w:abstractNum w:abstractNumId="35" w15:restartNumberingAfterBreak="0">
    <w:nsid w:val="636F6A6B"/>
    <w:multiLevelType w:val="hybridMultilevel"/>
    <w:tmpl w:val="DD52225A"/>
    <w:lvl w:ilvl="0" w:tplc="E702EE1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63A032BF"/>
    <w:multiLevelType w:val="hybridMultilevel"/>
    <w:tmpl w:val="F20676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B015934"/>
    <w:multiLevelType w:val="hybridMultilevel"/>
    <w:tmpl w:val="B11643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CB7672E"/>
    <w:multiLevelType w:val="hybridMultilevel"/>
    <w:tmpl w:val="01DA73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1">
      <w:start w:val="1"/>
      <w:numFmt w:val="bullet"/>
      <w:lvlText w:val=""/>
      <w:lvlJc w:val="left"/>
      <w:pPr>
        <w:ind w:left="1800" w:hanging="360"/>
      </w:pPr>
      <w:rPr>
        <w:rFonts w:ascii="Symbol" w:hAnsi="Symbo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73CA6BE6"/>
    <w:multiLevelType w:val="multilevel"/>
    <w:tmpl w:val="58483844"/>
    <w:lvl w:ilvl="0">
      <w:start w:val="2016"/>
      <w:numFmt w:val="decimal"/>
      <w:lvlText w:val="%1"/>
      <w:lvlJc w:val="left"/>
      <w:pPr>
        <w:ind w:left="600" w:hanging="600"/>
      </w:pPr>
      <w:rPr>
        <w:rFonts w:hint="default"/>
      </w:rPr>
    </w:lvl>
    <w:lvl w:ilvl="1">
      <w:start w:val="17"/>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41" w15:restartNumberingAfterBreak="0">
    <w:nsid w:val="774C5E24"/>
    <w:multiLevelType w:val="multilevel"/>
    <w:tmpl w:val="0A42F2E2"/>
    <w:lvl w:ilvl="0">
      <w:start w:val="8"/>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1"/>
  </w:num>
  <w:num w:numId="2">
    <w:abstractNumId w:val="2"/>
  </w:num>
  <w:num w:numId="3">
    <w:abstractNumId w:val="28"/>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4"/>
  </w:num>
  <w:num w:numId="5">
    <w:abstractNumId w:val="1"/>
  </w:num>
  <w:num w:numId="6">
    <w:abstractNumId w:val="0"/>
  </w:num>
  <w:num w:numId="7">
    <w:abstractNumId w:val="40"/>
  </w:num>
  <w:num w:numId="8">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31"/>
  </w:num>
  <w:num w:numId="11">
    <w:abstractNumId w:val="15"/>
  </w:num>
  <w:num w:numId="12">
    <w:abstractNumId w:val="9"/>
  </w:num>
  <w:num w:numId="13">
    <w:abstractNumId w:val="32"/>
  </w:num>
  <w:num w:numId="14">
    <w:abstractNumId w:val="5"/>
  </w:num>
  <w:num w:numId="15">
    <w:abstractNumId w:val="4"/>
  </w:num>
  <w:num w:numId="16">
    <w:abstractNumId w:val="12"/>
  </w:num>
  <w:num w:numId="17">
    <w:abstractNumId w:val="20"/>
  </w:num>
  <w:num w:numId="18">
    <w:abstractNumId w:val="29"/>
  </w:num>
  <w:num w:numId="19">
    <w:abstractNumId w:val="22"/>
  </w:num>
  <w:num w:numId="20">
    <w:abstractNumId w:val="36"/>
  </w:num>
  <w:num w:numId="21">
    <w:abstractNumId w:val="39"/>
  </w:num>
  <w:num w:numId="22">
    <w:abstractNumId w:val="18"/>
  </w:num>
  <w:num w:numId="23">
    <w:abstractNumId w:val="10"/>
  </w:num>
  <w:num w:numId="24">
    <w:abstractNumId w:val="35"/>
  </w:num>
  <w:num w:numId="25">
    <w:abstractNumId w:val="7"/>
  </w:num>
  <w:num w:numId="26">
    <w:abstractNumId w:val="16"/>
  </w:num>
  <w:num w:numId="27">
    <w:abstractNumId w:val="33"/>
  </w:num>
  <w:num w:numId="28">
    <w:abstractNumId w:val="23"/>
  </w:num>
  <w:num w:numId="29">
    <w:abstractNumId w:val="41"/>
    <w:lvlOverride w:ilvl="0">
      <w:startOverride w:val="8"/>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num>
  <w:num w:numId="31">
    <w:abstractNumId w:val="17"/>
  </w:num>
  <w:num w:numId="32">
    <w:abstractNumId w:val="3"/>
  </w:num>
  <w:num w:numId="33">
    <w:abstractNumId w:val="38"/>
  </w:num>
  <w:num w:numId="34">
    <w:abstractNumId w:val="25"/>
  </w:num>
  <w:num w:numId="35">
    <w:abstractNumId w:val="6"/>
  </w:num>
  <w:num w:numId="36">
    <w:abstractNumId w:val="8"/>
  </w:num>
  <w:num w:numId="37">
    <w:abstractNumId w:val="34"/>
  </w:num>
  <w:num w:numId="38">
    <w:abstractNumId w:val="30"/>
    <w:lvlOverride w:ilvl="0">
      <w:startOverride w:val="1"/>
    </w:lvlOverride>
  </w:num>
  <w:num w:numId="39">
    <w:abstractNumId w:val="27"/>
  </w:num>
  <w:num w:numId="40">
    <w:abstractNumId w:val="37"/>
  </w:num>
  <w:num w:numId="41">
    <w:abstractNumId w:val="11"/>
  </w:num>
  <w:num w:numId="42">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isplayHorizontalDrawingGridEvery w:val="2"/>
  <w:characterSpacingControl w:val="doNotCompress"/>
  <w:savePreviewPicture/>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29ddxw9p900s9ef22lv2wprd9wr9rtp20ps&quot;&gt;Library-Journals-Converted&lt;record-ids&gt;&lt;item&gt;3&lt;/item&gt;&lt;item&gt;77&lt;/item&gt;&lt;item&gt;78&lt;/item&gt;&lt;item&gt;85&lt;/item&gt;&lt;item&gt;241&lt;/item&gt;&lt;item&gt;310&lt;/item&gt;&lt;item&gt;414&lt;/item&gt;&lt;item&gt;532&lt;/item&gt;&lt;item&gt;752&lt;/item&gt;&lt;item&gt;902&lt;/item&gt;&lt;item&gt;1538&lt;/item&gt;&lt;item&gt;1575&lt;/item&gt;&lt;item&gt;1631&lt;/item&gt;&lt;item&gt;1812&lt;/item&gt;&lt;item&gt;1813&lt;/item&gt;&lt;item&gt;1815&lt;/item&gt;&lt;item&gt;1816&lt;/item&gt;&lt;item&gt;1818&lt;/item&gt;&lt;item&gt;1819&lt;/item&gt;&lt;item&gt;1902&lt;/item&gt;&lt;item&gt;1908&lt;/item&gt;&lt;item&gt;1909&lt;/item&gt;&lt;item&gt;1920&lt;/item&gt;&lt;item&gt;1921&lt;/item&gt;&lt;item&gt;1923&lt;/item&gt;&lt;item&gt;1925&lt;/item&gt;&lt;item&gt;1930&lt;/item&gt;&lt;item&gt;1931&lt;/item&gt;&lt;item&gt;1933&lt;/item&gt;&lt;item&gt;1934&lt;/item&gt;&lt;item&gt;1938&lt;/item&gt;&lt;item&gt;1940&lt;/item&gt;&lt;item&gt;1954&lt;/item&gt;&lt;item&gt;1956&lt;/item&gt;&lt;item&gt;1972&lt;/item&gt;&lt;item&gt;1973&lt;/item&gt;&lt;item&gt;1974&lt;/item&gt;&lt;item&gt;1983&lt;/item&gt;&lt;item&gt;1984&lt;/item&gt;&lt;item&gt;1986&lt;/item&gt;&lt;/record-ids&gt;&lt;/item&gt;&lt;/Libraries&gt;"/>
  </w:docVars>
  <w:rsids>
    <w:rsidRoot w:val="003D4358"/>
    <w:rsid w:val="00000076"/>
    <w:rsid w:val="00000318"/>
    <w:rsid w:val="00000472"/>
    <w:rsid w:val="00000A4B"/>
    <w:rsid w:val="00000B8C"/>
    <w:rsid w:val="00000D5A"/>
    <w:rsid w:val="00000FED"/>
    <w:rsid w:val="000010A0"/>
    <w:rsid w:val="000010E4"/>
    <w:rsid w:val="0000118E"/>
    <w:rsid w:val="000011E6"/>
    <w:rsid w:val="00001306"/>
    <w:rsid w:val="0000180C"/>
    <w:rsid w:val="00001AC1"/>
    <w:rsid w:val="00001E11"/>
    <w:rsid w:val="0000218C"/>
    <w:rsid w:val="000022FB"/>
    <w:rsid w:val="00002561"/>
    <w:rsid w:val="00002774"/>
    <w:rsid w:val="000028D4"/>
    <w:rsid w:val="00002956"/>
    <w:rsid w:val="00002A0A"/>
    <w:rsid w:val="00002BDF"/>
    <w:rsid w:val="00003368"/>
    <w:rsid w:val="00003441"/>
    <w:rsid w:val="000038C7"/>
    <w:rsid w:val="00003CDE"/>
    <w:rsid w:val="00004021"/>
    <w:rsid w:val="00004339"/>
    <w:rsid w:val="0000447F"/>
    <w:rsid w:val="000045B7"/>
    <w:rsid w:val="000048E0"/>
    <w:rsid w:val="00004A5C"/>
    <w:rsid w:val="00004DE6"/>
    <w:rsid w:val="00005496"/>
    <w:rsid w:val="00005911"/>
    <w:rsid w:val="00005BFF"/>
    <w:rsid w:val="00005EEB"/>
    <w:rsid w:val="00005F4B"/>
    <w:rsid w:val="0000604C"/>
    <w:rsid w:val="0000622A"/>
    <w:rsid w:val="00006424"/>
    <w:rsid w:val="0000673F"/>
    <w:rsid w:val="00006AA2"/>
    <w:rsid w:val="00006C43"/>
    <w:rsid w:val="00006C65"/>
    <w:rsid w:val="00006CBE"/>
    <w:rsid w:val="00006E85"/>
    <w:rsid w:val="000070E1"/>
    <w:rsid w:val="000076FD"/>
    <w:rsid w:val="00007763"/>
    <w:rsid w:val="000077DC"/>
    <w:rsid w:val="00007916"/>
    <w:rsid w:val="00007A57"/>
    <w:rsid w:val="00007B4B"/>
    <w:rsid w:val="00007F7F"/>
    <w:rsid w:val="00007FB4"/>
    <w:rsid w:val="0001002D"/>
    <w:rsid w:val="00010189"/>
    <w:rsid w:val="0001069D"/>
    <w:rsid w:val="00010AFE"/>
    <w:rsid w:val="00011592"/>
    <w:rsid w:val="00012407"/>
    <w:rsid w:val="0001263E"/>
    <w:rsid w:val="00012C75"/>
    <w:rsid w:val="00013016"/>
    <w:rsid w:val="000131D9"/>
    <w:rsid w:val="000136AC"/>
    <w:rsid w:val="0001389A"/>
    <w:rsid w:val="000138AB"/>
    <w:rsid w:val="00014170"/>
    <w:rsid w:val="00014ACB"/>
    <w:rsid w:val="00014B24"/>
    <w:rsid w:val="00014C6E"/>
    <w:rsid w:val="000155CA"/>
    <w:rsid w:val="00016023"/>
    <w:rsid w:val="0001607F"/>
    <w:rsid w:val="00016642"/>
    <w:rsid w:val="0001672E"/>
    <w:rsid w:val="000169D1"/>
    <w:rsid w:val="00016BB7"/>
    <w:rsid w:val="00017291"/>
    <w:rsid w:val="0001737B"/>
    <w:rsid w:val="0001769D"/>
    <w:rsid w:val="00017957"/>
    <w:rsid w:val="00017C45"/>
    <w:rsid w:val="00017CB3"/>
    <w:rsid w:val="0002051F"/>
    <w:rsid w:val="000208E7"/>
    <w:rsid w:val="00020EE5"/>
    <w:rsid w:val="0002174A"/>
    <w:rsid w:val="00021F55"/>
    <w:rsid w:val="00022456"/>
    <w:rsid w:val="000229F8"/>
    <w:rsid w:val="00022ABD"/>
    <w:rsid w:val="00022E04"/>
    <w:rsid w:val="00022E13"/>
    <w:rsid w:val="00023224"/>
    <w:rsid w:val="000232C2"/>
    <w:rsid w:val="000236BC"/>
    <w:rsid w:val="00023981"/>
    <w:rsid w:val="00024AD6"/>
    <w:rsid w:val="00024E9D"/>
    <w:rsid w:val="0002529A"/>
    <w:rsid w:val="000254C2"/>
    <w:rsid w:val="00025851"/>
    <w:rsid w:val="00025DDA"/>
    <w:rsid w:val="0002623B"/>
    <w:rsid w:val="0002630A"/>
    <w:rsid w:val="000264A4"/>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AAE"/>
    <w:rsid w:val="00032F7C"/>
    <w:rsid w:val="00033119"/>
    <w:rsid w:val="0003336C"/>
    <w:rsid w:val="000335FE"/>
    <w:rsid w:val="0003365C"/>
    <w:rsid w:val="00033AC0"/>
    <w:rsid w:val="00033BEB"/>
    <w:rsid w:val="00033C35"/>
    <w:rsid w:val="00033F8D"/>
    <w:rsid w:val="00034747"/>
    <w:rsid w:val="00034940"/>
    <w:rsid w:val="00035330"/>
    <w:rsid w:val="000354E3"/>
    <w:rsid w:val="00035F7C"/>
    <w:rsid w:val="00036304"/>
    <w:rsid w:val="00036528"/>
    <w:rsid w:val="000367EB"/>
    <w:rsid w:val="00036CD6"/>
    <w:rsid w:val="000379C1"/>
    <w:rsid w:val="00037BAE"/>
    <w:rsid w:val="00037F02"/>
    <w:rsid w:val="0004030C"/>
    <w:rsid w:val="000408C9"/>
    <w:rsid w:val="00040B24"/>
    <w:rsid w:val="00040C45"/>
    <w:rsid w:val="000410FB"/>
    <w:rsid w:val="00041326"/>
    <w:rsid w:val="000418C5"/>
    <w:rsid w:val="00041B44"/>
    <w:rsid w:val="00041B8F"/>
    <w:rsid w:val="00041CBE"/>
    <w:rsid w:val="000421DE"/>
    <w:rsid w:val="00042426"/>
    <w:rsid w:val="000426DB"/>
    <w:rsid w:val="00042976"/>
    <w:rsid w:val="00042A47"/>
    <w:rsid w:val="00042C87"/>
    <w:rsid w:val="00042DFD"/>
    <w:rsid w:val="00042E02"/>
    <w:rsid w:val="000434A6"/>
    <w:rsid w:val="000434F7"/>
    <w:rsid w:val="00043617"/>
    <w:rsid w:val="000444AE"/>
    <w:rsid w:val="00044643"/>
    <w:rsid w:val="00044D56"/>
    <w:rsid w:val="00044DCB"/>
    <w:rsid w:val="00044DE1"/>
    <w:rsid w:val="00045264"/>
    <w:rsid w:val="000454E7"/>
    <w:rsid w:val="000458AA"/>
    <w:rsid w:val="0004597B"/>
    <w:rsid w:val="00045A64"/>
    <w:rsid w:val="00045B27"/>
    <w:rsid w:val="00045C8E"/>
    <w:rsid w:val="00045DA0"/>
    <w:rsid w:val="000460B5"/>
    <w:rsid w:val="00046251"/>
    <w:rsid w:val="000462F7"/>
    <w:rsid w:val="000464E2"/>
    <w:rsid w:val="000464F2"/>
    <w:rsid w:val="0004661D"/>
    <w:rsid w:val="0004671E"/>
    <w:rsid w:val="00046914"/>
    <w:rsid w:val="00046C6D"/>
    <w:rsid w:val="0004717B"/>
    <w:rsid w:val="000471B0"/>
    <w:rsid w:val="00047422"/>
    <w:rsid w:val="000475CA"/>
    <w:rsid w:val="00047929"/>
    <w:rsid w:val="00047C49"/>
    <w:rsid w:val="00047D23"/>
    <w:rsid w:val="00047D9D"/>
    <w:rsid w:val="000503C7"/>
    <w:rsid w:val="000504AD"/>
    <w:rsid w:val="00050725"/>
    <w:rsid w:val="00051479"/>
    <w:rsid w:val="00051512"/>
    <w:rsid w:val="0005178A"/>
    <w:rsid w:val="00051813"/>
    <w:rsid w:val="000519A2"/>
    <w:rsid w:val="00051C5B"/>
    <w:rsid w:val="00051D45"/>
    <w:rsid w:val="00051EE1"/>
    <w:rsid w:val="00052289"/>
    <w:rsid w:val="0005230B"/>
    <w:rsid w:val="00052348"/>
    <w:rsid w:val="0005244A"/>
    <w:rsid w:val="00052477"/>
    <w:rsid w:val="000529FF"/>
    <w:rsid w:val="00052C6A"/>
    <w:rsid w:val="00053623"/>
    <w:rsid w:val="00053856"/>
    <w:rsid w:val="00053A16"/>
    <w:rsid w:val="00053B0F"/>
    <w:rsid w:val="00053D27"/>
    <w:rsid w:val="0005434C"/>
    <w:rsid w:val="00054678"/>
    <w:rsid w:val="00054718"/>
    <w:rsid w:val="00054B0C"/>
    <w:rsid w:val="00054B18"/>
    <w:rsid w:val="00054C1E"/>
    <w:rsid w:val="00054F26"/>
    <w:rsid w:val="00055283"/>
    <w:rsid w:val="000552CC"/>
    <w:rsid w:val="000552E9"/>
    <w:rsid w:val="0005531A"/>
    <w:rsid w:val="00055354"/>
    <w:rsid w:val="000558D0"/>
    <w:rsid w:val="00055920"/>
    <w:rsid w:val="00055EAA"/>
    <w:rsid w:val="0005645C"/>
    <w:rsid w:val="000565FF"/>
    <w:rsid w:val="000566C4"/>
    <w:rsid w:val="00056851"/>
    <w:rsid w:val="00056BE3"/>
    <w:rsid w:val="00056E18"/>
    <w:rsid w:val="00056F24"/>
    <w:rsid w:val="00056F6C"/>
    <w:rsid w:val="00056FA0"/>
    <w:rsid w:val="000572D6"/>
    <w:rsid w:val="00057856"/>
    <w:rsid w:val="00057DD3"/>
    <w:rsid w:val="000602B4"/>
    <w:rsid w:val="000604B2"/>
    <w:rsid w:val="00060642"/>
    <w:rsid w:val="0006073E"/>
    <w:rsid w:val="00060C43"/>
    <w:rsid w:val="00060FCB"/>
    <w:rsid w:val="0006173A"/>
    <w:rsid w:val="00062455"/>
    <w:rsid w:val="0006247C"/>
    <w:rsid w:val="00062837"/>
    <w:rsid w:val="00062B04"/>
    <w:rsid w:val="000632BD"/>
    <w:rsid w:val="00063795"/>
    <w:rsid w:val="00063AAE"/>
    <w:rsid w:val="00063D59"/>
    <w:rsid w:val="00063D61"/>
    <w:rsid w:val="000640D2"/>
    <w:rsid w:val="00064254"/>
    <w:rsid w:val="0006441C"/>
    <w:rsid w:val="00064CF7"/>
    <w:rsid w:val="00065225"/>
    <w:rsid w:val="00065B96"/>
    <w:rsid w:val="00066046"/>
    <w:rsid w:val="00066057"/>
    <w:rsid w:val="000661CE"/>
    <w:rsid w:val="000664ED"/>
    <w:rsid w:val="00066C8C"/>
    <w:rsid w:val="00066DDA"/>
    <w:rsid w:val="00067254"/>
    <w:rsid w:val="0006797F"/>
    <w:rsid w:val="00067CF0"/>
    <w:rsid w:val="00067FC1"/>
    <w:rsid w:val="000707C4"/>
    <w:rsid w:val="00070D41"/>
    <w:rsid w:val="00070EDC"/>
    <w:rsid w:val="0007117D"/>
    <w:rsid w:val="000717D9"/>
    <w:rsid w:val="000718A3"/>
    <w:rsid w:val="000720E6"/>
    <w:rsid w:val="0007224D"/>
    <w:rsid w:val="00072424"/>
    <w:rsid w:val="00072C97"/>
    <w:rsid w:val="00072CDE"/>
    <w:rsid w:val="000732AD"/>
    <w:rsid w:val="0007338E"/>
    <w:rsid w:val="000734B1"/>
    <w:rsid w:val="0007392D"/>
    <w:rsid w:val="00073DAC"/>
    <w:rsid w:val="00074224"/>
    <w:rsid w:val="000742BD"/>
    <w:rsid w:val="00074B92"/>
    <w:rsid w:val="00074D2A"/>
    <w:rsid w:val="00074DF8"/>
    <w:rsid w:val="00074E88"/>
    <w:rsid w:val="00074FE7"/>
    <w:rsid w:val="000751B0"/>
    <w:rsid w:val="000757B4"/>
    <w:rsid w:val="00075E74"/>
    <w:rsid w:val="000761F9"/>
    <w:rsid w:val="00077775"/>
    <w:rsid w:val="00077829"/>
    <w:rsid w:val="00077A16"/>
    <w:rsid w:val="00077AD4"/>
    <w:rsid w:val="00077BDD"/>
    <w:rsid w:val="00077D07"/>
    <w:rsid w:val="00080486"/>
    <w:rsid w:val="00080531"/>
    <w:rsid w:val="000808A6"/>
    <w:rsid w:val="000813E3"/>
    <w:rsid w:val="0008155B"/>
    <w:rsid w:val="00081606"/>
    <w:rsid w:val="00081EA6"/>
    <w:rsid w:val="00081FF0"/>
    <w:rsid w:val="00082043"/>
    <w:rsid w:val="000824D0"/>
    <w:rsid w:val="0008260E"/>
    <w:rsid w:val="00082E15"/>
    <w:rsid w:val="000831DC"/>
    <w:rsid w:val="0008361C"/>
    <w:rsid w:val="00083A75"/>
    <w:rsid w:val="00083D2B"/>
    <w:rsid w:val="000842A2"/>
    <w:rsid w:val="00084671"/>
    <w:rsid w:val="000848AF"/>
    <w:rsid w:val="00084F55"/>
    <w:rsid w:val="000856D5"/>
    <w:rsid w:val="000858D7"/>
    <w:rsid w:val="00085A12"/>
    <w:rsid w:val="00085D64"/>
    <w:rsid w:val="00085EAB"/>
    <w:rsid w:val="00085FA6"/>
    <w:rsid w:val="000863FF"/>
    <w:rsid w:val="00086885"/>
    <w:rsid w:val="000868CE"/>
    <w:rsid w:val="00086959"/>
    <w:rsid w:val="00086C2A"/>
    <w:rsid w:val="00086FEE"/>
    <w:rsid w:val="00086FF4"/>
    <w:rsid w:val="000872D2"/>
    <w:rsid w:val="0008783B"/>
    <w:rsid w:val="0008796E"/>
    <w:rsid w:val="000879A5"/>
    <w:rsid w:val="00087D89"/>
    <w:rsid w:val="00087F65"/>
    <w:rsid w:val="000901C7"/>
    <w:rsid w:val="000905A8"/>
    <w:rsid w:val="00090B0F"/>
    <w:rsid w:val="00091208"/>
    <w:rsid w:val="0009147C"/>
    <w:rsid w:val="00091743"/>
    <w:rsid w:val="00092180"/>
    <w:rsid w:val="000921DF"/>
    <w:rsid w:val="00092AA4"/>
    <w:rsid w:val="00092E09"/>
    <w:rsid w:val="0009301A"/>
    <w:rsid w:val="000933F5"/>
    <w:rsid w:val="000934CD"/>
    <w:rsid w:val="0009398A"/>
    <w:rsid w:val="00093B24"/>
    <w:rsid w:val="00093C2A"/>
    <w:rsid w:val="00093E07"/>
    <w:rsid w:val="0009435E"/>
    <w:rsid w:val="00094E7D"/>
    <w:rsid w:val="0009501A"/>
    <w:rsid w:val="0009516D"/>
    <w:rsid w:val="000952A6"/>
    <w:rsid w:val="000954C6"/>
    <w:rsid w:val="0009589A"/>
    <w:rsid w:val="0009650E"/>
    <w:rsid w:val="00096C51"/>
    <w:rsid w:val="00096E57"/>
    <w:rsid w:val="00096F4B"/>
    <w:rsid w:val="0009713A"/>
    <w:rsid w:val="00097398"/>
    <w:rsid w:val="000974B5"/>
    <w:rsid w:val="00097512"/>
    <w:rsid w:val="0009777A"/>
    <w:rsid w:val="00097F12"/>
    <w:rsid w:val="00097FE4"/>
    <w:rsid w:val="000A0280"/>
    <w:rsid w:val="000A0596"/>
    <w:rsid w:val="000A097B"/>
    <w:rsid w:val="000A0B6B"/>
    <w:rsid w:val="000A0DF0"/>
    <w:rsid w:val="000A118D"/>
    <w:rsid w:val="000A1B27"/>
    <w:rsid w:val="000A1C85"/>
    <w:rsid w:val="000A204A"/>
    <w:rsid w:val="000A218C"/>
    <w:rsid w:val="000A269E"/>
    <w:rsid w:val="000A2A70"/>
    <w:rsid w:val="000A2AB4"/>
    <w:rsid w:val="000A2BC9"/>
    <w:rsid w:val="000A2C76"/>
    <w:rsid w:val="000A3542"/>
    <w:rsid w:val="000A3633"/>
    <w:rsid w:val="000A377E"/>
    <w:rsid w:val="000A3D05"/>
    <w:rsid w:val="000A4BC5"/>
    <w:rsid w:val="000A4C59"/>
    <w:rsid w:val="000A4C5A"/>
    <w:rsid w:val="000A511A"/>
    <w:rsid w:val="000A544D"/>
    <w:rsid w:val="000A5595"/>
    <w:rsid w:val="000A6B1E"/>
    <w:rsid w:val="000A6D80"/>
    <w:rsid w:val="000A7373"/>
    <w:rsid w:val="000A7574"/>
    <w:rsid w:val="000A7760"/>
    <w:rsid w:val="000A7FFB"/>
    <w:rsid w:val="000B0293"/>
    <w:rsid w:val="000B0417"/>
    <w:rsid w:val="000B0C8D"/>
    <w:rsid w:val="000B1107"/>
    <w:rsid w:val="000B11BF"/>
    <w:rsid w:val="000B1443"/>
    <w:rsid w:val="000B154F"/>
    <w:rsid w:val="000B1771"/>
    <w:rsid w:val="000B1D85"/>
    <w:rsid w:val="000B2686"/>
    <w:rsid w:val="000B2A64"/>
    <w:rsid w:val="000B2D5D"/>
    <w:rsid w:val="000B2DB6"/>
    <w:rsid w:val="000B2E9A"/>
    <w:rsid w:val="000B3666"/>
    <w:rsid w:val="000B392B"/>
    <w:rsid w:val="000B3BA9"/>
    <w:rsid w:val="000B3D78"/>
    <w:rsid w:val="000B3DBC"/>
    <w:rsid w:val="000B401E"/>
    <w:rsid w:val="000B40E9"/>
    <w:rsid w:val="000B480E"/>
    <w:rsid w:val="000B513B"/>
    <w:rsid w:val="000B53FF"/>
    <w:rsid w:val="000B5816"/>
    <w:rsid w:val="000B5933"/>
    <w:rsid w:val="000B5D36"/>
    <w:rsid w:val="000B5FD7"/>
    <w:rsid w:val="000B61B6"/>
    <w:rsid w:val="000B68F2"/>
    <w:rsid w:val="000B6FEC"/>
    <w:rsid w:val="000B7C55"/>
    <w:rsid w:val="000B7D8B"/>
    <w:rsid w:val="000C028D"/>
    <w:rsid w:val="000C0806"/>
    <w:rsid w:val="000C0AE4"/>
    <w:rsid w:val="000C0D0E"/>
    <w:rsid w:val="000C122A"/>
    <w:rsid w:val="000C13D2"/>
    <w:rsid w:val="000C1ACC"/>
    <w:rsid w:val="000C1DD1"/>
    <w:rsid w:val="000C1DEB"/>
    <w:rsid w:val="000C1F42"/>
    <w:rsid w:val="000C2237"/>
    <w:rsid w:val="000C230B"/>
    <w:rsid w:val="000C25FB"/>
    <w:rsid w:val="000C2720"/>
    <w:rsid w:val="000C28CD"/>
    <w:rsid w:val="000C2A4D"/>
    <w:rsid w:val="000C2A6F"/>
    <w:rsid w:val="000C30D3"/>
    <w:rsid w:val="000C3552"/>
    <w:rsid w:val="000C3771"/>
    <w:rsid w:val="000C38A8"/>
    <w:rsid w:val="000C3B8B"/>
    <w:rsid w:val="000C3F9C"/>
    <w:rsid w:val="000C41CB"/>
    <w:rsid w:val="000C4278"/>
    <w:rsid w:val="000C4D0D"/>
    <w:rsid w:val="000C578B"/>
    <w:rsid w:val="000C5C16"/>
    <w:rsid w:val="000C5EE6"/>
    <w:rsid w:val="000C6016"/>
    <w:rsid w:val="000C6192"/>
    <w:rsid w:val="000C63DB"/>
    <w:rsid w:val="000C6BA7"/>
    <w:rsid w:val="000C6BDD"/>
    <w:rsid w:val="000C6F57"/>
    <w:rsid w:val="000C702B"/>
    <w:rsid w:val="000C7234"/>
    <w:rsid w:val="000C753F"/>
    <w:rsid w:val="000C7605"/>
    <w:rsid w:val="000C7C85"/>
    <w:rsid w:val="000C7D76"/>
    <w:rsid w:val="000D0387"/>
    <w:rsid w:val="000D0526"/>
    <w:rsid w:val="000D0669"/>
    <w:rsid w:val="000D0967"/>
    <w:rsid w:val="000D09FF"/>
    <w:rsid w:val="000D0DB3"/>
    <w:rsid w:val="000D0DCB"/>
    <w:rsid w:val="000D105B"/>
    <w:rsid w:val="000D13BE"/>
    <w:rsid w:val="000D16F8"/>
    <w:rsid w:val="000D17D4"/>
    <w:rsid w:val="000D1CC6"/>
    <w:rsid w:val="000D1D1A"/>
    <w:rsid w:val="000D1FB1"/>
    <w:rsid w:val="000D26CC"/>
    <w:rsid w:val="000D2A6F"/>
    <w:rsid w:val="000D2BF9"/>
    <w:rsid w:val="000D2D0D"/>
    <w:rsid w:val="000D2DB0"/>
    <w:rsid w:val="000D2E5E"/>
    <w:rsid w:val="000D30CA"/>
    <w:rsid w:val="000D3578"/>
    <w:rsid w:val="000D3A12"/>
    <w:rsid w:val="000D3D27"/>
    <w:rsid w:val="000D4074"/>
    <w:rsid w:val="000D42B6"/>
    <w:rsid w:val="000D47CB"/>
    <w:rsid w:val="000D4B51"/>
    <w:rsid w:val="000D4E0B"/>
    <w:rsid w:val="000D4FBF"/>
    <w:rsid w:val="000D50A6"/>
    <w:rsid w:val="000D529E"/>
    <w:rsid w:val="000D5416"/>
    <w:rsid w:val="000D561C"/>
    <w:rsid w:val="000D5675"/>
    <w:rsid w:val="000D569B"/>
    <w:rsid w:val="000D58BB"/>
    <w:rsid w:val="000D5B75"/>
    <w:rsid w:val="000D64E2"/>
    <w:rsid w:val="000D666F"/>
    <w:rsid w:val="000D6CBF"/>
    <w:rsid w:val="000D6E0D"/>
    <w:rsid w:val="000D6E21"/>
    <w:rsid w:val="000D7392"/>
    <w:rsid w:val="000D78B6"/>
    <w:rsid w:val="000D78E6"/>
    <w:rsid w:val="000D7937"/>
    <w:rsid w:val="000E02CD"/>
    <w:rsid w:val="000E049D"/>
    <w:rsid w:val="000E0849"/>
    <w:rsid w:val="000E0975"/>
    <w:rsid w:val="000E0D45"/>
    <w:rsid w:val="000E0F8B"/>
    <w:rsid w:val="000E10A7"/>
    <w:rsid w:val="000E1152"/>
    <w:rsid w:val="000E11F2"/>
    <w:rsid w:val="000E1549"/>
    <w:rsid w:val="000E15F6"/>
    <w:rsid w:val="000E1E0D"/>
    <w:rsid w:val="000E1FA3"/>
    <w:rsid w:val="000E2DA7"/>
    <w:rsid w:val="000E3759"/>
    <w:rsid w:val="000E3882"/>
    <w:rsid w:val="000E43F3"/>
    <w:rsid w:val="000E44DD"/>
    <w:rsid w:val="000E469C"/>
    <w:rsid w:val="000E484B"/>
    <w:rsid w:val="000E4AF4"/>
    <w:rsid w:val="000E4E8A"/>
    <w:rsid w:val="000E5066"/>
    <w:rsid w:val="000E522F"/>
    <w:rsid w:val="000E52D3"/>
    <w:rsid w:val="000E55B2"/>
    <w:rsid w:val="000E5A28"/>
    <w:rsid w:val="000E5AB1"/>
    <w:rsid w:val="000E606D"/>
    <w:rsid w:val="000E6186"/>
    <w:rsid w:val="000E63F8"/>
    <w:rsid w:val="000E6630"/>
    <w:rsid w:val="000E673A"/>
    <w:rsid w:val="000E674D"/>
    <w:rsid w:val="000E6759"/>
    <w:rsid w:val="000E69C9"/>
    <w:rsid w:val="000E6CE3"/>
    <w:rsid w:val="000E6DA4"/>
    <w:rsid w:val="000E6EFC"/>
    <w:rsid w:val="000E717B"/>
    <w:rsid w:val="000E7247"/>
    <w:rsid w:val="000E741F"/>
    <w:rsid w:val="000E7CA6"/>
    <w:rsid w:val="000E7CB0"/>
    <w:rsid w:val="000E7E17"/>
    <w:rsid w:val="000F0444"/>
    <w:rsid w:val="000F07D1"/>
    <w:rsid w:val="000F0F9E"/>
    <w:rsid w:val="000F0FDF"/>
    <w:rsid w:val="000F146D"/>
    <w:rsid w:val="000F208F"/>
    <w:rsid w:val="000F20B5"/>
    <w:rsid w:val="000F2207"/>
    <w:rsid w:val="000F236C"/>
    <w:rsid w:val="000F2AEB"/>
    <w:rsid w:val="000F2CF3"/>
    <w:rsid w:val="000F30AA"/>
    <w:rsid w:val="000F3967"/>
    <w:rsid w:val="000F3A05"/>
    <w:rsid w:val="000F3E83"/>
    <w:rsid w:val="000F40CE"/>
    <w:rsid w:val="000F4114"/>
    <w:rsid w:val="000F41C5"/>
    <w:rsid w:val="000F4257"/>
    <w:rsid w:val="000F435A"/>
    <w:rsid w:val="000F47A7"/>
    <w:rsid w:val="000F47F5"/>
    <w:rsid w:val="000F50C2"/>
    <w:rsid w:val="000F54E6"/>
    <w:rsid w:val="000F5796"/>
    <w:rsid w:val="000F5A97"/>
    <w:rsid w:val="000F5EF6"/>
    <w:rsid w:val="000F5F9D"/>
    <w:rsid w:val="000F6005"/>
    <w:rsid w:val="000F633D"/>
    <w:rsid w:val="000F6424"/>
    <w:rsid w:val="000F643C"/>
    <w:rsid w:val="000F6526"/>
    <w:rsid w:val="000F6B94"/>
    <w:rsid w:val="000F6C8B"/>
    <w:rsid w:val="000F7707"/>
    <w:rsid w:val="000F7D4D"/>
    <w:rsid w:val="0010004A"/>
    <w:rsid w:val="001006F2"/>
    <w:rsid w:val="00100AAE"/>
    <w:rsid w:val="00100ECB"/>
    <w:rsid w:val="001012C1"/>
    <w:rsid w:val="00101A08"/>
    <w:rsid w:val="00101BF0"/>
    <w:rsid w:val="00101F1F"/>
    <w:rsid w:val="00102122"/>
    <w:rsid w:val="001022E3"/>
    <w:rsid w:val="001029C7"/>
    <w:rsid w:val="0010331B"/>
    <w:rsid w:val="0010371E"/>
    <w:rsid w:val="00103746"/>
    <w:rsid w:val="001038F4"/>
    <w:rsid w:val="001041B0"/>
    <w:rsid w:val="0010455D"/>
    <w:rsid w:val="00105A03"/>
    <w:rsid w:val="00105DFE"/>
    <w:rsid w:val="001062BB"/>
    <w:rsid w:val="001064DA"/>
    <w:rsid w:val="0010688E"/>
    <w:rsid w:val="00106F71"/>
    <w:rsid w:val="001077B3"/>
    <w:rsid w:val="0011009D"/>
    <w:rsid w:val="00110120"/>
    <w:rsid w:val="0011031E"/>
    <w:rsid w:val="00110704"/>
    <w:rsid w:val="00110DCD"/>
    <w:rsid w:val="00111A24"/>
    <w:rsid w:val="00111BF7"/>
    <w:rsid w:val="00112051"/>
    <w:rsid w:val="00112114"/>
    <w:rsid w:val="0011264C"/>
    <w:rsid w:val="001128D6"/>
    <w:rsid w:val="00112CD3"/>
    <w:rsid w:val="00112DAC"/>
    <w:rsid w:val="00112F2C"/>
    <w:rsid w:val="0011303A"/>
    <w:rsid w:val="0011305D"/>
    <w:rsid w:val="0011309C"/>
    <w:rsid w:val="001130BF"/>
    <w:rsid w:val="001133E8"/>
    <w:rsid w:val="00113421"/>
    <w:rsid w:val="001134A0"/>
    <w:rsid w:val="001139F1"/>
    <w:rsid w:val="00113BF0"/>
    <w:rsid w:val="00113C82"/>
    <w:rsid w:val="001148AE"/>
    <w:rsid w:val="00114FB2"/>
    <w:rsid w:val="0011558C"/>
    <w:rsid w:val="00115A7E"/>
    <w:rsid w:val="00115C34"/>
    <w:rsid w:val="00116064"/>
    <w:rsid w:val="00116153"/>
    <w:rsid w:val="0011625C"/>
    <w:rsid w:val="00116302"/>
    <w:rsid w:val="00116BE4"/>
    <w:rsid w:val="00116D89"/>
    <w:rsid w:val="00116E4B"/>
    <w:rsid w:val="00116EDF"/>
    <w:rsid w:val="00116F49"/>
    <w:rsid w:val="00117248"/>
    <w:rsid w:val="0011739D"/>
    <w:rsid w:val="00117616"/>
    <w:rsid w:val="00117EB3"/>
    <w:rsid w:val="00117F2C"/>
    <w:rsid w:val="001200FC"/>
    <w:rsid w:val="0012016B"/>
    <w:rsid w:val="001202A6"/>
    <w:rsid w:val="00120454"/>
    <w:rsid w:val="001205CC"/>
    <w:rsid w:val="00120BE6"/>
    <w:rsid w:val="00120DE8"/>
    <w:rsid w:val="001213D1"/>
    <w:rsid w:val="001216F2"/>
    <w:rsid w:val="001216F6"/>
    <w:rsid w:val="00121BC4"/>
    <w:rsid w:val="00122D20"/>
    <w:rsid w:val="00122D49"/>
    <w:rsid w:val="0012382B"/>
    <w:rsid w:val="00123BCE"/>
    <w:rsid w:val="00123BDD"/>
    <w:rsid w:val="00123CE0"/>
    <w:rsid w:val="00123D8B"/>
    <w:rsid w:val="00123FCC"/>
    <w:rsid w:val="00124327"/>
    <w:rsid w:val="0012481D"/>
    <w:rsid w:val="001249AD"/>
    <w:rsid w:val="00124B65"/>
    <w:rsid w:val="00124CB0"/>
    <w:rsid w:val="0012505E"/>
    <w:rsid w:val="00125679"/>
    <w:rsid w:val="00125954"/>
    <w:rsid w:val="00125BD7"/>
    <w:rsid w:val="00125E10"/>
    <w:rsid w:val="0012612B"/>
    <w:rsid w:val="00126598"/>
    <w:rsid w:val="0012677A"/>
    <w:rsid w:val="0012746C"/>
    <w:rsid w:val="00127CA0"/>
    <w:rsid w:val="00130077"/>
    <w:rsid w:val="001300C7"/>
    <w:rsid w:val="001304B2"/>
    <w:rsid w:val="001306B0"/>
    <w:rsid w:val="00130D8E"/>
    <w:rsid w:val="00130DD6"/>
    <w:rsid w:val="00130F10"/>
    <w:rsid w:val="001311C6"/>
    <w:rsid w:val="0013127F"/>
    <w:rsid w:val="00131506"/>
    <w:rsid w:val="00131521"/>
    <w:rsid w:val="0013185E"/>
    <w:rsid w:val="00131B4D"/>
    <w:rsid w:val="00131B79"/>
    <w:rsid w:val="00131BA4"/>
    <w:rsid w:val="001320C0"/>
    <w:rsid w:val="001321F4"/>
    <w:rsid w:val="0013281B"/>
    <w:rsid w:val="0013301C"/>
    <w:rsid w:val="00133158"/>
    <w:rsid w:val="00133B53"/>
    <w:rsid w:val="00133B75"/>
    <w:rsid w:val="00133CFD"/>
    <w:rsid w:val="001344AD"/>
    <w:rsid w:val="001349AF"/>
    <w:rsid w:val="001358DA"/>
    <w:rsid w:val="001359A6"/>
    <w:rsid w:val="0013624C"/>
    <w:rsid w:val="001363CE"/>
    <w:rsid w:val="00136A58"/>
    <w:rsid w:val="00136A92"/>
    <w:rsid w:val="00136C5D"/>
    <w:rsid w:val="00136F6F"/>
    <w:rsid w:val="0013710B"/>
    <w:rsid w:val="001371F5"/>
    <w:rsid w:val="001377C7"/>
    <w:rsid w:val="001402B5"/>
    <w:rsid w:val="00140347"/>
    <w:rsid w:val="0014038C"/>
    <w:rsid w:val="0014040D"/>
    <w:rsid w:val="00140573"/>
    <w:rsid w:val="00140C4B"/>
    <w:rsid w:val="00140C77"/>
    <w:rsid w:val="00140D24"/>
    <w:rsid w:val="00140EF9"/>
    <w:rsid w:val="00141079"/>
    <w:rsid w:val="001413A3"/>
    <w:rsid w:val="00141837"/>
    <w:rsid w:val="00141F8B"/>
    <w:rsid w:val="001420ED"/>
    <w:rsid w:val="001423F0"/>
    <w:rsid w:val="0014263C"/>
    <w:rsid w:val="0014264D"/>
    <w:rsid w:val="0014293A"/>
    <w:rsid w:val="00142AE8"/>
    <w:rsid w:val="00142EF2"/>
    <w:rsid w:val="00143052"/>
    <w:rsid w:val="001430F9"/>
    <w:rsid w:val="0014310F"/>
    <w:rsid w:val="001436D3"/>
    <w:rsid w:val="00143A36"/>
    <w:rsid w:val="00143EBA"/>
    <w:rsid w:val="0014481A"/>
    <w:rsid w:val="00144E1C"/>
    <w:rsid w:val="001450C5"/>
    <w:rsid w:val="00145301"/>
    <w:rsid w:val="0014543E"/>
    <w:rsid w:val="00145493"/>
    <w:rsid w:val="00145866"/>
    <w:rsid w:val="001458D2"/>
    <w:rsid w:val="001459A3"/>
    <w:rsid w:val="00145BF2"/>
    <w:rsid w:val="00145E37"/>
    <w:rsid w:val="00145EB3"/>
    <w:rsid w:val="00146A82"/>
    <w:rsid w:val="00146D5F"/>
    <w:rsid w:val="00146F64"/>
    <w:rsid w:val="001472CC"/>
    <w:rsid w:val="001474CD"/>
    <w:rsid w:val="0014773F"/>
    <w:rsid w:val="0015003B"/>
    <w:rsid w:val="001503C2"/>
    <w:rsid w:val="0015099A"/>
    <w:rsid w:val="00150DD5"/>
    <w:rsid w:val="00151451"/>
    <w:rsid w:val="00151761"/>
    <w:rsid w:val="00151937"/>
    <w:rsid w:val="00151B0D"/>
    <w:rsid w:val="00151D8C"/>
    <w:rsid w:val="00152168"/>
    <w:rsid w:val="001526E6"/>
    <w:rsid w:val="001537FE"/>
    <w:rsid w:val="00153BB4"/>
    <w:rsid w:val="00153C15"/>
    <w:rsid w:val="0015409A"/>
    <w:rsid w:val="00154100"/>
    <w:rsid w:val="0015451F"/>
    <w:rsid w:val="00154697"/>
    <w:rsid w:val="001547BB"/>
    <w:rsid w:val="001547FE"/>
    <w:rsid w:val="00154BE1"/>
    <w:rsid w:val="00154E45"/>
    <w:rsid w:val="00154FC0"/>
    <w:rsid w:val="00155092"/>
    <w:rsid w:val="001551A5"/>
    <w:rsid w:val="001554F1"/>
    <w:rsid w:val="00155EF3"/>
    <w:rsid w:val="00155FC0"/>
    <w:rsid w:val="00156263"/>
    <w:rsid w:val="001575A8"/>
    <w:rsid w:val="001575CC"/>
    <w:rsid w:val="00157897"/>
    <w:rsid w:val="0015799A"/>
    <w:rsid w:val="00157EA8"/>
    <w:rsid w:val="001600C2"/>
    <w:rsid w:val="0016014F"/>
    <w:rsid w:val="001608CC"/>
    <w:rsid w:val="00160EF4"/>
    <w:rsid w:val="00161435"/>
    <w:rsid w:val="00161BB3"/>
    <w:rsid w:val="00161C5D"/>
    <w:rsid w:val="00161E72"/>
    <w:rsid w:val="00161EDA"/>
    <w:rsid w:val="00162111"/>
    <w:rsid w:val="001621B2"/>
    <w:rsid w:val="001622C7"/>
    <w:rsid w:val="001625D5"/>
    <w:rsid w:val="001628B2"/>
    <w:rsid w:val="00162A84"/>
    <w:rsid w:val="001633D1"/>
    <w:rsid w:val="001635D0"/>
    <w:rsid w:val="001635EC"/>
    <w:rsid w:val="0016373D"/>
    <w:rsid w:val="0016384D"/>
    <w:rsid w:val="00163ACE"/>
    <w:rsid w:val="00163B8B"/>
    <w:rsid w:val="001643AC"/>
    <w:rsid w:val="0016442D"/>
    <w:rsid w:val="00164C10"/>
    <w:rsid w:val="00164C82"/>
    <w:rsid w:val="00165085"/>
    <w:rsid w:val="00165176"/>
    <w:rsid w:val="001652F6"/>
    <w:rsid w:val="001653FE"/>
    <w:rsid w:val="001657B6"/>
    <w:rsid w:val="001666B0"/>
    <w:rsid w:val="001666D2"/>
    <w:rsid w:val="00166D86"/>
    <w:rsid w:val="00166F1C"/>
    <w:rsid w:val="001677F8"/>
    <w:rsid w:val="00167A43"/>
    <w:rsid w:val="00167C42"/>
    <w:rsid w:val="001700C6"/>
    <w:rsid w:val="00170100"/>
    <w:rsid w:val="0017018D"/>
    <w:rsid w:val="00171287"/>
    <w:rsid w:val="0017177B"/>
    <w:rsid w:val="00172930"/>
    <w:rsid w:val="00172947"/>
    <w:rsid w:val="00172CF9"/>
    <w:rsid w:val="00172EA9"/>
    <w:rsid w:val="00173246"/>
    <w:rsid w:val="00173491"/>
    <w:rsid w:val="001739FF"/>
    <w:rsid w:val="00173E99"/>
    <w:rsid w:val="00175472"/>
    <w:rsid w:val="001754E7"/>
    <w:rsid w:val="00175824"/>
    <w:rsid w:val="00175B52"/>
    <w:rsid w:val="00175BC2"/>
    <w:rsid w:val="00175C68"/>
    <w:rsid w:val="00175D07"/>
    <w:rsid w:val="0017634E"/>
    <w:rsid w:val="00176537"/>
    <w:rsid w:val="0017687B"/>
    <w:rsid w:val="00176976"/>
    <w:rsid w:val="001769A6"/>
    <w:rsid w:val="001774B5"/>
    <w:rsid w:val="00177A71"/>
    <w:rsid w:val="00177DD4"/>
    <w:rsid w:val="0018009E"/>
    <w:rsid w:val="001805A2"/>
    <w:rsid w:val="00180914"/>
    <w:rsid w:val="00180BBF"/>
    <w:rsid w:val="00180D4F"/>
    <w:rsid w:val="0018119E"/>
    <w:rsid w:val="001812C7"/>
    <w:rsid w:val="0018186E"/>
    <w:rsid w:val="0018195B"/>
    <w:rsid w:val="00181BF3"/>
    <w:rsid w:val="00181EB9"/>
    <w:rsid w:val="00181F18"/>
    <w:rsid w:val="00182122"/>
    <w:rsid w:val="00182255"/>
    <w:rsid w:val="001822F4"/>
    <w:rsid w:val="00182331"/>
    <w:rsid w:val="00183005"/>
    <w:rsid w:val="0018318F"/>
    <w:rsid w:val="0018366C"/>
    <w:rsid w:val="00183A4F"/>
    <w:rsid w:val="00183AB3"/>
    <w:rsid w:val="00183DDE"/>
    <w:rsid w:val="00184042"/>
    <w:rsid w:val="0018482E"/>
    <w:rsid w:val="001850A7"/>
    <w:rsid w:val="00185150"/>
    <w:rsid w:val="001853A4"/>
    <w:rsid w:val="0018604F"/>
    <w:rsid w:val="001863C9"/>
    <w:rsid w:val="00186538"/>
    <w:rsid w:val="00186B30"/>
    <w:rsid w:val="00186BBF"/>
    <w:rsid w:val="00187DB9"/>
    <w:rsid w:val="00187EF7"/>
    <w:rsid w:val="00190394"/>
    <w:rsid w:val="00190725"/>
    <w:rsid w:val="00191104"/>
    <w:rsid w:val="00191724"/>
    <w:rsid w:val="00191B05"/>
    <w:rsid w:val="00191B11"/>
    <w:rsid w:val="001920F0"/>
    <w:rsid w:val="00192193"/>
    <w:rsid w:val="001922B5"/>
    <w:rsid w:val="0019275F"/>
    <w:rsid w:val="00192A3C"/>
    <w:rsid w:val="00192F1A"/>
    <w:rsid w:val="00193B1C"/>
    <w:rsid w:val="00193D29"/>
    <w:rsid w:val="00193D83"/>
    <w:rsid w:val="00193FBB"/>
    <w:rsid w:val="00194172"/>
    <w:rsid w:val="001941A0"/>
    <w:rsid w:val="0019423B"/>
    <w:rsid w:val="0019442F"/>
    <w:rsid w:val="00194454"/>
    <w:rsid w:val="0019479C"/>
    <w:rsid w:val="00194903"/>
    <w:rsid w:val="00194AE2"/>
    <w:rsid w:val="00194B30"/>
    <w:rsid w:val="00194C8C"/>
    <w:rsid w:val="00194E1A"/>
    <w:rsid w:val="00195686"/>
    <w:rsid w:val="00195E7E"/>
    <w:rsid w:val="001960EF"/>
    <w:rsid w:val="001961EF"/>
    <w:rsid w:val="00196543"/>
    <w:rsid w:val="0019683D"/>
    <w:rsid w:val="00196D46"/>
    <w:rsid w:val="00196E47"/>
    <w:rsid w:val="00197A3F"/>
    <w:rsid w:val="00197D76"/>
    <w:rsid w:val="001A01AC"/>
    <w:rsid w:val="001A01E7"/>
    <w:rsid w:val="001A0ABC"/>
    <w:rsid w:val="001A10B4"/>
    <w:rsid w:val="001A1335"/>
    <w:rsid w:val="001A19DC"/>
    <w:rsid w:val="001A1ABD"/>
    <w:rsid w:val="001A1B68"/>
    <w:rsid w:val="001A1BA8"/>
    <w:rsid w:val="001A203B"/>
    <w:rsid w:val="001A210D"/>
    <w:rsid w:val="001A26FA"/>
    <w:rsid w:val="001A2B48"/>
    <w:rsid w:val="001A2C2F"/>
    <w:rsid w:val="001A2D1B"/>
    <w:rsid w:val="001A2F18"/>
    <w:rsid w:val="001A32ED"/>
    <w:rsid w:val="001A34C6"/>
    <w:rsid w:val="001A3BD4"/>
    <w:rsid w:val="001A4057"/>
    <w:rsid w:val="001A43F5"/>
    <w:rsid w:val="001A496F"/>
    <w:rsid w:val="001A5051"/>
    <w:rsid w:val="001A59E1"/>
    <w:rsid w:val="001A6E43"/>
    <w:rsid w:val="001A7002"/>
    <w:rsid w:val="001A703E"/>
    <w:rsid w:val="001A7311"/>
    <w:rsid w:val="001A7B04"/>
    <w:rsid w:val="001A7B92"/>
    <w:rsid w:val="001B0884"/>
    <w:rsid w:val="001B0AC4"/>
    <w:rsid w:val="001B10C3"/>
    <w:rsid w:val="001B1384"/>
    <w:rsid w:val="001B1AD8"/>
    <w:rsid w:val="001B1DEE"/>
    <w:rsid w:val="001B1E41"/>
    <w:rsid w:val="001B211F"/>
    <w:rsid w:val="001B2648"/>
    <w:rsid w:val="001B277F"/>
    <w:rsid w:val="001B2785"/>
    <w:rsid w:val="001B27C6"/>
    <w:rsid w:val="001B286D"/>
    <w:rsid w:val="001B2C5A"/>
    <w:rsid w:val="001B2D8C"/>
    <w:rsid w:val="001B2DDE"/>
    <w:rsid w:val="001B329E"/>
    <w:rsid w:val="001B38D3"/>
    <w:rsid w:val="001B3A04"/>
    <w:rsid w:val="001B3DCF"/>
    <w:rsid w:val="001B3EC2"/>
    <w:rsid w:val="001B3F30"/>
    <w:rsid w:val="001B40EB"/>
    <w:rsid w:val="001B4148"/>
    <w:rsid w:val="001B436C"/>
    <w:rsid w:val="001B43F6"/>
    <w:rsid w:val="001B43FE"/>
    <w:rsid w:val="001B4447"/>
    <w:rsid w:val="001B47D9"/>
    <w:rsid w:val="001B5198"/>
    <w:rsid w:val="001B51E3"/>
    <w:rsid w:val="001B53BF"/>
    <w:rsid w:val="001B5621"/>
    <w:rsid w:val="001B56A7"/>
    <w:rsid w:val="001B57C6"/>
    <w:rsid w:val="001B64F2"/>
    <w:rsid w:val="001B676B"/>
    <w:rsid w:val="001B6BD1"/>
    <w:rsid w:val="001B79D6"/>
    <w:rsid w:val="001B79D7"/>
    <w:rsid w:val="001B7D6F"/>
    <w:rsid w:val="001C0619"/>
    <w:rsid w:val="001C072E"/>
    <w:rsid w:val="001C1043"/>
    <w:rsid w:val="001C1170"/>
    <w:rsid w:val="001C1192"/>
    <w:rsid w:val="001C1306"/>
    <w:rsid w:val="001C15FE"/>
    <w:rsid w:val="001C1640"/>
    <w:rsid w:val="001C24B9"/>
    <w:rsid w:val="001C2686"/>
    <w:rsid w:val="001C2E53"/>
    <w:rsid w:val="001C2E55"/>
    <w:rsid w:val="001C2E93"/>
    <w:rsid w:val="001C32E8"/>
    <w:rsid w:val="001C3469"/>
    <w:rsid w:val="001C36AE"/>
    <w:rsid w:val="001C433A"/>
    <w:rsid w:val="001C4361"/>
    <w:rsid w:val="001C441F"/>
    <w:rsid w:val="001C47A5"/>
    <w:rsid w:val="001C4883"/>
    <w:rsid w:val="001C4C5A"/>
    <w:rsid w:val="001C5373"/>
    <w:rsid w:val="001C5531"/>
    <w:rsid w:val="001C56EA"/>
    <w:rsid w:val="001C5DCC"/>
    <w:rsid w:val="001C63D9"/>
    <w:rsid w:val="001C67C3"/>
    <w:rsid w:val="001C69B0"/>
    <w:rsid w:val="001C6A10"/>
    <w:rsid w:val="001C7158"/>
    <w:rsid w:val="001C72E4"/>
    <w:rsid w:val="001C735B"/>
    <w:rsid w:val="001C76E1"/>
    <w:rsid w:val="001C7796"/>
    <w:rsid w:val="001C7A33"/>
    <w:rsid w:val="001C7CBF"/>
    <w:rsid w:val="001D0033"/>
    <w:rsid w:val="001D00F4"/>
    <w:rsid w:val="001D0150"/>
    <w:rsid w:val="001D0702"/>
    <w:rsid w:val="001D0CE9"/>
    <w:rsid w:val="001D0DC1"/>
    <w:rsid w:val="001D0E00"/>
    <w:rsid w:val="001D0E92"/>
    <w:rsid w:val="001D14D8"/>
    <w:rsid w:val="001D15F1"/>
    <w:rsid w:val="001D1854"/>
    <w:rsid w:val="001D2113"/>
    <w:rsid w:val="001D2C02"/>
    <w:rsid w:val="001D2D97"/>
    <w:rsid w:val="001D3E36"/>
    <w:rsid w:val="001D3E87"/>
    <w:rsid w:val="001D3F64"/>
    <w:rsid w:val="001D48EF"/>
    <w:rsid w:val="001D4ADD"/>
    <w:rsid w:val="001D4EA7"/>
    <w:rsid w:val="001D5947"/>
    <w:rsid w:val="001D5E08"/>
    <w:rsid w:val="001D5E3E"/>
    <w:rsid w:val="001D5FB3"/>
    <w:rsid w:val="001D63E4"/>
    <w:rsid w:val="001D6944"/>
    <w:rsid w:val="001D69B4"/>
    <w:rsid w:val="001D6DFB"/>
    <w:rsid w:val="001D7084"/>
    <w:rsid w:val="001D7479"/>
    <w:rsid w:val="001D7505"/>
    <w:rsid w:val="001D752B"/>
    <w:rsid w:val="001D7536"/>
    <w:rsid w:val="001D78E1"/>
    <w:rsid w:val="001E0645"/>
    <w:rsid w:val="001E07A3"/>
    <w:rsid w:val="001E0EDE"/>
    <w:rsid w:val="001E16ED"/>
    <w:rsid w:val="001E19A7"/>
    <w:rsid w:val="001E1A1B"/>
    <w:rsid w:val="001E1B61"/>
    <w:rsid w:val="001E1CB3"/>
    <w:rsid w:val="001E1DBA"/>
    <w:rsid w:val="001E1F4E"/>
    <w:rsid w:val="001E225E"/>
    <w:rsid w:val="001E2530"/>
    <w:rsid w:val="001E2A6C"/>
    <w:rsid w:val="001E2A95"/>
    <w:rsid w:val="001E2C8C"/>
    <w:rsid w:val="001E2E59"/>
    <w:rsid w:val="001E2EEA"/>
    <w:rsid w:val="001E3156"/>
    <w:rsid w:val="001E321C"/>
    <w:rsid w:val="001E3C65"/>
    <w:rsid w:val="001E3F80"/>
    <w:rsid w:val="001E4300"/>
    <w:rsid w:val="001E44BE"/>
    <w:rsid w:val="001E4987"/>
    <w:rsid w:val="001E4D65"/>
    <w:rsid w:val="001E4D71"/>
    <w:rsid w:val="001E54E7"/>
    <w:rsid w:val="001E6336"/>
    <w:rsid w:val="001E6598"/>
    <w:rsid w:val="001E6758"/>
    <w:rsid w:val="001E6C51"/>
    <w:rsid w:val="001E6D65"/>
    <w:rsid w:val="001E6DFB"/>
    <w:rsid w:val="001E7499"/>
    <w:rsid w:val="001E7E0E"/>
    <w:rsid w:val="001E7F5E"/>
    <w:rsid w:val="001F020C"/>
    <w:rsid w:val="001F024E"/>
    <w:rsid w:val="001F05B2"/>
    <w:rsid w:val="001F0AFB"/>
    <w:rsid w:val="001F0C42"/>
    <w:rsid w:val="001F0D31"/>
    <w:rsid w:val="001F0F0F"/>
    <w:rsid w:val="001F11B1"/>
    <w:rsid w:val="001F13A0"/>
    <w:rsid w:val="001F1411"/>
    <w:rsid w:val="001F1540"/>
    <w:rsid w:val="001F1C76"/>
    <w:rsid w:val="001F1D8E"/>
    <w:rsid w:val="001F1FE0"/>
    <w:rsid w:val="001F2F03"/>
    <w:rsid w:val="001F319C"/>
    <w:rsid w:val="001F3337"/>
    <w:rsid w:val="001F34A7"/>
    <w:rsid w:val="001F3BF9"/>
    <w:rsid w:val="001F3E19"/>
    <w:rsid w:val="001F413C"/>
    <w:rsid w:val="001F4547"/>
    <w:rsid w:val="001F4680"/>
    <w:rsid w:val="001F4778"/>
    <w:rsid w:val="001F4D11"/>
    <w:rsid w:val="001F4D6A"/>
    <w:rsid w:val="001F5569"/>
    <w:rsid w:val="001F5832"/>
    <w:rsid w:val="001F595B"/>
    <w:rsid w:val="001F5B29"/>
    <w:rsid w:val="001F61E9"/>
    <w:rsid w:val="001F6A6B"/>
    <w:rsid w:val="001F6D6E"/>
    <w:rsid w:val="001F6F99"/>
    <w:rsid w:val="001F70D5"/>
    <w:rsid w:val="001F7112"/>
    <w:rsid w:val="001F763A"/>
    <w:rsid w:val="001F7E41"/>
    <w:rsid w:val="00200A1C"/>
    <w:rsid w:val="00200A9F"/>
    <w:rsid w:val="00200B93"/>
    <w:rsid w:val="00200FC3"/>
    <w:rsid w:val="0020146E"/>
    <w:rsid w:val="002029C1"/>
    <w:rsid w:val="00202A3F"/>
    <w:rsid w:val="00202C0D"/>
    <w:rsid w:val="002032F6"/>
    <w:rsid w:val="002034CF"/>
    <w:rsid w:val="002035D0"/>
    <w:rsid w:val="002037BD"/>
    <w:rsid w:val="00203B33"/>
    <w:rsid w:val="00203CE6"/>
    <w:rsid w:val="00205408"/>
    <w:rsid w:val="002056DD"/>
    <w:rsid w:val="00205995"/>
    <w:rsid w:val="002059B5"/>
    <w:rsid w:val="00205A71"/>
    <w:rsid w:val="00205AA8"/>
    <w:rsid w:val="00205C8A"/>
    <w:rsid w:val="00205D86"/>
    <w:rsid w:val="00205FE8"/>
    <w:rsid w:val="00206027"/>
    <w:rsid w:val="00206092"/>
    <w:rsid w:val="00206580"/>
    <w:rsid w:val="0020669F"/>
    <w:rsid w:val="0020768B"/>
    <w:rsid w:val="00207942"/>
    <w:rsid w:val="00207AE3"/>
    <w:rsid w:val="00207DFB"/>
    <w:rsid w:val="00207E31"/>
    <w:rsid w:val="00207EA3"/>
    <w:rsid w:val="00207EAF"/>
    <w:rsid w:val="00207FAE"/>
    <w:rsid w:val="00207FF7"/>
    <w:rsid w:val="002101F7"/>
    <w:rsid w:val="002102BD"/>
    <w:rsid w:val="0021038F"/>
    <w:rsid w:val="00210F18"/>
    <w:rsid w:val="00210F73"/>
    <w:rsid w:val="00210FC9"/>
    <w:rsid w:val="002114A5"/>
    <w:rsid w:val="002114EB"/>
    <w:rsid w:val="002117E4"/>
    <w:rsid w:val="00211821"/>
    <w:rsid w:val="00211A3E"/>
    <w:rsid w:val="00211DFD"/>
    <w:rsid w:val="00211F3B"/>
    <w:rsid w:val="00211FAD"/>
    <w:rsid w:val="002121EC"/>
    <w:rsid w:val="002129C3"/>
    <w:rsid w:val="00212B04"/>
    <w:rsid w:val="00212C92"/>
    <w:rsid w:val="00212CEA"/>
    <w:rsid w:val="00213051"/>
    <w:rsid w:val="002132FA"/>
    <w:rsid w:val="002135B1"/>
    <w:rsid w:val="002137D7"/>
    <w:rsid w:val="00213B04"/>
    <w:rsid w:val="00213B52"/>
    <w:rsid w:val="00213F2B"/>
    <w:rsid w:val="00214840"/>
    <w:rsid w:val="00214F0F"/>
    <w:rsid w:val="00215333"/>
    <w:rsid w:val="0021578D"/>
    <w:rsid w:val="00215AD0"/>
    <w:rsid w:val="00215C98"/>
    <w:rsid w:val="00215F7B"/>
    <w:rsid w:val="00215FDE"/>
    <w:rsid w:val="002160DC"/>
    <w:rsid w:val="002165C7"/>
    <w:rsid w:val="002167AA"/>
    <w:rsid w:val="00216877"/>
    <w:rsid w:val="00217378"/>
    <w:rsid w:val="00217427"/>
    <w:rsid w:val="00217553"/>
    <w:rsid w:val="00217915"/>
    <w:rsid w:val="0022024C"/>
    <w:rsid w:val="00220336"/>
    <w:rsid w:val="00220391"/>
    <w:rsid w:val="00221559"/>
    <w:rsid w:val="00221973"/>
    <w:rsid w:val="00221DA6"/>
    <w:rsid w:val="00221F78"/>
    <w:rsid w:val="00221FDE"/>
    <w:rsid w:val="002222D5"/>
    <w:rsid w:val="002224EC"/>
    <w:rsid w:val="002228D5"/>
    <w:rsid w:val="00222A41"/>
    <w:rsid w:val="00222B16"/>
    <w:rsid w:val="00222C19"/>
    <w:rsid w:val="00222E25"/>
    <w:rsid w:val="00222EA7"/>
    <w:rsid w:val="002236D5"/>
    <w:rsid w:val="002237E7"/>
    <w:rsid w:val="0022392A"/>
    <w:rsid w:val="00223958"/>
    <w:rsid w:val="002239DE"/>
    <w:rsid w:val="00223FF6"/>
    <w:rsid w:val="002240E8"/>
    <w:rsid w:val="0022423A"/>
    <w:rsid w:val="002242ED"/>
    <w:rsid w:val="00224306"/>
    <w:rsid w:val="002243B6"/>
    <w:rsid w:val="002245B4"/>
    <w:rsid w:val="00224C75"/>
    <w:rsid w:val="00224E6D"/>
    <w:rsid w:val="00224E92"/>
    <w:rsid w:val="00224F05"/>
    <w:rsid w:val="00224FC7"/>
    <w:rsid w:val="0022520E"/>
    <w:rsid w:val="002254B2"/>
    <w:rsid w:val="002260B9"/>
    <w:rsid w:val="0022651F"/>
    <w:rsid w:val="00226529"/>
    <w:rsid w:val="00226B73"/>
    <w:rsid w:val="00226F34"/>
    <w:rsid w:val="00227771"/>
    <w:rsid w:val="00227A5F"/>
    <w:rsid w:val="00227BF2"/>
    <w:rsid w:val="00227E7F"/>
    <w:rsid w:val="00227F80"/>
    <w:rsid w:val="002307C6"/>
    <w:rsid w:val="002307DC"/>
    <w:rsid w:val="00230D4E"/>
    <w:rsid w:val="00231500"/>
    <w:rsid w:val="002315D6"/>
    <w:rsid w:val="00231A76"/>
    <w:rsid w:val="00231B2F"/>
    <w:rsid w:val="00231F26"/>
    <w:rsid w:val="00232299"/>
    <w:rsid w:val="00232E6B"/>
    <w:rsid w:val="002332F1"/>
    <w:rsid w:val="00233391"/>
    <w:rsid w:val="0023387A"/>
    <w:rsid w:val="00234302"/>
    <w:rsid w:val="00234483"/>
    <w:rsid w:val="00234AFE"/>
    <w:rsid w:val="00234D7D"/>
    <w:rsid w:val="00234DA1"/>
    <w:rsid w:val="00234F91"/>
    <w:rsid w:val="002357C2"/>
    <w:rsid w:val="00235926"/>
    <w:rsid w:val="00235A18"/>
    <w:rsid w:val="002360C1"/>
    <w:rsid w:val="002361D1"/>
    <w:rsid w:val="002365E8"/>
    <w:rsid w:val="002367F9"/>
    <w:rsid w:val="00236C43"/>
    <w:rsid w:val="00236E98"/>
    <w:rsid w:val="0023755E"/>
    <w:rsid w:val="00237AF5"/>
    <w:rsid w:val="00237BA9"/>
    <w:rsid w:val="00240582"/>
    <w:rsid w:val="0024071E"/>
    <w:rsid w:val="00240A30"/>
    <w:rsid w:val="00240A46"/>
    <w:rsid w:val="002416D9"/>
    <w:rsid w:val="00242288"/>
    <w:rsid w:val="002439CD"/>
    <w:rsid w:val="00244493"/>
    <w:rsid w:val="002444F5"/>
    <w:rsid w:val="00244640"/>
    <w:rsid w:val="002453CB"/>
    <w:rsid w:val="00245448"/>
    <w:rsid w:val="00245466"/>
    <w:rsid w:val="00245A45"/>
    <w:rsid w:val="00245C83"/>
    <w:rsid w:val="002460A1"/>
    <w:rsid w:val="00246470"/>
    <w:rsid w:val="002465B4"/>
    <w:rsid w:val="00246B2D"/>
    <w:rsid w:val="00246D55"/>
    <w:rsid w:val="002473EF"/>
    <w:rsid w:val="00247686"/>
    <w:rsid w:val="00247714"/>
    <w:rsid w:val="002479C6"/>
    <w:rsid w:val="002503C4"/>
    <w:rsid w:val="0025071C"/>
    <w:rsid w:val="00250A5F"/>
    <w:rsid w:val="00250B03"/>
    <w:rsid w:val="00250FF8"/>
    <w:rsid w:val="0025165E"/>
    <w:rsid w:val="002518D0"/>
    <w:rsid w:val="0025233A"/>
    <w:rsid w:val="00252352"/>
    <w:rsid w:val="00252749"/>
    <w:rsid w:val="002527F2"/>
    <w:rsid w:val="00252C48"/>
    <w:rsid w:val="00252CA8"/>
    <w:rsid w:val="0025300E"/>
    <w:rsid w:val="00253775"/>
    <w:rsid w:val="00253C46"/>
    <w:rsid w:val="00253CEB"/>
    <w:rsid w:val="00254299"/>
    <w:rsid w:val="0025435D"/>
    <w:rsid w:val="0025451E"/>
    <w:rsid w:val="002545A3"/>
    <w:rsid w:val="0025471F"/>
    <w:rsid w:val="00254934"/>
    <w:rsid w:val="00254DB4"/>
    <w:rsid w:val="00254F8E"/>
    <w:rsid w:val="0025554A"/>
    <w:rsid w:val="00256501"/>
    <w:rsid w:val="00256701"/>
    <w:rsid w:val="00256B1A"/>
    <w:rsid w:val="00256BDD"/>
    <w:rsid w:val="00256D83"/>
    <w:rsid w:val="0025707D"/>
    <w:rsid w:val="0025743B"/>
    <w:rsid w:val="0025746F"/>
    <w:rsid w:val="00257B61"/>
    <w:rsid w:val="00257E09"/>
    <w:rsid w:val="00257FA0"/>
    <w:rsid w:val="002601A0"/>
    <w:rsid w:val="002616E1"/>
    <w:rsid w:val="00261F9A"/>
    <w:rsid w:val="0026226B"/>
    <w:rsid w:val="002623C4"/>
    <w:rsid w:val="00262AFB"/>
    <w:rsid w:val="00262B12"/>
    <w:rsid w:val="00262C51"/>
    <w:rsid w:val="002631FA"/>
    <w:rsid w:val="00263222"/>
    <w:rsid w:val="002632D5"/>
    <w:rsid w:val="002636CB"/>
    <w:rsid w:val="0026386E"/>
    <w:rsid w:val="00263CCF"/>
    <w:rsid w:val="00263DC4"/>
    <w:rsid w:val="002645EC"/>
    <w:rsid w:val="00264C9A"/>
    <w:rsid w:val="002654A9"/>
    <w:rsid w:val="002656D2"/>
    <w:rsid w:val="00265A8C"/>
    <w:rsid w:val="00265BF4"/>
    <w:rsid w:val="00265C5F"/>
    <w:rsid w:val="00265D2A"/>
    <w:rsid w:val="002661EA"/>
    <w:rsid w:val="00266778"/>
    <w:rsid w:val="00266881"/>
    <w:rsid w:val="00266EEA"/>
    <w:rsid w:val="00267361"/>
    <w:rsid w:val="00267AC4"/>
    <w:rsid w:val="002707F1"/>
    <w:rsid w:val="00270B44"/>
    <w:rsid w:val="002714D6"/>
    <w:rsid w:val="002714FF"/>
    <w:rsid w:val="0027160E"/>
    <w:rsid w:val="0027182D"/>
    <w:rsid w:val="002729D2"/>
    <w:rsid w:val="002733B0"/>
    <w:rsid w:val="002738EC"/>
    <w:rsid w:val="00274245"/>
    <w:rsid w:val="00274412"/>
    <w:rsid w:val="00274DFE"/>
    <w:rsid w:val="0027506C"/>
    <w:rsid w:val="00275EC4"/>
    <w:rsid w:val="00276123"/>
    <w:rsid w:val="002763E5"/>
    <w:rsid w:val="0027648F"/>
    <w:rsid w:val="00276A17"/>
    <w:rsid w:val="00276AEB"/>
    <w:rsid w:val="00276D2C"/>
    <w:rsid w:val="00277074"/>
    <w:rsid w:val="002772DC"/>
    <w:rsid w:val="00277395"/>
    <w:rsid w:val="0027742B"/>
    <w:rsid w:val="00277925"/>
    <w:rsid w:val="002779D5"/>
    <w:rsid w:val="00277CC1"/>
    <w:rsid w:val="00280122"/>
    <w:rsid w:val="00280A80"/>
    <w:rsid w:val="00280BE1"/>
    <w:rsid w:val="0028115D"/>
    <w:rsid w:val="00281241"/>
    <w:rsid w:val="002813B9"/>
    <w:rsid w:val="002813D6"/>
    <w:rsid w:val="002813E5"/>
    <w:rsid w:val="00281466"/>
    <w:rsid w:val="00281BCD"/>
    <w:rsid w:val="00281CCB"/>
    <w:rsid w:val="00281DFC"/>
    <w:rsid w:val="00282258"/>
    <w:rsid w:val="002824D0"/>
    <w:rsid w:val="002829FA"/>
    <w:rsid w:val="0028328F"/>
    <w:rsid w:val="00283892"/>
    <w:rsid w:val="00283CDC"/>
    <w:rsid w:val="00283F91"/>
    <w:rsid w:val="00284CCD"/>
    <w:rsid w:val="00284FF2"/>
    <w:rsid w:val="0028536F"/>
    <w:rsid w:val="00285E17"/>
    <w:rsid w:val="00285E6C"/>
    <w:rsid w:val="00286333"/>
    <w:rsid w:val="00286FEF"/>
    <w:rsid w:val="00287024"/>
    <w:rsid w:val="0028716C"/>
    <w:rsid w:val="0028726B"/>
    <w:rsid w:val="00287A09"/>
    <w:rsid w:val="00287F51"/>
    <w:rsid w:val="002900E1"/>
    <w:rsid w:val="00290970"/>
    <w:rsid w:val="00290BEA"/>
    <w:rsid w:val="00290DB6"/>
    <w:rsid w:val="00290E46"/>
    <w:rsid w:val="00291460"/>
    <w:rsid w:val="00291610"/>
    <w:rsid w:val="002918AB"/>
    <w:rsid w:val="00291A71"/>
    <w:rsid w:val="00291C9B"/>
    <w:rsid w:val="00291D57"/>
    <w:rsid w:val="00291DBA"/>
    <w:rsid w:val="0029227D"/>
    <w:rsid w:val="00292377"/>
    <w:rsid w:val="0029244C"/>
    <w:rsid w:val="002931E0"/>
    <w:rsid w:val="00293236"/>
    <w:rsid w:val="0029350D"/>
    <w:rsid w:val="00293704"/>
    <w:rsid w:val="00293D17"/>
    <w:rsid w:val="0029412E"/>
    <w:rsid w:val="0029462E"/>
    <w:rsid w:val="00294B5C"/>
    <w:rsid w:val="00294C1F"/>
    <w:rsid w:val="00294E87"/>
    <w:rsid w:val="0029503A"/>
    <w:rsid w:val="00295045"/>
    <w:rsid w:val="002950DF"/>
    <w:rsid w:val="00295A23"/>
    <w:rsid w:val="00295CCE"/>
    <w:rsid w:val="00296CD6"/>
    <w:rsid w:val="00296EB2"/>
    <w:rsid w:val="00296EE8"/>
    <w:rsid w:val="00296FBF"/>
    <w:rsid w:val="0029724B"/>
    <w:rsid w:val="00297352"/>
    <w:rsid w:val="0029746C"/>
    <w:rsid w:val="0029748D"/>
    <w:rsid w:val="002974F7"/>
    <w:rsid w:val="0029750B"/>
    <w:rsid w:val="0029766F"/>
    <w:rsid w:val="00297CF9"/>
    <w:rsid w:val="00297F60"/>
    <w:rsid w:val="002A0360"/>
    <w:rsid w:val="002A03B9"/>
    <w:rsid w:val="002A0480"/>
    <w:rsid w:val="002A04F3"/>
    <w:rsid w:val="002A058D"/>
    <w:rsid w:val="002A06A3"/>
    <w:rsid w:val="002A0C6B"/>
    <w:rsid w:val="002A0D49"/>
    <w:rsid w:val="002A135A"/>
    <w:rsid w:val="002A1427"/>
    <w:rsid w:val="002A1527"/>
    <w:rsid w:val="002A16E6"/>
    <w:rsid w:val="002A1B5F"/>
    <w:rsid w:val="002A1BE9"/>
    <w:rsid w:val="002A1DDD"/>
    <w:rsid w:val="002A2351"/>
    <w:rsid w:val="002A23BF"/>
    <w:rsid w:val="002A23E2"/>
    <w:rsid w:val="002A275D"/>
    <w:rsid w:val="002A2804"/>
    <w:rsid w:val="002A2940"/>
    <w:rsid w:val="002A30B6"/>
    <w:rsid w:val="002A3469"/>
    <w:rsid w:val="002A3B1D"/>
    <w:rsid w:val="002A3B91"/>
    <w:rsid w:val="002A3D97"/>
    <w:rsid w:val="002A3EB9"/>
    <w:rsid w:val="002A4026"/>
    <w:rsid w:val="002A474E"/>
    <w:rsid w:val="002A475B"/>
    <w:rsid w:val="002A49B3"/>
    <w:rsid w:val="002A4B73"/>
    <w:rsid w:val="002A4CE5"/>
    <w:rsid w:val="002A528A"/>
    <w:rsid w:val="002A5BA8"/>
    <w:rsid w:val="002A5C77"/>
    <w:rsid w:val="002A6121"/>
    <w:rsid w:val="002A6122"/>
    <w:rsid w:val="002A68FB"/>
    <w:rsid w:val="002A696C"/>
    <w:rsid w:val="002A6B4D"/>
    <w:rsid w:val="002A6E26"/>
    <w:rsid w:val="002A7520"/>
    <w:rsid w:val="002A7960"/>
    <w:rsid w:val="002A7DCA"/>
    <w:rsid w:val="002A7F2B"/>
    <w:rsid w:val="002B00C2"/>
    <w:rsid w:val="002B0EF7"/>
    <w:rsid w:val="002B0FC7"/>
    <w:rsid w:val="002B10D6"/>
    <w:rsid w:val="002B1135"/>
    <w:rsid w:val="002B1542"/>
    <w:rsid w:val="002B167A"/>
    <w:rsid w:val="002B1D78"/>
    <w:rsid w:val="002B1E5E"/>
    <w:rsid w:val="002B1FC0"/>
    <w:rsid w:val="002B2090"/>
    <w:rsid w:val="002B21C8"/>
    <w:rsid w:val="002B2694"/>
    <w:rsid w:val="002B31D1"/>
    <w:rsid w:val="002B3289"/>
    <w:rsid w:val="002B3297"/>
    <w:rsid w:val="002B38FD"/>
    <w:rsid w:val="002B3F48"/>
    <w:rsid w:val="002B4024"/>
    <w:rsid w:val="002B4155"/>
    <w:rsid w:val="002B434E"/>
    <w:rsid w:val="002B47BA"/>
    <w:rsid w:val="002B4846"/>
    <w:rsid w:val="002B55BC"/>
    <w:rsid w:val="002B58A4"/>
    <w:rsid w:val="002B593C"/>
    <w:rsid w:val="002B6064"/>
    <w:rsid w:val="002B6159"/>
    <w:rsid w:val="002B6186"/>
    <w:rsid w:val="002B63C6"/>
    <w:rsid w:val="002B6491"/>
    <w:rsid w:val="002B6586"/>
    <w:rsid w:val="002B6CA1"/>
    <w:rsid w:val="002B6D58"/>
    <w:rsid w:val="002C01D8"/>
    <w:rsid w:val="002C0398"/>
    <w:rsid w:val="002C0613"/>
    <w:rsid w:val="002C0790"/>
    <w:rsid w:val="002C08CC"/>
    <w:rsid w:val="002C08F4"/>
    <w:rsid w:val="002C0CB8"/>
    <w:rsid w:val="002C1C4F"/>
    <w:rsid w:val="002C1FDB"/>
    <w:rsid w:val="002C27F3"/>
    <w:rsid w:val="002C3585"/>
    <w:rsid w:val="002C3DAF"/>
    <w:rsid w:val="002C4315"/>
    <w:rsid w:val="002C4A5D"/>
    <w:rsid w:val="002C4AED"/>
    <w:rsid w:val="002C4FA2"/>
    <w:rsid w:val="002C57E4"/>
    <w:rsid w:val="002C5983"/>
    <w:rsid w:val="002C5C45"/>
    <w:rsid w:val="002C5D0D"/>
    <w:rsid w:val="002C5E71"/>
    <w:rsid w:val="002C6055"/>
    <w:rsid w:val="002C642E"/>
    <w:rsid w:val="002C68B5"/>
    <w:rsid w:val="002C6CD1"/>
    <w:rsid w:val="002C6CED"/>
    <w:rsid w:val="002C7349"/>
    <w:rsid w:val="002C74D1"/>
    <w:rsid w:val="002C781F"/>
    <w:rsid w:val="002D0605"/>
    <w:rsid w:val="002D0748"/>
    <w:rsid w:val="002D0D70"/>
    <w:rsid w:val="002D109E"/>
    <w:rsid w:val="002D14B5"/>
    <w:rsid w:val="002D15BB"/>
    <w:rsid w:val="002D1736"/>
    <w:rsid w:val="002D17F7"/>
    <w:rsid w:val="002D1FE5"/>
    <w:rsid w:val="002D2D9C"/>
    <w:rsid w:val="002D2EBD"/>
    <w:rsid w:val="002D2EF2"/>
    <w:rsid w:val="002D31AE"/>
    <w:rsid w:val="002D3525"/>
    <w:rsid w:val="002D35EF"/>
    <w:rsid w:val="002D3A1C"/>
    <w:rsid w:val="002D3DBF"/>
    <w:rsid w:val="002D4288"/>
    <w:rsid w:val="002D42AF"/>
    <w:rsid w:val="002D47C7"/>
    <w:rsid w:val="002D4BB8"/>
    <w:rsid w:val="002D4BF3"/>
    <w:rsid w:val="002D4C6D"/>
    <w:rsid w:val="002D4C85"/>
    <w:rsid w:val="002D5B8F"/>
    <w:rsid w:val="002D5C93"/>
    <w:rsid w:val="002D5DB6"/>
    <w:rsid w:val="002D5E6A"/>
    <w:rsid w:val="002D5F13"/>
    <w:rsid w:val="002D5F41"/>
    <w:rsid w:val="002D602A"/>
    <w:rsid w:val="002D63DD"/>
    <w:rsid w:val="002D6984"/>
    <w:rsid w:val="002D6C32"/>
    <w:rsid w:val="002D70D5"/>
    <w:rsid w:val="002D7198"/>
    <w:rsid w:val="002D7947"/>
    <w:rsid w:val="002D7CE2"/>
    <w:rsid w:val="002D7F80"/>
    <w:rsid w:val="002D7FC4"/>
    <w:rsid w:val="002E052B"/>
    <w:rsid w:val="002E0672"/>
    <w:rsid w:val="002E1A02"/>
    <w:rsid w:val="002E1B15"/>
    <w:rsid w:val="002E1F80"/>
    <w:rsid w:val="002E20CD"/>
    <w:rsid w:val="002E21B4"/>
    <w:rsid w:val="002E25D5"/>
    <w:rsid w:val="002E2637"/>
    <w:rsid w:val="002E2967"/>
    <w:rsid w:val="002E2A18"/>
    <w:rsid w:val="002E2CB6"/>
    <w:rsid w:val="002E33D9"/>
    <w:rsid w:val="002E36CA"/>
    <w:rsid w:val="002E3B49"/>
    <w:rsid w:val="002E3F0C"/>
    <w:rsid w:val="002E4064"/>
    <w:rsid w:val="002E4233"/>
    <w:rsid w:val="002E539B"/>
    <w:rsid w:val="002E5B9B"/>
    <w:rsid w:val="002E5C55"/>
    <w:rsid w:val="002E5EE0"/>
    <w:rsid w:val="002E6A14"/>
    <w:rsid w:val="002E715C"/>
    <w:rsid w:val="002E7293"/>
    <w:rsid w:val="002E742E"/>
    <w:rsid w:val="002F0135"/>
    <w:rsid w:val="002F02B8"/>
    <w:rsid w:val="002F0502"/>
    <w:rsid w:val="002F1095"/>
    <w:rsid w:val="002F111F"/>
    <w:rsid w:val="002F1182"/>
    <w:rsid w:val="002F1542"/>
    <w:rsid w:val="002F1C52"/>
    <w:rsid w:val="002F227A"/>
    <w:rsid w:val="002F23A2"/>
    <w:rsid w:val="002F26FD"/>
    <w:rsid w:val="002F35CA"/>
    <w:rsid w:val="002F365A"/>
    <w:rsid w:val="002F3E92"/>
    <w:rsid w:val="002F3EA4"/>
    <w:rsid w:val="002F423D"/>
    <w:rsid w:val="002F443C"/>
    <w:rsid w:val="002F4529"/>
    <w:rsid w:val="002F4617"/>
    <w:rsid w:val="002F4955"/>
    <w:rsid w:val="002F49E7"/>
    <w:rsid w:val="002F4D97"/>
    <w:rsid w:val="002F511F"/>
    <w:rsid w:val="002F5A42"/>
    <w:rsid w:val="002F5E77"/>
    <w:rsid w:val="002F5F1B"/>
    <w:rsid w:val="002F6459"/>
    <w:rsid w:val="002F6625"/>
    <w:rsid w:val="002F66A2"/>
    <w:rsid w:val="002F66FD"/>
    <w:rsid w:val="002F6DA1"/>
    <w:rsid w:val="002F6E09"/>
    <w:rsid w:val="002F700D"/>
    <w:rsid w:val="002F7355"/>
    <w:rsid w:val="002F7380"/>
    <w:rsid w:val="002F7F29"/>
    <w:rsid w:val="003001C4"/>
    <w:rsid w:val="003001DF"/>
    <w:rsid w:val="0030087D"/>
    <w:rsid w:val="00300BB6"/>
    <w:rsid w:val="00300F43"/>
    <w:rsid w:val="003012AD"/>
    <w:rsid w:val="00301A36"/>
    <w:rsid w:val="00301C2F"/>
    <w:rsid w:val="00301E21"/>
    <w:rsid w:val="00302051"/>
    <w:rsid w:val="00302312"/>
    <w:rsid w:val="0030232D"/>
    <w:rsid w:val="0030280B"/>
    <w:rsid w:val="00302949"/>
    <w:rsid w:val="00302E2F"/>
    <w:rsid w:val="00303498"/>
    <w:rsid w:val="003036ED"/>
    <w:rsid w:val="00303B0B"/>
    <w:rsid w:val="00303B94"/>
    <w:rsid w:val="00303BE9"/>
    <w:rsid w:val="00303CD1"/>
    <w:rsid w:val="00303DD5"/>
    <w:rsid w:val="00303F81"/>
    <w:rsid w:val="003053DF"/>
    <w:rsid w:val="00305BAE"/>
    <w:rsid w:val="00305C20"/>
    <w:rsid w:val="00306331"/>
    <w:rsid w:val="00306365"/>
    <w:rsid w:val="00306A32"/>
    <w:rsid w:val="00306F67"/>
    <w:rsid w:val="00307091"/>
    <w:rsid w:val="00307767"/>
    <w:rsid w:val="003104EF"/>
    <w:rsid w:val="003106EF"/>
    <w:rsid w:val="00310A7C"/>
    <w:rsid w:val="00310B3C"/>
    <w:rsid w:val="00310E3B"/>
    <w:rsid w:val="00310F1F"/>
    <w:rsid w:val="00311249"/>
    <w:rsid w:val="00311EEE"/>
    <w:rsid w:val="003121A6"/>
    <w:rsid w:val="003122ED"/>
    <w:rsid w:val="00312313"/>
    <w:rsid w:val="003127F2"/>
    <w:rsid w:val="00312A6B"/>
    <w:rsid w:val="00312AD1"/>
    <w:rsid w:val="00312C58"/>
    <w:rsid w:val="00312EC3"/>
    <w:rsid w:val="00313075"/>
    <w:rsid w:val="003131FC"/>
    <w:rsid w:val="00313C41"/>
    <w:rsid w:val="00313D49"/>
    <w:rsid w:val="00313E6B"/>
    <w:rsid w:val="0031425F"/>
    <w:rsid w:val="00314572"/>
    <w:rsid w:val="00314680"/>
    <w:rsid w:val="003146F3"/>
    <w:rsid w:val="00314985"/>
    <w:rsid w:val="00314B51"/>
    <w:rsid w:val="00314B8C"/>
    <w:rsid w:val="00315193"/>
    <w:rsid w:val="0031530F"/>
    <w:rsid w:val="0031534B"/>
    <w:rsid w:val="003153BD"/>
    <w:rsid w:val="00315CB4"/>
    <w:rsid w:val="0031633A"/>
    <w:rsid w:val="003166B6"/>
    <w:rsid w:val="003167A8"/>
    <w:rsid w:val="00316BAA"/>
    <w:rsid w:val="00316C1C"/>
    <w:rsid w:val="00316FB9"/>
    <w:rsid w:val="0031721E"/>
    <w:rsid w:val="003179C6"/>
    <w:rsid w:val="0032000B"/>
    <w:rsid w:val="003204BE"/>
    <w:rsid w:val="00320C67"/>
    <w:rsid w:val="0032103B"/>
    <w:rsid w:val="00321194"/>
    <w:rsid w:val="003212AF"/>
    <w:rsid w:val="003216F0"/>
    <w:rsid w:val="0032189D"/>
    <w:rsid w:val="003218A1"/>
    <w:rsid w:val="00321AEB"/>
    <w:rsid w:val="00322663"/>
    <w:rsid w:val="00322813"/>
    <w:rsid w:val="00322DCD"/>
    <w:rsid w:val="003232D5"/>
    <w:rsid w:val="0032396B"/>
    <w:rsid w:val="00323EDA"/>
    <w:rsid w:val="00324402"/>
    <w:rsid w:val="00324474"/>
    <w:rsid w:val="00324513"/>
    <w:rsid w:val="00324584"/>
    <w:rsid w:val="00324611"/>
    <w:rsid w:val="00324697"/>
    <w:rsid w:val="00324756"/>
    <w:rsid w:val="00324CFF"/>
    <w:rsid w:val="00324F70"/>
    <w:rsid w:val="00325768"/>
    <w:rsid w:val="00325A02"/>
    <w:rsid w:val="00325A28"/>
    <w:rsid w:val="00325DB6"/>
    <w:rsid w:val="00325F35"/>
    <w:rsid w:val="0032656F"/>
    <w:rsid w:val="0032674B"/>
    <w:rsid w:val="003267F3"/>
    <w:rsid w:val="00326E6D"/>
    <w:rsid w:val="00326F7F"/>
    <w:rsid w:val="003275FE"/>
    <w:rsid w:val="003277E0"/>
    <w:rsid w:val="00330436"/>
    <w:rsid w:val="003308E1"/>
    <w:rsid w:val="00330E72"/>
    <w:rsid w:val="0033109C"/>
    <w:rsid w:val="003313FF"/>
    <w:rsid w:val="0033153A"/>
    <w:rsid w:val="003316C7"/>
    <w:rsid w:val="00331CF8"/>
    <w:rsid w:val="00331F3E"/>
    <w:rsid w:val="0033213B"/>
    <w:rsid w:val="00332381"/>
    <w:rsid w:val="003324CA"/>
    <w:rsid w:val="003325FA"/>
    <w:rsid w:val="00332D6B"/>
    <w:rsid w:val="00332EB2"/>
    <w:rsid w:val="0033327A"/>
    <w:rsid w:val="00333437"/>
    <w:rsid w:val="0033375B"/>
    <w:rsid w:val="00333D32"/>
    <w:rsid w:val="00333FCA"/>
    <w:rsid w:val="00333FFE"/>
    <w:rsid w:val="003345B9"/>
    <w:rsid w:val="003347A3"/>
    <w:rsid w:val="003349E0"/>
    <w:rsid w:val="00334CC8"/>
    <w:rsid w:val="00334EED"/>
    <w:rsid w:val="003353FA"/>
    <w:rsid w:val="003354A4"/>
    <w:rsid w:val="00335777"/>
    <w:rsid w:val="0033584E"/>
    <w:rsid w:val="00336165"/>
    <w:rsid w:val="003364B2"/>
    <w:rsid w:val="00336A4D"/>
    <w:rsid w:val="00337053"/>
    <w:rsid w:val="003374FD"/>
    <w:rsid w:val="00337FD4"/>
    <w:rsid w:val="00340043"/>
    <w:rsid w:val="003401C0"/>
    <w:rsid w:val="00340324"/>
    <w:rsid w:val="00340368"/>
    <w:rsid w:val="0034080F"/>
    <w:rsid w:val="00340FF3"/>
    <w:rsid w:val="00340FF7"/>
    <w:rsid w:val="0034149F"/>
    <w:rsid w:val="0034152B"/>
    <w:rsid w:val="003423D9"/>
    <w:rsid w:val="00342D00"/>
    <w:rsid w:val="00342EFF"/>
    <w:rsid w:val="0034401B"/>
    <w:rsid w:val="00344043"/>
    <w:rsid w:val="00344742"/>
    <w:rsid w:val="00344D82"/>
    <w:rsid w:val="00345169"/>
    <w:rsid w:val="00345890"/>
    <w:rsid w:val="003458B9"/>
    <w:rsid w:val="003458F4"/>
    <w:rsid w:val="00345B5F"/>
    <w:rsid w:val="00345D22"/>
    <w:rsid w:val="00345E81"/>
    <w:rsid w:val="00346175"/>
    <w:rsid w:val="00346192"/>
    <w:rsid w:val="003462D6"/>
    <w:rsid w:val="00346483"/>
    <w:rsid w:val="00346BE5"/>
    <w:rsid w:val="00346FBA"/>
    <w:rsid w:val="0034725D"/>
    <w:rsid w:val="00347686"/>
    <w:rsid w:val="00347A95"/>
    <w:rsid w:val="00347B06"/>
    <w:rsid w:val="00347BF0"/>
    <w:rsid w:val="00347E99"/>
    <w:rsid w:val="00347F16"/>
    <w:rsid w:val="00350131"/>
    <w:rsid w:val="00350224"/>
    <w:rsid w:val="0035070C"/>
    <w:rsid w:val="003509B7"/>
    <w:rsid w:val="003509D2"/>
    <w:rsid w:val="00350B60"/>
    <w:rsid w:val="00350B90"/>
    <w:rsid w:val="00350BC4"/>
    <w:rsid w:val="00350F10"/>
    <w:rsid w:val="0035121A"/>
    <w:rsid w:val="003513E8"/>
    <w:rsid w:val="003516E1"/>
    <w:rsid w:val="0035174A"/>
    <w:rsid w:val="00352133"/>
    <w:rsid w:val="00352816"/>
    <w:rsid w:val="0035295F"/>
    <w:rsid w:val="00353138"/>
    <w:rsid w:val="0035316B"/>
    <w:rsid w:val="0035354F"/>
    <w:rsid w:val="00353896"/>
    <w:rsid w:val="00353C24"/>
    <w:rsid w:val="00353F6C"/>
    <w:rsid w:val="00354953"/>
    <w:rsid w:val="00354B70"/>
    <w:rsid w:val="003551E4"/>
    <w:rsid w:val="003553E2"/>
    <w:rsid w:val="003559C7"/>
    <w:rsid w:val="00355A20"/>
    <w:rsid w:val="00355EA0"/>
    <w:rsid w:val="00355F23"/>
    <w:rsid w:val="00356085"/>
    <w:rsid w:val="0035661F"/>
    <w:rsid w:val="00356BB7"/>
    <w:rsid w:val="00356D3A"/>
    <w:rsid w:val="00356DE7"/>
    <w:rsid w:val="00356FFB"/>
    <w:rsid w:val="003571ED"/>
    <w:rsid w:val="00357512"/>
    <w:rsid w:val="00357771"/>
    <w:rsid w:val="003578E1"/>
    <w:rsid w:val="00357A54"/>
    <w:rsid w:val="00357F9B"/>
    <w:rsid w:val="00360167"/>
    <w:rsid w:val="00360AFE"/>
    <w:rsid w:val="00360E2C"/>
    <w:rsid w:val="003612BD"/>
    <w:rsid w:val="0036149F"/>
    <w:rsid w:val="00361A33"/>
    <w:rsid w:val="003621ED"/>
    <w:rsid w:val="003629CF"/>
    <w:rsid w:val="00363199"/>
    <w:rsid w:val="003640E0"/>
    <w:rsid w:val="0036418E"/>
    <w:rsid w:val="00364562"/>
    <w:rsid w:val="00364A13"/>
    <w:rsid w:val="00364FEA"/>
    <w:rsid w:val="003652B6"/>
    <w:rsid w:val="00365430"/>
    <w:rsid w:val="0036552E"/>
    <w:rsid w:val="00365540"/>
    <w:rsid w:val="00365F0F"/>
    <w:rsid w:val="00367052"/>
    <w:rsid w:val="00367586"/>
    <w:rsid w:val="00367944"/>
    <w:rsid w:val="00367C3C"/>
    <w:rsid w:val="00367ECA"/>
    <w:rsid w:val="003702A3"/>
    <w:rsid w:val="00370594"/>
    <w:rsid w:val="003708AC"/>
    <w:rsid w:val="003708EB"/>
    <w:rsid w:val="0037096A"/>
    <w:rsid w:val="00371176"/>
    <w:rsid w:val="00371399"/>
    <w:rsid w:val="003713BD"/>
    <w:rsid w:val="0037265F"/>
    <w:rsid w:val="003726E8"/>
    <w:rsid w:val="00373180"/>
    <w:rsid w:val="00374015"/>
    <w:rsid w:val="003749E7"/>
    <w:rsid w:val="00374CF2"/>
    <w:rsid w:val="00375145"/>
    <w:rsid w:val="00375184"/>
    <w:rsid w:val="0037541D"/>
    <w:rsid w:val="00376BCE"/>
    <w:rsid w:val="00376D7F"/>
    <w:rsid w:val="00377604"/>
    <w:rsid w:val="00377669"/>
    <w:rsid w:val="0037795D"/>
    <w:rsid w:val="003779AA"/>
    <w:rsid w:val="00377D78"/>
    <w:rsid w:val="003800CE"/>
    <w:rsid w:val="00380233"/>
    <w:rsid w:val="00380431"/>
    <w:rsid w:val="0038073B"/>
    <w:rsid w:val="00380B54"/>
    <w:rsid w:val="00380DBA"/>
    <w:rsid w:val="00380E37"/>
    <w:rsid w:val="00381166"/>
    <w:rsid w:val="00381C61"/>
    <w:rsid w:val="00382369"/>
    <w:rsid w:val="0038295C"/>
    <w:rsid w:val="003831E3"/>
    <w:rsid w:val="00383252"/>
    <w:rsid w:val="003832CC"/>
    <w:rsid w:val="00383E0E"/>
    <w:rsid w:val="00383E22"/>
    <w:rsid w:val="00383F6A"/>
    <w:rsid w:val="003841EF"/>
    <w:rsid w:val="00384277"/>
    <w:rsid w:val="003844B1"/>
    <w:rsid w:val="003845C6"/>
    <w:rsid w:val="00384927"/>
    <w:rsid w:val="00384A39"/>
    <w:rsid w:val="00384BBF"/>
    <w:rsid w:val="00384C3A"/>
    <w:rsid w:val="00384CA7"/>
    <w:rsid w:val="00384F58"/>
    <w:rsid w:val="003851F0"/>
    <w:rsid w:val="003853D1"/>
    <w:rsid w:val="0038590E"/>
    <w:rsid w:val="00385B1A"/>
    <w:rsid w:val="00385C45"/>
    <w:rsid w:val="00385F33"/>
    <w:rsid w:val="00386101"/>
    <w:rsid w:val="003862AF"/>
    <w:rsid w:val="00386444"/>
    <w:rsid w:val="003865D2"/>
    <w:rsid w:val="003868C4"/>
    <w:rsid w:val="00386C02"/>
    <w:rsid w:val="00386EFB"/>
    <w:rsid w:val="003874F9"/>
    <w:rsid w:val="00387E6C"/>
    <w:rsid w:val="00390B7A"/>
    <w:rsid w:val="00390D7F"/>
    <w:rsid w:val="00390FFE"/>
    <w:rsid w:val="003910E9"/>
    <w:rsid w:val="003916DE"/>
    <w:rsid w:val="003918B6"/>
    <w:rsid w:val="00391D45"/>
    <w:rsid w:val="00391EF4"/>
    <w:rsid w:val="003920D2"/>
    <w:rsid w:val="00392296"/>
    <w:rsid w:val="00392F9F"/>
    <w:rsid w:val="0039319E"/>
    <w:rsid w:val="003933DF"/>
    <w:rsid w:val="00393A0D"/>
    <w:rsid w:val="00393D55"/>
    <w:rsid w:val="00393E7B"/>
    <w:rsid w:val="00394DD7"/>
    <w:rsid w:val="00394E63"/>
    <w:rsid w:val="00394E85"/>
    <w:rsid w:val="003952F6"/>
    <w:rsid w:val="0039532F"/>
    <w:rsid w:val="003954BF"/>
    <w:rsid w:val="003960AD"/>
    <w:rsid w:val="00396649"/>
    <w:rsid w:val="00396D70"/>
    <w:rsid w:val="00396F28"/>
    <w:rsid w:val="003973BA"/>
    <w:rsid w:val="00397498"/>
    <w:rsid w:val="003976AC"/>
    <w:rsid w:val="003A012E"/>
    <w:rsid w:val="003A03E1"/>
    <w:rsid w:val="003A0553"/>
    <w:rsid w:val="003A05F7"/>
    <w:rsid w:val="003A0A28"/>
    <w:rsid w:val="003A0BA0"/>
    <w:rsid w:val="003A144E"/>
    <w:rsid w:val="003A1637"/>
    <w:rsid w:val="003A1985"/>
    <w:rsid w:val="003A19F3"/>
    <w:rsid w:val="003A1C2C"/>
    <w:rsid w:val="003A2151"/>
    <w:rsid w:val="003A2492"/>
    <w:rsid w:val="003A2843"/>
    <w:rsid w:val="003A2AC2"/>
    <w:rsid w:val="003A2CA2"/>
    <w:rsid w:val="003A2CB1"/>
    <w:rsid w:val="003A2CF6"/>
    <w:rsid w:val="003A2DD6"/>
    <w:rsid w:val="003A30D5"/>
    <w:rsid w:val="003A38EF"/>
    <w:rsid w:val="003A3A7F"/>
    <w:rsid w:val="003A3C3D"/>
    <w:rsid w:val="003A40B8"/>
    <w:rsid w:val="003A4166"/>
    <w:rsid w:val="003A4190"/>
    <w:rsid w:val="003A4251"/>
    <w:rsid w:val="003A47ED"/>
    <w:rsid w:val="003A4FF6"/>
    <w:rsid w:val="003A581B"/>
    <w:rsid w:val="003A5BC5"/>
    <w:rsid w:val="003A5CB0"/>
    <w:rsid w:val="003A5D86"/>
    <w:rsid w:val="003A67DC"/>
    <w:rsid w:val="003A693D"/>
    <w:rsid w:val="003A720D"/>
    <w:rsid w:val="003A7328"/>
    <w:rsid w:val="003A79E0"/>
    <w:rsid w:val="003A7DAD"/>
    <w:rsid w:val="003A7E18"/>
    <w:rsid w:val="003B005C"/>
    <w:rsid w:val="003B02E5"/>
    <w:rsid w:val="003B02F8"/>
    <w:rsid w:val="003B0332"/>
    <w:rsid w:val="003B0983"/>
    <w:rsid w:val="003B0B7D"/>
    <w:rsid w:val="003B0D1D"/>
    <w:rsid w:val="003B0D42"/>
    <w:rsid w:val="003B0E23"/>
    <w:rsid w:val="003B0EA8"/>
    <w:rsid w:val="003B1056"/>
    <w:rsid w:val="003B1355"/>
    <w:rsid w:val="003B155F"/>
    <w:rsid w:val="003B18AF"/>
    <w:rsid w:val="003B1A97"/>
    <w:rsid w:val="003B2876"/>
    <w:rsid w:val="003B2951"/>
    <w:rsid w:val="003B2B04"/>
    <w:rsid w:val="003B2E69"/>
    <w:rsid w:val="003B2ECB"/>
    <w:rsid w:val="003B33C8"/>
    <w:rsid w:val="003B3C64"/>
    <w:rsid w:val="003B3DB9"/>
    <w:rsid w:val="003B3E69"/>
    <w:rsid w:val="003B3E6B"/>
    <w:rsid w:val="003B3F9D"/>
    <w:rsid w:val="003B4238"/>
    <w:rsid w:val="003B4344"/>
    <w:rsid w:val="003B4408"/>
    <w:rsid w:val="003B510E"/>
    <w:rsid w:val="003B5279"/>
    <w:rsid w:val="003B5539"/>
    <w:rsid w:val="003B57AA"/>
    <w:rsid w:val="003B5D67"/>
    <w:rsid w:val="003B622C"/>
    <w:rsid w:val="003B64D9"/>
    <w:rsid w:val="003B7227"/>
    <w:rsid w:val="003B7772"/>
    <w:rsid w:val="003B779D"/>
    <w:rsid w:val="003B7A2F"/>
    <w:rsid w:val="003B7DB1"/>
    <w:rsid w:val="003C002D"/>
    <w:rsid w:val="003C0422"/>
    <w:rsid w:val="003C07B0"/>
    <w:rsid w:val="003C13D4"/>
    <w:rsid w:val="003C1885"/>
    <w:rsid w:val="003C1AB6"/>
    <w:rsid w:val="003C1E2D"/>
    <w:rsid w:val="003C22C7"/>
    <w:rsid w:val="003C23BE"/>
    <w:rsid w:val="003C29A2"/>
    <w:rsid w:val="003C29B1"/>
    <w:rsid w:val="003C2ED8"/>
    <w:rsid w:val="003C3A02"/>
    <w:rsid w:val="003C3A60"/>
    <w:rsid w:val="003C3B8A"/>
    <w:rsid w:val="003C3C87"/>
    <w:rsid w:val="003C401F"/>
    <w:rsid w:val="003C4427"/>
    <w:rsid w:val="003C4474"/>
    <w:rsid w:val="003C447A"/>
    <w:rsid w:val="003C4665"/>
    <w:rsid w:val="003C5389"/>
    <w:rsid w:val="003C5CB8"/>
    <w:rsid w:val="003C5F3D"/>
    <w:rsid w:val="003C6775"/>
    <w:rsid w:val="003C7128"/>
    <w:rsid w:val="003C731A"/>
    <w:rsid w:val="003C747F"/>
    <w:rsid w:val="003C757F"/>
    <w:rsid w:val="003C75DF"/>
    <w:rsid w:val="003C761C"/>
    <w:rsid w:val="003C783E"/>
    <w:rsid w:val="003C7910"/>
    <w:rsid w:val="003C7EC3"/>
    <w:rsid w:val="003C7F13"/>
    <w:rsid w:val="003D022D"/>
    <w:rsid w:val="003D03C9"/>
    <w:rsid w:val="003D0C55"/>
    <w:rsid w:val="003D1861"/>
    <w:rsid w:val="003D1B7B"/>
    <w:rsid w:val="003D1CDA"/>
    <w:rsid w:val="003D1F27"/>
    <w:rsid w:val="003D2052"/>
    <w:rsid w:val="003D2264"/>
    <w:rsid w:val="003D28F1"/>
    <w:rsid w:val="003D2906"/>
    <w:rsid w:val="003D2929"/>
    <w:rsid w:val="003D2A6A"/>
    <w:rsid w:val="003D2D44"/>
    <w:rsid w:val="003D2E6B"/>
    <w:rsid w:val="003D2EB4"/>
    <w:rsid w:val="003D2F1F"/>
    <w:rsid w:val="003D3157"/>
    <w:rsid w:val="003D32F9"/>
    <w:rsid w:val="003D35D1"/>
    <w:rsid w:val="003D3B00"/>
    <w:rsid w:val="003D4358"/>
    <w:rsid w:val="003D4486"/>
    <w:rsid w:val="003D449E"/>
    <w:rsid w:val="003D4876"/>
    <w:rsid w:val="003D48F0"/>
    <w:rsid w:val="003D48FF"/>
    <w:rsid w:val="003D4AF0"/>
    <w:rsid w:val="003D4F18"/>
    <w:rsid w:val="003D521C"/>
    <w:rsid w:val="003D5507"/>
    <w:rsid w:val="003D5670"/>
    <w:rsid w:val="003D5739"/>
    <w:rsid w:val="003D5808"/>
    <w:rsid w:val="003D5A6F"/>
    <w:rsid w:val="003D5EAE"/>
    <w:rsid w:val="003D6418"/>
    <w:rsid w:val="003D665B"/>
    <w:rsid w:val="003D6858"/>
    <w:rsid w:val="003D69EC"/>
    <w:rsid w:val="003D6A0A"/>
    <w:rsid w:val="003D7227"/>
    <w:rsid w:val="003D757D"/>
    <w:rsid w:val="003D7A0C"/>
    <w:rsid w:val="003D7E99"/>
    <w:rsid w:val="003D7EFB"/>
    <w:rsid w:val="003E02B6"/>
    <w:rsid w:val="003E032B"/>
    <w:rsid w:val="003E0419"/>
    <w:rsid w:val="003E0D6A"/>
    <w:rsid w:val="003E10BB"/>
    <w:rsid w:val="003E132F"/>
    <w:rsid w:val="003E16AB"/>
    <w:rsid w:val="003E16FE"/>
    <w:rsid w:val="003E17B1"/>
    <w:rsid w:val="003E1D3B"/>
    <w:rsid w:val="003E1F9C"/>
    <w:rsid w:val="003E201A"/>
    <w:rsid w:val="003E21A0"/>
    <w:rsid w:val="003E26CB"/>
    <w:rsid w:val="003E2ABB"/>
    <w:rsid w:val="003E2DF5"/>
    <w:rsid w:val="003E32BE"/>
    <w:rsid w:val="003E35C0"/>
    <w:rsid w:val="003E372B"/>
    <w:rsid w:val="003E3759"/>
    <w:rsid w:val="003E3E10"/>
    <w:rsid w:val="003E3EE7"/>
    <w:rsid w:val="003E3FD2"/>
    <w:rsid w:val="003E44F8"/>
    <w:rsid w:val="003E466F"/>
    <w:rsid w:val="003E46C1"/>
    <w:rsid w:val="003E475A"/>
    <w:rsid w:val="003E47E8"/>
    <w:rsid w:val="003E49AE"/>
    <w:rsid w:val="003E4D3D"/>
    <w:rsid w:val="003E53DC"/>
    <w:rsid w:val="003E59F6"/>
    <w:rsid w:val="003E5B7A"/>
    <w:rsid w:val="003E5C14"/>
    <w:rsid w:val="003E62D5"/>
    <w:rsid w:val="003E7141"/>
    <w:rsid w:val="003E72CA"/>
    <w:rsid w:val="003E73EE"/>
    <w:rsid w:val="003E7474"/>
    <w:rsid w:val="003E770B"/>
    <w:rsid w:val="003E7844"/>
    <w:rsid w:val="003E7A9C"/>
    <w:rsid w:val="003F0366"/>
    <w:rsid w:val="003F06B2"/>
    <w:rsid w:val="003F0728"/>
    <w:rsid w:val="003F0BC4"/>
    <w:rsid w:val="003F0CD5"/>
    <w:rsid w:val="003F0DB0"/>
    <w:rsid w:val="003F10CB"/>
    <w:rsid w:val="003F1281"/>
    <w:rsid w:val="003F16CE"/>
    <w:rsid w:val="003F1849"/>
    <w:rsid w:val="003F1B22"/>
    <w:rsid w:val="003F212D"/>
    <w:rsid w:val="003F2532"/>
    <w:rsid w:val="003F2589"/>
    <w:rsid w:val="003F288B"/>
    <w:rsid w:val="003F3044"/>
    <w:rsid w:val="003F38DB"/>
    <w:rsid w:val="003F3976"/>
    <w:rsid w:val="003F3B8D"/>
    <w:rsid w:val="003F3BAF"/>
    <w:rsid w:val="003F3E1D"/>
    <w:rsid w:val="003F3E4A"/>
    <w:rsid w:val="003F40A7"/>
    <w:rsid w:val="003F43C5"/>
    <w:rsid w:val="003F4DF4"/>
    <w:rsid w:val="003F4E69"/>
    <w:rsid w:val="003F58FD"/>
    <w:rsid w:val="003F5C5B"/>
    <w:rsid w:val="003F5DA7"/>
    <w:rsid w:val="003F64E3"/>
    <w:rsid w:val="003F6A32"/>
    <w:rsid w:val="003F6B67"/>
    <w:rsid w:val="003F739D"/>
    <w:rsid w:val="003F73A8"/>
    <w:rsid w:val="003F7AB7"/>
    <w:rsid w:val="003F7C06"/>
    <w:rsid w:val="003F7D07"/>
    <w:rsid w:val="003F7F1D"/>
    <w:rsid w:val="00400244"/>
    <w:rsid w:val="004005B6"/>
    <w:rsid w:val="0040090B"/>
    <w:rsid w:val="004009F8"/>
    <w:rsid w:val="004012F4"/>
    <w:rsid w:val="00401578"/>
    <w:rsid w:val="0040167F"/>
    <w:rsid w:val="004018F8"/>
    <w:rsid w:val="00401A3E"/>
    <w:rsid w:val="00401DCC"/>
    <w:rsid w:val="00401E92"/>
    <w:rsid w:val="004024C0"/>
    <w:rsid w:val="00402989"/>
    <w:rsid w:val="00402EEA"/>
    <w:rsid w:val="004032BE"/>
    <w:rsid w:val="00403302"/>
    <w:rsid w:val="00403490"/>
    <w:rsid w:val="00403753"/>
    <w:rsid w:val="00403F2C"/>
    <w:rsid w:val="00404057"/>
    <w:rsid w:val="00404157"/>
    <w:rsid w:val="0040492F"/>
    <w:rsid w:val="00404A70"/>
    <w:rsid w:val="00404B61"/>
    <w:rsid w:val="00404B86"/>
    <w:rsid w:val="0040502A"/>
    <w:rsid w:val="004055DF"/>
    <w:rsid w:val="0040580F"/>
    <w:rsid w:val="00405E9E"/>
    <w:rsid w:val="0040642F"/>
    <w:rsid w:val="00406638"/>
    <w:rsid w:val="004075A8"/>
    <w:rsid w:val="00407A94"/>
    <w:rsid w:val="00407D53"/>
    <w:rsid w:val="00407EDC"/>
    <w:rsid w:val="00410069"/>
    <w:rsid w:val="00411008"/>
    <w:rsid w:val="00411543"/>
    <w:rsid w:val="004119BD"/>
    <w:rsid w:val="00411EF8"/>
    <w:rsid w:val="00411F85"/>
    <w:rsid w:val="00411FFF"/>
    <w:rsid w:val="00412721"/>
    <w:rsid w:val="00412B94"/>
    <w:rsid w:val="00413134"/>
    <w:rsid w:val="0041313E"/>
    <w:rsid w:val="00413158"/>
    <w:rsid w:val="004136D8"/>
    <w:rsid w:val="004136F8"/>
    <w:rsid w:val="00413CDC"/>
    <w:rsid w:val="00413E51"/>
    <w:rsid w:val="00414152"/>
    <w:rsid w:val="0041442D"/>
    <w:rsid w:val="00414ACB"/>
    <w:rsid w:val="00414BA6"/>
    <w:rsid w:val="004150A9"/>
    <w:rsid w:val="0041539D"/>
    <w:rsid w:val="0041554B"/>
    <w:rsid w:val="004156A6"/>
    <w:rsid w:val="00415D0F"/>
    <w:rsid w:val="0041611F"/>
    <w:rsid w:val="0041634A"/>
    <w:rsid w:val="00416474"/>
    <w:rsid w:val="00416479"/>
    <w:rsid w:val="00417344"/>
    <w:rsid w:val="00417B32"/>
    <w:rsid w:val="00417DAA"/>
    <w:rsid w:val="00417DD3"/>
    <w:rsid w:val="00417E01"/>
    <w:rsid w:val="00417F7C"/>
    <w:rsid w:val="004203F0"/>
    <w:rsid w:val="0042069B"/>
    <w:rsid w:val="00420883"/>
    <w:rsid w:val="00420B92"/>
    <w:rsid w:val="00420D0F"/>
    <w:rsid w:val="00420D54"/>
    <w:rsid w:val="00420D7E"/>
    <w:rsid w:val="004210AD"/>
    <w:rsid w:val="004212BB"/>
    <w:rsid w:val="00421736"/>
    <w:rsid w:val="00421EA3"/>
    <w:rsid w:val="00422563"/>
    <w:rsid w:val="004226EF"/>
    <w:rsid w:val="00422896"/>
    <w:rsid w:val="004228E1"/>
    <w:rsid w:val="00422F6C"/>
    <w:rsid w:val="00423361"/>
    <w:rsid w:val="004237F5"/>
    <w:rsid w:val="00423B1D"/>
    <w:rsid w:val="00424A99"/>
    <w:rsid w:val="00424AE0"/>
    <w:rsid w:val="00424BDF"/>
    <w:rsid w:val="0042507D"/>
    <w:rsid w:val="00425453"/>
    <w:rsid w:val="0042550F"/>
    <w:rsid w:val="00425755"/>
    <w:rsid w:val="004263A6"/>
    <w:rsid w:val="00426856"/>
    <w:rsid w:val="00426B6E"/>
    <w:rsid w:val="004274BD"/>
    <w:rsid w:val="00427ABB"/>
    <w:rsid w:val="00427B5F"/>
    <w:rsid w:val="004300E1"/>
    <w:rsid w:val="00430A21"/>
    <w:rsid w:val="00430B0F"/>
    <w:rsid w:val="00430C37"/>
    <w:rsid w:val="00430D5E"/>
    <w:rsid w:val="00430F36"/>
    <w:rsid w:val="00431271"/>
    <w:rsid w:val="004313C7"/>
    <w:rsid w:val="0043149C"/>
    <w:rsid w:val="00431667"/>
    <w:rsid w:val="00431746"/>
    <w:rsid w:val="00431CEC"/>
    <w:rsid w:val="00431FF7"/>
    <w:rsid w:val="0043299D"/>
    <w:rsid w:val="00432E5E"/>
    <w:rsid w:val="0043310E"/>
    <w:rsid w:val="0043384F"/>
    <w:rsid w:val="004338EE"/>
    <w:rsid w:val="00433985"/>
    <w:rsid w:val="00433A11"/>
    <w:rsid w:val="00434190"/>
    <w:rsid w:val="00434880"/>
    <w:rsid w:val="004349CF"/>
    <w:rsid w:val="00434A53"/>
    <w:rsid w:val="00434D16"/>
    <w:rsid w:val="00434E9E"/>
    <w:rsid w:val="004350A7"/>
    <w:rsid w:val="004351A9"/>
    <w:rsid w:val="004355D5"/>
    <w:rsid w:val="00435A99"/>
    <w:rsid w:val="00435EB3"/>
    <w:rsid w:val="00436A5B"/>
    <w:rsid w:val="004372F5"/>
    <w:rsid w:val="004373E2"/>
    <w:rsid w:val="00437782"/>
    <w:rsid w:val="004379FD"/>
    <w:rsid w:val="00437DF8"/>
    <w:rsid w:val="00437EE0"/>
    <w:rsid w:val="0044033A"/>
    <w:rsid w:val="00440DFC"/>
    <w:rsid w:val="0044193C"/>
    <w:rsid w:val="00441E68"/>
    <w:rsid w:val="00442293"/>
    <w:rsid w:val="00442402"/>
    <w:rsid w:val="00442A0E"/>
    <w:rsid w:val="00442B49"/>
    <w:rsid w:val="00442C3C"/>
    <w:rsid w:val="00442EAB"/>
    <w:rsid w:val="004430A3"/>
    <w:rsid w:val="004432F7"/>
    <w:rsid w:val="00443373"/>
    <w:rsid w:val="00443623"/>
    <w:rsid w:val="00443A9F"/>
    <w:rsid w:val="00443BD6"/>
    <w:rsid w:val="00443D79"/>
    <w:rsid w:val="00444168"/>
    <w:rsid w:val="00444385"/>
    <w:rsid w:val="00444706"/>
    <w:rsid w:val="004447CF"/>
    <w:rsid w:val="004456B8"/>
    <w:rsid w:val="00445A8B"/>
    <w:rsid w:val="00445C46"/>
    <w:rsid w:val="00446951"/>
    <w:rsid w:val="00446BBB"/>
    <w:rsid w:val="00446E95"/>
    <w:rsid w:val="00447148"/>
    <w:rsid w:val="00447378"/>
    <w:rsid w:val="00447AD0"/>
    <w:rsid w:val="00447C4B"/>
    <w:rsid w:val="00447EBB"/>
    <w:rsid w:val="00450153"/>
    <w:rsid w:val="004501DC"/>
    <w:rsid w:val="00450AFE"/>
    <w:rsid w:val="00451045"/>
    <w:rsid w:val="00451616"/>
    <w:rsid w:val="004516CC"/>
    <w:rsid w:val="00451797"/>
    <w:rsid w:val="00451988"/>
    <w:rsid w:val="0045286E"/>
    <w:rsid w:val="00452CB2"/>
    <w:rsid w:val="00452CDD"/>
    <w:rsid w:val="00452D3E"/>
    <w:rsid w:val="004535F2"/>
    <w:rsid w:val="004539D1"/>
    <w:rsid w:val="00453D37"/>
    <w:rsid w:val="004542B3"/>
    <w:rsid w:val="00454328"/>
    <w:rsid w:val="004557A5"/>
    <w:rsid w:val="004557A6"/>
    <w:rsid w:val="00455928"/>
    <w:rsid w:val="00456730"/>
    <w:rsid w:val="004567E0"/>
    <w:rsid w:val="0045692A"/>
    <w:rsid w:val="00456B96"/>
    <w:rsid w:val="00456D68"/>
    <w:rsid w:val="00457A1B"/>
    <w:rsid w:val="004607B7"/>
    <w:rsid w:val="00460924"/>
    <w:rsid w:val="004612B2"/>
    <w:rsid w:val="00461459"/>
    <w:rsid w:val="00461617"/>
    <w:rsid w:val="00461C74"/>
    <w:rsid w:val="004623D4"/>
    <w:rsid w:val="00462414"/>
    <w:rsid w:val="004626DF"/>
    <w:rsid w:val="004628D9"/>
    <w:rsid w:val="00462A01"/>
    <w:rsid w:val="00463772"/>
    <w:rsid w:val="0046384A"/>
    <w:rsid w:val="00463A95"/>
    <w:rsid w:val="00463D0B"/>
    <w:rsid w:val="00464564"/>
    <w:rsid w:val="004645A5"/>
    <w:rsid w:val="0046477B"/>
    <w:rsid w:val="00464ADD"/>
    <w:rsid w:val="00464BD4"/>
    <w:rsid w:val="004651C3"/>
    <w:rsid w:val="004654F7"/>
    <w:rsid w:val="004659CB"/>
    <w:rsid w:val="00465A0B"/>
    <w:rsid w:val="00465DFD"/>
    <w:rsid w:val="00466851"/>
    <w:rsid w:val="00466D27"/>
    <w:rsid w:val="0046745E"/>
    <w:rsid w:val="00467ACA"/>
    <w:rsid w:val="00470187"/>
    <w:rsid w:val="004708E9"/>
    <w:rsid w:val="0047115F"/>
    <w:rsid w:val="0047146C"/>
    <w:rsid w:val="0047151D"/>
    <w:rsid w:val="004716A3"/>
    <w:rsid w:val="004718D7"/>
    <w:rsid w:val="0047196B"/>
    <w:rsid w:val="00471AA8"/>
    <w:rsid w:val="00471F06"/>
    <w:rsid w:val="00472436"/>
    <w:rsid w:val="0047243D"/>
    <w:rsid w:val="00472521"/>
    <w:rsid w:val="004726B5"/>
    <w:rsid w:val="004726BE"/>
    <w:rsid w:val="004727E5"/>
    <w:rsid w:val="00472F41"/>
    <w:rsid w:val="004734AF"/>
    <w:rsid w:val="00473803"/>
    <w:rsid w:val="00473ADE"/>
    <w:rsid w:val="00474F69"/>
    <w:rsid w:val="004752A7"/>
    <w:rsid w:val="00475485"/>
    <w:rsid w:val="00475A78"/>
    <w:rsid w:val="004760EB"/>
    <w:rsid w:val="004762DE"/>
    <w:rsid w:val="004764E0"/>
    <w:rsid w:val="00476835"/>
    <w:rsid w:val="0047687D"/>
    <w:rsid w:val="00476ED2"/>
    <w:rsid w:val="004774EB"/>
    <w:rsid w:val="00477AB1"/>
    <w:rsid w:val="00477B3A"/>
    <w:rsid w:val="00477CDF"/>
    <w:rsid w:val="00477D64"/>
    <w:rsid w:val="0048000C"/>
    <w:rsid w:val="00480378"/>
    <w:rsid w:val="00480760"/>
    <w:rsid w:val="004809B2"/>
    <w:rsid w:val="00480FF0"/>
    <w:rsid w:val="00481B23"/>
    <w:rsid w:val="004826F1"/>
    <w:rsid w:val="00482ABF"/>
    <w:rsid w:val="00482E90"/>
    <w:rsid w:val="0048418C"/>
    <w:rsid w:val="00484250"/>
    <w:rsid w:val="004846B1"/>
    <w:rsid w:val="00484AE6"/>
    <w:rsid w:val="00485033"/>
    <w:rsid w:val="004852A3"/>
    <w:rsid w:val="004852C4"/>
    <w:rsid w:val="00485464"/>
    <w:rsid w:val="00485676"/>
    <w:rsid w:val="004856E9"/>
    <w:rsid w:val="00485A2A"/>
    <w:rsid w:val="004860C0"/>
    <w:rsid w:val="0048694B"/>
    <w:rsid w:val="00486986"/>
    <w:rsid w:val="00486E80"/>
    <w:rsid w:val="00486F2E"/>
    <w:rsid w:val="00487110"/>
    <w:rsid w:val="0048726D"/>
    <w:rsid w:val="0048745F"/>
    <w:rsid w:val="0048767E"/>
    <w:rsid w:val="00487A40"/>
    <w:rsid w:val="00487BDA"/>
    <w:rsid w:val="00487D89"/>
    <w:rsid w:val="00490163"/>
    <w:rsid w:val="004905AC"/>
    <w:rsid w:val="004909D1"/>
    <w:rsid w:val="00490AE6"/>
    <w:rsid w:val="00490B24"/>
    <w:rsid w:val="00490D03"/>
    <w:rsid w:val="00490F20"/>
    <w:rsid w:val="00491185"/>
    <w:rsid w:val="00491403"/>
    <w:rsid w:val="0049154A"/>
    <w:rsid w:val="00491A4D"/>
    <w:rsid w:val="00491E39"/>
    <w:rsid w:val="00491EB3"/>
    <w:rsid w:val="004925C4"/>
    <w:rsid w:val="00492E38"/>
    <w:rsid w:val="0049310B"/>
    <w:rsid w:val="004932ED"/>
    <w:rsid w:val="004932FD"/>
    <w:rsid w:val="00493F8E"/>
    <w:rsid w:val="00494152"/>
    <w:rsid w:val="004948C8"/>
    <w:rsid w:val="00494B78"/>
    <w:rsid w:val="00495171"/>
    <w:rsid w:val="00495827"/>
    <w:rsid w:val="00495E63"/>
    <w:rsid w:val="00495FC9"/>
    <w:rsid w:val="00496083"/>
    <w:rsid w:val="004963F6"/>
    <w:rsid w:val="00496498"/>
    <w:rsid w:val="00496ADA"/>
    <w:rsid w:val="00496E3F"/>
    <w:rsid w:val="004976E8"/>
    <w:rsid w:val="00497B3E"/>
    <w:rsid w:val="00497D0E"/>
    <w:rsid w:val="00497F33"/>
    <w:rsid w:val="004A0162"/>
    <w:rsid w:val="004A07A6"/>
    <w:rsid w:val="004A0AE7"/>
    <w:rsid w:val="004A0C64"/>
    <w:rsid w:val="004A0E99"/>
    <w:rsid w:val="004A0FE5"/>
    <w:rsid w:val="004A1898"/>
    <w:rsid w:val="004A1AFA"/>
    <w:rsid w:val="004A1F7B"/>
    <w:rsid w:val="004A2440"/>
    <w:rsid w:val="004A26C9"/>
    <w:rsid w:val="004A2986"/>
    <w:rsid w:val="004A2B14"/>
    <w:rsid w:val="004A33AB"/>
    <w:rsid w:val="004A34E9"/>
    <w:rsid w:val="004A38D0"/>
    <w:rsid w:val="004A38F1"/>
    <w:rsid w:val="004A3D2F"/>
    <w:rsid w:val="004A52CE"/>
    <w:rsid w:val="004A5382"/>
    <w:rsid w:val="004A54A6"/>
    <w:rsid w:val="004A57ED"/>
    <w:rsid w:val="004A5951"/>
    <w:rsid w:val="004A5A0D"/>
    <w:rsid w:val="004A5C8B"/>
    <w:rsid w:val="004A6669"/>
    <w:rsid w:val="004A6675"/>
    <w:rsid w:val="004A68C8"/>
    <w:rsid w:val="004A6A72"/>
    <w:rsid w:val="004A6F5C"/>
    <w:rsid w:val="004A7140"/>
    <w:rsid w:val="004A7186"/>
    <w:rsid w:val="004A72CF"/>
    <w:rsid w:val="004A72D7"/>
    <w:rsid w:val="004A789D"/>
    <w:rsid w:val="004A7F7B"/>
    <w:rsid w:val="004B025E"/>
    <w:rsid w:val="004B04D2"/>
    <w:rsid w:val="004B07DD"/>
    <w:rsid w:val="004B0C5D"/>
    <w:rsid w:val="004B0CF5"/>
    <w:rsid w:val="004B100E"/>
    <w:rsid w:val="004B1321"/>
    <w:rsid w:val="004B1976"/>
    <w:rsid w:val="004B1DD4"/>
    <w:rsid w:val="004B239C"/>
    <w:rsid w:val="004B25EB"/>
    <w:rsid w:val="004B2617"/>
    <w:rsid w:val="004B2A71"/>
    <w:rsid w:val="004B2B83"/>
    <w:rsid w:val="004B2CBE"/>
    <w:rsid w:val="004B2CF1"/>
    <w:rsid w:val="004B30D7"/>
    <w:rsid w:val="004B30EC"/>
    <w:rsid w:val="004B312B"/>
    <w:rsid w:val="004B312E"/>
    <w:rsid w:val="004B32EC"/>
    <w:rsid w:val="004B34E0"/>
    <w:rsid w:val="004B3B84"/>
    <w:rsid w:val="004B3B85"/>
    <w:rsid w:val="004B4740"/>
    <w:rsid w:val="004B4B4B"/>
    <w:rsid w:val="004B4FB0"/>
    <w:rsid w:val="004B5233"/>
    <w:rsid w:val="004B5294"/>
    <w:rsid w:val="004B52E9"/>
    <w:rsid w:val="004B54DB"/>
    <w:rsid w:val="004B54EB"/>
    <w:rsid w:val="004B55BE"/>
    <w:rsid w:val="004B5857"/>
    <w:rsid w:val="004B58B4"/>
    <w:rsid w:val="004B5CE8"/>
    <w:rsid w:val="004B5E93"/>
    <w:rsid w:val="004B67F4"/>
    <w:rsid w:val="004B6ACC"/>
    <w:rsid w:val="004B739D"/>
    <w:rsid w:val="004B73DA"/>
    <w:rsid w:val="004B7700"/>
    <w:rsid w:val="004B773C"/>
    <w:rsid w:val="004B7BC1"/>
    <w:rsid w:val="004B7D23"/>
    <w:rsid w:val="004B7F17"/>
    <w:rsid w:val="004C0238"/>
    <w:rsid w:val="004C077C"/>
    <w:rsid w:val="004C12A6"/>
    <w:rsid w:val="004C15F4"/>
    <w:rsid w:val="004C1814"/>
    <w:rsid w:val="004C189F"/>
    <w:rsid w:val="004C2D74"/>
    <w:rsid w:val="004C2D96"/>
    <w:rsid w:val="004C33F2"/>
    <w:rsid w:val="004C348C"/>
    <w:rsid w:val="004C3AC9"/>
    <w:rsid w:val="004C3CAB"/>
    <w:rsid w:val="004C4022"/>
    <w:rsid w:val="004C42F6"/>
    <w:rsid w:val="004C4465"/>
    <w:rsid w:val="004C47B2"/>
    <w:rsid w:val="004C4AE3"/>
    <w:rsid w:val="004C4D3B"/>
    <w:rsid w:val="004C506B"/>
    <w:rsid w:val="004C5157"/>
    <w:rsid w:val="004C531B"/>
    <w:rsid w:val="004C5452"/>
    <w:rsid w:val="004C5490"/>
    <w:rsid w:val="004C5939"/>
    <w:rsid w:val="004C6237"/>
    <w:rsid w:val="004C6273"/>
    <w:rsid w:val="004C63E2"/>
    <w:rsid w:val="004C64CD"/>
    <w:rsid w:val="004C6835"/>
    <w:rsid w:val="004C69C1"/>
    <w:rsid w:val="004C6A4B"/>
    <w:rsid w:val="004C6CF5"/>
    <w:rsid w:val="004C6DDB"/>
    <w:rsid w:val="004C6DE4"/>
    <w:rsid w:val="004C71B4"/>
    <w:rsid w:val="004C71BD"/>
    <w:rsid w:val="004C7558"/>
    <w:rsid w:val="004C7578"/>
    <w:rsid w:val="004C76BA"/>
    <w:rsid w:val="004C7BD6"/>
    <w:rsid w:val="004C7F5D"/>
    <w:rsid w:val="004D061C"/>
    <w:rsid w:val="004D13AC"/>
    <w:rsid w:val="004D18F1"/>
    <w:rsid w:val="004D1B6E"/>
    <w:rsid w:val="004D1B89"/>
    <w:rsid w:val="004D200A"/>
    <w:rsid w:val="004D2510"/>
    <w:rsid w:val="004D2513"/>
    <w:rsid w:val="004D26D8"/>
    <w:rsid w:val="004D2772"/>
    <w:rsid w:val="004D27D0"/>
    <w:rsid w:val="004D298D"/>
    <w:rsid w:val="004D29C3"/>
    <w:rsid w:val="004D2BF7"/>
    <w:rsid w:val="004D2F69"/>
    <w:rsid w:val="004D3653"/>
    <w:rsid w:val="004D3713"/>
    <w:rsid w:val="004D37F9"/>
    <w:rsid w:val="004D3CD3"/>
    <w:rsid w:val="004D403B"/>
    <w:rsid w:val="004D4320"/>
    <w:rsid w:val="004D4CC0"/>
    <w:rsid w:val="004D4DBD"/>
    <w:rsid w:val="004D50C3"/>
    <w:rsid w:val="004D5149"/>
    <w:rsid w:val="004D547C"/>
    <w:rsid w:val="004D599F"/>
    <w:rsid w:val="004D5C43"/>
    <w:rsid w:val="004D5F63"/>
    <w:rsid w:val="004D5FA2"/>
    <w:rsid w:val="004D5FB1"/>
    <w:rsid w:val="004D648E"/>
    <w:rsid w:val="004D681E"/>
    <w:rsid w:val="004D70AF"/>
    <w:rsid w:val="004D740E"/>
    <w:rsid w:val="004D769F"/>
    <w:rsid w:val="004D79C6"/>
    <w:rsid w:val="004D7A17"/>
    <w:rsid w:val="004D7E2A"/>
    <w:rsid w:val="004E01FA"/>
    <w:rsid w:val="004E07DD"/>
    <w:rsid w:val="004E09A9"/>
    <w:rsid w:val="004E0B69"/>
    <w:rsid w:val="004E0D53"/>
    <w:rsid w:val="004E10B3"/>
    <w:rsid w:val="004E11F6"/>
    <w:rsid w:val="004E163E"/>
    <w:rsid w:val="004E187A"/>
    <w:rsid w:val="004E197A"/>
    <w:rsid w:val="004E2683"/>
    <w:rsid w:val="004E2F10"/>
    <w:rsid w:val="004E459B"/>
    <w:rsid w:val="004E487A"/>
    <w:rsid w:val="004E49E6"/>
    <w:rsid w:val="004E4A0C"/>
    <w:rsid w:val="004E50E1"/>
    <w:rsid w:val="004E5158"/>
    <w:rsid w:val="004E56E9"/>
    <w:rsid w:val="004E57BA"/>
    <w:rsid w:val="004E5CA4"/>
    <w:rsid w:val="004E5FD5"/>
    <w:rsid w:val="004E605B"/>
    <w:rsid w:val="004E6085"/>
    <w:rsid w:val="004E6662"/>
    <w:rsid w:val="004E6A8D"/>
    <w:rsid w:val="004E6C15"/>
    <w:rsid w:val="004E71A4"/>
    <w:rsid w:val="004E73A6"/>
    <w:rsid w:val="004E749B"/>
    <w:rsid w:val="004E7A30"/>
    <w:rsid w:val="004F022B"/>
    <w:rsid w:val="004F04BD"/>
    <w:rsid w:val="004F0686"/>
    <w:rsid w:val="004F0B1F"/>
    <w:rsid w:val="004F0CFA"/>
    <w:rsid w:val="004F0EC8"/>
    <w:rsid w:val="004F0F4F"/>
    <w:rsid w:val="004F1050"/>
    <w:rsid w:val="004F1346"/>
    <w:rsid w:val="004F1856"/>
    <w:rsid w:val="004F192C"/>
    <w:rsid w:val="004F1C13"/>
    <w:rsid w:val="004F1C54"/>
    <w:rsid w:val="004F1CDA"/>
    <w:rsid w:val="004F247A"/>
    <w:rsid w:val="004F2656"/>
    <w:rsid w:val="004F27AB"/>
    <w:rsid w:val="004F2960"/>
    <w:rsid w:val="004F2A51"/>
    <w:rsid w:val="004F2D6B"/>
    <w:rsid w:val="004F2E0C"/>
    <w:rsid w:val="004F2E5F"/>
    <w:rsid w:val="004F30DF"/>
    <w:rsid w:val="004F3430"/>
    <w:rsid w:val="004F346C"/>
    <w:rsid w:val="004F399E"/>
    <w:rsid w:val="004F3A9D"/>
    <w:rsid w:val="004F4A0E"/>
    <w:rsid w:val="004F4D2D"/>
    <w:rsid w:val="004F4DD7"/>
    <w:rsid w:val="004F5134"/>
    <w:rsid w:val="004F527E"/>
    <w:rsid w:val="004F5535"/>
    <w:rsid w:val="004F5847"/>
    <w:rsid w:val="004F5C74"/>
    <w:rsid w:val="004F5E9F"/>
    <w:rsid w:val="004F6088"/>
    <w:rsid w:val="004F6401"/>
    <w:rsid w:val="004F6599"/>
    <w:rsid w:val="004F662D"/>
    <w:rsid w:val="004F68ED"/>
    <w:rsid w:val="004F696D"/>
    <w:rsid w:val="004F72A8"/>
    <w:rsid w:val="004F72F8"/>
    <w:rsid w:val="004F7622"/>
    <w:rsid w:val="004F79A2"/>
    <w:rsid w:val="005004CB"/>
    <w:rsid w:val="0050051F"/>
    <w:rsid w:val="005006DB"/>
    <w:rsid w:val="00500815"/>
    <w:rsid w:val="00500E02"/>
    <w:rsid w:val="005013EA"/>
    <w:rsid w:val="00501495"/>
    <w:rsid w:val="005014A7"/>
    <w:rsid w:val="0050172D"/>
    <w:rsid w:val="0050255E"/>
    <w:rsid w:val="0050278F"/>
    <w:rsid w:val="005027EA"/>
    <w:rsid w:val="00502DE6"/>
    <w:rsid w:val="00503158"/>
    <w:rsid w:val="005035A7"/>
    <w:rsid w:val="0050392F"/>
    <w:rsid w:val="00503BC4"/>
    <w:rsid w:val="0050418B"/>
    <w:rsid w:val="00504A8C"/>
    <w:rsid w:val="00504A93"/>
    <w:rsid w:val="0050515E"/>
    <w:rsid w:val="005052B3"/>
    <w:rsid w:val="005054EC"/>
    <w:rsid w:val="005055E3"/>
    <w:rsid w:val="00505C87"/>
    <w:rsid w:val="0050640D"/>
    <w:rsid w:val="00506991"/>
    <w:rsid w:val="00506A5E"/>
    <w:rsid w:val="0050725E"/>
    <w:rsid w:val="00507579"/>
    <w:rsid w:val="00507617"/>
    <w:rsid w:val="005104F1"/>
    <w:rsid w:val="005106BE"/>
    <w:rsid w:val="00511143"/>
    <w:rsid w:val="005113C0"/>
    <w:rsid w:val="005116F4"/>
    <w:rsid w:val="00511758"/>
    <w:rsid w:val="00511F80"/>
    <w:rsid w:val="00511FE2"/>
    <w:rsid w:val="005120AE"/>
    <w:rsid w:val="005126A0"/>
    <w:rsid w:val="005127D6"/>
    <w:rsid w:val="005129EF"/>
    <w:rsid w:val="00512C27"/>
    <w:rsid w:val="00512D3D"/>
    <w:rsid w:val="00512E13"/>
    <w:rsid w:val="005130D6"/>
    <w:rsid w:val="005132B2"/>
    <w:rsid w:val="00513594"/>
    <w:rsid w:val="005137E9"/>
    <w:rsid w:val="00513B49"/>
    <w:rsid w:val="00513B9C"/>
    <w:rsid w:val="00513E08"/>
    <w:rsid w:val="00513EBA"/>
    <w:rsid w:val="00514363"/>
    <w:rsid w:val="005146C0"/>
    <w:rsid w:val="0051473C"/>
    <w:rsid w:val="00514BAC"/>
    <w:rsid w:val="00514F17"/>
    <w:rsid w:val="005152E9"/>
    <w:rsid w:val="005153BD"/>
    <w:rsid w:val="00515A8C"/>
    <w:rsid w:val="00515DD3"/>
    <w:rsid w:val="005160B2"/>
    <w:rsid w:val="0051616D"/>
    <w:rsid w:val="00516336"/>
    <w:rsid w:val="005166D1"/>
    <w:rsid w:val="00516D83"/>
    <w:rsid w:val="00516F9B"/>
    <w:rsid w:val="00517438"/>
    <w:rsid w:val="00517940"/>
    <w:rsid w:val="00517E59"/>
    <w:rsid w:val="0052035F"/>
    <w:rsid w:val="00520472"/>
    <w:rsid w:val="005208ED"/>
    <w:rsid w:val="00520EE5"/>
    <w:rsid w:val="00520FFB"/>
    <w:rsid w:val="005211B5"/>
    <w:rsid w:val="00521E67"/>
    <w:rsid w:val="00521FDB"/>
    <w:rsid w:val="0052207D"/>
    <w:rsid w:val="00523069"/>
    <w:rsid w:val="00523617"/>
    <w:rsid w:val="0052379F"/>
    <w:rsid w:val="005239D6"/>
    <w:rsid w:val="00523A33"/>
    <w:rsid w:val="00523B62"/>
    <w:rsid w:val="00523C5A"/>
    <w:rsid w:val="00523C98"/>
    <w:rsid w:val="00523D94"/>
    <w:rsid w:val="00524044"/>
    <w:rsid w:val="00524156"/>
    <w:rsid w:val="00524488"/>
    <w:rsid w:val="00524F8A"/>
    <w:rsid w:val="0052537E"/>
    <w:rsid w:val="005253AA"/>
    <w:rsid w:val="00525638"/>
    <w:rsid w:val="005257FD"/>
    <w:rsid w:val="00525B01"/>
    <w:rsid w:val="00526A63"/>
    <w:rsid w:val="00526D5E"/>
    <w:rsid w:val="00526E93"/>
    <w:rsid w:val="00527388"/>
    <w:rsid w:val="005273ED"/>
    <w:rsid w:val="00527548"/>
    <w:rsid w:val="00527AC6"/>
    <w:rsid w:val="00527CDA"/>
    <w:rsid w:val="00527E0B"/>
    <w:rsid w:val="00527E13"/>
    <w:rsid w:val="00530468"/>
    <w:rsid w:val="00530743"/>
    <w:rsid w:val="00531239"/>
    <w:rsid w:val="00531302"/>
    <w:rsid w:val="0053146E"/>
    <w:rsid w:val="0053151A"/>
    <w:rsid w:val="00531A77"/>
    <w:rsid w:val="005323D3"/>
    <w:rsid w:val="00532F29"/>
    <w:rsid w:val="0053313F"/>
    <w:rsid w:val="0053339D"/>
    <w:rsid w:val="005336D2"/>
    <w:rsid w:val="0053375F"/>
    <w:rsid w:val="00533968"/>
    <w:rsid w:val="00533D45"/>
    <w:rsid w:val="00533E13"/>
    <w:rsid w:val="00534C00"/>
    <w:rsid w:val="005350BF"/>
    <w:rsid w:val="005354A0"/>
    <w:rsid w:val="0053569C"/>
    <w:rsid w:val="00535D79"/>
    <w:rsid w:val="00535E8A"/>
    <w:rsid w:val="00535F8B"/>
    <w:rsid w:val="0053692C"/>
    <w:rsid w:val="00536D6D"/>
    <w:rsid w:val="00536E2A"/>
    <w:rsid w:val="00536E96"/>
    <w:rsid w:val="00537051"/>
    <w:rsid w:val="00537925"/>
    <w:rsid w:val="005379B5"/>
    <w:rsid w:val="00537A21"/>
    <w:rsid w:val="00537BE3"/>
    <w:rsid w:val="00537DD4"/>
    <w:rsid w:val="00540724"/>
    <w:rsid w:val="00541CEA"/>
    <w:rsid w:val="00542892"/>
    <w:rsid w:val="00542BA1"/>
    <w:rsid w:val="00542D7C"/>
    <w:rsid w:val="00542DFB"/>
    <w:rsid w:val="00543098"/>
    <w:rsid w:val="005432B1"/>
    <w:rsid w:val="00543C76"/>
    <w:rsid w:val="005443BF"/>
    <w:rsid w:val="00544F92"/>
    <w:rsid w:val="0054534A"/>
    <w:rsid w:val="00545449"/>
    <w:rsid w:val="00545789"/>
    <w:rsid w:val="005462A1"/>
    <w:rsid w:val="00546470"/>
    <w:rsid w:val="005467C1"/>
    <w:rsid w:val="005468D1"/>
    <w:rsid w:val="00546987"/>
    <w:rsid w:val="005469A6"/>
    <w:rsid w:val="005469D2"/>
    <w:rsid w:val="00546B6B"/>
    <w:rsid w:val="00546D43"/>
    <w:rsid w:val="00547862"/>
    <w:rsid w:val="00547BB1"/>
    <w:rsid w:val="00547D70"/>
    <w:rsid w:val="00547DB7"/>
    <w:rsid w:val="00547E86"/>
    <w:rsid w:val="005500A3"/>
    <w:rsid w:val="00550394"/>
    <w:rsid w:val="005503D5"/>
    <w:rsid w:val="00550DF6"/>
    <w:rsid w:val="005515DF"/>
    <w:rsid w:val="00551B01"/>
    <w:rsid w:val="00551FCE"/>
    <w:rsid w:val="0055201D"/>
    <w:rsid w:val="005525C3"/>
    <w:rsid w:val="00552EE8"/>
    <w:rsid w:val="005532E4"/>
    <w:rsid w:val="00553400"/>
    <w:rsid w:val="005534C8"/>
    <w:rsid w:val="0055351F"/>
    <w:rsid w:val="005539A7"/>
    <w:rsid w:val="00553C9A"/>
    <w:rsid w:val="00553CE0"/>
    <w:rsid w:val="00553D3D"/>
    <w:rsid w:val="00553D4D"/>
    <w:rsid w:val="00554BF4"/>
    <w:rsid w:val="00554CD6"/>
    <w:rsid w:val="00554E1D"/>
    <w:rsid w:val="00554E3B"/>
    <w:rsid w:val="0055506F"/>
    <w:rsid w:val="00555651"/>
    <w:rsid w:val="005556A5"/>
    <w:rsid w:val="005556B1"/>
    <w:rsid w:val="00555906"/>
    <w:rsid w:val="00555A1C"/>
    <w:rsid w:val="00555B23"/>
    <w:rsid w:val="00555B5C"/>
    <w:rsid w:val="00555D34"/>
    <w:rsid w:val="00555F3F"/>
    <w:rsid w:val="00556135"/>
    <w:rsid w:val="00556886"/>
    <w:rsid w:val="0055720A"/>
    <w:rsid w:val="00557706"/>
    <w:rsid w:val="00557E21"/>
    <w:rsid w:val="00560001"/>
    <w:rsid w:val="005605FD"/>
    <w:rsid w:val="00560878"/>
    <w:rsid w:val="00560C01"/>
    <w:rsid w:val="00560CDD"/>
    <w:rsid w:val="00560F17"/>
    <w:rsid w:val="005610D0"/>
    <w:rsid w:val="0056113B"/>
    <w:rsid w:val="00561468"/>
    <w:rsid w:val="00561506"/>
    <w:rsid w:val="005617F0"/>
    <w:rsid w:val="00561C71"/>
    <w:rsid w:val="00562EBC"/>
    <w:rsid w:val="0056343F"/>
    <w:rsid w:val="005635A4"/>
    <w:rsid w:val="005636C4"/>
    <w:rsid w:val="005636DF"/>
    <w:rsid w:val="00563816"/>
    <w:rsid w:val="00563EE3"/>
    <w:rsid w:val="00563EEE"/>
    <w:rsid w:val="00564290"/>
    <w:rsid w:val="0056482B"/>
    <w:rsid w:val="0056525F"/>
    <w:rsid w:val="00565379"/>
    <w:rsid w:val="005665D1"/>
    <w:rsid w:val="0056660E"/>
    <w:rsid w:val="00566824"/>
    <w:rsid w:val="00566879"/>
    <w:rsid w:val="00566A00"/>
    <w:rsid w:val="00566E10"/>
    <w:rsid w:val="00567166"/>
    <w:rsid w:val="00567537"/>
    <w:rsid w:val="00567606"/>
    <w:rsid w:val="005679A5"/>
    <w:rsid w:val="00567B13"/>
    <w:rsid w:val="00567BDA"/>
    <w:rsid w:val="00567CCA"/>
    <w:rsid w:val="005700BE"/>
    <w:rsid w:val="005702EF"/>
    <w:rsid w:val="00570428"/>
    <w:rsid w:val="00570B2F"/>
    <w:rsid w:val="00570CEF"/>
    <w:rsid w:val="005711BA"/>
    <w:rsid w:val="0057173B"/>
    <w:rsid w:val="005718CA"/>
    <w:rsid w:val="00571A87"/>
    <w:rsid w:val="0057246E"/>
    <w:rsid w:val="00572637"/>
    <w:rsid w:val="00572645"/>
    <w:rsid w:val="00572AC3"/>
    <w:rsid w:val="00572C5D"/>
    <w:rsid w:val="00572DF3"/>
    <w:rsid w:val="00572EC4"/>
    <w:rsid w:val="005731BB"/>
    <w:rsid w:val="00573582"/>
    <w:rsid w:val="00573A30"/>
    <w:rsid w:val="00573F64"/>
    <w:rsid w:val="005743C0"/>
    <w:rsid w:val="00574CCB"/>
    <w:rsid w:val="00574CF9"/>
    <w:rsid w:val="00575450"/>
    <w:rsid w:val="00575A96"/>
    <w:rsid w:val="00575E0D"/>
    <w:rsid w:val="0057622F"/>
    <w:rsid w:val="005764CC"/>
    <w:rsid w:val="00576659"/>
    <w:rsid w:val="00576D95"/>
    <w:rsid w:val="00577383"/>
    <w:rsid w:val="00580189"/>
    <w:rsid w:val="00580301"/>
    <w:rsid w:val="00580327"/>
    <w:rsid w:val="00580868"/>
    <w:rsid w:val="00581394"/>
    <w:rsid w:val="005814B8"/>
    <w:rsid w:val="0058162C"/>
    <w:rsid w:val="00581826"/>
    <w:rsid w:val="005818A5"/>
    <w:rsid w:val="00581B1F"/>
    <w:rsid w:val="00581C42"/>
    <w:rsid w:val="005824E6"/>
    <w:rsid w:val="0058295E"/>
    <w:rsid w:val="005831AD"/>
    <w:rsid w:val="00583307"/>
    <w:rsid w:val="0058341B"/>
    <w:rsid w:val="00583590"/>
    <w:rsid w:val="0058366C"/>
    <w:rsid w:val="00583B39"/>
    <w:rsid w:val="00583B42"/>
    <w:rsid w:val="00583C18"/>
    <w:rsid w:val="00583CAB"/>
    <w:rsid w:val="00584013"/>
    <w:rsid w:val="00584AB4"/>
    <w:rsid w:val="00584CB9"/>
    <w:rsid w:val="00584F6C"/>
    <w:rsid w:val="00584F9B"/>
    <w:rsid w:val="0058524E"/>
    <w:rsid w:val="00585999"/>
    <w:rsid w:val="00586664"/>
    <w:rsid w:val="005869E0"/>
    <w:rsid w:val="00586F4C"/>
    <w:rsid w:val="005874C7"/>
    <w:rsid w:val="005878F9"/>
    <w:rsid w:val="00587CAA"/>
    <w:rsid w:val="005903BD"/>
    <w:rsid w:val="00590F8C"/>
    <w:rsid w:val="00591000"/>
    <w:rsid w:val="0059118C"/>
    <w:rsid w:val="005911AC"/>
    <w:rsid w:val="005913E8"/>
    <w:rsid w:val="00591507"/>
    <w:rsid w:val="00591FB0"/>
    <w:rsid w:val="0059281F"/>
    <w:rsid w:val="005929ED"/>
    <w:rsid w:val="00592C35"/>
    <w:rsid w:val="005933E3"/>
    <w:rsid w:val="0059374A"/>
    <w:rsid w:val="00593824"/>
    <w:rsid w:val="00593853"/>
    <w:rsid w:val="00593B57"/>
    <w:rsid w:val="005941AD"/>
    <w:rsid w:val="005943D3"/>
    <w:rsid w:val="00594461"/>
    <w:rsid w:val="005944CC"/>
    <w:rsid w:val="005947AC"/>
    <w:rsid w:val="00594E9C"/>
    <w:rsid w:val="00594FEF"/>
    <w:rsid w:val="00595558"/>
    <w:rsid w:val="0059591D"/>
    <w:rsid w:val="00595AB4"/>
    <w:rsid w:val="00596053"/>
    <w:rsid w:val="00596173"/>
    <w:rsid w:val="005966E9"/>
    <w:rsid w:val="00596A5B"/>
    <w:rsid w:val="00596B34"/>
    <w:rsid w:val="00596DDC"/>
    <w:rsid w:val="00597A26"/>
    <w:rsid w:val="00597AFA"/>
    <w:rsid w:val="00597C01"/>
    <w:rsid w:val="00597C77"/>
    <w:rsid w:val="005A0A52"/>
    <w:rsid w:val="005A0C54"/>
    <w:rsid w:val="005A0CE7"/>
    <w:rsid w:val="005A0E1C"/>
    <w:rsid w:val="005A1094"/>
    <w:rsid w:val="005A1D68"/>
    <w:rsid w:val="005A21B0"/>
    <w:rsid w:val="005A272E"/>
    <w:rsid w:val="005A2732"/>
    <w:rsid w:val="005A27E5"/>
    <w:rsid w:val="005A2888"/>
    <w:rsid w:val="005A2ADA"/>
    <w:rsid w:val="005A2C7A"/>
    <w:rsid w:val="005A2E16"/>
    <w:rsid w:val="005A2FCB"/>
    <w:rsid w:val="005A328A"/>
    <w:rsid w:val="005A329B"/>
    <w:rsid w:val="005A3892"/>
    <w:rsid w:val="005A3B35"/>
    <w:rsid w:val="005A3E85"/>
    <w:rsid w:val="005A46BB"/>
    <w:rsid w:val="005A4878"/>
    <w:rsid w:val="005A4E29"/>
    <w:rsid w:val="005A4F76"/>
    <w:rsid w:val="005A56F4"/>
    <w:rsid w:val="005A5737"/>
    <w:rsid w:val="005A592B"/>
    <w:rsid w:val="005A5A58"/>
    <w:rsid w:val="005A5BC2"/>
    <w:rsid w:val="005A5DB0"/>
    <w:rsid w:val="005A6056"/>
    <w:rsid w:val="005A6C4F"/>
    <w:rsid w:val="005A6F0D"/>
    <w:rsid w:val="005A6F39"/>
    <w:rsid w:val="005A6FD7"/>
    <w:rsid w:val="005A70C8"/>
    <w:rsid w:val="005A7EB6"/>
    <w:rsid w:val="005B029B"/>
    <w:rsid w:val="005B048A"/>
    <w:rsid w:val="005B07B1"/>
    <w:rsid w:val="005B0A25"/>
    <w:rsid w:val="005B0AF7"/>
    <w:rsid w:val="005B1197"/>
    <w:rsid w:val="005B144F"/>
    <w:rsid w:val="005B1F82"/>
    <w:rsid w:val="005B21BC"/>
    <w:rsid w:val="005B225C"/>
    <w:rsid w:val="005B2671"/>
    <w:rsid w:val="005B2710"/>
    <w:rsid w:val="005B2913"/>
    <w:rsid w:val="005B2FC9"/>
    <w:rsid w:val="005B3D20"/>
    <w:rsid w:val="005B4161"/>
    <w:rsid w:val="005B4503"/>
    <w:rsid w:val="005B4888"/>
    <w:rsid w:val="005B4C1A"/>
    <w:rsid w:val="005B4D17"/>
    <w:rsid w:val="005B4E7F"/>
    <w:rsid w:val="005B4EFE"/>
    <w:rsid w:val="005B4FBF"/>
    <w:rsid w:val="005B4FD4"/>
    <w:rsid w:val="005B5217"/>
    <w:rsid w:val="005B558B"/>
    <w:rsid w:val="005B58C1"/>
    <w:rsid w:val="005B5A27"/>
    <w:rsid w:val="005B6056"/>
    <w:rsid w:val="005B60DE"/>
    <w:rsid w:val="005B793A"/>
    <w:rsid w:val="005B7C4F"/>
    <w:rsid w:val="005B7DFE"/>
    <w:rsid w:val="005C011D"/>
    <w:rsid w:val="005C01B7"/>
    <w:rsid w:val="005C060A"/>
    <w:rsid w:val="005C0F5D"/>
    <w:rsid w:val="005C1273"/>
    <w:rsid w:val="005C1648"/>
    <w:rsid w:val="005C1E25"/>
    <w:rsid w:val="005C20F8"/>
    <w:rsid w:val="005C23DF"/>
    <w:rsid w:val="005C2807"/>
    <w:rsid w:val="005C29CE"/>
    <w:rsid w:val="005C2ECA"/>
    <w:rsid w:val="005C3AB4"/>
    <w:rsid w:val="005C3BA6"/>
    <w:rsid w:val="005C41BC"/>
    <w:rsid w:val="005C42AD"/>
    <w:rsid w:val="005C43AB"/>
    <w:rsid w:val="005C444C"/>
    <w:rsid w:val="005C4BF8"/>
    <w:rsid w:val="005C540E"/>
    <w:rsid w:val="005C58B2"/>
    <w:rsid w:val="005C687E"/>
    <w:rsid w:val="005C6B56"/>
    <w:rsid w:val="005C6BB6"/>
    <w:rsid w:val="005C6CDA"/>
    <w:rsid w:val="005C6E39"/>
    <w:rsid w:val="005C7920"/>
    <w:rsid w:val="005C7A7A"/>
    <w:rsid w:val="005C7D7B"/>
    <w:rsid w:val="005C7DA0"/>
    <w:rsid w:val="005D03B8"/>
    <w:rsid w:val="005D0C92"/>
    <w:rsid w:val="005D11E9"/>
    <w:rsid w:val="005D1439"/>
    <w:rsid w:val="005D191E"/>
    <w:rsid w:val="005D201A"/>
    <w:rsid w:val="005D2031"/>
    <w:rsid w:val="005D249F"/>
    <w:rsid w:val="005D25E0"/>
    <w:rsid w:val="005D2B7D"/>
    <w:rsid w:val="005D2FA1"/>
    <w:rsid w:val="005D36E6"/>
    <w:rsid w:val="005D38E3"/>
    <w:rsid w:val="005D3EB2"/>
    <w:rsid w:val="005D3F34"/>
    <w:rsid w:val="005D4598"/>
    <w:rsid w:val="005D48C3"/>
    <w:rsid w:val="005D4BFA"/>
    <w:rsid w:val="005D4E1E"/>
    <w:rsid w:val="005D5565"/>
    <w:rsid w:val="005D5E00"/>
    <w:rsid w:val="005D6194"/>
    <w:rsid w:val="005D6655"/>
    <w:rsid w:val="005D6A25"/>
    <w:rsid w:val="005D6AEC"/>
    <w:rsid w:val="005D6CCE"/>
    <w:rsid w:val="005D6FB3"/>
    <w:rsid w:val="005D7104"/>
    <w:rsid w:val="005D716B"/>
    <w:rsid w:val="005D72D7"/>
    <w:rsid w:val="005D73F8"/>
    <w:rsid w:val="005D7A19"/>
    <w:rsid w:val="005D7BEA"/>
    <w:rsid w:val="005E0431"/>
    <w:rsid w:val="005E04EB"/>
    <w:rsid w:val="005E0C02"/>
    <w:rsid w:val="005E0C0A"/>
    <w:rsid w:val="005E0C96"/>
    <w:rsid w:val="005E0F20"/>
    <w:rsid w:val="005E12BE"/>
    <w:rsid w:val="005E1585"/>
    <w:rsid w:val="005E1E63"/>
    <w:rsid w:val="005E230B"/>
    <w:rsid w:val="005E263F"/>
    <w:rsid w:val="005E292C"/>
    <w:rsid w:val="005E2AB8"/>
    <w:rsid w:val="005E2B2D"/>
    <w:rsid w:val="005E2C59"/>
    <w:rsid w:val="005E35C4"/>
    <w:rsid w:val="005E3B40"/>
    <w:rsid w:val="005E4168"/>
    <w:rsid w:val="005E45C0"/>
    <w:rsid w:val="005E4695"/>
    <w:rsid w:val="005E4A09"/>
    <w:rsid w:val="005E4D7E"/>
    <w:rsid w:val="005E528B"/>
    <w:rsid w:val="005E5CD3"/>
    <w:rsid w:val="005E5FAB"/>
    <w:rsid w:val="005E6106"/>
    <w:rsid w:val="005E685F"/>
    <w:rsid w:val="005E6C35"/>
    <w:rsid w:val="005E6C5B"/>
    <w:rsid w:val="005E70FA"/>
    <w:rsid w:val="005E7544"/>
    <w:rsid w:val="005E7BB9"/>
    <w:rsid w:val="005E7D42"/>
    <w:rsid w:val="005F0B3C"/>
    <w:rsid w:val="005F0F46"/>
    <w:rsid w:val="005F21EE"/>
    <w:rsid w:val="005F239B"/>
    <w:rsid w:val="005F2648"/>
    <w:rsid w:val="005F2B8A"/>
    <w:rsid w:val="005F2C9F"/>
    <w:rsid w:val="005F2CA0"/>
    <w:rsid w:val="005F34F2"/>
    <w:rsid w:val="005F390F"/>
    <w:rsid w:val="005F39D4"/>
    <w:rsid w:val="005F4B12"/>
    <w:rsid w:val="005F512B"/>
    <w:rsid w:val="005F5394"/>
    <w:rsid w:val="005F59AF"/>
    <w:rsid w:val="005F5A87"/>
    <w:rsid w:val="005F5AA2"/>
    <w:rsid w:val="005F6126"/>
    <w:rsid w:val="005F6387"/>
    <w:rsid w:val="005F6732"/>
    <w:rsid w:val="005F6DB8"/>
    <w:rsid w:val="005F6F06"/>
    <w:rsid w:val="005F7678"/>
    <w:rsid w:val="005F77E1"/>
    <w:rsid w:val="006000CC"/>
    <w:rsid w:val="006002AE"/>
    <w:rsid w:val="0060030B"/>
    <w:rsid w:val="0060062F"/>
    <w:rsid w:val="00600650"/>
    <w:rsid w:val="006007DA"/>
    <w:rsid w:val="006012CC"/>
    <w:rsid w:val="0060133C"/>
    <w:rsid w:val="0060140F"/>
    <w:rsid w:val="00601488"/>
    <w:rsid w:val="0060195F"/>
    <w:rsid w:val="00601C26"/>
    <w:rsid w:val="00601CF5"/>
    <w:rsid w:val="00601EEE"/>
    <w:rsid w:val="0060229E"/>
    <w:rsid w:val="00602752"/>
    <w:rsid w:val="00602C2D"/>
    <w:rsid w:val="00602C74"/>
    <w:rsid w:val="00602F26"/>
    <w:rsid w:val="006032E0"/>
    <w:rsid w:val="0060353B"/>
    <w:rsid w:val="006038A2"/>
    <w:rsid w:val="00604078"/>
    <w:rsid w:val="0060448B"/>
    <w:rsid w:val="0060461D"/>
    <w:rsid w:val="006047B4"/>
    <w:rsid w:val="00604BF0"/>
    <w:rsid w:val="006054BD"/>
    <w:rsid w:val="006059E8"/>
    <w:rsid w:val="00605A55"/>
    <w:rsid w:val="00605A64"/>
    <w:rsid w:val="00605A7D"/>
    <w:rsid w:val="00605A9B"/>
    <w:rsid w:val="00605AF5"/>
    <w:rsid w:val="00606CB1"/>
    <w:rsid w:val="0060730F"/>
    <w:rsid w:val="00610845"/>
    <w:rsid w:val="0061086D"/>
    <w:rsid w:val="00610E08"/>
    <w:rsid w:val="00611E0D"/>
    <w:rsid w:val="00611F05"/>
    <w:rsid w:val="006124D5"/>
    <w:rsid w:val="00612561"/>
    <w:rsid w:val="006126D1"/>
    <w:rsid w:val="00612873"/>
    <w:rsid w:val="00612BAA"/>
    <w:rsid w:val="00612C2E"/>
    <w:rsid w:val="00613316"/>
    <w:rsid w:val="00613736"/>
    <w:rsid w:val="006140AF"/>
    <w:rsid w:val="0061480D"/>
    <w:rsid w:val="00614997"/>
    <w:rsid w:val="00614E2B"/>
    <w:rsid w:val="006152A8"/>
    <w:rsid w:val="0061577C"/>
    <w:rsid w:val="00615897"/>
    <w:rsid w:val="0061597C"/>
    <w:rsid w:val="00615D80"/>
    <w:rsid w:val="00616296"/>
    <w:rsid w:val="00616460"/>
    <w:rsid w:val="006165AA"/>
    <w:rsid w:val="00617268"/>
    <w:rsid w:val="0061728F"/>
    <w:rsid w:val="006172D4"/>
    <w:rsid w:val="0061738E"/>
    <w:rsid w:val="0061767A"/>
    <w:rsid w:val="006179A1"/>
    <w:rsid w:val="00617F4D"/>
    <w:rsid w:val="00620132"/>
    <w:rsid w:val="00620214"/>
    <w:rsid w:val="006204AD"/>
    <w:rsid w:val="00620A33"/>
    <w:rsid w:val="00620BA1"/>
    <w:rsid w:val="00620D7F"/>
    <w:rsid w:val="00621059"/>
    <w:rsid w:val="00621DEE"/>
    <w:rsid w:val="0062265B"/>
    <w:rsid w:val="0062273E"/>
    <w:rsid w:val="00622802"/>
    <w:rsid w:val="00622DAE"/>
    <w:rsid w:val="006234EF"/>
    <w:rsid w:val="00623A59"/>
    <w:rsid w:val="00623E72"/>
    <w:rsid w:val="006240C5"/>
    <w:rsid w:val="00624165"/>
    <w:rsid w:val="00624C28"/>
    <w:rsid w:val="00624EFA"/>
    <w:rsid w:val="0062515F"/>
    <w:rsid w:val="00625214"/>
    <w:rsid w:val="006252F2"/>
    <w:rsid w:val="00625C91"/>
    <w:rsid w:val="00625C93"/>
    <w:rsid w:val="00625DAD"/>
    <w:rsid w:val="00625FA7"/>
    <w:rsid w:val="00626589"/>
    <w:rsid w:val="006266E3"/>
    <w:rsid w:val="00626702"/>
    <w:rsid w:val="00626970"/>
    <w:rsid w:val="00626A69"/>
    <w:rsid w:val="00626E49"/>
    <w:rsid w:val="00626F5D"/>
    <w:rsid w:val="00627007"/>
    <w:rsid w:val="006270F4"/>
    <w:rsid w:val="00627184"/>
    <w:rsid w:val="00627F4E"/>
    <w:rsid w:val="006300CA"/>
    <w:rsid w:val="006302FF"/>
    <w:rsid w:val="0063073F"/>
    <w:rsid w:val="00630836"/>
    <w:rsid w:val="00630916"/>
    <w:rsid w:val="0063127D"/>
    <w:rsid w:val="006313FA"/>
    <w:rsid w:val="00631579"/>
    <w:rsid w:val="006317AB"/>
    <w:rsid w:val="00631857"/>
    <w:rsid w:val="00631DB5"/>
    <w:rsid w:val="00631DC8"/>
    <w:rsid w:val="006321AE"/>
    <w:rsid w:val="00632249"/>
    <w:rsid w:val="0063266D"/>
    <w:rsid w:val="00632BC6"/>
    <w:rsid w:val="006333EB"/>
    <w:rsid w:val="00633B7A"/>
    <w:rsid w:val="00634125"/>
    <w:rsid w:val="006343E3"/>
    <w:rsid w:val="006344FB"/>
    <w:rsid w:val="006345B2"/>
    <w:rsid w:val="00634743"/>
    <w:rsid w:val="00634A28"/>
    <w:rsid w:val="00634BCC"/>
    <w:rsid w:val="00634C13"/>
    <w:rsid w:val="00635215"/>
    <w:rsid w:val="0063537D"/>
    <w:rsid w:val="00635448"/>
    <w:rsid w:val="00635AA0"/>
    <w:rsid w:val="006361B4"/>
    <w:rsid w:val="006363BD"/>
    <w:rsid w:val="00636839"/>
    <w:rsid w:val="00636967"/>
    <w:rsid w:val="00636D60"/>
    <w:rsid w:val="00636E6E"/>
    <w:rsid w:val="00637341"/>
    <w:rsid w:val="006375B3"/>
    <w:rsid w:val="006375DF"/>
    <w:rsid w:val="00637830"/>
    <w:rsid w:val="006379BB"/>
    <w:rsid w:val="00637AB1"/>
    <w:rsid w:val="00640349"/>
    <w:rsid w:val="00640A9B"/>
    <w:rsid w:val="00640C85"/>
    <w:rsid w:val="0064111B"/>
    <w:rsid w:val="006418E7"/>
    <w:rsid w:val="0064190C"/>
    <w:rsid w:val="00641E1F"/>
    <w:rsid w:val="00641F70"/>
    <w:rsid w:val="00641FD0"/>
    <w:rsid w:val="00642344"/>
    <w:rsid w:val="00642960"/>
    <w:rsid w:val="00642F0C"/>
    <w:rsid w:val="00643089"/>
    <w:rsid w:val="00643A01"/>
    <w:rsid w:val="00643C2C"/>
    <w:rsid w:val="00644043"/>
    <w:rsid w:val="00644290"/>
    <w:rsid w:val="00644864"/>
    <w:rsid w:val="006450ED"/>
    <w:rsid w:val="0064533C"/>
    <w:rsid w:val="00645709"/>
    <w:rsid w:val="0064617B"/>
    <w:rsid w:val="006465A6"/>
    <w:rsid w:val="00646679"/>
    <w:rsid w:val="00646C38"/>
    <w:rsid w:val="00646D01"/>
    <w:rsid w:val="00646DA0"/>
    <w:rsid w:val="00646E7F"/>
    <w:rsid w:val="00646F61"/>
    <w:rsid w:val="00646FB5"/>
    <w:rsid w:val="006470AD"/>
    <w:rsid w:val="006470EA"/>
    <w:rsid w:val="0064723B"/>
    <w:rsid w:val="0064748F"/>
    <w:rsid w:val="006475F9"/>
    <w:rsid w:val="00647656"/>
    <w:rsid w:val="00647974"/>
    <w:rsid w:val="00650191"/>
    <w:rsid w:val="006501A4"/>
    <w:rsid w:val="0065039E"/>
    <w:rsid w:val="006507D2"/>
    <w:rsid w:val="006508B3"/>
    <w:rsid w:val="00650BA4"/>
    <w:rsid w:val="00650E52"/>
    <w:rsid w:val="006518B0"/>
    <w:rsid w:val="00651BC5"/>
    <w:rsid w:val="00651C29"/>
    <w:rsid w:val="00651EE1"/>
    <w:rsid w:val="0065206E"/>
    <w:rsid w:val="0065216C"/>
    <w:rsid w:val="00652183"/>
    <w:rsid w:val="006526D6"/>
    <w:rsid w:val="00652B3A"/>
    <w:rsid w:val="00652D4D"/>
    <w:rsid w:val="006536A7"/>
    <w:rsid w:val="00653A2D"/>
    <w:rsid w:val="00653D1B"/>
    <w:rsid w:val="00655203"/>
    <w:rsid w:val="0065522C"/>
    <w:rsid w:val="006553D5"/>
    <w:rsid w:val="0065548D"/>
    <w:rsid w:val="00655A41"/>
    <w:rsid w:val="00655C91"/>
    <w:rsid w:val="00655D14"/>
    <w:rsid w:val="006560C7"/>
    <w:rsid w:val="006563D1"/>
    <w:rsid w:val="00656D5F"/>
    <w:rsid w:val="00656D92"/>
    <w:rsid w:val="00657748"/>
    <w:rsid w:val="006579FF"/>
    <w:rsid w:val="00657F7E"/>
    <w:rsid w:val="006604D0"/>
    <w:rsid w:val="00661005"/>
    <w:rsid w:val="006618AE"/>
    <w:rsid w:val="00661E12"/>
    <w:rsid w:val="006620D7"/>
    <w:rsid w:val="0066234C"/>
    <w:rsid w:val="006624ED"/>
    <w:rsid w:val="00662C4C"/>
    <w:rsid w:val="00662C79"/>
    <w:rsid w:val="00662E94"/>
    <w:rsid w:val="00663386"/>
    <w:rsid w:val="00663BA0"/>
    <w:rsid w:val="00663C10"/>
    <w:rsid w:val="00663F89"/>
    <w:rsid w:val="00664043"/>
    <w:rsid w:val="006647FC"/>
    <w:rsid w:val="00664D19"/>
    <w:rsid w:val="006655DB"/>
    <w:rsid w:val="00665938"/>
    <w:rsid w:val="00665A9F"/>
    <w:rsid w:val="00665B24"/>
    <w:rsid w:val="00665BE6"/>
    <w:rsid w:val="00666216"/>
    <w:rsid w:val="0066621C"/>
    <w:rsid w:val="00666600"/>
    <w:rsid w:val="006668A0"/>
    <w:rsid w:val="00666AD9"/>
    <w:rsid w:val="0066723F"/>
    <w:rsid w:val="00667763"/>
    <w:rsid w:val="00667E7D"/>
    <w:rsid w:val="0067007E"/>
    <w:rsid w:val="00670103"/>
    <w:rsid w:val="0067066F"/>
    <w:rsid w:val="00670821"/>
    <w:rsid w:val="00670C68"/>
    <w:rsid w:val="00670F95"/>
    <w:rsid w:val="006714EB"/>
    <w:rsid w:val="00671636"/>
    <w:rsid w:val="006719BC"/>
    <w:rsid w:val="00671CEE"/>
    <w:rsid w:val="00671D9A"/>
    <w:rsid w:val="00671ECD"/>
    <w:rsid w:val="00671FFB"/>
    <w:rsid w:val="00672372"/>
    <w:rsid w:val="00672CC7"/>
    <w:rsid w:val="00672F6D"/>
    <w:rsid w:val="006734C0"/>
    <w:rsid w:val="00673723"/>
    <w:rsid w:val="00673B35"/>
    <w:rsid w:val="00674247"/>
    <w:rsid w:val="006747AB"/>
    <w:rsid w:val="0067485D"/>
    <w:rsid w:val="00674B28"/>
    <w:rsid w:val="00674CA1"/>
    <w:rsid w:val="00674D25"/>
    <w:rsid w:val="00674F16"/>
    <w:rsid w:val="00675105"/>
    <w:rsid w:val="00675848"/>
    <w:rsid w:val="0067594B"/>
    <w:rsid w:val="0067595E"/>
    <w:rsid w:val="006759C8"/>
    <w:rsid w:val="00675A30"/>
    <w:rsid w:val="00675B7A"/>
    <w:rsid w:val="00675EAA"/>
    <w:rsid w:val="00675EBD"/>
    <w:rsid w:val="00676000"/>
    <w:rsid w:val="006762A2"/>
    <w:rsid w:val="006763A5"/>
    <w:rsid w:val="0067649B"/>
    <w:rsid w:val="0067666E"/>
    <w:rsid w:val="0067677D"/>
    <w:rsid w:val="00676878"/>
    <w:rsid w:val="00676C1D"/>
    <w:rsid w:val="00676C2F"/>
    <w:rsid w:val="00676C73"/>
    <w:rsid w:val="006771B4"/>
    <w:rsid w:val="006772D5"/>
    <w:rsid w:val="00677615"/>
    <w:rsid w:val="00677648"/>
    <w:rsid w:val="006776D9"/>
    <w:rsid w:val="00677813"/>
    <w:rsid w:val="00677A2A"/>
    <w:rsid w:val="00677FA3"/>
    <w:rsid w:val="00680172"/>
    <w:rsid w:val="00680293"/>
    <w:rsid w:val="006803E9"/>
    <w:rsid w:val="00680BB6"/>
    <w:rsid w:val="006812A8"/>
    <w:rsid w:val="0068135A"/>
    <w:rsid w:val="00681495"/>
    <w:rsid w:val="00681F67"/>
    <w:rsid w:val="00682558"/>
    <w:rsid w:val="00682C24"/>
    <w:rsid w:val="00682C39"/>
    <w:rsid w:val="00683493"/>
    <w:rsid w:val="00683739"/>
    <w:rsid w:val="00683AFF"/>
    <w:rsid w:val="00683C8E"/>
    <w:rsid w:val="00683CC6"/>
    <w:rsid w:val="00684092"/>
    <w:rsid w:val="006847A6"/>
    <w:rsid w:val="006850E6"/>
    <w:rsid w:val="0068532A"/>
    <w:rsid w:val="0068532C"/>
    <w:rsid w:val="006853B2"/>
    <w:rsid w:val="00685A0B"/>
    <w:rsid w:val="00685A67"/>
    <w:rsid w:val="00685D86"/>
    <w:rsid w:val="00686C81"/>
    <w:rsid w:val="00686C9D"/>
    <w:rsid w:val="00686CD3"/>
    <w:rsid w:val="00686F04"/>
    <w:rsid w:val="00686FE6"/>
    <w:rsid w:val="00686FFF"/>
    <w:rsid w:val="006875A3"/>
    <w:rsid w:val="00687A85"/>
    <w:rsid w:val="00687C8D"/>
    <w:rsid w:val="00690225"/>
    <w:rsid w:val="00690307"/>
    <w:rsid w:val="0069051C"/>
    <w:rsid w:val="00690679"/>
    <w:rsid w:val="00690685"/>
    <w:rsid w:val="00691012"/>
    <w:rsid w:val="00691472"/>
    <w:rsid w:val="006914FC"/>
    <w:rsid w:val="006916E9"/>
    <w:rsid w:val="006916FB"/>
    <w:rsid w:val="00691BFE"/>
    <w:rsid w:val="00691D38"/>
    <w:rsid w:val="00691FB5"/>
    <w:rsid w:val="0069211F"/>
    <w:rsid w:val="006921CB"/>
    <w:rsid w:val="00692797"/>
    <w:rsid w:val="006927D3"/>
    <w:rsid w:val="006928EB"/>
    <w:rsid w:val="00692C07"/>
    <w:rsid w:val="0069303C"/>
    <w:rsid w:val="00693420"/>
    <w:rsid w:val="00693454"/>
    <w:rsid w:val="0069390C"/>
    <w:rsid w:val="006939AD"/>
    <w:rsid w:val="00693B79"/>
    <w:rsid w:val="00693FDE"/>
    <w:rsid w:val="0069406E"/>
    <w:rsid w:val="006941B1"/>
    <w:rsid w:val="006942CB"/>
    <w:rsid w:val="00694373"/>
    <w:rsid w:val="00694418"/>
    <w:rsid w:val="006946D2"/>
    <w:rsid w:val="006947E9"/>
    <w:rsid w:val="00694B71"/>
    <w:rsid w:val="00694B75"/>
    <w:rsid w:val="00694C16"/>
    <w:rsid w:val="00694CE2"/>
    <w:rsid w:val="00695182"/>
    <w:rsid w:val="006953CE"/>
    <w:rsid w:val="00695590"/>
    <w:rsid w:val="00695C4A"/>
    <w:rsid w:val="00695F03"/>
    <w:rsid w:val="0069616B"/>
    <w:rsid w:val="0069629C"/>
    <w:rsid w:val="00696BEA"/>
    <w:rsid w:val="00696DA4"/>
    <w:rsid w:val="00696E37"/>
    <w:rsid w:val="00696FC8"/>
    <w:rsid w:val="0069706E"/>
    <w:rsid w:val="00697107"/>
    <w:rsid w:val="00697158"/>
    <w:rsid w:val="006971DE"/>
    <w:rsid w:val="0069733D"/>
    <w:rsid w:val="00697558"/>
    <w:rsid w:val="00697DA8"/>
    <w:rsid w:val="006A0553"/>
    <w:rsid w:val="006A0A49"/>
    <w:rsid w:val="006A0CF1"/>
    <w:rsid w:val="006A131C"/>
    <w:rsid w:val="006A1909"/>
    <w:rsid w:val="006A1A80"/>
    <w:rsid w:val="006A1DC2"/>
    <w:rsid w:val="006A28CA"/>
    <w:rsid w:val="006A29A7"/>
    <w:rsid w:val="006A2E08"/>
    <w:rsid w:val="006A3128"/>
    <w:rsid w:val="006A35F6"/>
    <w:rsid w:val="006A3769"/>
    <w:rsid w:val="006A380E"/>
    <w:rsid w:val="006A3D66"/>
    <w:rsid w:val="006A4045"/>
    <w:rsid w:val="006A431B"/>
    <w:rsid w:val="006A52A2"/>
    <w:rsid w:val="006A578E"/>
    <w:rsid w:val="006A5DC8"/>
    <w:rsid w:val="006A5F79"/>
    <w:rsid w:val="006A5FC5"/>
    <w:rsid w:val="006A64BD"/>
    <w:rsid w:val="006A6905"/>
    <w:rsid w:val="006A6DCB"/>
    <w:rsid w:val="006A70DE"/>
    <w:rsid w:val="006A71C4"/>
    <w:rsid w:val="006A73B6"/>
    <w:rsid w:val="006A76E4"/>
    <w:rsid w:val="006A7805"/>
    <w:rsid w:val="006A7E04"/>
    <w:rsid w:val="006B05C6"/>
    <w:rsid w:val="006B0671"/>
    <w:rsid w:val="006B1395"/>
    <w:rsid w:val="006B14F0"/>
    <w:rsid w:val="006B1833"/>
    <w:rsid w:val="006B19B6"/>
    <w:rsid w:val="006B1AD7"/>
    <w:rsid w:val="006B1BE0"/>
    <w:rsid w:val="006B1CC8"/>
    <w:rsid w:val="006B1DA2"/>
    <w:rsid w:val="006B2204"/>
    <w:rsid w:val="006B3182"/>
    <w:rsid w:val="006B3261"/>
    <w:rsid w:val="006B336F"/>
    <w:rsid w:val="006B35F8"/>
    <w:rsid w:val="006B3922"/>
    <w:rsid w:val="006B394E"/>
    <w:rsid w:val="006B3AD9"/>
    <w:rsid w:val="006B3BA2"/>
    <w:rsid w:val="006B3BCE"/>
    <w:rsid w:val="006B3EAC"/>
    <w:rsid w:val="006B3F88"/>
    <w:rsid w:val="006B41FE"/>
    <w:rsid w:val="006B4384"/>
    <w:rsid w:val="006B46F7"/>
    <w:rsid w:val="006B4A73"/>
    <w:rsid w:val="006B4BD8"/>
    <w:rsid w:val="006B4E72"/>
    <w:rsid w:val="006B4F6C"/>
    <w:rsid w:val="006B51C2"/>
    <w:rsid w:val="006B54E8"/>
    <w:rsid w:val="006B588C"/>
    <w:rsid w:val="006B5DCE"/>
    <w:rsid w:val="006B6207"/>
    <w:rsid w:val="006B66A5"/>
    <w:rsid w:val="006B69EC"/>
    <w:rsid w:val="006B6A67"/>
    <w:rsid w:val="006B73F6"/>
    <w:rsid w:val="006B758A"/>
    <w:rsid w:val="006B7888"/>
    <w:rsid w:val="006B7966"/>
    <w:rsid w:val="006B7D21"/>
    <w:rsid w:val="006B7E32"/>
    <w:rsid w:val="006C009A"/>
    <w:rsid w:val="006C00D4"/>
    <w:rsid w:val="006C021D"/>
    <w:rsid w:val="006C0327"/>
    <w:rsid w:val="006C0C81"/>
    <w:rsid w:val="006C1292"/>
    <w:rsid w:val="006C1787"/>
    <w:rsid w:val="006C1F77"/>
    <w:rsid w:val="006C1F90"/>
    <w:rsid w:val="006C28E1"/>
    <w:rsid w:val="006C2CF8"/>
    <w:rsid w:val="006C30B1"/>
    <w:rsid w:val="006C3344"/>
    <w:rsid w:val="006C39DD"/>
    <w:rsid w:val="006C3BEF"/>
    <w:rsid w:val="006C3C16"/>
    <w:rsid w:val="006C3F34"/>
    <w:rsid w:val="006C41A9"/>
    <w:rsid w:val="006C41FA"/>
    <w:rsid w:val="006C439E"/>
    <w:rsid w:val="006C4416"/>
    <w:rsid w:val="006C4962"/>
    <w:rsid w:val="006C503F"/>
    <w:rsid w:val="006C5166"/>
    <w:rsid w:val="006C542B"/>
    <w:rsid w:val="006C5942"/>
    <w:rsid w:val="006C609D"/>
    <w:rsid w:val="006C62A1"/>
    <w:rsid w:val="006C62E4"/>
    <w:rsid w:val="006C687C"/>
    <w:rsid w:val="006C6AC1"/>
    <w:rsid w:val="006C6D14"/>
    <w:rsid w:val="006C6FB6"/>
    <w:rsid w:val="006C703E"/>
    <w:rsid w:val="006C73F3"/>
    <w:rsid w:val="006C75F8"/>
    <w:rsid w:val="006C765F"/>
    <w:rsid w:val="006C7865"/>
    <w:rsid w:val="006C7920"/>
    <w:rsid w:val="006C7A17"/>
    <w:rsid w:val="006C7B2B"/>
    <w:rsid w:val="006D009B"/>
    <w:rsid w:val="006D0314"/>
    <w:rsid w:val="006D04F6"/>
    <w:rsid w:val="006D0604"/>
    <w:rsid w:val="006D09C8"/>
    <w:rsid w:val="006D0CE5"/>
    <w:rsid w:val="006D0FB1"/>
    <w:rsid w:val="006D1907"/>
    <w:rsid w:val="006D19CC"/>
    <w:rsid w:val="006D1BD6"/>
    <w:rsid w:val="006D20DC"/>
    <w:rsid w:val="006D2245"/>
    <w:rsid w:val="006D2ACF"/>
    <w:rsid w:val="006D2EFF"/>
    <w:rsid w:val="006D3508"/>
    <w:rsid w:val="006D35FD"/>
    <w:rsid w:val="006D39D9"/>
    <w:rsid w:val="006D3D95"/>
    <w:rsid w:val="006D4187"/>
    <w:rsid w:val="006D4705"/>
    <w:rsid w:val="006D49A3"/>
    <w:rsid w:val="006D5490"/>
    <w:rsid w:val="006D54A5"/>
    <w:rsid w:val="006D5563"/>
    <w:rsid w:val="006D5911"/>
    <w:rsid w:val="006D5EFA"/>
    <w:rsid w:val="006D6DA2"/>
    <w:rsid w:val="006D6FBF"/>
    <w:rsid w:val="006D72D5"/>
    <w:rsid w:val="006D754E"/>
    <w:rsid w:val="006D757A"/>
    <w:rsid w:val="006D7617"/>
    <w:rsid w:val="006D7A31"/>
    <w:rsid w:val="006D7B3B"/>
    <w:rsid w:val="006D7DC9"/>
    <w:rsid w:val="006E0562"/>
    <w:rsid w:val="006E0594"/>
    <w:rsid w:val="006E05B6"/>
    <w:rsid w:val="006E0725"/>
    <w:rsid w:val="006E07FE"/>
    <w:rsid w:val="006E0B34"/>
    <w:rsid w:val="006E0B97"/>
    <w:rsid w:val="006E0C54"/>
    <w:rsid w:val="006E0EA9"/>
    <w:rsid w:val="006E1651"/>
    <w:rsid w:val="006E187C"/>
    <w:rsid w:val="006E1923"/>
    <w:rsid w:val="006E193D"/>
    <w:rsid w:val="006E1C1D"/>
    <w:rsid w:val="006E1E6A"/>
    <w:rsid w:val="006E255C"/>
    <w:rsid w:val="006E26EE"/>
    <w:rsid w:val="006E281F"/>
    <w:rsid w:val="006E282C"/>
    <w:rsid w:val="006E2A98"/>
    <w:rsid w:val="006E2B36"/>
    <w:rsid w:val="006E3015"/>
    <w:rsid w:val="006E34C3"/>
    <w:rsid w:val="006E3682"/>
    <w:rsid w:val="006E3944"/>
    <w:rsid w:val="006E4461"/>
    <w:rsid w:val="006E449E"/>
    <w:rsid w:val="006E476E"/>
    <w:rsid w:val="006E47CF"/>
    <w:rsid w:val="006E4856"/>
    <w:rsid w:val="006E4F4B"/>
    <w:rsid w:val="006E4FF9"/>
    <w:rsid w:val="006E5104"/>
    <w:rsid w:val="006E5135"/>
    <w:rsid w:val="006E5C61"/>
    <w:rsid w:val="006E6397"/>
    <w:rsid w:val="006E63C4"/>
    <w:rsid w:val="006E6536"/>
    <w:rsid w:val="006E65C5"/>
    <w:rsid w:val="006E6687"/>
    <w:rsid w:val="006E6983"/>
    <w:rsid w:val="006E6E02"/>
    <w:rsid w:val="006E77A5"/>
    <w:rsid w:val="006E780F"/>
    <w:rsid w:val="006E7A73"/>
    <w:rsid w:val="006E7DCB"/>
    <w:rsid w:val="006E7E46"/>
    <w:rsid w:val="006E7E83"/>
    <w:rsid w:val="006F02D6"/>
    <w:rsid w:val="006F0413"/>
    <w:rsid w:val="006F1258"/>
    <w:rsid w:val="006F1392"/>
    <w:rsid w:val="006F158D"/>
    <w:rsid w:val="006F1AD3"/>
    <w:rsid w:val="006F1F01"/>
    <w:rsid w:val="006F2064"/>
    <w:rsid w:val="006F23EC"/>
    <w:rsid w:val="006F24AB"/>
    <w:rsid w:val="006F2603"/>
    <w:rsid w:val="006F2669"/>
    <w:rsid w:val="006F2922"/>
    <w:rsid w:val="006F292E"/>
    <w:rsid w:val="006F2F58"/>
    <w:rsid w:val="006F3617"/>
    <w:rsid w:val="006F3A78"/>
    <w:rsid w:val="006F403B"/>
    <w:rsid w:val="006F4D9D"/>
    <w:rsid w:val="006F4E63"/>
    <w:rsid w:val="006F5361"/>
    <w:rsid w:val="006F5932"/>
    <w:rsid w:val="006F5C3F"/>
    <w:rsid w:val="006F600B"/>
    <w:rsid w:val="006F6800"/>
    <w:rsid w:val="006F69CD"/>
    <w:rsid w:val="006F6D2D"/>
    <w:rsid w:val="006F779C"/>
    <w:rsid w:val="006F7901"/>
    <w:rsid w:val="00700E20"/>
    <w:rsid w:val="00700EE3"/>
    <w:rsid w:val="007010B0"/>
    <w:rsid w:val="007012E7"/>
    <w:rsid w:val="00701431"/>
    <w:rsid w:val="0070168B"/>
    <w:rsid w:val="007016C8"/>
    <w:rsid w:val="00701A3E"/>
    <w:rsid w:val="00701C87"/>
    <w:rsid w:val="00701D42"/>
    <w:rsid w:val="007020FE"/>
    <w:rsid w:val="00702E30"/>
    <w:rsid w:val="007032C2"/>
    <w:rsid w:val="0070364B"/>
    <w:rsid w:val="00703B4B"/>
    <w:rsid w:val="00703B95"/>
    <w:rsid w:val="00704883"/>
    <w:rsid w:val="007048B4"/>
    <w:rsid w:val="00704B27"/>
    <w:rsid w:val="00704E7D"/>
    <w:rsid w:val="00704FC0"/>
    <w:rsid w:val="0070523A"/>
    <w:rsid w:val="0070547B"/>
    <w:rsid w:val="0070618E"/>
    <w:rsid w:val="00706581"/>
    <w:rsid w:val="00706AE8"/>
    <w:rsid w:val="00706FB0"/>
    <w:rsid w:val="007073C6"/>
    <w:rsid w:val="00707492"/>
    <w:rsid w:val="00707639"/>
    <w:rsid w:val="00707665"/>
    <w:rsid w:val="00707FE8"/>
    <w:rsid w:val="00710335"/>
    <w:rsid w:val="0071090A"/>
    <w:rsid w:val="00710C4B"/>
    <w:rsid w:val="00710F32"/>
    <w:rsid w:val="00711135"/>
    <w:rsid w:val="007114CC"/>
    <w:rsid w:val="007116B8"/>
    <w:rsid w:val="007117B9"/>
    <w:rsid w:val="00711C72"/>
    <w:rsid w:val="0071233E"/>
    <w:rsid w:val="00712699"/>
    <w:rsid w:val="00712836"/>
    <w:rsid w:val="0071399C"/>
    <w:rsid w:val="00713D3D"/>
    <w:rsid w:val="00713F91"/>
    <w:rsid w:val="0071595B"/>
    <w:rsid w:val="00715E46"/>
    <w:rsid w:val="00715F9C"/>
    <w:rsid w:val="00716262"/>
    <w:rsid w:val="0071647E"/>
    <w:rsid w:val="00716552"/>
    <w:rsid w:val="007169CE"/>
    <w:rsid w:val="00716BF8"/>
    <w:rsid w:val="00716EB5"/>
    <w:rsid w:val="00717952"/>
    <w:rsid w:val="00720025"/>
    <w:rsid w:val="007202A1"/>
    <w:rsid w:val="0072055D"/>
    <w:rsid w:val="007205B2"/>
    <w:rsid w:val="007206AD"/>
    <w:rsid w:val="007209FB"/>
    <w:rsid w:val="00720BAA"/>
    <w:rsid w:val="00721193"/>
    <w:rsid w:val="00721478"/>
    <w:rsid w:val="00722445"/>
    <w:rsid w:val="007226D1"/>
    <w:rsid w:val="00722745"/>
    <w:rsid w:val="00722A08"/>
    <w:rsid w:val="00722AA2"/>
    <w:rsid w:val="007232C3"/>
    <w:rsid w:val="00724387"/>
    <w:rsid w:val="00724469"/>
    <w:rsid w:val="0072480E"/>
    <w:rsid w:val="00724817"/>
    <w:rsid w:val="00724822"/>
    <w:rsid w:val="007248AD"/>
    <w:rsid w:val="00724A45"/>
    <w:rsid w:val="00724C6D"/>
    <w:rsid w:val="00724DF7"/>
    <w:rsid w:val="00724EE3"/>
    <w:rsid w:val="0072530F"/>
    <w:rsid w:val="0072567D"/>
    <w:rsid w:val="00725736"/>
    <w:rsid w:val="00725983"/>
    <w:rsid w:val="00725AE9"/>
    <w:rsid w:val="00725B20"/>
    <w:rsid w:val="00725C33"/>
    <w:rsid w:val="00725E65"/>
    <w:rsid w:val="007261CF"/>
    <w:rsid w:val="00726629"/>
    <w:rsid w:val="00726699"/>
    <w:rsid w:val="00726EB8"/>
    <w:rsid w:val="0072712D"/>
    <w:rsid w:val="00727315"/>
    <w:rsid w:val="00727D30"/>
    <w:rsid w:val="007300F4"/>
    <w:rsid w:val="00730338"/>
    <w:rsid w:val="00730386"/>
    <w:rsid w:val="00730429"/>
    <w:rsid w:val="0073112B"/>
    <w:rsid w:val="00731252"/>
    <w:rsid w:val="0073197F"/>
    <w:rsid w:val="007321F0"/>
    <w:rsid w:val="00732666"/>
    <w:rsid w:val="0073293F"/>
    <w:rsid w:val="00732A82"/>
    <w:rsid w:val="00732C66"/>
    <w:rsid w:val="00732D66"/>
    <w:rsid w:val="00732E36"/>
    <w:rsid w:val="00733494"/>
    <w:rsid w:val="00733828"/>
    <w:rsid w:val="00733961"/>
    <w:rsid w:val="00733F23"/>
    <w:rsid w:val="00734389"/>
    <w:rsid w:val="007343D9"/>
    <w:rsid w:val="00734C18"/>
    <w:rsid w:val="00734F56"/>
    <w:rsid w:val="0073514D"/>
    <w:rsid w:val="007357A3"/>
    <w:rsid w:val="0073582C"/>
    <w:rsid w:val="0073585D"/>
    <w:rsid w:val="00735887"/>
    <w:rsid w:val="00735969"/>
    <w:rsid w:val="00735CA2"/>
    <w:rsid w:val="00735CE6"/>
    <w:rsid w:val="00735D61"/>
    <w:rsid w:val="00735E8B"/>
    <w:rsid w:val="00735F4E"/>
    <w:rsid w:val="00735FC8"/>
    <w:rsid w:val="00736290"/>
    <w:rsid w:val="007363F5"/>
    <w:rsid w:val="0073643F"/>
    <w:rsid w:val="00736640"/>
    <w:rsid w:val="007370A3"/>
    <w:rsid w:val="007371DA"/>
    <w:rsid w:val="00737732"/>
    <w:rsid w:val="00737C42"/>
    <w:rsid w:val="00737E17"/>
    <w:rsid w:val="00740A7A"/>
    <w:rsid w:val="00740CC3"/>
    <w:rsid w:val="00740EE2"/>
    <w:rsid w:val="007411A9"/>
    <w:rsid w:val="00741681"/>
    <w:rsid w:val="00741A43"/>
    <w:rsid w:val="00741AC3"/>
    <w:rsid w:val="00741C5E"/>
    <w:rsid w:val="00741CA9"/>
    <w:rsid w:val="00741D16"/>
    <w:rsid w:val="0074210D"/>
    <w:rsid w:val="007425F6"/>
    <w:rsid w:val="007428D9"/>
    <w:rsid w:val="00742EF1"/>
    <w:rsid w:val="00743563"/>
    <w:rsid w:val="00743608"/>
    <w:rsid w:val="007438EA"/>
    <w:rsid w:val="00743D43"/>
    <w:rsid w:val="00743D6D"/>
    <w:rsid w:val="007440CB"/>
    <w:rsid w:val="007441C6"/>
    <w:rsid w:val="00744772"/>
    <w:rsid w:val="00744E13"/>
    <w:rsid w:val="00744FC0"/>
    <w:rsid w:val="00745423"/>
    <w:rsid w:val="007454E6"/>
    <w:rsid w:val="007455B7"/>
    <w:rsid w:val="00745665"/>
    <w:rsid w:val="00745821"/>
    <w:rsid w:val="007459C5"/>
    <w:rsid w:val="00746789"/>
    <w:rsid w:val="00746C76"/>
    <w:rsid w:val="00747393"/>
    <w:rsid w:val="007474CC"/>
    <w:rsid w:val="007478C0"/>
    <w:rsid w:val="00747B2E"/>
    <w:rsid w:val="00747F67"/>
    <w:rsid w:val="00747FBF"/>
    <w:rsid w:val="007500C2"/>
    <w:rsid w:val="00750310"/>
    <w:rsid w:val="00750789"/>
    <w:rsid w:val="007509D9"/>
    <w:rsid w:val="0075113A"/>
    <w:rsid w:val="00751B0C"/>
    <w:rsid w:val="00751C46"/>
    <w:rsid w:val="007525DE"/>
    <w:rsid w:val="00752788"/>
    <w:rsid w:val="00752C11"/>
    <w:rsid w:val="00752E66"/>
    <w:rsid w:val="00752F72"/>
    <w:rsid w:val="00753450"/>
    <w:rsid w:val="00753D2B"/>
    <w:rsid w:val="007543AE"/>
    <w:rsid w:val="00754505"/>
    <w:rsid w:val="00754962"/>
    <w:rsid w:val="00754C38"/>
    <w:rsid w:val="00754C97"/>
    <w:rsid w:val="00754EB3"/>
    <w:rsid w:val="007553B5"/>
    <w:rsid w:val="00755600"/>
    <w:rsid w:val="0075648F"/>
    <w:rsid w:val="007565B2"/>
    <w:rsid w:val="0075667C"/>
    <w:rsid w:val="00756686"/>
    <w:rsid w:val="0075680F"/>
    <w:rsid w:val="00756F4D"/>
    <w:rsid w:val="00756FBA"/>
    <w:rsid w:val="00757272"/>
    <w:rsid w:val="00757385"/>
    <w:rsid w:val="007575C7"/>
    <w:rsid w:val="007575D5"/>
    <w:rsid w:val="00757A83"/>
    <w:rsid w:val="00757AA7"/>
    <w:rsid w:val="00757C4E"/>
    <w:rsid w:val="00757F42"/>
    <w:rsid w:val="00757F82"/>
    <w:rsid w:val="00760202"/>
    <w:rsid w:val="007606D9"/>
    <w:rsid w:val="00760BAD"/>
    <w:rsid w:val="00760F59"/>
    <w:rsid w:val="00761044"/>
    <w:rsid w:val="007616AA"/>
    <w:rsid w:val="007618C0"/>
    <w:rsid w:val="00761ACE"/>
    <w:rsid w:val="00761FD7"/>
    <w:rsid w:val="00762381"/>
    <w:rsid w:val="007623DE"/>
    <w:rsid w:val="00762527"/>
    <w:rsid w:val="00762538"/>
    <w:rsid w:val="007629C4"/>
    <w:rsid w:val="00762B70"/>
    <w:rsid w:val="00762BB5"/>
    <w:rsid w:val="00763405"/>
    <w:rsid w:val="00763651"/>
    <w:rsid w:val="00763AD3"/>
    <w:rsid w:val="00763D2C"/>
    <w:rsid w:val="00763D8C"/>
    <w:rsid w:val="0076426B"/>
    <w:rsid w:val="0076449A"/>
    <w:rsid w:val="00764584"/>
    <w:rsid w:val="00764876"/>
    <w:rsid w:val="00764D83"/>
    <w:rsid w:val="00764F6D"/>
    <w:rsid w:val="007652EA"/>
    <w:rsid w:val="00765C6D"/>
    <w:rsid w:val="00765FA6"/>
    <w:rsid w:val="00766AE9"/>
    <w:rsid w:val="00766DAF"/>
    <w:rsid w:val="00766E3A"/>
    <w:rsid w:val="0076722E"/>
    <w:rsid w:val="00767436"/>
    <w:rsid w:val="00767532"/>
    <w:rsid w:val="00767601"/>
    <w:rsid w:val="007707DB"/>
    <w:rsid w:val="00770A70"/>
    <w:rsid w:val="00770A9E"/>
    <w:rsid w:val="00770C54"/>
    <w:rsid w:val="00770E1D"/>
    <w:rsid w:val="00771296"/>
    <w:rsid w:val="00771341"/>
    <w:rsid w:val="00771A42"/>
    <w:rsid w:val="00771BFC"/>
    <w:rsid w:val="00771FEF"/>
    <w:rsid w:val="0077231D"/>
    <w:rsid w:val="0077284B"/>
    <w:rsid w:val="00772915"/>
    <w:rsid w:val="00772FD6"/>
    <w:rsid w:val="0077301B"/>
    <w:rsid w:val="00774023"/>
    <w:rsid w:val="00774130"/>
    <w:rsid w:val="007747FE"/>
    <w:rsid w:val="007748B1"/>
    <w:rsid w:val="00774A50"/>
    <w:rsid w:val="00774B60"/>
    <w:rsid w:val="00774E07"/>
    <w:rsid w:val="00774F3A"/>
    <w:rsid w:val="00775296"/>
    <w:rsid w:val="007755B6"/>
    <w:rsid w:val="007757B3"/>
    <w:rsid w:val="007758C5"/>
    <w:rsid w:val="00775C8A"/>
    <w:rsid w:val="00776325"/>
    <w:rsid w:val="00776712"/>
    <w:rsid w:val="00776742"/>
    <w:rsid w:val="00776D04"/>
    <w:rsid w:val="0077707C"/>
    <w:rsid w:val="007772C7"/>
    <w:rsid w:val="00777660"/>
    <w:rsid w:val="00777991"/>
    <w:rsid w:val="00777A21"/>
    <w:rsid w:val="00777DC9"/>
    <w:rsid w:val="00780317"/>
    <w:rsid w:val="007804E4"/>
    <w:rsid w:val="00780685"/>
    <w:rsid w:val="00780692"/>
    <w:rsid w:val="00780CE9"/>
    <w:rsid w:val="00780DCD"/>
    <w:rsid w:val="00780F13"/>
    <w:rsid w:val="007810D7"/>
    <w:rsid w:val="007811F0"/>
    <w:rsid w:val="007819AB"/>
    <w:rsid w:val="00781F1A"/>
    <w:rsid w:val="007820E7"/>
    <w:rsid w:val="00782318"/>
    <w:rsid w:val="007824A8"/>
    <w:rsid w:val="0078281D"/>
    <w:rsid w:val="00782BD5"/>
    <w:rsid w:val="00782D20"/>
    <w:rsid w:val="00783923"/>
    <w:rsid w:val="0078397B"/>
    <w:rsid w:val="00783AF2"/>
    <w:rsid w:val="00784780"/>
    <w:rsid w:val="00784A1F"/>
    <w:rsid w:val="007852B0"/>
    <w:rsid w:val="00785816"/>
    <w:rsid w:val="00785AF1"/>
    <w:rsid w:val="00785F62"/>
    <w:rsid w:val="007860E5"/>
    <w:rsid w:val="00786518"/>
    <w:rsid w:val="007865BC"/>
    <w:rsid w:val="007868B4"/>
    <w:rsid w:val="0078690B"/>
    <w:rsid w:val="00786A66"/>
    <w:rsid w:val="00786EC4"/>
    <w:rsid w:val="007870B7"/>
    <w:rsid w:val="0078778C"/>
    <w:rsid w:val="00787796"/>
    <w:rsid w:val="007877F7"/>
    <w:rsid w:val="007879C8"/>
    <w:rsid w:val="00787E1E"/>
    <w:rsid w:val="0079007D"/>
    <w:rsid w:val="0079026E"/>
    <w:rsid w:val="0079040D"/>
    <w:rsid w:val="007906BA"/>
    <w:rsid w:val="00790B87"/>
    <w:rsid w:val="007913A1"/>
    <w:rsid w:val="007916FA"/>
    <w:rsid w:val="00791706"/>
    <w:rsid w:val="00791AF8"/>
    <w:rsid w:val="00791CDF"/>
    <w:rsid w:val="00792216"/>
    <w:rsid w:val="0079248A"/>
    <w:rsid w:val="00792503"/>
    <w:rsid w:val="0079295F"/>
    <w:rsid w:val="00792994"/>
    <w:rsid w:val="00792A5A"/>
    <w:rsid w:val="00792B70"/>
    <w:rsid w:val="00792D87"/>
    <w:rsid w:val="00792F87"/>
    <w:rsid w:val="007937FE"/>
    <w:rsid w:val="00793C73"/>
    <w:rsid w:val="0079464D"/>
    <w:rsid w:val="0079490A"/>
    <w:rsid w:val="00794DDB"/>
    <w:rsid w:val="007958D4"/>
    <w:rsid w:val="00795B59"/>
    <w:rsid w:val="00795E72"/>
    <w:rsid w:val="00795ED8"/>
    <w:rsid w:val="007963B3"/>
    <w:rsid w:val="007965CC"/>
    <w:rsid w:val="0079671F"/>
    <w:rsid w:val="00796B67"/>
    <w:rsid w:val="00796EA9"/>
    <w:rsid w:val="0079734D"/>
    <w:rsid w:val="00797636"/>
    <w:rsid w:val="00797664"/>
    <w:rsid w:val="007977EB"/>
    <w:rsid w:val="00797920"/>
    <w:rsid w:val="00797B14"/>
    <w:rsid w:val="00797C2F"/>
    <w:rsid w:val="007A06F8"/>
    <w:rsid w:val="007A073E"/>
    <w:rsid w:val="007A0B9F"/>
    <w:rsid w:val="007A0D60"/>
    <w:rsid w:val="007A1529"/>
    <w:rsid w:val="007A16E6"/>
    <w:rsid w:val="007A182D"/>
    <w:rsid w:val="007A18AE"/>
    <w:rsid w:val="007A1C4E"/>
    <w:rsid w:val="007A1ED3"/>
    <w:rsid w:val="007A22F8"/>
    <w:rsid w:val="007A2492"/>
    <w:rsid w:val="007A29B4"/>
    <w:rsid w:val="007A3187"/>
    <w:rsid w:val="007A3B02"/>
    <w:rsid w:val="007A3B63"/>
    <w:rsid w:val="007A4136"/>
    <w:rsid w:val="007A4414"/>
    <w:rsid w:val="007A4500"/>
    <w:rsid w:val="007A4733"/>
    <w:rsid w:val="007A4B6F"/>
    <w:rsid w:val="007A4D99"/>
    <w:rsid w:val="007A52B6"/>
    <w:rsid w:val="007A5C0E"/>
    <w:rsid w:val="007A5C1A"/>
    <w:rsid w:val="007A6A3C"/>
    <w:rsid w:val="007A6AB5"/>
    <w:rsid w:val="007A6B52"/>
    <w:rsid w:val="007A6D96"/>
    <w:rsid w:val="007A6DE5"/>
    <w:rsid w:val="007A73CA"/>
    <w:rsid w:val="007A73F9"/>
    <w:rsid w:val="007A76CC"/>
    <w:rsid w:val="007A7CF8"/>
    <w:rsid w:val="007A7DD5"/>
    <w:rsid w:val="007B0347"/>
    <w:rsid w:val="007B08D0"/>
    <w:rsid w:val="007B091D"/>
    <w:rsid w:val="007B0CED"/>
    <w:rsid w:val="007B1D6A"/>
    <w:rsid w:val="007B3549"/>
    <w:rsid w:val="007B3F68"/>
    <w:rsid w:val="007B43AD"/>
    <w:rsid w:val="007B44B7"/>
    <w:rsid w:val="007B482B"/>
    <w:rsid w:val="007B4A56"/>
    <w:rsid w:val="007B4B8F"/>
    <w:rsid w:val="007B4C30"/>
    <w:rsid w:val="007B4E3F"/>
    <w:rsid w:val="007B4F85"/>
    <w:rsid w:val="007B5ADC"/>
    <w:rsid w:val="007B5BA1"/>
    <w:rsid w:val="007B5BC4"/>
    <w:rsid w:val="007B5FCB"/>
    <w:rsid w:val="007B62A1"/>
    <w:rsid w:val="007B648E"/>
    <w:rsid w:val="007B6555"/>
    <w:rsid w:val="007B7545"/>
    <w:rsid w:val="007B7558"/>
    <w:rsid w:val="007B779E"/>
    <w:rsid w:val="007B79B0"/>
    <w:rsid w:val="007B7CCC"/>
    <w:rsid w:val="007B7D90"/>
    <w:rsid w:val="007C0221"/>
    <w:rsid w:val="007C062F"/>
    <w:rsid w:val="007C0925"/>
    <w:rsid w:val="007C0B19"/>
    <w:rsid w:val="007C10F3"/>
    <w:rsid w:val="007C1835"/>
    <w:rsid w:val="007C1CD6"/>
    <w:rsid w:val="007C210D"/>
    <w:rsid w:val="007C213A"/>
    <w:rsid w:val="007C226B"/>
    <w:rsid w:val="007C2713"/>
    <w:rsid w:val="007C2727"/>
    <w:rsid w:val="007C29EC"/>
    <w:rsid w:val="007C2ABD"/>
    <w:rsid w:val="007C2C26"/>
    <w:rsid w:val="007C2EC7"/>
    <w:rsid w:val="007C3503"/>
    <w:rsid w:val="007C39C9"/>
    <w:rsid w:val="007C3DDB"/>
    <w:rsid w:val="007C3EE5"/>
    <w:rsid w:val="007C3FA4"/>
    <w:rsid w:val="007C4434"/>
    <w:rsid w:val="007C462F"/>
    <w:rsid w:val="007C4725"/>
    <w:rsid w:val="007C492D"/>
    <w:rsid w:val="007C4B40"/>
    <w:rsid w:val="007C53A2"/>
    <w:rsid w:val="007C58A9"/>
    <w:rsid w:val="007C5E78"/>
    <w:rsid w:val="007C5EDE"/>
    <w:rsid w:val="007C643F"/>
    <w:rsid w:val="007C645C"/>
    <w:rsid w:val="007C6BC9"/>
    <w:rsid w:val="007C6EB7"/>
    <w:rsid w:val="007C7170"/>
    <w:rsid w:val="007C72D7"/>
    <w:rsid w:val="007C72FE"/>
    <w:rsid w:val="007C7D5E"/>
    <w:rsid w:val="007D0415"/>
    <w:rsid w:val="007D0569"/>
    <w:rsid w:val="007D0577"/>
    <w:rsid w:val="007D0665"/>
    <w:rsid w:val="007D0BB2"/>
    <w:rsid w:val="007D0E1A"/>
    <w:rsid w:val="007D0F75"/>
    <w:rsid w:val="007D1170"/>
    <w:rsid w:val="007D16D0"/>
    <w:rsid w:val="007D1C2E"/>
    <w:rsid w:val="007D1E29"/>
    <w:rsid w:val="007D2378"/>
    <w:rsid w:val="007D238E"/>
    <w:rsid w:val="007D2504"/>
    <w:rsid w:val="007D3274"/>
    <w:rsid w:val="007D39F4"/>
    <w:rsid w:val="007D3C4D"/>
    <w:rsid w:val="007D3CD7"/>
    <w:rsid w:val="007D3F33"/>
    <w:rsid w:val="007D46B5"/>
    <w:rsid w:val="007D4752"/>
    <w:rsid w:val="007D48A0"/>
    <w:rsid w:val="007D4AD8"/>
    <w:rsid w:val="007D4D5C"/>
    <w:rsid w:val="007D5097"/>
    <w:rsid w:val="007D5213"/>
    <w:rsid w:val="007D5BDA"/>
    <w:rsid w:val="007D5C9F"/>
    <w:rsid w:val="007D6058"/>
    <w:rsid w:val="007D62B6"/>
    <w:rsid w:val="007D63CC"/>
    <w:rsid w:val="007D6578"/>
    <w:rsid w:val="007D6592"/>
    <w:rsid w:val="007D6997"/>
    <w:rsid w:val="007D6BE1"/>
    <w:rsid w:val="007D719C"/>
    <w:rsid w:val="007D71B4"/>
    <w:rsid w:val="007D74EB"/>
    <w:rsid w:val="007D783D"/>
    <w:rsid w:val="007D7B46"/>
    <w:rsid w:val="007D7F41"/>
    <w:rsid w:val="007E0007"/>
    <w:rsid w:val="007E024E"/>
    <w:rsid w:val="007E02F5"/>
    <w:rsid w:val="007E0CF8"/>
    <w:rsid w:val="007E0E29"/>
    <w:rsid w:val="007E109D"/>
    <w:rsid w:val="007E15F2"/>
    <w:rsid w:val="007E210C"/>
    <w:rsid w:val="007E26C4"/>
    <w:rsid w:val="007E2738"/>
    <w:rsid w:val="007E28D9"/>
    <w:rsid w:val="007E32E4"/>
    <w:rsid w:val="007E3746"/>
    <w:rsid w:val="007E380E"/>
    <w:rsid w:val="007E3E4C"/>
    <w:rsid w:val="007E4D0D"/>
    <w:rsid w:val="007E5030"/>
    <w:rsid w:val="007E51F4"/>
    <w:rsid w:val="007E577C"/>
    <w:rsid w:val="007E592B"/>
    <w:rsid w:val="007E5E7D"/>
    <w:rsid w:val="007E61A6"/>
    <w:rsid w:val="007E63DC"/>
    <w:rsid w:val="007E673A"/>
    <w:rsid w:val="007E67AC"/>
    <w:rsid w:val="007E6A8C"/>
    <w:rsid w:val="007E6AA3"/>
    <w:rsid w:val="007E6DDB"/>
    <w:rsid w:val="007E76A4"/>
    <w:rsid w:val="007E7D71"/>
    <w:rsid w:val="007F0DFA"/>
    <w:rsid w:val="007F1909"/>
    <w:rsid w:val="007F1BFF"/>
    <w:rsid w:val="007F25CD"/>
    <w:rsid w:val="007F282F"/>
    <w:rsid w:val="007F2C53"/>
    <w:rsid w:val="007F3064"/>
    <w:rsid w:val="007F30A0"/>
    <w:rsid w:val="007F3BDA"/>
    <w:rsid w:val="007F4143"/>
    <w:rsid w:val="007F4873"/>
    <w:rsid w:val="007F4CAB"/>
    <w:rsid w:val="007F5344"/>
    <w:rsid w:val="007F5529"/>
    <w:rsid w:val="007F569A"/>
    <w:rsid w:val="007F579C"/>
    <w:rsid w:val="007F57B9"/>
    <w:rsid w:val="007F5CE5"/>
    <w:rsid w:val="007F615E"/>
    <w:rsid w:val="007F616F"/>
    <w:rsid w:val="007F6367"/>
    <w:rsid w:val="007F6393"/>
    <w:rsid w:val="007F678F"/>
    <w:rsid w:val="007F6B1E"/>
    <w:rsid w:val="007F6B5A"/>
    <w:rsid w:val="007F6C28"/>
    <w:rsid w:val="007F7305"/>
    <w:rsid w:val="007F7388"/>
    <w:rsid w:val="007F760D"/>
    <w:rsid w:val="007F7725"/>
    <w:rsid w:val="007F78A2"/>
    <w:rsid w:val="007F7AAE"/>
    <w:rsid w:val="007F7BB9"/>
    <w:rsid w:val="007F7E6D"/>
    <w:rsid w:val="0080003E"/>
    <w:rsid w:val="008005C6"/>
    <w:rsid w:val="0080097E"/>
    <w:rsid w:val="00800D61"/>
    <w:rsid w:val="00800F70"/>
    <w:rsid w:val="00800FDF"/>
    <w:rsid w:val="00801C63"/>
    <w:rsid w:val="00801DF7"/>
    <w:rsid w:val="0080204F"/>
    <w:rsid w:val="0080253D"/>
    <w:rsid w:val="008029F5"/>
    <w:rsid w:val="00802AB9"/>
    <w:rsid w:val="00802BEB"/>
    <w:rsid w:val="00803B07"/>
    <w:rsid w:val="00803BDC"/>
    <w:rsid w:val="00804674"/>
    <w:rsid w:val="00804DA8"/>
    <w:rsid w:val="00804F06"/>
    <w:rsid w:val="00805568"/>
    <w:rsid w:val="008059A0"/>
    <w:rsid w:val="00805DA5"/>
    <w:rsid w:val="00805E90"/>
    <w:rsid w:val="00806113"/>
    <w:rsid w:val="008064C5"/>
    <w:rsid w:val="008067C5"/>
    <w:rsid w:val="00806AB3"/>
    <w:rsid w:val="00806B23"/>
    <w:rsid w:val="00806BA6"/>
    <w:rsid w:val="00806C13"/>
    <w:rsid w:val="00806C80"/>
    <w:rsid w:val="008078D3"/>
    <w:rsid w:val="00807CCB"/>
    <w:rsid w:val="00807FE5"/>
    <w:rsid w:val="00807FFA"/>
    <w:rsid w:val="0081012B"/>
    <w:rsid w:val="0081051A"/>
    <w:rsid w:val="008107FF"/>
    <w:rsid w:val="00811338"/>
    <w:rsid w:val="00812246"/>
    <w:rsid w:val="0081264F"/>
    <w:rsid w:val="0081271D"/>
    <w:rsid w:val="00813158"/>
    <w:rsid w:val="00813DE2"/>
    <w:rsid w:val="00813F6A"/>
    <w:rsid w:val="0081432D"/>
    <w:rsid w:val="008144CD"/>
    <w:rsid w:val="0081487C"/>
    <w:rsid w:val="0081494F"/>
    <w:rsid w:val="00814A30"/>
    <w:rsid w:val="00814E07"/>
    <w:rsid w:val="00815261"/>
    <w:rsid w:val="00815299"/>
    <w:rsid w:val="00815696"/>
    <w:rsid w:val="00815D53"/>
    <w:rsid w:val="0081632A"/>
    <w:rsid w:val="0081633E"/>
    <w:rsid w:val="0081685B"/>
    <w:rsid w:val="0081717E"/>
    <w:rsid w:val="00817338"/>
    <w:rsid w:val="008173A6"/>
    <w:rsid w:val="00817F9B"/>
    <w:rsid w:val="00820394"/>
    <w:rsid w:val="008203D6"/>
    <w:rsid w:val="008207FB"/>
    <w:rsid w:val="00820989"/>
    <w:rsid w:val="00820D82"/>
    <w:rsid w:val="00821517"/>
    <w:rsid w:val="008215E9"/>
    <w:rsid w:val="0082163D"/>
    <w:rsid w:val="008216B9"/>
    <w:rsid w:val="00821D8F"/>
    <w:rsid w:val="00821F06"/>
    <w:rsid w:val="0082204A"/>
    <w:rsid w:val="008220A7"/>
    <w:rsid w:val="00822269"/>
    <w:rsid w:val="008222B6"/>
    <w:rsid w:val="00822CAE"/>
    <w:rsid w:val="008238CC"/>
    <w:rsid w:val="008238E5"/>
    <w:rsid w:val="00823D4C"/>
    <w:rsid w:val="0082428E"/>
    <w:rsid w:val="008242DD"/>
    <w:rsid w:val="008243BB"/>
    <w:rsid w:val="008248F1"/>
    <w:rsid w:val="00824B6F"/>
    <w:rsid w:val="00824BB4"/>
    <w:rsid w:val="00824D54"/>
    <w:rsid w:val="0082529E"/>
    <w:rsid w:val="00825499"/>
    <w:rsid w:val="00825575"/>
    <w:rsid w:val="008256A3"/>
    <w:rsid w:val="00826115"/>
    <w:rsid w:val="0082659D"/>
    <w:rsid w:val="0082693C"/>
    <w:rsid w:val="00826EB3"/>
    <w:rsid w:val="008271D2"/>
    <w:rsid w:val="0082756B"/>
    <w:rsid w:val="0082785B"/>
    <w:rsid w:val="00827D19"/>
    <w:rsid w:val="00827E13"/>
    <w:rsid w:val="00830710"/>
    <w:rsid w:val="00830CE1"/>
    <w:rsid w:val="00830E65"/>
    <w:rsid w:val="0083102E"/>
    <w:rsid w:val="0083119E"/>
    <w:rsid w:val="008312E5"/>
    <w:rsid w:val="0083142D"/>
    <w:rsid w:val="0083153F"/>
    <w:rsid w:val="00831553"/>
    <w:rsid w:val="008317A9"/>
    <w:rsid w:val="008319DB"/>
    <w:rsid w:val="00831A86"/>
    <w:rsid w:val="00831AFA"/>
    <w:rsid w:val="00832113"/>
    <w:rsid w:val="008321A6"/>
    <w:rsid w:val="00832390"/>
    <w:rsid w:val="00832481"/>
    <w:rsid w:val="00832498"/>
    <w:rsid w:val="00832626"/>
    <w:rsid w:val="00832730"/>
    <w:rsid w:val="00832B8A"/>
    <w:rsid w:val="00832C7C"/>
    <w:rsid w:val="0083316A"/>
    <w:rsid w:val="0083341E"/>
    <w:rsid w:val="008336CC"/>
    <w:rsid w:val="00833A6F"/>
    <w:rsid w:val="00833DFE"/>
    <w:rsid w:val="0083468A"/>
    <w:rsid w:val="0083480F"/>
    <w:rsid w:val="00834B6A"/>
    <w:rsid w:val="0083531C"/>
    <w:rsid w:val="00835883"/>
    <w:rsid w:val="00835C3A"/>
    <w:rsid w:val="00835C3D"/>
    <w:rsid w:val="00836B01"/>
    <w:rsid w:val="00836CDD"/>
    <w:rsid w:val="00836ECA"/>
    <w:rsid w:val="0083723D"/>
    <w:rsid w:val="00837605"/>
    <w:rsid w:val="0084096B"/>
    <w:rsid w:val="00840AF5"/>
    <w:rsid w:val="00840C10"/>
    <w:rsid w:val="00841E58"/>
    <w:rsid w:val="00841F72"/>
    <w:rsid w:val="00842043"/>
    <w:rsid w:val="0084217F"/>
    <w:rsid w:val="008425A0"/>
    <w:rsid w:val="008425F4"/>
    <w:rsid w:val="008429DF"/>
    <w:rsid w:val="00842FB5"/>
    <w:rsid w:val="008432AE"/>
    <w:rsid w:val="0084370F"/>
    <w:rsid w:val="00843991"/>
    <w:rsid w:val="00843DA1"/>
    <w:rsid w:val="00843EA7"/>
    <w:rsid w:val="00844219"/>
    <w:rsid w:val="00844229"/>
    <w:rsid w:val="00844325"/>
    <w:rsid w:val="00844497"/>
    <w:rsid w:val="00844CE4"/>
    <w:rsid w:val="00844DDC"/>
    <w:rsid w:val="008454A1"/>
    <w:rsid w:val="0084558B"/>
    <w:rsid w:val="008460A9"/>
    <w:rsid w:val="008461BB"/>
    <w:rsid w:val="008463E8"/>
    <w:rsid w:val="00846A27"/>
    <w:rsid w:val="00846B8E"/>
    <w:rsid w:val="00846DA4"/>
    <w:rsid w:val="008473F0"/>
    <w:rsid w:val="00847ACE"/>
    <w:rsid w:val="0085064C"/>
    <w:rsid w:val="00850CFE"/>
    <w:rsid w:val="00850EFB"/>
    <w:rsid w:val="00850F4B"/>
    <w:rsid w:val="008513E0"/>
    <w:rsid w:val="00851B1F"/>
    <w:rsid w:val="0085225D"/>
    <w:rsid w:val="008522A2"/>
    <w:rsid w:val="00852863"/>
    <w:rsid w:val="00852919"/>
    <w:rsid w:val="00852D4A"/>
    <w:rsid w:val="008534BC"/>
    <w:rsid w:val="00853712"/>
    <w:rsid w:val="0085389C"/>
    <w:rsid w:val="00853FED"/>
    <w:rsid w:val="00854927"/>
    <w:rsid w:val="008554B8"/>
    <w:rsid w:val="00855716"/>
    <w:rsid w:val="0085572B"/>
    <w:rsid w:val="00855F1A"/>
    <w:rsid w:val="00855FE1"/>
    <w:rsid w:val="00856568"/>
    <w:rsid w:val="00856765"/>
    <w:rsid w:val="00856D3E"/>
    <w:rsid w:val="008570F7"/>
    <w:rsid w:val="00857539"/>
    <w:rsid w:val="008578C7"/>
    <w:rsid w:val="00857EBB"/>
    <w:rsid w:val="00860165"/>
    <w:rsid w:val="00860171"/>
    <w:rsid w:val="008602D9"/>
    <w:rsid w:val="008603AC"/>
    <w:rsid w:val="0086045D"/>
    <w:rsid w:val="0086082B"/>
    <w:rsid w:val="008608B0"/>
    <w:rsid w:val="008609C3"/>
    <w:rsid w:val="00860E4E"/>
    <w:rsid w:val="008617CD"/>
    <w:rsid w:val="00861CF6"/>
    <w:rsid w:val="00861D5C"/>
    <w:rsid w:val="0086228E"/>
    <w:rsid w:val="008623CA"/>
    <w:rsid w:val="008625EA"/>
    <w:rsid w:val="00862922"/>
    <w:rsid w:val="00862B9E"/>
    <w:rsid w:val="00862EDD"/>
    <w:rsid w:val="0086355D"/>
    <w:rsid w:val="008639F2"/>
    <w:rsid w:val="00863BBC"/>
    <w:rsid w:val="00863CF8"/>
    <w:rsid w:val="008642AB"/>
    <w:rsid w:val="0086430C"/>
    <w:rsid w:val="00864639"/>
    <w:rsid w:val="00864BDE"/>
    <w:rsid w:val="00864DBF"/>
    <w:rsid w:val="00864F79"/>
    <w:rsid w:val="008652C7"/>
    <w:rsid w:val="008653E4"/>
    <w:rsid w:val="0086599B"/>
    <w:rsid w:val="00865A50"/>
    <w:rsid w:val="00865EEF"/>
    <w:rsid w:val="00865F72"/>
    <w:rsid w:val="00865FFB"/>
    <w:rsid w:val="00866A72"/>
    <w:rsid w:val="0086722D"/>
    <w:rsid w:val="008672A4"/>
    <w:rsid w:val="0086749B"/>
    <w:rsid w:val="0086767E"/>
    <w:rsid w:val="00867E0B"/>
    <w:rsid w:val="00867EDE"/>
    <w:rsid w:val="00867F91"/>
    <w:rsid w:val="00870247"/>
    <w:rsid w:val="008704E5"/>
    <w:rsid w:val="0087050E"/>
    <w:rsid w:val="00870C9B"/>
    <w:rsid w:val="00870D09"/>
    <w:rsid w:val="00871183"/>
    <w:rsid w:val="0087198B"/>
    <w:rsid w:val="00871998"/>
    <w:rsid w:val="0087204F"/>
    <w:rsid w:val="0087213B"/>
    <w:rsid w:val="0087224D"/>
    <w:rsid w:val="0087227B"/>
    <w:rsid w:val="0087248D"/>
    <w:rsid w:val="00872DDF"/>
    <w:rsid w:val="00873347"/>
    <w:rsid w:val="00873434"/>
    <w:rsid w:val="00873A2A"/>
    <w:rsid w:val="00873DF4"/>
    <w:rsid w:val="00873F3E"/>
    <w:rsid w:val="008746D8"/>
    <w:rsid w:val="0087471C"/>
    <w:rsid w:val="00874756"/>
    <w:rsid w:val="00874775"/>
    <w:rsid w:val="00874880"/>
    <w:rsid w:val="00874A0E"/>
    <w:rsid w:val="00874B5D"/>
    <w:rsid w:val="008750A6"/>
    <w:rsid w:val="00875397"/>
    <w:rsid w:val="008755D8"/>
    <w:rsid w:val="00875CAB"/>
    <w:rsid w:val="00875E3A"/>
    <w:rsid w:val="00875F0A"/>
    <w:rsid w:val="00875F3B"/>
    <w:rsid w:val="008760E2"/>
    <w:rsid w:val="00876260"/>
    <w:rsid w:val="00876575"/>
    <w:rsid w:val="00876A67"/>
    <w:rsid w:val="00876AEB"/>
    <w:rsid w:val="00876F91"/>
    <w:rsid w:val="00877179"/>
    <w:rsid w:val="008771F5"/>
    <w:rsid w:val="00877292"/>
    <w:rsid w:val="00877478"/>
    <w:rsid w:val="008777A9"/>
    <w:rsid w:val="00877EE8"/>
    <w:rsid w:val="00880017"/>
    <w:rsid w:val="00880610"/>
    <w:rsid w:val="00880844"/>
    <w:rsid w:val="008808DA"/>
    <w:rsid w:val="008819CE"/>
    <w:rsid w:val="00881A26"/>
    <w:rsid w:val="00881BCF"/>
    <w:rsid w:val="0088248B"/>
    <w:rsid w:val="0088257B"/>
    <w:rsid w:val="00882E3D"/>
    <w:rsid w:val="008831D1"/>
    <w:rsid w:val="0088378C"/>
    <w:rsid w:val="00883832"/>
    <w:rsid w:val="00883AAC"/>
    <w:rsid w:val="00884B7C"/>
    <w:rsid w:val="00884C9B"/>
    <w:rsid w:val="00884D6A"/>
    <w:rsid w:val="008850B6"/>
    <w:rsid w:val="00885843"/>
    <w:rsid w:val="00885AE4"/>
    <w:rsid w:val="00885E75"/>
    <w:rsid w:val="008862D0"/>
    <w:rsid w:val="0088688D"/>
    <w:rsid w:val="00886A2F"/>
    <w:rsid w:val="00886B9D"/>
    <w:rsid w:val="00886E89"/>
    <w:rsid w:val="00886EB5"/>
    <w:rsid w:val="00887EE7"/>
    <w:rsid w:val="00887F53"/>
    <w:rsid w:val="008903EB"/>
    <w:rsid w:val="008905BF"/>
    <w:rsid w:val="008905C3"/>
    <w:rsid w:val="008909EC"/>
    <w:rsid w:val="00890EB9"/>
    <w:rsid w:val="008913EC"/>
    <w:rsid w:val="00891741"/>
    <w:rsid w:val="00891771"/>
    <w:rsid w:val="00891C5D"/>
    <w:rsid w:val="00891C83"/>
    <w:rsid w:val="00891EB0"/>
    <w:rsid w:val="00891FE8"/>
    <w:rsid w:val="008922A1"/>
    <w:rsid w:val="008927F6"/>
    <w:rsid w:val="00892986"/>
    <w:rsid w:val="00892996"/>
    <w:rsid w:val="00892AE4"/>
    <w:rsid w:val="00892AF8"/>
    <w:rsid w:val="00892B2D"/>
    <w:rsid w:val="00892DE6"/>
    <w:rsid w:val="008930CC"/>
    <w:rsid w:val="0089310F"/>
    <w:rsid w:val="00894179"/>
    <w:rsid w:val="008945E3"/>
    <w:rsid w:val="008952F2"/>
    <w:rsid w:val="00895EBB"/>
    <w:rsid w:val="00896A38"/>
    <w:rsid w:val="0089729C"/>
    <w:rsid w:val="008972F8"/>
    <w:rsid w:val="00897533"/>
    <w:rsid w:val="00897693"/>
    <w:rsid w:val="00897B42"/>
    <w:rsid w:val="00897C19"/>
    <w:rsid w:val="00897C99"/>
    <w:rsid w:val="00897D12"/>
    <w:rsid w:val="008A0212"/>
    <w:rsid w:val="008A0453"/>
    <w:rsid w:val="008A069F"/>
    <w:rsid w:val="008A076A"/>
    <w:rsid w:val="008A17A9"/>
    <w:rsid w:val="008A1E3F"/>
    <w:rsid w:val="008A2101"/>
    <w:rsid w:val="008A2671"/>
    <w:rsid w:val="008A26B5"/>
    <w:rsid w:val="008A26E9"/>
    <w:rsid w:val="008A29A1"/>
    <w:rsid w:val="008A2A63"/>
    <w:rsid w:val="008A2C6B"/>
    <w:rsid w:val="008A2D2B"/>
    <w:rsid w:val="008A3596"/>
    <w:rsid w:val="008A35C3"/>
    <w:rsid w:val="008A3735"/>
    <w:rsid w:val="008A3830"/>
    <w:rsid w:val="008A3D2F"/>
    <w:rsid w:val="008A402C"/>
    <w:rsid w:val="008A4039"/>
    <w:rsid w:val="008A4815"/>
    <w:rsid w:val="008A4985"/>
    <w:rsid w:val="008A4B1D"/>
    <w:rsid w:val="008A4E7F"/>
    <w:rsid w:val="008A54A3"/>
    <w:rsid w:val="008A55E5"/>
    <w:rsid w:val="008A5625"/>
    <w:rsid w:val="008A57DC"/>
    <w:rsid w:val="008A5838"/>
    <w:rsid w:val="008A5A31"/>
    <w:rsid w:val="008A5E21"/>
    <w:rsid w:val="008A6044"/>
    <w:rsid w:val="008A6223"/>
    <w:rsid w:val="008A635F"/>
    <w:rsid w:val="008A68AF"/>
    <w:rsid w:val="008A6E1F"/>
    <w:rsid w:val="008A786C"/>
    <w:rsid w:val="008A7C75"/>
    <w:rsid w:val="008A7F2F"/>
    <w:rsid w:val="008B0261"/>
    <w:rsid w:val="008B057B"/>
    <w:rsid w:val="008B0AA0"/>
    <w:rsid w:val="008B0D75"/>
    <w:rsid w:val="008B0FBC"/>
    <w:rsid w:val="008B11FA"/>
    <w:rsid w:val="008B1247"/>
    <w:rsid w:val="008B1529"/>
    <w:rsid w:val="008B16B9"/>
    <w:rsid w:val="008B16CC"/>
    <w:rsid w:val="008B1D1E"/>
    <w:rsid w:val="008B1F96"/>
    <w:rsid w:val="008B22A4"/>
    <w:rsid w:val="008B23DC"/>
    <w:rsid w:val="008B2BCB"/>
    <w:rsid w:val="008B2CD0"/>
    <w:rsid w:val="008B2F3C"/>
    <w:rsid w:val="008B2F8D"/>
    <w:rsid w:val="008B30F7"/>
    <w:rsid w:val="008B349B"/>
    <w:rsid w:val="008B366A"/>
    <w:rsid w:val="008B36E2"/>
    <w:rsid w:val="008B3A32"/>
    <w:rsid w:val="008B44B2"/>
    <w:rsid w:val="008B4AA2"/>
    <w:rsid w:val="008B4B0A"/>
    <w:rsid w:val="008B512A"/>
    <w:rsid w:val="008B5220"/>
    <w:rsid w:val="008B5696"/>
    <w:rsid w:val="008B5899"/>
    <w:rsid w:val="008B5AC1"/>
    <w:rsid w:val="008B5B4D"/>
    <w:rsid w:val="008B5E63"/>
    <w:rsid w:val="008B61E5"/>
    <w:rsid w:val="008B63FC"/>
    <w:rsid w:val="008B716D"/>
    <w:rsid w:val="008B7751"/>
    <w:rsid w:val="008B7BFC"/>
    <w:rsid w:val="008B7C1A"/>
    <w:rsid w:val="008B7F44"/>
    <w:rsid w:val="008C019D"/>
    <w:rsid w:val="008C0D6B"/>
    <w:rsid w:val="008C1473"/>
    <w:rsid w:val="008C14C4"/>
    <w:rsid w:val="008C188F"/>
    <w:rsid w:val="008C1AC5"/>
    <w:rsid w:val="008C1E14"/>
    <w:rsid w:val="008C1F62"/>
    <w:rsid w:val="008C21A0"/>
    <w:rsid w:val="008C2736"/>
    <w:rsid w:val="008C2E09"/>
    <w:rsid w:val="008C2FA7"/>
    <w:rsid w:val="008C3A70"/>
    <w:rsid w:val="008C3D0E"/>
    <w:rsid w:val="008C3D7D"/>
    <w:rsid w:val="008C41E3"/>
    <w:rsid w:val="008C43A0"/>
    <w:rsid w:val="008C43B2"/>
    <w:rsid w:val="008C4728"/>
    <w:rsid w:val="008C4916"/>
    <w:rsid w:val="008C4B80"/>
    <w:rsid w:val="008C4C38"/>
    <w:rsid w:val="008C4DA6"/>
    <w:rsid w:val="008C5088"/>
    <w:rsid w:val="008C522B"/>
    <w:rsid w:val="008C5243"/>
    <w:rsid w:val="008C532C"/>
    <w:rsid w:val="008C53A9"/>
    <w:rsid w:val="008C59EA"/>
    <w:rsid w:val="008C5B7E"/>
    <w:rsid w:val="008C5C17"/>
    <w:rsid w:val="008C6047"/>
    <w:rsid w:val="008C6192"/>
    <w:rsid w:val="008C6664"/>
    <w:rsid w:val="008C6E89"/>
    <w:rsid w:val="008C75FB"/>
    <w:rsid w:val="008C79A9"/>
    <w:rsid w:val="008C7B28"/>
    <w:rsid w:val="008C7EE2"/>
    <w:rsid w:val="008C7F1E"/>
    <w:rsid w:val="008C7F7C"/>
    <w:rsid w:val="008D03CC"/>
    <w:rsid w:val="008D0757"/>
    <w:rsid w:val="008D0A37"/>
    <w:rsid w:val="008D0D9D"/>
    <w:rsid w:val="008D14E2"/>
    <w:rsid w:val="008D1578"/>
    <w:rsid w:val="008D2484"/>
    <w:rsid w:val="008D269D"/>
    <w:rsid w:val="008D313F"/>
    <w:rsid w:val="008D35E2"/>
    <w:rsid w:val="008D36A7"/>
    <w:rsid w:val="008D36D7"/>
    <w:rsid w:val="008D3BA6"/>
    <w:rsid w:val="008D48FE"/>
    <w:rsid w:val="008D5978"/>
    <w:rsid w:val="008D5BA3"/>
    <w:rsid w:val="008D6551"/>
    <w:rsid w:val="008D685C"/>
    <w:rsid w:val="008D695E"/>
    <w:rsid w:val="008D6ACC"/>
    <w:rsid w:val="008D6BE1"/>
    <w:rsid w:val="008D6EB9"/>
    <w:rsid w:val="008D76A0"/>
    <w:rsid w:val="008D77BA"/>
    <w:rsid w:val="008D7A13"/>
    <w:rsid w:val="008D7A7E"/>
    <w:rsid w:val="008D7AAA"/>
    <w:rsid w:val="008E0A1F"/>
    <w:rsid w:val="008E0B8E"/>
    <w:rsid w:val="008E0D21"/>
    <w:rsid w:val="008E21B1"/>
    <w:rsid w:val="008E27F6"/>
    <w:rsid w:val="008E2DE1"/>
    <w:rsid w:val="008E3521"/>
    <w:rsid w:val="008E43AA"/>
    <w:rsid w:val="008E4E34"/>
    <w:rsid w:val="008E4F36"/>
    <w:rsid w:val="008E539D"/>
    <w:rsid w:val="008E56CC"/>
    <w:rsid w:val="008E5F17"/>
    <w:rsid w:val="008E5FBC"/>
    <w:rsid w:val="008E6212"/>
    <w:rsid w:val="008E6433"/>
    <w:rsid w:val="008E6595"/>
    <w:rsid w:val="008E6754"/>
    <w:rsid w:val="008E709D"/>
    <w:rsid w:val="008E70EF"/>
    <w:rsid w:val="008E71C3"/>
    <w:rsid w:val="008E7ECD"/>
    <w:rsid w:val="008E7F7F"/>
    <w:rsid w:val="008E7FC9"/>
    <w:rsid w:val="008F014F"/>
    <w:rsid w:val="008F041F"/>
    <w:rsid w:val="008F06CA"/>
    <w:rsid w:val="008F08F0"/>
    <w:rsid w:val="008F09BE"/>
    <w:rsid w:val="008F0AA3"/>
    <w:rsid w:val="008F0D92"/>
    <w:rsid w:val="008F0E55"/>
    <w:rsid w:val="008F155A"/>
    <w:rsid w:val="008F239C"/>
    <w:rsid w:val="008F24CA"/>
    <w:rsid w:val="008F2B4F"/>
    <w:rsid w:val="008F2B95"/>
    <w:rsid w:val="008F2F84"/>
    <w:rsid w:val="008F3189"/>
    <w:rsid w:val="008F33BB"/>
    <w:rsid w:val="008F38B9"/>
    <w:rsid w:val="008F3DA3"/>
    <w:rsid w:val="008F3F01"/>
    <w:rsid w:val="008F4240"/>
    <w:rsid w:val="008F4544"/>
    <w:rsid w:val="008F4599"/>
    <w:rsid w:val="008F460F"/>
    <w:rsid w:val="008F4D0E"/>
    <w:rsid w:val="008F5AB1"/>
    <w:rsid w:val="008F5AC2"/>
    <w:rsid w:val="008F5BF4"/>
    <w:rsid w:val="008F692D"/>
    <w:rsid w:val="008F6FFB"/>
    <w:rsid w:val="008F7323"/>
    <w:rsid w:val="008F732A"/>
    <w:rsid w:val="008F79BD"/>
    <w:rsid w:val="008F7A3A"/>
    <w:rsid w:val="008F7FA4"/>
    <w:rsid w:val="009004BE"/>
    <w:rsid w:val="00900610"/>
    <w:rsid w:val="00900613"/>
    <w:rsid w:val="0090093F"/>
    <w:rsid w:val="00900A2A"/>
    <w:rsid w:val="00900E81"/>
    <w:rsid w:val="00900EF2"/>
    <w:rsid w:val="0090114C"/>
    <w:rsid w:val="0090169E"/>
    <w:rsid w:val="009017C9"/>
    <w:rsid w:val="009017F7"/>
    <w:rsid w:val="00901C62"/>
    <w:rsid w:val="00901E86"/>
    <w:rsid w:val="00902334"/>
    <w:rsid w:val="0090236A"/>
    <w:rsid w:val="00902732"/>
    <w:rsid w:val="00902E56"/>
    <w:rsid w:val="00902F28"/>
    <w:rsid w:val="00903057"/>
    <w:rsid w:val="009032FF"/>
    <w:rsid w:val="00903AF8"/>
    <w:rsid w:val="00903D67"/>
    <w:rsid w:val="00903ED5"/>
    <w:rsid w:val="00903F9A"/>
    <w:rsid w:val="00904250"/>
    <w:rsid w:val="009044A8"/>
    <w:rsid w:val="0090457F"/>
    <w:rsid w:val="00904669"/>
    <w:rsid w:val="00904B81"/>
    <w:rsid w:val="009051F9"/>
    <w:rsid w:val="00905956"/>
    <w:rsid w:val="009061B1"/>
    <w:rsid w:val="009066C9"/>
    <w:rsid w:val="00906BD5"/>
    <w:rsid w:val="00906C32"/>
    <w:rsid w:val="009075DC"/>
    <w:rsid w:val="009077C5"/>
    <w:rsid w:val="00910116"/>
    <w:rsid w:val="00910385"/>
    <w:rsid w:val="00910B0E"/>
    <w:rsid w:val="00910DBF"/>
    <w:rsid w:val="00910FA4"/>
    <w:rsid w:val="009112BC"/>
    <w:rsid w:val="00911309"/>
    <w:rsid w:val="009122CE"/>
    <w:rsid w:val="00912447"/>
    <w:rsid w:val="00912489"/>
    <w:rsid w:val="00912683"/>
    <w:rsid w:val="00912BDA"/>
    <w:rsid w:val="0091335F"/>
    <w:rsid w:val="009137E3"/>
    <w:rsid w:val="00913A07"/>
    <w:rsid w:val="00913A23"/>
    <w:rsid w:val="00913F7C"/>
    <w:rsid w:val="00914358"/>
    <w:rsid w:val="00914738"/>
    <w:rsid w:val="00914968"/>
    <w:rsid w:val="00914D5C"/>
    <w:rsid w:val="00914F0A"/>
    <w:rsid w:val="00915086"/>
    <w:rsid w:val="009152E8"/>
    <w:rsid w:val="009154B6"/>
    <w:rsid w:val="00915B3B"/>
    <w:rsid w:val="00915F0C"/>
    <w:rsid w:val="009160A0"/>
    <w:rsid w:val="009160B6"/>
    <w:rsid w:val="0091614E"/>
    <w:rsid w:val="00916371"/>
    <w:rsid w:val="0091645A"/>
    <w:rsid w:val="00916C24"/>
    <w:rsid w:val="00916F1E"/>
    <w:rsid w:val="00917393"/>
    <w:rsid w:val="00917952"/>
    <w:rsid w:val="00920068"/>
    <w:rsid w:val="00920561"/>
    <w:rsid w:val="0092070B"/>
    <w:rsid w:val="0092102A"/>
    <w:rsid w:val="009210AE"/>
    <w:rsid w:val="00921179"/>
    <w:rsid w:val="009212DA"/>
    <w:rsid w:val="009214DE"/>
    <w:rsid w:val="009215A1"/>
    <w:rsid w:val="00921901"/>
    <w:rsid w:val="009219EF"/>
    <w:rsid w:val="00921ACC"/>
    <w:rsid w:val="00921B45"/>
    <w:rsid w:val="00921D3D"/>
    <w:rsid w:val="00921FE8"/>
    <w:rsid w:val="009220A2"/>
    <w:rsid w:val="009222CB"/>
    <w:rsid w:val="0092233B"/>
    <w:rsid w:val="00922353"/>
    <w:rsid w:val="00922ECD"/>
    <w:rsid w:val="00922ED7"/>
    <w:rsid w:val="009232EC"/>
    <w:rsid w:val="00923574"/>
    <w:rsid w:val="00923730"/>
    <w:rsid w:val="009237F4"/>
    <w:rsid w:val="0092380A"/>
    <w:rsid w:val="009239EF"/>
    <w:rsid w:val="00923ED4"/>
    <w:rsid w:val="00924007"/>
    <w:rsid w:val="0092415E"/>
    <w:rsid w:val="0092419E"/>
    <w:rsid w:val="0092471E"/>
    <w:rsid w:val="00924BC0"/>
    <w:rsid w:val="00924D63"/>
    <w:rsid w:val="00925A10"/>
    <w:rsid w:val="00925BFB"/>
    <w:rsid w:val="00925ED9"/>
    <w:rsid w:val="00925FA9"/>
    <w:rsid w:val="009261C2"/>
    <w:rsid w:val="00926AAF"/>
    <w:rsid w:val="00927091"/>
    <w:rsid w:val="0092724B"/>
    <w:rsid w:val="00927A43"/>
    <w:rsid w:val="00927B19"/>
    <w:rsid w:val="00927E52"/>
    <w:rsid w:val="00927EBB"/>
    <w:rsid w:val="00930C02"/>
    <w:rsid w:val="00930D9B"/>
    <w:rsid w:val="009313FA"/>
    <w:rsid w:val="0093162C"/>
    <w:rsid w:val="0093172F"/>
    <w:rsid w:val="009317F3"/>
    <w:rsid w:val="009324E2"/>
    <w:rsid w:val="009329F2"/>
    <w:rsid w:val="00932B9C"/>
    <w:rsid w:val="00932D42"/>
    <w:rsid w:val="00932D8F"/>
    <w:rsid w:val="00933AF6"/>
    <w:rsid w:val="00933C95"/>
    <w:rsid w:val="009340A3"/>
    <w:rsid w:val="009348FE"/>
    <w:rsid w:val="0093490F"/>
    <w:rsid w:val="00935AEE"/>
    <w:rsid w:val="00935BAE"/>
    <w:rsid w:val="00935D0A"/>
    <w:rsid w:val="00935D64"/>
    <w:rsid w:val="00935D8E"/>
    <w:rsid w:val="009360F9"/>
    <w:rsid w:val="00936746"/>
    <w:rsid w:val="009369BE"/>
    <w:rsid w:val="00936C84"/>
    <w:rsid w:val="00936E0D"/>
    <w:rsid w:val="00936EE0"/>
    <w:rsid w:val="00937184"/>
    <w:rsid w:val="0093721F"/>
    <w:rsid w:val="00937420"/>
    <w:rsid w:val="009375D5"/>
    <w:rsid w:val="00937989"/>
    <w:rsid w:val="00937F19"/>
    <w:rsid w:val="009401C4"/>
    <w:rsid w:val="009401C9"/>
    <w:rsid w:val="009401E7"/>
    <w:rsid w:val="00940C44"/>
    <w:rsid w:val="00941303"/>
    <w:rsid w:val="009413A2"/>
    <w:rsid w:val="00941470"/>
    <w:rsid w:val="009414D8"/>
    <w:rsid w:val="00941E46"/>
    <w:rsid w:val="00942414"/>
    <w:rsid w:val="009429F7"/>
    <w:rsid w:val="0094303F"/>
    <w:rsid w:val="0094308B"/>
    <w:rsid w:val="009430AE"/>
    <w:rsid w:val="009439B5"/>
    <w:rsid w:val="00943C07"/>
    <w:rsid w:val="00943C8A"/>
    <w:rsid w:val="00944CC1"/>
    <w:rsid w:val="00945009"/>
    <w:rsid w:val="009451B8"/>
    <w:rsid w:val="00945A47"/>
    <w:rsid w:val="00945D9A"/>
    <w:rsid w:val="00946219"/>
    <w:rsid w:val="0094644A"/>
    <w:rsid w:val="00946689"/>
    <w:rsid w:val="0094680B"/>
    <w:rsid w:val="00946AC9"/>
    <w:rsid w:val="00946B83"/>
    <w:rsid w:val="00947572"/>
    <w:rsid w:val="00947860"/>
    <w:rsid w:val="0095008C"/>
    <w:rsid w:val="009501B8"/>
    <w:rsid w:val="00950275"/>
    <w:rsid w:val="009503F8"/>
    <w:rsid w:val="0095058D"/>
    <w:rsid w:val="009509E9"/>
    <w:rsid w:val="00950B73"/>
    <w:rsid w:val="00950E56"/>
    <w:rsid w:val="00951A61"/>
    <w:rsid w:val="00952175"/>
    <w:rsid w:val="009527B3"/>
    <w:rsid w:val="00952AC1"/>
    <w:rsid w:val="00952FE1"/>
    <w:rsid w:val="0095397F"/>
    <w:rsid w:val="00953C62"/>
    <w:rsid w:val="00953E68"/>
    <w:rsid w:val="00953FC8"/>
    <w:rsid w:val="0095408E"/>
    <w:rsid w:val="00954D36"/>
    <w:rsid w:val="00954F95"/>
    <w:rsid w:val="00955302"/>
    <w:rsid w:val="009556E4"/>
    <w:rsid w:val="009558CC"/>
    <w:rsid w:val="00955B63"/>
    <w:rsid w:val="009567B1"/>
    <w:rsid w:val="0095687A"/>
    <w:rsid w:val="00956AE4"/>
    <w:rsid w:val="00956B4B"/>
    <w:rsid w:val="00956EAE"/>
    <w:rsid w:val="0095703B"/>
    <w:rsid w:val="00957146"/>
    <w:rsid w:val="0095735F"/>
    <w:rsid w:val="0095749E"/>
    <w:rsid w:val="0095763D"/>
    <w:rsid w:val="00957808"/>
    <w:rsid w:val="00957E81"/>
    <w:rsid w:val="00957F1D"/>
    <w:rsid w:val="00957F50"/>
    <w:rsid w:val="00960287"/>
    <w:rsid w:val="009608E8"/>
    <w:rsid w:val="00960A8D"/>
    <w:rsid w:val="00960C13"/>
    <w:rsid w:val="00960CDB"/>
    <w:rsid w:val="00960D4B"/>
    <w:rsid w:val="00960DB6"/>
    <w:rsid w:val="00961166"/>
    <w:rsid w:val="0096139B"/>
    <w:rsid w:val="0096151D"/>
    <w:rsid w:val="0096185F"/>
    <w:rsid w:val="00961F01"/>
    <w:rsid w:val="00962065"/>
    <w:rsid w:val="009623F6"/>
    <w:rsid w:val="00962405"/>
    <w:rsid w:val="009632EA"/>
    <w:rsid w:val="00963BA0"/>
    <w:rsid w:val="009641E2"/>
    <w:rsid w:val="009642FF"/>
    <w:rsid w:val="00964306"/>
    <w:rsid w:val="009647D2"/>
    <w:rsid w:val="009648A4"/>
    <w:rsid w:val="00964D70"/>
    <w:rsid w:val="00964FD0"/>
    <w:rsid w:val="00965321"/>
    <w:rsid w:val="0096534A"/>
    <w:rsid w:val="00965353"/>
    <w:rsid w:val="009653FC"/>
    <w:rsid w:val="00965819"/>
    <w:rsid w:val="00965884"/>
    <w:rsid w:val="009658D5"/>
    <w:rsid w:val="009660A9"/>
    <w:rsid w:val="009662A2"/>
    <w:rsid w:val="00966348"/>
    <w:rsid w:val="00966460"/>
    <w:rsid w:val="00966906"/>
    <w:rsid w:val="00966A7F"/>
    <w:rsid w:val="00966CA1"/>
    <w:rsid w:val="00966FE6"/>
    <w:rsid w:val="00967D22"/>
    <w:rsid w:val="00967EA0"/>
    <w:rsid w:val="009707C3"/>
    <w:rsid w:val="00970801"/>
    <w:rsid w:val="00970A16"/>
    <w:rsid w:val="00970B3B"/>
    <w:rsid w:val="009710B7"/>
    <w:rsid w:val="00971191"/>
    <w:rsid w:val="00971291"/>
    <w:rsid w:val="0097138B"/>
    <w:rsid w:val="00971740"/>
    <w:rsid w:val="009717A5"/>
    <w:rsid w:val="00971B3B"/>
    <w:rsid w:val="00971EE2"/>
    <w:rsid w:val="009721AB"/>
    <w:rsid w:val="0097238D"/>
    <w:rsid w:val="00972703"/>
    <w:rsid w:val="009733D8"/>
    <w:rsid w:val="00973972"/>
    <w:rsid w:val="00973995"/>
    <w:rsid w:val="009739A0"/>
    <w:rsid w:val="00973B5F"/>
    <w:rsid w:val="00973BC5"/>
    <w:rsid w:val="00974106"/>
    <w:rsid w:val="0097443C"/>
    <w:rsid w:val="0097461A"/>
    <w:rsid w:val="00974734"/>
    <w:rsid w:val="0097475A"/>
    <w:rsid w:val="00974EEA"/>
    <w:rsid w:val="009753B8"/>
    <w:rsid w:val="00975A26"/>
    <w:rsid w:val="00975C76"/>
    <w:rsid w:val="00975EDA"/>
    <w:rsid w:val="0097621C"/>
    <w:rsid w:val="009763B2"/>
    <w:rsid w:val="00976748"/>
    <w:rsid w:val="00976BBF"/>
    <w:rsid w:val="0097707E"/>
    <w:rsid w:val="00977A2D"/>
    <w:rsid w:val="00977ED3"/>
    <w:rsid w:val="00977F81"/>
    <w:rsid w:val="00980090"/>
    <w:rsid w:val="0098075E"/>
    <w:rsid w:val="00980B3D"/>
    <w:rsid w:val="00980BD0"/>
    <w:rsid w:val="00981345"/>
    <w:rsid w:val="009818EC"/>
    <w:rsid w:val="00981C09"/>
    <w:rsid w:val="00981D26"/>
    <w:rsid w:val="00981D83"/>
    <w:rsid w:val="00982029"/>
    <w:rsid w:val="0098237D"/>
    <w:rsid w:val="00982626"/>
    <w:rsid w:val="009827B9"/>
    <w:rsid w:val="00983D5A"/>
    <w:rsid w:val="00984409"/>
    <w:rsid w:val="009844E1"/>
    <w:rsid w:val="0098471D"/>
    <w:rsid w:val="00984911"/>
    <w:rsid w:val="00984E67"/>
    <w:rsid w:val="00984F59"/>
    <w:rsid w:val="00985254"/>
    <w:rsid w:val="009858CE"/>
    <w:rsid w:val="00985B60"/>
    <w:rsid w:val="00985E5C"/>
    <w:rsid w:val="00985F46"/>
    <w:rsid w:val="009865A2"/>
    <w:rsid w:val="009865CA"/>
    <w:rsid w:val="0098675F"/>
    <w:rsid w:val="0098676F"/>
    <w:rsid w:val="009869B5"/>
    <w:rsid w:val="00986A19"/>
    <w:rsid w:val="00986CEC"/>
    <w:rsid w:val="00986DDE"/>
    <w:rsid w:val="00987225"/>
    <w:rsid w:val="009875BF"/>
    <w:rsid w:val="009875DA"/>
    <w:rsid w:val="009878E0"/>
    <w:rsid w:val="00987A6D"/>
    <w:rsid w:val="00987A70"/>
    <w:rsid w:val="00987D45"/>
    <w:rsid w:val="00987D5F"/>
    <w:rsid w:val="00990080"/>
    <w:rsid w:val="00990150"/>
    <w:rsid w:val="009903BF"/>
    <w:rsid w:val="009904FA"/>
    <w:rsid w:val="009907BE"/>
    <w:rsid w:val="009908F3"/>
    <w:rsid w:val="00990A82"/>
    <w:rsid w:val="00990B0C"/>
    <w:rsid w:val="00990D1A"/>
    <w:rsid w:val="0099143D"/>
    <w:rsid w:val="0099161A"/>
    <w:rsid w:val="00991915"/>
    <w:rsid w:val="0099191E"/>
    <w:rsid w:val="00991DB2"/>
    <w:rsid w:val="00991E5F"/>
    <w:rsid w:val="0099297A"/>
    <w:rsid w:val="00992B7C"/>
    <w:rsid w:val="00992CAB"/>
    <w:rsid w:val="00992D14"/>
    <w:rsid w:val="00993164"/>
    <w:rsid w:val="00993933"/>
    <w:rsid w:val="00993A6C"/>
    <w:rsid w:val="00993C0F"/>
    <w:rsid w:val="009945DC"/>
    <w:rsid w:val="00994826"/>
    <w:rsid w:val="009948E8"/>
    <w:rsid w:val="00995192"/>
    <w:rsid w:val="00995C05"/>
    <w:rsid w:val="009963AD"/>
    <w:rsid w:val="0099676B"/>
    <w:rsid w:val="00996856"/>
    <w:rsid w:val="00997123"/>
    <w:rsid w:val="009971B6"/>
    <w:rsid w:val="00997474"/>
    <w:rsid w:val="00997FE0"/>
    <w:rsid w:val="009A0381"/>
    <w:rsid w:val="009A067D"/>
    <w:rsid w:val="009A06D9"/>
    <w:rsid w:val="009A1DAC"/>
    <w:rsid w:val="009A21B6"/>
    <w:rsid w:val="009A2383"/>
    <w:rsid w:val="009A265C"/>
    <w:rsid w:val="009A2CAA"/>
    <w:rsid w:val="009A2F86"/>
    <w:rsid w:val="009A30BE"/>
    <w:rsid w:val="009A31CF"/>
    <w:rsid w:val="009A3414"/>
    <w:rsid w:val="009A3ACA"/>
    <w:rsid w:val="009A3B6E"/>
    <w:rsid w:val="009A4025"/>
    <w:rsid w:val="009A402A"/>
    <w:rsid w:val="009A4164"/>
    <w:rsid w:val="009A43B9"/>
    <w:rsid w:val="009A45C0"/>
    <w:rsid w:val="009A4697"/>
    <w:rsid w:val="009A510F"/>
    <w:rsid w:val="009A56DD"/>
    <w:rsid w:val="009A59D4"/>
    <w:rsid w:val="009A59DA"/>
    <w:rsid w:val="009A5A92"/>
    <w:rsid w:val="009A5F0E"/>
    <w:rsid w:val="009A5F98"/>
    <w:rsid w:val="009A603B"/>
    <w:rsid w:val="009A60EF"/>
    <w:rsid w:val="009A6547"/>
    <w:rsid w:val="009A6571"/>
    <w:rsid w:val="009A6A0B"/>
    <w:rsid w:val="009A6FB9"/>
    <w:rsid w:val="009A7608"/>
    <w:rsid w:val="009A7921"/>
    <w:rsid w:val="009A7D96"/>
    <w:rsid w:val="009A7DD4"/>
    <w:rsid w:val="009B0078"/>
    <w:rsid w:val="009B0099"/>
    <w:rsid w:val="009B07A9"/>
    <w:rsid w:val="009B0839"/>
    <w:rsid w:val="009B09E5"/>
    <w:rsid w:val="009B0C79"/>
    <w:rsid w:val="009B14B9"/>
    <w:rsid w:val="009B1788"/>
    <w:rsid w:val="009B1823"/>
    <w:rsid w:val="009B1DA9"/>
    <w:rsid w:val="009B1EBD"/>
    <w:rsid w:val="009B1FFE"/>
    <w:rsid w:val="009B2095"/>
    <w:rsid w:val="009B2369"/>
    <w:rsid w:val="009B26C3"/>
    <w:rsid w:val="009B2ABE"/>
    <w:rsid w:val="009B2C3F"/>
    <w:rsid w:val="009B2FED"/>
    <w:rsid w:val="009B340F"/>
    <w:rsid w:val="009B3515"/>
    <w:rsid w:val="009B3579"/>
    <w:rsid w:val="009B370E"/>
    <w:rsid w:val="009B3A38"/>
    <w:rsid w:val="009B3A80"/>
    <w:rsid w:val="009B41C9"/>
    <w:rsid w:val="009B436D"/>
    <w:rsid w:val="009B44EC"/>
    <w:rsid w:val="009B4A51"/>
    <w:rsid w:val="009B4B05"/>
    <w:rsid w:val="009B4C0C"/>
    <w:rsid w:val="009B5133"/>
    <w:rsid w:val="009B5A35"/>
    <w:rsid w:val="009B6323"/>
    <w:rsid w:val="009B660B"/>
    <w:rsid w:val="009B6B27"/>
    <w:rsid w:val="009B6D5C"/>
    <w:rsid w:val="009B71D4"/>
    <w:rsid w:val="009B744C"/>
    <w:rsid w:val="009C00A0"/>
    <w:rsid w:val="009C01C3"/>
    <w:rsid w:val="009C04CA"/>
    <w:rsid w:val="009C05FC"/>
    <w:rsid w:val="009C081C"/>
    <w:rsid w:val="009C1210"/>
    <w:rsid w:val="009C1791"/>
    <w:rsid w:val="009C19FF"/>
    <w:rsid w:val="009C1A36"/>
    <w:rsid w:val="009C2288"/>
    <w:rsid w:val="009C2C37"/>
    <w:rsid w:val="009C2D60"/>
    <w:rsid w:val="009C2E18"/>
    <w:rsid w:val="009C2F51"/>
    <w:rsid w:val="009C30CD"/>
    <w:rsid w:val="009C3217"/>
    <w:rsid w:val="009C393A"/>
    <w:rsid w:val="009C3C00"/>
    <w:rsid w:val="009C43EE"/>
    <w:rsid w:val="009C45F9"/>
    <w:rsid w:val="009C491E"/>
    <w:rsid w:val="009C4967"/>
    <w:rsid w:val="009C4EB6"/>
    <w:rsid w:val="009C50BF"/>
    <w:rsid w:val="009C54D5"/>
    <w:rsid w:val="009C57EE"/>
    <w:rsid w:val="009C587B"/>
    <w:rsid w:val="009C5AA6"/>
    <w:rsid w:val="009C5C88"/>
    <w:rsid w:val="009C5EBE"/>
    <w:rsid w:val="009C61E6"/>
    <w:rsid w:val="009C638D"/>
    <w:rsid w:val="009C63AF"/>
    <w:rsid w:val="009C671B"/>
    <w:rsid w:val="009C6954"/>
    <w:rsid w:val="009C6CE4"/>
    <w:rsid w:val="009C762F"/>
    <w:rsid w:val="009D0F3E"/>
    <w:rsid w:val="009D1261"/>
    <w:rsid w:val="009D1309"/>
    <w:rsid w:val="009D18F2"/>
    <w:rsid w:val="009D1E19"/>
    <w:rsid w:val="009D25F3"/>
    <w:rsid w:val="009D2AC0"/>
    <w:rsid w:val="009D3458"/>
    <w:rsid w:val="009D36C0"/>
    <w:rsid w:val="009D3937"/>
    <w:rsid w:val="009D3E42"/>
    <w:rsid w:val="009D3E94"/>
    <w:rsid w:val="009D3F2B"/>
    <w:rsid w:val="009D3FA7"/>
    <w:rsid w:val="009D415D"/>
    <w:rsid w:val="009D459A"/>
    <w:rsid w:val="009D4B32"/>
    <w:rsid w:val="009D59FF"/>
    <w:rsid w:val="009D5B40"/>
    <w:rsid w:val="009D625F"/>
    <w:rsid w:val="009D626B"/>
    <w:rsid w:val="009D641E"/>
    <w:rsid w:val="009D64E6"/>
    <w:rsid w:val="009D675E"/>
    <w:rsid w:val="009D6812"/>
    <w:rsid w:val="009D6BC0"/>
    <w:rsid w:val="009D6DE7"/>
    <w:rsid w:val="009D6E00"/>
    <w:rsid w:val="009D6FE6"/>
    <w:rsid w:val="009D77E3"/>
    <w:rsid w:val="009D790E"/>
    <w:rsid w:val="009D7C97"/>
    <w:rsid w:val="009E0141"/>
    <w:rsid w:val="009E0558"/>
    <w:rsid w:val="009E0952"/>
    <w:rsid w:val="009E0B3A"/>
    <w:rsid w:val="009E0E3F"/>
    <w:rsid w:val="009E0E5C"/>
    <w:rsid w:val="009E0FCC"/>
    <w:rsid w:val="009E1795"/>
    <w:rsid w:val="009E1A0C"/>
    <w:rsid w:val="009E1F5C"/>
    <w:rsid w:val="009E204C"/>
    <w:rsid w:val="009E2224"/>
    <w:rsid w:val="009E3703"/>
    <w:rsid w:val="009E39A0"/>
    <w:rsid w:val="009E3AD1"/>
    <w:rsid w:val="009E3F9F"/>
    <w:rsid w:val="009E40BF"/>
    <w:rsid w:val="009E4230"/>
    <w:rsid w:val="009E44DE"/>
    <w:rsid w:val="009E44F1"/>
    <w:rsid w:val="009E4D0D"/>
    <w:rsid w:val="009E4DE6"/>
    <w:rsid w:val="009E5299"/>
    <w:rsid w:val="009E54C5"/>
    <w:rsid w:val="009E55E0"/>
    <w:rsid w:val="009E597F"/>
    <w:rsid w:val="009E5B75"/>
    <w:rsid w:val="009E5CE3"/>
    <w:rsid w:val="009E5D1D"/>
    <w:rsid w:val="009E5D38"/>
    <w:rsid w:val="009E60A3"/>
    <w:rsid w:val="009E64A2"/>
    <w:rsid w:val="009E64DE"/>
    <w:rsid w:val="009E67A6"/>
    <w:rsid w:val="009E69CE"/>
    <w:rsid w:val="009E6B16"/>
    <w:rsid w:val="009E6CFB"/>
    <w:rsid w:val="009E7419"/>
    <w:rsid w:val="009F001C"/>
    <w:rsid w:val="009F0045"/>
    <w:rsid w:val="009F04E4"/>
    <w:rsid w:val="009F0646"/>
    <w:rsid w:val="009F07CB"/>
    <w:rsid w:val="009F0CA0"/>
    <w:rsid w:val="009F104C"/>
    <w:rsid w:val="009F1442"/>
    <w:rsid w:val="009F146F"/>
    <w:rsid w:val="009F181B"/>
    <w:rsid w:val="009F2150"/>
    <w:rsid w:val="009F240C"/>
    <w:rsid w:val="009F2CA4"/>
    <w:rsid w:val="009F2D9A"/>
    <w:rsid w:val="009F305E"/>
    <w:rsid w:val="009F30D4"/>
    <w:rsid w:val="009F35F6"/>
    <w:rsid w:val="009F36AB"/>
    <w:rsid w:val="009F36E3"/>
    <w:rsid w:val="009F37E9"/>
    <w:rsid w:val="009F3DF1"/>
    <w:rsid w:val="009F3F54"/>
    <w:rsid w:val="009F4028"/>
    <w:rsid w:val="009F42D2"/>
    <w:rsid w:val="009F47A9"/>
    <w:rsid w:val="009F4900"/>
    <w:rsid w:val="009F4C49"/>
    <w:rsid w:val="009F4D42"/>
    <w:rsid w:val="009F5049"/>
    <w:rsid w:val="009F5688"/>
    <w:rsid w:val="009F5F0F"/>
    <w:rsid w:val="009F66AC"/>
    <w:rsid w:val="009F685B"/>
    <w:rsid w:val="009F6996"/>
    <w:rsid w:val="009F738E"/>
    <w:rsid w:val="009F7707"/>
    <w:rsid w:val="009F77CF"/>
    <w:rsid w:val="00A00ABD"/>
    <w:rsid w:val="00A00C5E"/>
    <w:rsid w:val="00A00D76"/>
    <w:rsid w:val="00A01298"/>
    <w:rsid w:val="00A013E5"/>
    <w:rsid w:val="00A0181E"/>
    <w:rsid w:val="00A01B41"/>
    <w:rsid w:val="00A01D06"/>
    <w:rsid w:val="00A02725"/>
    <w:rsid w:val="00A02939"/>
    <w:rsid w:val="00A02AAE"/>
    <w:rsid w:val="00A02FC6"/>
    <w:rsid w:val="00A0333E"/>
    <w:rsid w:val="00A0346F"/>
    <w:rsid w:val="00A03A10"/>
    <w:rsid w:val="00A04024"/>
    <w:rsid w:val="00A042FB"/>
    <w:rsid w:val="00A04743"/>
    <w:rsid w:val="00A04911"/>
    <w:rsid w:val="00A04E00"/>
    <w:rsid w:val="00A04E1C"/>
    <w:rsid w:val="00A0599A"/>
    <w:rsid w:val="00A06208"/>
    <w:rsid w:val="00A06548"/>
    <w:rsid w:val="00A0660D"/>
    <w:rsid w:val="00A06DD5"/>
    <w:rsid w:val="00A07051"/>
    <w:rsid w:val="00A07146"/>
    <w:rsid w:val="00A071A2"/>
    <w:rsid w:val="00A072B6"/>
    <w:rsid w:val="00A07DD6"/>
    <w:rsid w:val="00A103B1"/>
    <w:rsid w:val="00A103ED"/>
    <w:rsid w:val="00A1086C"/>
    <w:rsid w:val="00A10A70"/>
    <w:rsid w:val="00A1179E"/>
    <w:rsid w:val="00A1197A"/>
    <w:rsid w:val="00A11A27"/>
    <w:rsid w:val="00A11A3F"/>
    <w:rsid w:val="00A11FB4"/>
    <w:rsid w:val="00A121BB"/>
    <w:rsid w:val="00A124F7"/>
    <w:rsid w:val="00A128E3"/>
    <w:rsid w:val="00A12BC3"/>
    <w:rsid w:val="00A132FF"/>
    <w:rsid w:val="00A13394"/>
    <w:rsid w:val="00A135FC"/>
    <w:rsid w:val="00A14041"/>
    <w:rsid w:val="00A1433F"/>
    <w:rsid w:val="00A147A4"/>
    <w:rsid w:val="00A14DB7"/>
    <w:rsid w:val="00A14E7A"/>
    <w:rsid w:val="00A14EA5"/>
    <w:rsid w:val="00A150CC"/>
    <w:rsid w:val="00A15131"/>
    <w:rsid w:val="00A15430"/>
    <w:rsid w:val="00A154C3"/>
    <w:rsid w:val="00A155AE"/>
    <w:rsid w:val="00A1576B"/>
    <w:rsid w:val="00A15D5A"/>
    <w:rsid w:val="00A15ED5"/>
    <w:rsid w:val="00A1614A"/>
    <w:rsid w:val="00A1679F"/>
    <w:rsid w:val="00A167D7"/>
    <w:rsid w:val="00A16991"/>
    <w:rsid w:val="00A16C8A"/>
    <w:rsid w:val="00A1700D"/>
    <w:rsid w:val="00A17092"/>
    <w:rsid w:val="00A173B2"/>
    <w:rsid w:val="00A17567"/>
    <w:rsid w:val="00A175FA"/>
    <w:rsid w:val="00A179A0"/>
    <w:rsid w:val="00A17B64"/>
    <w:rsid w:val="00A17D84"/>
    <w:rsid w:val="00A209DC"/>
    <w:rsid w:val="00A21158"/>
    <w:rsid w:val="00A21BAE"/>
    <w:rsid w:val="00A22219"/>
    <w:rsid w:val="00A222FB"/>
    <w:rsid w:val="00A2312C"/>
    <w:rsid w:val="00A23486"/>
    <w:rsid w:val="00A234F3"/>
    <w:rsid w:val="00A23792"/>
    <w:rsid w:val="00A238C9"/>
    <w:rsid w:val="00A23C60"/>
    <w:rsid w:val="00A23CA4"/>
    <w:rsid w:val="00A23CFD"/>
    <w:rsid w:val="00A24586"/>
    <w:rsid w:val="00A24AA7"/>
    <w:rsid w:val="00A24D0D"/>
    <w:rsid w:val="00A24DB3"/>
    <w:rsid w:val="00A24E9C"/>
    <w:rsid w:val="00A24F65"/>
    <w:rsid w:val="00A24FD7"/>
    <w:rsid w:val="00A25540"/>
    <w:rsid w:val="00A25E31"/>
    <w:rsid w:val="00A261DB"/>
    <w:rsid w:val="00A26617"/>
    <w:rsid w:val="00A26A4D"/>
    <w:rsid w:val="00A27223"/>
    <w:rsid w:val="00A273C6"/>
    <w:rsid w:val="00A277E0"/>
    <w:rsid w:val="00A27942"/>
    <w:rsid w:val="00A27C08"/>
    <w:rsid w:val="00A3037B"/>
    <w:rsid w:val="00A30448"/>
    <w:rsid w:val="00A3086B"/>
    <w:rsid w:val="00A30A9D"/>
    <w:rsid w:val="00A30ABE"/>
    <w:rsid w:val="00A30C46"/>
    <w:rsid w:val="00A30F15"/>
    <w:rsid w:val="00A31406"/>
    <w:rsid w:val="00A314A7"/>
    <w:rsid w:val="00A31610"/>
    <w:rsid w:val="00A32073"/>
    <w:rsid w:val="00A327EB"/>
    <w:rsid w:val="00A32913"/>
    <w:rsid w:val="00A32DFE"/>
    <w:rsid w:val="00A3303B"/>
    <w:rsid w:val="00A338A6"/>
    <w:rsid w:val="00A3458E"/>
    <w:rsid w:val="00A34614"/>
    <w:rsid w:val="00A34811"/>
    <w:rsid w:val="00A34A24"/>
    <w:rsid w:val="00A34CD9"/>
    <w:rsid w:val="00A3551B"/>
    <w:rsid w:val="00A35579"/>
    <w:rsid w:val="00A360C8"/>
    <w:rsid w:val="00A3694D"/>
    <w:rsid w:val="00A3726A"/>
    <w:rsid w:val="00A3787F"/>
    <w:rsid w:val="00A37A9B"/>
    <w:rsid w:val="00A37A9E"/>
    <w:rsid w:val="00A40022"/>
    <w:rsid w:val="00A4099A"/>
    <w:rsid w:val="00A40A70"/>
    <w:rsid w:val="00A40E92"/>
    <w:rsid w:val="00A4128C"/>
    <w:rsid w:val="00A4183A"/>
    <w:rsid w:val="00A419ED"/>
    <w:rsid w:val="00A41B2B"/>
    <w:rsid w:val="00A41D0F"/>
    <w:rsid w:val="00A41F78"/>
    <w:rsid w:val="00A42210"/>
    <w:rsid w:val="00A42239"/>
    <w:rsid w:val="00A4236D"/>
    <w:rsid w:val="00A424E7"/>
    <w:rsid w:val="00A42550"/>
    <w:rsid w:val="00A42BC5"/>
    <w:rsid w:val="00A43243"/>
    <w:rsid w:val="00A4337E"/>
    <w:rsid w:val="00A4364F"/>
    <w:rsid w:val="00A436EE"/>
    <w:rsid w:val="00A43753"/>
    <w:rsid w:val="00A43F9E"/>
    <w:rsid w:val="00A447A2"/>
    <w:rsid w:val="00A44E7D"/>
    <w:rsid w:val="00A44FAE"/>
    <w:rsid w:val="00A4510F"/>
    <w:rsid w:val="00A453D5"/>
    <w:rsid w:val="00A45805"/>
    <w:rsid w:val="00A45986"/>
    <w:rsid w:val="00A465D3"/>
    <w:rsid w:val="00A46D58"/>
    <w:rsid w:val="00A47388"/>
    <w:rsid w:val="00A475BD"/>
    <w:rsid w:val="00A47DB6"/>
    <w:rsid w:val="00A50011"/>
    <w:rsid w:val="00A500B2"/>
    <w:rsid w:val="00A51119"/>
    <w:rsid w:val="00A516C7"/>
    <w:rsid w:val="00A51D03"/>
    <w:rsid w:val="00A51D04"/>
    <w:rsid w:val="00A5237B"/>
    <w:rsid w:val="00A52553"/>
    <w:rsid w:val="00A52A02"/>
    <w:rsid w:val="00A52D26"/>
    <w:rsid w:val="00A52DAB"/>
    <w:rsid w:val="00A52EFD"/>
    <w:rsid w:val="00A539DF"/>
    <w:rsid w:val="00A53B33"/>
    <w:rsid w:val="00A53B57"/>
    <w:rsid w:val="00A53B9F"/>
    <w:rsid w:val="00A54719"/>
    <w:rsid w:val="00A54868"/>
    <w:rsid w:val="00A548BB"/>
    <w:rsid w:val="00A54A7B"/>
    <w:rsid w:val="00A54B31"/>
    <w:rsid w:val="00A551F4"/>
    <w:rsid w:val="00A568A4"/>
    <w:rsid w:val="00A56B18"/>
    <w:rsid w:val="00A56FFD"/>
    <w:rsid w:val="00A5711D"/>
    <w:rsid w:val="00A5733F"/>
    <w:rsid w:val="00A574C3"/>
    <w:rsid w:val="00A5775D"/>
    <w:rsid w:val="00A57B60"/>
    <w:rsid w:val="00A57D08"/>
    <w:rsid w:val="00A6049C"/>
    <w:rsid w:val="00A60584"/>
    <w:rsid w:val="00A605F8"/>
    <w:rsid w:val="00A60A6A"/>
    <w:rsid w:val="00A60B61"/>
    <w:rsid w:val="00A611D2"/>
    <w:rsid w:val="00A6159F"/>
    <w:rsid w:val="00A61839"/>
    <w:rsid w:val="00A61F1A"/>
    <w:rsid w:val="00A625FE"/>
    <w:rsid w:val="00A62863"/>
    <w:rsid w:val="00A62CF2"/>
    <w:rsid w:val="00A637A3"/>
    <w:rsid w:val="00A638DA"/>
    <w:rsid w:val="00A644DE"/>
    <w:rsid w:val="00A64E9C"/>
    <w:rsid w:val="00A653A4"/>
    <w:rsid w:val="00A65C17"/>
    <w:rsid w:val="00A66364"/>
    <w:rsid w:val="00A66BD4"/>
    <w:rsid w:val="00A66EC9"/>
    <w:rsid w:val="00A67178"/>
    <w:rsid w:val="00A671D6"/>
    <w:rsid w:val="00A67839"/>
    <w:rsid w:val="00A67A8E"/>
    <w:rsid w:val="00A67BEB"/>
    <w:rsid w:val="00A67DBC"/>
    <w:rsid w:val="00A70B4F"/>
    <w:rsid w:val="00A71284"/>
    <w:rsid w:val="00A71558"/>
    <w:rsid w:val="00A718BE"/>
    <w:rsid w:val="00A718C9"/>
    <w:rsid w:val="00A71D59"/>
    <w:rsid w:val="00A723BB"/>
    <w:rsid w:val="00A72A78"/>
    <w:rsid w:val="00A72C38"/>
    <w:rsid w:val="00A72E62"/>
    <w:rsid w:val="00A72E80"/>
    <w:rsid w:val="00A72EB0"/>
    <w:rsid w:val="00A73532"/>
    <w:rsid w:val="00A7399C"/>
    <w:rsid w:val="00A73BBC"/>
    <w:rsid w:val="00A73C74"/>
    <w:rsid w:val="00A73C9D"/>
    <w:rsid w:val="00A73FFE"/>
    <w:rsid w:val="00A74187"/>
    <w:rsid w:val="00A743BA"/>
    <w:rsid w:val="00A74C4B"/>
    <w:rsid w:val="00A74FF9"/>
    <w:rsid w:val="00A75049"/>
    <w:rsid w:val="00A7586E"/>
    <w:rsid w:val="00A758FE"/>
    <w:rsid w:val="00A75BB9"/>
    <w:rsid w:val="00A75C73"/>
    <w:rsid w:val="00A761FB"/>
    <w:rsid w:val="00A7620C"/>
    <w:rsid w:val="00A764E1"/>
    <w:rsid w:val="00A764E6"/>
    <w:rsid w:val="00A76729"/>
    <w:rsid w:val="00A76B7C"/>
    <w:rsid w:val="00A77907"/>
    <w:rsid w:val="00A77AE5"/>
    <w:rsid w:val="00A77C9D"/>
    <w:rsid w:val="00A80A70"/>
    <w:rsid w:val="00A80B3B"/>
    <w:rsid w:val="00A80D75"/>
    <w:rsid w:val="00A814EA"/>
    <w:rsid w:val="00A81637"/>
    <w:rsid w:val="00A816D0"/>
    <w:rsid w:val="00A81FC7"/>
    <w:rsid w:val="00A8259E"/>
    <w:rsid w:val="00A825D3"/>
    <w:rsid w:val="00A8278D"/>
    <w:rsid w:val="00A82A51"/>
    <w:rsid w:val="00A82DB5"/>
    <w:rsid w:val="00A82FD6"/>
    <w:rsid w:val="00A82FE4"/>
    <w:rsid w:val="00A82FF1"/>
    <w:rsid w:val="00A83040"/>
    <w:rsid w:val="00A83656"/>
    <w:rsid w:val="00A841C5"/>
    <w:rsid w:val="00A845EB"/>
    <w:rsid w:val="00A8473B"/>
    <w:rsid w:val="00A85787"/>
    <w:rsid w:val="00A858B9"/>
    <w:rsid w:val="00A85DA0"/>
    <w:rsid w:val="00A86091"/>
    <w:rsid w:val="00A86703"/>
    <w:rsid w:val="00A86712"/>
    <w:rsid w:val="00A86790"/>
    <w:rsid w:val="00A86C73"/>
    <w:rsid w:val="00A86F3A"/>
    <w:rsid w:val="00A87229"/>
    <w:rsid w:val="00A8741E"/>
    <w:rsid w:val="00A87570"/>
    <w:rsid w:val="00A875EC"/>
    <w:rsid w:val="00A90150"/>
    <w:rsid w:val="00A9018E"/>
    <w:rsid w:val="00A90436"/>
    <w:rsid w:val="00A9051E"/>
    <w:rsid w:val="00A907D3"/>
    <w:rsid w:val="00A90B54"/>
    <w:rsid w:val="00A90CF0"/>
    <w:rsid w:val="00A9107D"/>
    <w:rsid w:val="00A918B2"/>
    <w:rsid w:val="00A91A9D"/>
    <w:rsid w:val="00A91BBF"/>
    <w:rsid w:val="00A91C37"/>
    <w:rsid w:val="00A92233"/>
    <w:rsid w:val="00A92551"/>
    <w:rsid w:val="00A92623"/>
    <w:rsid w:val="00A92CEA"/>
    <w:rsid w:val="00A93118"/>
    <w:rsid w:val="00A9320C"/>
    <w:rsid w:val="00A9392D"/>
    <w:rsid w:val="00A93A84"/>
    <w:rsid w:val="00A94D85"/>
    <w:rsid w:val="00A94DB9"/>
    <w:rsid w:val="00A9501C"/>
    <w:rsid w:val="00A956E7"/>
    <w:rsid w:val="00A95732"/>
    <w:rsid w:val="00A96C74"/>
    <w:rsid w:val="00A96C9E"/>
    <w:rsid w:val="00A9761C"/>
    <w:rsid w:val="00A976BC"/>
    <w:rsid w:val="00A97B14"/>
    <w:rsid w:val="00A97F3E"/>
    <w:rsid w:val="00AA006E"/>
    <w:rsid w:val="00AA058F"/>
    <w:rsid w:val="00AA095C"/>
    <w:rsid w:val="00AA12F0"/>
    <w:rsid w:val="00AA137B"/>
    <w:rsid w:val="00AA185D"/>
    <w:rsid w:val="00AA187F"/>
    <w:rsid w:val="00AA1B14"/>
    <w:rsid w:val="00AA1B6A"/>
    <w:rsid w:val="00AA22F3"/>
    <w:rsid w:val="00AA2300"/>
    <w:rsid w:val="00AA2394"/>
    <w:rsid w:val="00AA24CE"/>
    <w:rsid w:val="00AA24FD"/>
    <w:rsid w:val="00AA2E4B"/>
    <w:rsid w:val="00AA2F45"/>
    <w:rsid w:val="00AA31CC"/>
    <w:rsid w:val="00AA32B1"/>
    <w:rsid w:val="00AA3A6E"/>
    <w:rsid w:val="00AA3F55"/>
    <w:rsid w:val="00AA4934"/>
    <w:rsid w:val="00AA4F00"/>
    <w:rsid w:val="00AA5EAA"/>
    <w:rsid w:val="00AA5FFB"/>
    <w:rsid w:val="00AA64D5"/>
    <w:rsid w:val="00AA68E5"/>
    <w:rsid w:val="00AA6967"/>
    <w:rsid w:val="00AA69F7"/>
    <w:rsid w:val="00AA6E7B"/>
    <w:rsid w:val="00AA7099"/>
    <w:rsid w:val="00AA721B"/>
    <w:rsid w:val="00AA7BA5"/>
    <w:rsid w:val="00AA7FB7"/>
    <w:rsid w:val="00AA7FFB"/>
    <w:rsid w:val="00AB0259"/>
    <w:rsid w:val="00AB03B7"/>
    <w:rsid w:val="00AB05D3"/>
    <w:rsid w:val="00AB0611"/>
    <w:rsid w:val="00AB06AE"/>
    <w:rsid w:val="00AB06B3"/>
    <w:rsid w:val="00AB076A"/>
    <w:rsid w:val="00AB0A70"/>
    <w:rsid w:val="00AB0D4A"/>
    <w:rsid w:val="00AB0DE6"/>
    <w:rsid w:val="00AB110E"/>
    <w:rsid w:val="00AB1184"/>
    <w:rsid w:val="00AB142F"/>
    <w:rsid w:val="00AB1455"/>
    <w:rsid w:val="00AB1710"/>
    <w:rsid w:val="00AB1ED2"/>
    <w:rsid w:val="00AB236E"/>
    <w:rsid w:val="00AB2C6A"/>
    <w:rsid w:val="00AB2E47"/>
    <w:rsid w:val="00AB336C"/>
    <w:rsid w:val="00AB3542"/>
    <w:rsid w:val="00AB37ED"/>
    <w:rsid w:val="00AB3961"/>
    <w:rsid w:val="00AB3A95"/>
    <w:rsid w:val="00AB40C6"/>
    <w:rsid w:val="00AB45B9"/>
    <w:rsid w:val="00AB4A52"/>
    <w:rsid w:val="00AB4C1C"/>
    <w:rsid w:val="00AB4D97"/>
    <w:rsid w:val="00AB51BA"/>
    <w:rsid w:val="00AB52BD"/>
    <w:rsid w:val="00AB56E7"/>
    <w:rsid w:val="00AB5765"/>
    <w:rsid w:val="00AB597A"/>
    <w:rsid w:val="00AB5ADB"/>
    <w:rsid w:val="00AB5BBB"/>
    <w:rsid w:val="00AB5C90"/>
    <w:rsid w:val="00AB5CF2"/>
    <w:rsid w:val="00AB6033"/>
    <w:rsid w:val="00AB6ABB"/>
    <w:rsid w:val="00AB6DFF"/>
    <w:rsid w:val="00AB73F0"/>
    <w:rsid w:val="00AB78EE"/>
    <w:rsid w:val="00AB7B22"/>
    <w:rsid w:val="00AB7D51"/>
    <w:rsid w:val="00AC0331"/>
    <w:rsid w:val="00AC0960"/>
    <w:rsid w:val="00AC0D08"/>
    <w:rsid w:val="00AC0F37"/>
    <w:rsid w:val="00AC10C5"/>
    <w:rsid w:val="00AC1AD7"/>
    <w:rsid w:val="00AC1C9C"/>
    <w:rsid w:val="00AC1D66"/>
    <w:rsid w:val="00AC1E67"/>
    <w:rsid w:val="00AC2150"/>
    <w:rsid w:val="00AC21D0"/>
    <w:rsid w:val="00AC2353"/>
    <w:rsid w:val="00AC2607"/>
    <w:rsid w:val="00AC272E"/>
    <w:rsid w:val="00AC2E61"/>
    <w:rsid w:val="00AC30C9"/>
    <w:rsid w:val="00AC378B"/>
    <w:rsid w:val="00AC3B6E"/>
    <w:rsid w:val="00AC3DB2"/>
    <w:rsid w:val="00AC4082"/>
    <w:rsid w:val="00AC4337"/>
    <w:rsid w:val="00AC4813"/>
    <w:rsid w:val="00AC4B5D"/>
    <w:rsid w:val="00AC4E70"/>
    <w:rsid w:val="00AC577B"/>
    <w:rsid w:val="00AC5DEA"/>
    <w:rsid w:val="00AC5FD0"/>
    <w:rsid w:val="00AC63AE"/>
    <w:rsid w:val="00AC64BC"/>
    <w:rsid w:val="00AC672F"/>
    <w:rsid w:val="00AC6C96"/>
    <w:rsid w:val="00AC6F48"/>
    <w:rsid w:val="00AC7663"/>
    <w:rsid w:val="00AC7A27"/>
    <w:rsid w:val="00AC7E00"/>
    <w:rsid w:val="00AC7E69"/>
    <w:rsid w:val="00AC7ED2"/>
    <w:rsid w:val="00AD039C"/>
    <w:rsid w:val="00AD05C4"/>
    <w:rsid w:val="00AD07BE"/>
    <w:rsid w:val="00AD085C"/>
    <w:rsid w:val="00AD0AC2"/>
    <w:rsid w:val="00AD0BD8"/>
    <w:rsid w:val="00AD1368"/>
    <w:rsid w:val="00AD183F"/>
    <w:rsid w:val="00AD1C7C"/>
    <w:rsid w:val="00AD1EC5"/>
    <w:rsid w:val="00AD2047"/>
    <w:rsid w:val="00AD2189"/>
    <w:rsid w:val="00AD29FC"/>
    <w:rsid w:val="00AD2E6A"/>
    <w:rsid w:val="00AD345E"/>
    <w:rsid w:val="00AD3746"/>
    <w:rsid w:val="00AD3C6B"/>
    <w:rsid w:val="00AD4442"/>
    <w:rsid w:val="00AD4B57"/>
    <w:rsid w:val="00AD4FBB"/>
    <w:rsid w:val="00AD55E9"/>
    <w:rsid w:val="00AD588E"/>
    <w:rsid w:val="00AD5CC9"/>
    <w:rsid w:val="00AD5E2D"/>
    <w:rsid w:val="00AD6AB3"/>
    <w:rsid w:val="00AD6D18"/>
    <w:rsid w:val="00AD751B"/>
    <w:rsid w:val="00AD7521"/>
    <w:rsid w:val="00AD75F1"/>
    <w:rsid w:val="00AD7B53"/>
    <w:rsid w:val="00AE0A22"/>
    <w:rsid w:val="00AE1375"/>
    <w:rsid w:val="00AE1AAE"/>
    <w:rsid w:val="00AE1C48"/>
    <w:rsid w:val="00AE2013"/>
    <w:rsid w:val="00AE2164"/>
    <w:rsid w:val="00AE22F2"/>
    <w:rsid w:val="00AE22FA"/>
    <w:rsid w:val="00AE2420"/>
    <w:rsid w:val="00AE247A"/>
    <w:rsid w:val="00AE26D3"/>
    <w:rsid w:val="00AE2B3D"/>
    <w:rsid w:val="00AE2C4E"/>
    <w:rsid w:val="00AE2C93"/>
    <w:rsid w:val="00AE3210"/>
    <w:rsid w:val="00AE354E"/>
    <w:rsid w:val="00AE42F4"/>
    <w:rsid w:val="00AE43C9"/>
    <w:rsid w:val="00AE44B7"/>
    <w:rsid w:val="00AE4956"/>
    <w:rsid w:val="00AE4AB0"/>
    <w:rsid w:val="00AE4B5D"/>
    <w:rsid w:val="00AE4CCD"/>
    <w:rsid w:val="00AE504F"/>
    <w:rsid w:val="00AE5159"/>
    <w:rsid w:val="00AE571E"/>
    <w:rsid w:val="00AE5CD7"/>
    <w:rsid w:val="00AE5F5A"/>
    <w:rsid w:val="00AE60AF"/>
    <w:rsid w:val="00AE63ED"/>
    <w:rsid w:val="00AE6AD1"/>
    <w:rsid w:val="00AE6E02"/>
    <w:rsid w:val="00AE7100"/>
    <w:rsid w:val="00AE7244"/>
    <w:rsid w:val="00AE7286"/>
    <w:rsid w:val="00AE7476"/>
    <w:rsid w:val="00AE78DE"/>
    <w:rsid w:val="00AE7947"/>
    <w:rsid w:val="00AF031E"/>
    <w:rsid w:val="00AF0460"/>
    <w:rsid w:val="00AF04AA"/>
    <w:rsid w:val="00AF04F5"/>
    <w:rsid w:val="00AF09DC"/>
    <w:rsid w:val="00AF0A70"/>
    <w:rsid w:val="00AF0ABE"/>
    <w:rsid w:val="00AF0F0B"/>
    <w:rsid w:val="00AF1C6E"/>
    <w:rsid w:val="00AF2875"/>
    <w:rsid w:val="00AF2E6B"/>
    <w:rsid w:val="00AF3C66"/>
    <w:rsid w:val="00AF41DF"/>
    <w:rsid w:val="00AF4220"/>
    <w:rsid w:val="00AF4721"/>
    <w:rsid w:val="00AF4993"/>
    <w:rsid w:val="00AF4B04"/>
    <w:rsid w:val="00AF4CE7"/>
    <w:rsid w:val="00AF51E5"/>
    <w:rsid w:val="00AF523A"/>
    <w:rsid w:val="00AF544E"/>
    <w:rsid w:val="00AF553C"/>
    <w:rsid w:val="00AF604C"/>
    <w:rsid w:val="00AF62A1"/>
    <w:rsid w:val="00AF6446"/>
    <w:rsid w:val="00AF64E8"/>
    <w:rsid w:val="00AF6ACF"/>
    <w:rsid w:val="00AF7902"/>
    <w:rsid w:val="00AF79ED"/>
    <w:rsid w:val="00AF7C64"/>
    <w:rsid w:val="00AF7F1D"/>
    <w:rsid w:val="00B0062A"/>
    <w:rsid w:val="00B00804"/>
    <w:rsid w:val="00B009A7"/>
    <w:rsid w:val="00B00C60"/>
    <w:rsid w:val="00B00F21"/>
    <w:rsid w:val="00B01329"/>
    <w:rsid w:val="00B015CB"/>
    <w:rsid w:val="00B01872"/>
    <w:rsid w:val="00B01D9B"/>
    <w:rsid w:val="00B0229D"/>
    <w:rsid w:val="00B02767"/>
    <w:rsid w:val="00B02C2C"/>
    <w:rsid w:val="00B02E57"/>
    <w:rsid w:val="00B031EA"/>
    <w:rsid w:val="00B03218"/>
    <w:rsid w:val="00B03443"/>
    <w:rsid w:val="00B038EC"/>
    <w:rsid w:val="00B0392E"/>
    <w:rsid w:val="00B0403A"/>
    <w:rsid w:val="00B045A5"/>
    <w:rsid w:val="00B04758"/>
    <w:rsid w:val="00B04857"/>
    <w:rsid w:val="00B05F88"/>
    <w:rsid w:val="00B0640F"/>
    <w:rsid w:val="00B06E04"/>
    <w:rsid w:val="00B0702C"/>
    <w:rsid w:val="00B0725E"/>
    <w:rsid w:val="00B07675"/>
    <w:rsid w:val="00B07C25"/>
    <w:rsid w:val="00B07D93"/>
    <w:rsid w:val="00B10212"/>
    <w:rsid w:val="00B10D23"/>
    <w:rsid w:val="00B10E53"/>
    <w:rsid w:val="00B10F73"/>
    <w:rsid w:val="00B1114F"/>
    <w:rsid w:val="00B111D8"/>
    <w:rsid w:val="00B11464"/>
    <w:rsid w:val="00B117D5"/>
    <w:rsid w:val="00B117DF"/>
    <w:rsid w:val="00B11E25"/>
    <w:rsid w:val="00B12039"/>
    <w:rsid w:val="00B121D4"/>
    <w:rsid w:val="00B12758"/>
    <w:rsid w:val="00B12D1E"/>
    <w:rsid w:val="00B12E02"/>
    <w:rsid w:val="00B13448"/>
    <w:rsid w:val="00B1355F"/>
    <w:rsid w:val="00B136C6"/>
    <w:rsid w:val="00B138E7"/>
    <w:rsid w:val="00B13F5E"/>
    <w:rsid w:val="00B1407A"/>
    <w:rsid w:val="00B14268"/>
    <w:rsid w:val="00B14334"/>
    <w:rsid w:val="00B143A9"/>
    <w:rsid w:val="00B14770"/>
    <w:rsid w:val="00B14E73"/>
    <w:rsid w:val="00B15296"/>
    <w:rsid w:val="00B1534E"/>
    <w:rsid w:val="00B15675"/>
    <w:rsid w:val="00B159B6"/>
    <w:rsid w:val="00B15B04"/>
    <w:rsid w:val="00B15D7A"/>
    <w:rsid w:val="00B1608E"/>
    <w:rsid w:val="00B160CA"/>
    <w:rsid w:val="00B16348"/>
    <w:rsid w:val="00B16F08"/>
    <w:rsid w:val="00B17175"/>
    <w:rsid w:val="00B17310"/>
    <w:rsid w:val="00B17D82"/>
    <w:rsid w:val="00B17F1F"/>
    <w:rsid w:val="00B2007C"/>
    <w:rsid w:val="00B200C8"/>
    <w:rsid w:val="00B2018E"/>
    <w:rsid w:val="00B2029F"/>
    <w:rsid w:val="00B2036C"/>
    <w:rsid w:val="00B20D7D"/>
    <w:rsid w:val="00B20E68"/>
    <w:rsid w:val="00B20F6B"/>
    <w:rsid w:val="00B212BB"/>
    <w:rsid w:val="00B21482"/>
    <w:rsid w:val="00B216D1"/>
    <w:rsid w:val="00B21ABE"/>
    <w:rsid w:val="00B21DB0"/>
    <w:rsid w:val="00B22080"/>
    <w:rsid w:val="00B226B3"/>
    <w:rsid w:val="00B22A78"/>
    <w:rsid w:val="00B22FFB"/>
    <w:rsid w:val="00B23538"/>
    <w:rsid w:val="00B235D2"/>
    <w:rsid w:val="00B23A44"/>
    <w:rsid w:val="00B23EBA"/>
    <w:rsid w:val="00B2415D"/>
    <w:rsid w:val="00B247B5"/>
    <w:rsid w:val="00B24DCC"/>
    <w:rsid w:val="00B2512B"/>
    <w:rsid w:val="00B25812"/>
    <w:rsid w:val="00B25842"/>
    <w:rsid w:val="00B259D6"/>
    <w:rsid w:val="00B25FC9"/>
    <w:rsid w:val="00B261E7"/>
    <w:rsid w:val="00B26337"/>
    <w:rsid w:val="00B263A7"/>
    <w:rsid w:val="00B264EF"/>
    <w:rsid w:val="00B266E6"/>
    <w:rsid w:val="00B2684C"/>
    <w:rsid w:val="00B26919"/>
    <w:rsid w:val="00B26A04"/>
    <w:rsid w:val="00B26A95"/>
    <w:rsid w:val="00B27D9A"/>
    <w:rsid w:val="00B300E7"/>
    <w:rsid w:val="00B303BD"/>
    <w:rsid w:val="00B30813"/>
    <w:rsid w:val="00B31037"/>
    <w:rsid w:val="00B3128C"/>
    <w:rsid w:val="00B31356"/>
    <w:rsid w:val="00B31408"/>
    <w:rsid w:val="00B31566"/>
    <w:rsid w:val="00B31861"/>
    <w:rsid w:val="00B3191D"/>
    <w:rsid w:val="00B31974"/>
    <w:rsid w:val="00B3199D"/>
    <w:rsid w:val="00B31EA4"/>
    <w:rsid w:val="00B31FF8"/>
    <w:rsid w:val="00B321C7"/>
    <w:rsid w:val="00B32240"/>
    <w:rsid w:val="00B32AB8"/>
    <w:rsid w:val="00B32B88"/>
    <w:rsid w:val="00B3321A"/>
    <w:rsid w:val="00B334F2"/>
    <w:rsid w:val="00B3370C"/>
    <w:rsid w:val="00B33765"/>
    <w:rsid w:val="00B33775"/>
    <w:rsid w:val="00B338F6"/>
    <w:rsid w:val="00B33AD4"/>
    <w:rsid w:val="00B33C1D"/>
    <w:rsid w:val="00B33EC1"/>
    <w:rsid w:val="00B33F70"/>
    <w:rsid w:val="00B340E9"/>
    <w:rsid w:val="00B34619"/>
    <w:rsid w:val="00B34668"/>
    <w:rsid w:val="00B3472D"/>
    <w:rsid w:val="00B34828"/>
    <w:rsid w:val="00B34A33"/>
    <w:rsid w:val="00B34A55"/>
    <w:rsid w:val="00B34C28"/>
    <w:rsid w:val="00B34CAF"/>
    <w:rsid w:val="00B34DB9"/>
    <w:rsid w:val="00B34DCD"/>
    <w:rsid w:val="00B34F49"/>
    <w:rsid w:val="00B357D6"/>
    <w:rsid w:val="00B35D34"/>
    <w:rsid w:val="00B36209"/>
    <w:rsid w:val="00B362B1"/>
    <w:rsid w:val="00B3651F"/>
    <w:rsid w:val="00B369F0"/>
    <w:rsid w:val="00B36A3B"/>
    <w:rsid w:val="00B36CCC"/>
    <w:rsid w:val="00B36F38"/>
    <w:rsid w:val="00B36F9B"/>
    <w:rsid w:val="00B37047"/>
    <w:rsid w:val="00B37660"/>
    <w:rsid w:val="00B3773A"/>
    <w:rsid w:val="00B3781E"/>
    <w:rsid w:val="00B37B86"/>
    <w:rsid w:val="00B4131F"/>
    <w:rsid w:val="00B41D0D"/>
    <w:rsid w:val="00B41DA9"/>
    <w:rsid w:val="00B420C9"/>
    <w:rsid w:val="00B42194"/>
    <w:rsid w:val="00B4228C"/>
    <w:rsid w:val="00B424B1"/>
    <w:rsid w:val="00B42653"/>
    <w:rsid w:val="00B427BF"/>
    <w:rsid w:val="00B42D2A"/>
    <w:rsid w:val="00B42E56"/>
    <w:rsid w:val="00B43126"/>
    <w:rsid w:val="00B43A8C"/>
    <w:rsid w:val="00B44043"/>
    <w:rsid w:val="00B44051"/>
    <w:rsid w:val="00B4432F"/>
    <w:rsid w:val="00B4435D"/>
    <w:rsid w:val="00B4442D"/>
    <w:rsid w:val="00B44851"/>
    <w:rsid w:val="00B44963"/>
    <w:rsid w:val="00B44C54"/>
    <w:rsid w:val="00B4506E"/>
    <w:rsid w:val="00B456E9"/>
    <w:rsid w:val="00B45823"/>
    <w:rsid w:val="00B45904"/>
    <w:rsid w:val="00B459E6"/>
    <w:rsid w:val="00B45E07"/>
    <w:rsid w:val="00B4683A"/>
    <w:rsid w:val="00B468C8"/>
    <w:rsid w:val="00B46B26"/>
    <w:rsid w:val="00B473E7"/>
    <w:rsid w:val="00B4753B"/>
    <w:rsid w:val="00B47775"/>
    <w:rsid w:val="00B4781A"/>
    <w:rsid w:val="00B47955"/>
    <w:rsid w:val="00B500BF"/>
    <w:rsid w:val="00B5014F"/>
    <w:rsid w:val="00B50201"/>
    <w:rsid w:val="00B50703"/>
    <w:rsid w:val="00B507C4"/>
    <w:rsid w:val="00B50EB3"/>
    <w:rsid w:val="00B51006"/>
    <w:rsid w:val="00B51347"/>
    <w:rsid w:val="00B51ACF"/>
    <w:rsid w:val="00B51DD6"/>
    <w:rsid w:val="00B51F21"/>
    <w:rsid w:val="00B5217C"/>
    <w:rsid w:val="00B5241D"/>
    <w:rsid w:val="00B52796"/>
    <w:rsid w:val="00B52857"/>
    <w:rsid w:val="00B52B23"/>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6DCF"/>
    <w:rsid w:val="00B5782C"/>
    <w:rsid w:val="00B57E0C"/>
    <w:rsid w:val="00B57E6E"/>
    <w:rsid w:val="00B57F40"/>
    <w:rsid w:val="00B6014A"/>
    <w:rsid w:val="00B604F2"/>
    <w:rsid w:val="00B60535"/>
    <w:rsid w:val="00B605E8"/>
    <w:rsid w:val="00B6064D"/>
    <w:rsid w:val="00B60A33"/>
    <w:rsid w:val="00B60D83"/>
    <w:rsid w:val="00B60F79"/>
    <w:rsid w:val="00B611AC"/>
    <w:rsid w:val="00B614F5"/>
    <w:rsid w:val="00B615B1"/>
    <w:rsid w:val="00B61A22"/>
    <w:rsid w:val="00B61B29"/>
    <w:rsid w:val="00B621CE"/>
    <w:rsid w:val="00B62BAC"/>
    <w:rsid w:val="00B63123"/>
    <w:rsid w:val="00B633B0"/>
    <w:rsid w:val="00B6376D"/>
    <w:rsid w:val="00B63940"/>
    <w:rsid w:val="00B63D26"/>
    <w:rsid w:val="00B63EEC"/>
    <w:rsid w:val="00B63F71"/>
    <w:rsid w:val="00B63FFA"/>
    <w:rsid w:val="00B6420F"/>
    <w:rsid w:val="00B64371"/>
    <w:rsid w:val="00B644BF"/>
    <w:rsid w:val="00B64627"/>
    <w:rsid w:val="00B6480E"/>
    <w:rsid w:val="00B6485E"/>
    <w:rsid w:val="00B64D63"/>
    <w:rsid w:val="00B64E3A"/>
    <w:rsid w:val="00B6509E"/>
    <w:rsid w:val="00B650C1"/>
    <w:rsid w:val="00B65251"/>
    <w:rsid w:val="00B65AD9"/>
    <w:rsid w:val="00B65E23"/>
    <w:rsid w:val="00B66188"/>
    <w:rsid w:val="00B662C9"/>
    <w:rsid w:val="00B662FF"/>
    <w:rsid w:val="00B6662F"/>
    <w:rsid w:val="00B66811"/>
    <w:rsid w:val="00B66B02"/>
    <w:rsid w:val="00B66C4A"/>
    <w:rsid w:val="00B67094"/>
    <w:rsid w:val="00B673B7"/>
    <w:rsid w:val="00B6749C"/>
    <w:rsid w:val="00B67AF0"/>
    <w:rsid w:val="00B7063F"/>
    <w:rsid w:val="00B70C8A"/>
    <w:rsid w:val="00B7160C"/>
    <w:rsid w:val="00B71849"/>
    <w:rsid w:val="00B71AA6"/>
    <w:rsid w:val="00B71F74"/>
    <w:rsid w:val="00B72952"/>
    <w:rsid w:val="00B72CCC"/>
    <w:rsid w:val="00B730EB"/>
    <w:rsid w:val="00B7352A"/>
    <w:rsid w:val="00B7357B"/>
    <w:rsid w:val="00B73959"/>
    <w:rsid w:val="00B73999"/>
    <w:rsid w:val="00B73E1E"/>
    <w:rsid w:val="00B743BB"/>
    <w:rsid w:val="00B74519"/>
    <w:rsid w:val="00B74938"/>
    <w:rsid w:val="00B74A43"/>
    <w:rsid w:val="00B74B63"/>
    <w:rsid w:val="00B750A4"/>
    <w:rsid w:val="00B75117"/>
    <w:rsid w:val="00B751BC"/>
    <w:rsid w:val="00B752C7"/>
    <w:rsid w:val="00B758AE"/>
    <w:rsid w:val="00B7596C"/>
    <w:rsid w:val="00B759CC"/>
    <w:rsid w:val="00B75A83"/>
    <w:rsid w:val="00B75B34"/>
    <w:rsid w:val="00B75BA1"/>
    <w:rsid w:val="00B75BAA"/>
    <w:rsid w:val="00B75C32"/>
    <w:rsid w:val="00B76B0B"/>
    <w:rsid w:val="00B76B77"/>
    <w:rsid w:val="00B7717F"/>
    <w:rsid w:val="00B7724B"/>
    <w:rsid w:val="00B77727"/>
    <w:rsid w:val="00B777E7"/>
    <w:rsid w:val="00B77D92"/>
    <w:rsid w:val="00B80007"/>
    <w:rsid w:val="00B800E1"/>
    <w:rsid w:val="00B80614"/>
    <w:rsid w:val="00B806EF"/>
    <w:rsid w:val="00B8070D"/>
    <w:rsid w:val="00B80952"/>
    <w:rsid w:val="00B80F90"/>
    <w:rsid w:val="00B817BE"/>
    <w:rsid w:val="00B81E3A"/>
    <w:rsid w:val="00B81E47"/>
    <w:rsid w:val="00B8217E"/>
    <w:rsid w:val="00B82429"/>
    <w:rsid w:val="00B824DD"/>
    <w:rsid w:val="00B8296B"/>
    <w:rsid w:val="00B82A84"/>
    <w:rsid w:val="00B82BBE"/>
    <w:rsid w:val="00B82C20"/>
    <w:rsid w:val="00B82F71"/>
    <w:rsid w:val="00B83002"/>
    <w:rsid w:val="00B8305D"/>
    <w:rsid w:val="00B830BD"/>
    <w:rsid w:val="00B83719"/>
    <w:rsid w:val="00B83A0C"/>
    <w:rsid w:val="00B846CC"/>
    <w:rsid w:val="00B849EC"/>
    <w:rsid w:val="00B84A32"/>
    <w:rsid w:val="00B84FE4"/>
    <w:rsid w:val="00B85589"/>
    <w:rsid w:val="00B85B56"/>
    <w:rsid w:val="00B85D16"/>
    <w:rsid w:val="00B86015"/>
    <w:rsid w:val="00B86427"/>
    <w:rsid w:val="00B86934"/>
    <w:rsid w:val="00B86AA3"/>
    <w:rsid w:val="00B86B13"/>
    <w:rsid w:val="00B86B1D"/>
    <w:rsid w:val="00B87EB3"/>
    <w:rsid w:val="00B901B2"/>
    <w:rsid w:val="00B903BB"/>
    <w:rsid w:val="00B90DA6"/>
    <w:rsid w:val="00B91258"/>
    <w:rsid w:val="00B913E5"/>
    <w:rsid w:val="00B91695"/>
    <w:rsid w:val="00B91FD3"/>
    <w:rsid w:val="00B92444"/>
    <w:rsid w:val="00B92FA6"/>
    <w:rsid w:val="00B931A4"/>
    <w:rsid w:val="00B93592"/>
    <w:rsid w:val="00B9367B"/>
    <w:rsid w:val="00B9369B"/>
    <w:rsid w:val="00B937F8"/>
    <w:rsid w:val="00B93D00"/>
    <w:rsid w:val="00B93D60"/>
    <w:rsid w:val="00B93F40"/>
    <w:rsid w:val="00B94262"/>
    <w:rsid w:val="00B9465B"/>
    <w:rsid w:val="00B9474D"/>
    <w:rsid w:val="00B94843"/>
    <w:rsid w:val="00B94D0F"/>
    <w:rsid w:val="00B950D0"/>
    <w:rsid w:val="00B952EF"/>
    <w:rsid w:val="00B955EC"/>
    <w:rsid w:val="00B955F4"/>
    <w:rsid w:val="00B958B9"/>
    <w:rsid w:val="00B958C7"/>
    <w:rsid w:val="00B95AA2"/>
    <w:rsid w:val="00B95BDD"/>
    <w:rsid w:val="00B95C38"/>
    <w:rsid w:val="00B960C0"/>
    <w:rsid w:val="00B961AA"/>
    <w:rsid w:val="00B965F2"/>
    <w:rsid w:val="00B966B7"/>
    <w:rsid w:val="00B9691D"/>
    <w:rsid w:val="00B96BA2"/>
    <w:rsid w:val="00B970F2"/>
    <w:rsid w:val="00B9717F"/>
    <w:rsid w:val="00B972F7"/>
    <w:rsid w:val="00B97507"/>
    <w:rsid w:val="00B97523"/>
    <w:rsid w:val="00B97771"/>
    <w:rsid w:val="00B97A7A"/>
    <w:rsid w:val="00B97CB0"/>
    <w:rsid w:val="00B97E01"/>
    <w:rsid w:val="00BA0046"/>
    <w:rsid w:val="00BA03C3"/>
    <w:rsid w:val="00BA0585"/>
    <w:rsid w:val="00BA1402"/>
    <w:rsid w:val="00BA1828"/>
    <w:rsid w:val="00BA1918"/>
    <w:rsid w:val="00BA1ACD"/>
    <w:rsid w:val="00BA1B99"/>
    <w:rsid w:val="00BA1C99"/>
    <w:rsid w:val="00BA1CB1"/>
    <w:rsid w:val="00BA1FA2"/>
    <w:rsid w:val="00BA2D18"/>
    <w:rsid w:val="00BA2D9B"/>
    <w:rsid w:val="00BA2F8A"/>
    <w:rsid w:val="00BA3164"/>
    <w:rsid w:val="00BA3554"/>
    <w:rsid w:val="00BA36D2"/>
    <w:rsid w:val="00BA3C52"/>
    <w:rsid w:val="00BA4156"/>
    <w:rsid w:val="00BA418E"/>
    <w:rsid w:val="00BA4216"/>
    <w:rsid w:val="00BA4D93"/>
    <w:rsid w:val="00BA52C4"/>
    <w:rsid w:val="00BA540F"/>
    <w:rsid w:val="00BA547C"/>
    <w:rsid w:val="00BA55EB"/>
    <w:rsid w:val="00BA56FD"/>
    <w:rsid w:val="00BA5ADB"/>
    <w:rsid w:val="00BA604C"/>
    <w:rsid w:val="00BA612A"/>
    <w:rsid w:val="00BA640E"/>
    <w:rsid w:val="00BA6800"/>
    <w:rsid w:val="00BA68A8"/>
    <w:rsid w:val="00BA6BA3"/>
    <w:rsid w:val="00BA6C1A"/>
    <w:rsid w:val="00BA6C55"/>
    <w:rsid w:val="00BA73FB"/>
    <w:rsid w:val="00BA7487"/>
    <w:rsid w:val="00BA7844"/>
    <w:rsid w:val="00BA7BB4"/>
    <w:rsid w:val="00BA7C94"/>
    <w:rsid w:val="00BA7D5B"/>
    <w:rsid w:val="00BB01A3"/>
    <w:rsid w:val="00BB0249"/>
    <w:rsid w:val="00BB06D1"/>
    <w:rsid w:val="00BB0A09"/>
    <w:rsid w:val="00BB0D23"/>
    <w:rsid w:val="00BB0EE8"/>
    <w:rsid w:val="00BB113D"/>
    <w:rsid w:val="00BB1257"/>
    <w:rsid w:val="00BB1295"/>
    <w:rsid w:val="00BB1791"/>
    <w:rsid w:val="00BB1AD5"/>
    <w:rsid w:val="00BB1DFA"/>
    <w:rsid w:val="00BB291F"/>
    <w:rsid w:val="00BB2E2A"/>
    <w:rsid w:val="00BB30E9"/>
    <w:rsid w:val="00BB314F"/>
    <w:rsid w:val="00BB36B4"/>
    <w:rsid w:val="00BB36DC"/>
    <w:rsid w:val="00BB3C6B"/>
    <w:rsid w:val="00BB3EF5"/>
    <w:rsid w:val="00BB4120"/>
    <w:rsid w:val="00BB4129"/>
    <w:rsid w:val="00BB41DD"/>
    <w:rsid w:val="00BB43D3"/>
    <w:rsid w:val="00BB4482"/>
    <w:rsid w:val="00BB46D7"/>
    <w:rsid w:val="00BB47D7"/>
    <w:rsid w:val="00BB4968"/>
    <w:rsid w:val="00BB49D1"/>
    <w:rsid w:val="00BB49EA"/>
    <w:rsid w:val="00BB4D58"/>
    <w:rsid w:val="00BB4E1C"/>
    <w:rsid w:val="00BB4E20"/>
    <w:rsid w:val="00BB501F"/>
    <w:rsid w:val="00BB516C"/>
    <w:rsid w:val="00BB51AA"/>
    <w:rsid w:val="00BB6084"/>
    <w:rsid w:val="00BB67A1"/>
    <w:rsid w:val="00BB6A99"/>
    <w:rsid w:val="00BB6D95"/>
    <w:rsid w:val="00BB75D3"/>
    <w:rsid w:val="00BB7675"/>
    <w:rsid w:val="00BB7816"/>
    <w:rsid w:val="00BB7D1E"/>
    <w:rsid w:val="00BB7F98"/>
    <w:rsid w:val="00BC00EF"/>
    <w:rsid w:val="00BC0D3C"/>
    <w:rsid w:val="00BC0D59"/>
    <w:rsid w:val="00BC0DFC"/>
    <w:rsid w:val="00BC1234"/>
    <w:rsid w:val="00BC18F0"/>
    <w:rsid w:val="00BC1C1D"/>
    <w:rsid w:val="00BC1CC1"/>
    <w:rsid w:val="00BC1E8E"/>
    <w:rsid w:val="00BC272F"/>
    <w:rsid w:val="00BC2B88"/>
    <w:rsid w:val="00BC2D71"/>
    <w:rsid w:val="00BC315D"/>
    <w:rsid w:val="00BC34F0"/>
    <w:rsid w:val="00BC34F8"/>
    <w:rsid w:val="00BC3E58"/>
    <w:rsid w:val="00BC4023"/>
    <w:rsid w:val="00BC425E"/>
    <w:rsid w:val="00BC4324"/>
    <w:rsid w:val="00BC4426"/>
    <w:rsid w:val="00BC4546"/>
    <w:rsid w:val="00BC485A"/>
    <w:rsid w:val="00BC4B2E"/>
    <w:rsid w:val="00BC4EC1"/>
    <w:rsid w:val="00BC4FA6"/>
    <w:rsid w:val="00BC51F7"/>
    <w:rsid w:val="00BC5360"/>
    <w:rsid w:val="00BC5A11"/>
    <w:rsid w:val="00BC5A8D"/>
    <w:rsid w:val="00BC6047"/>
    <w:rsid w:val="00BC61CA"/>
    <w:rsid w:val="00BC6454"/>
    <w:rsid w:val="00BC6484"/>
    <w:rsid w:val="00BC64AC"/>
    <w:rsid w:val="00BC675D"/>
    <w:rsid w:val="00BC69AD"/>
    <w:rsid w:val="00BC6F55"/>
    <w:rsid w:val="00BC7394"/>
    <w:rsid w:val="00BC74BF"/>
    <w:rsid w:val="00BC7A5C"/>
    <w:rsid w:val="00BC7FED"/>
    <w:rsid w:val="00BD0266"/>
    <w:rsid w:val="00BD026C"/>
    <w:rsid w:val="00BD0270"/>
    <w:rsid w:val="00BD0413"/>
    <w:rsid w:val="00BD043B"/>
    <w:rsid w:val="00BD0633"/>
    <w:rsid w:val="00BD068A"/>
    <w:rsid w:val="00BD12B2"/>
    <w:rsid w:val="00BD146A"/>
    <w:rsid w:val="00BD18CE"/>
    <w:rsid w:val="00BD1CE7"/>
    <w:rsid w:val="00BD1D72"/>
    <w:rsid w:val="00BD1FAD"/>
    <w:rsid w:val="00BD2095"/>
    <w:rsid w:val="00BD24BC"/>
    <w:rsid w:val="00BD3151"/>
    <w:rsid w:val="00BD31FD"/>
    <w:rsid w:val="00BD32BA"/>
    <w:rsid w:val="00BD3C31"/>
    <w:rsid w:val="00BD3CDE"/>
    <w:rsid w:val="00BD42B9"/>
    <w:rsid w:val="00BD45AE"/>
    <w:rsid w:val="00BD46CE"/>
    <w:rsid w:val="00BD47FF"/>
    <w:rsid w:val="00BD4C6A"/>
    <w:rsid w:val="00BD4DFF"/>
    <w:rsid w:val="00BD54D4"/>
    <w:rsid w:val="00BD5533"/>
    <w:rsid w:val="00BD5DEE"/>
    <w:rsid w:val="00BD60AE"/>
    <w:rsid w:val="00BD63CD"/>
    <w:rsid w:val="00BD70A0"/>
    <w:rsid w:val="00BD746D"/>
    <w:rsid w:val="00BD78C8"/>
    <w:rsid w:val="00BD7BCB"/>
    <w:rsid w:val="00BD7F2B"/>
    <w:rsid w:val="00BE007E"/>
    <w:rsid w:val="00BE00DB"/>
    <w:rsid w:val="00BE016B"/>
    <w:rsid w:val="00BE05A5"/>
    <w:rsid w:val="00BE0632"/>
    <w:rsid w:val="00BE07C8"/>
    <w:rsid w:val="00BE0904"/>
    <w:rsid w:val="00BE0A3C"/>
    <w:rsid w:val="00BE122D"/>
    <w:rsid w:val="00BE1DD6"/>
    <w:rsid w:val="00BE267B"/>
    <w:rsid w:val="00BE29B0"/>
    <w:rsid w:val="00BE2B21"/>
    <w:rsid w:val="00BE2C33"/>
    <w:rsid w:val="00BE32E4"/>
    <w:rsid w:val="00BE358D"/>
    <w:rsid w:val="00BE3D34"/>
    <w:rsid w:val="00BE41F1"/>
    <w:rsid w:val="00BE4CA5"/>
    <w:rsid w:val="00BE4D6F"/>
    <w:rsid w:val="00BE50D4"/>
    <w:rsid w:val="00BE558A"/>
    <w:rsid w:val="00BE5923"/>
    <w:rsid w:val="00BE59FA"/>
    <w:rsid w:val="00BE60E0"/>
    <w:rsid w:val="00BE61F5"/>
    <w:rsid w:val="00BE63BE"/>
    <w:rsid w:val="00BE655A"/>
    <w:rsid w:val="00BE67C8"/>
    <w:rsid w:val="00BE6AD6"/>
    <w:rsid w:val="00BE6C25"/>
    <w:rsid w:val="00BE7388"/>
    <w:rsid w:val="00BE73A7"/>
    <w:rsid w:val="00BE7C88"/>
    <w:rsid w:val="00BE7C97"/>
    <w:rsid w:val="00BE7EAB"/>
    <w:rsid w:val="00BF01EE"/>
    <w:rsid w:val="00BF02E4"/>
    <w:rsid w:val="00BF0402"/>
    <w:rsid w:val="00BF0685"/>
    <w:rsid w:val="00BF0CED"/>
    <w:rsid w:val="00BF1765"/>
    <w:rsid w:val="00BF1A19"/>
    <w:rsid w:val="00BF1FEC"/>
    <w:rsid w:val="00BF2970"/>
    <w:rsid w:val="00BF305B"/>
    <w:rsid w:val="00BF35BF"/>
    <w:rsid w:val="00BF3791"/>
    <w:rsid w:val="00BF402A"/>
    <w:rsid w:val="00BF41AD"/>
    <w:rsid w:val="00BF42BD"/>
    <w:rsid w:val="00BF42F2"/>
    <w:rsid w:val="00BF43E2"/>
    <w:rsid w:val="00BF49C9"/>
    <w:rsid w:val="00BF4BE6"/>
    <w:rsid w:val="00BF5419"/>
    <w:rsid w:val="00BF547A"/>
    <w:rsid w:val="00BF551D"/>
    <w:rsid w:val="00BF559C"/>
    <w:rsid w:val="00BF5CCB"/>
    <w:rsid w:val="00BF5F2C"/>
    <w:rsid w:val="00BF610B"/>
    <w:rsid w:val="00BF669A"/>
    <w:rsid w:val="00BF73D9"/>
    <w:rsid w:val="00BF796C"/>
    <w:rsid w:val="00BF7B61"/>
    <w:rsid w:val="00BF7DD3"/>
    <w:rsid w:val="00BF7E0E"/>
    <w:rsid w:val="00C00023"/>
    <w:rsid w:val="00C0047F"/>
    <w:rsid w:val="00C009B1"/>
    <w:rsid w:val="00C00ADE"/>
    <w:rsid w:val="00C00D95"/>
    <w:rsid w:val="00C00F6D"/>
    <w:rsid w:val="00C011FD"/>
    <w:rsid w:val="00C013CC"/>
    <w:rsid w:val="00C017E0"/>
    <w:rsid w:val="00C019C0"/>
    <w:rsid w:val="00C02140"/>
    <w:rsid w:val="00C03060"/>
    <w:rsid w:val="00C0383A"/>
    <w:rsid w:val="00C0395B"/>
    <w:rsid w:val="00C04571"/>
    <w:rsid w:val="00C04973"/>
    <w:rsid w:val="00C05D12"/>
    <w:rsid w:val="00C05EDC"/>
    <w:rsid w:val="00C0674F"/>
    <w:rsid w:val="00C06F5B"/>
    <w:rsid w:val="00C06F69"/>
    <w:rsid w:val="00C06FE2"/>
    <w:rsid w:val="00C076D8"/>
    <w:rsid w:val="00C0771B"/>
    <w:rsid w:val="00C079BD"/>
    <w:rsid w:val="00C07B69"/>
    <w:rsid w:val="00C07C5E"/>
    <w:rsid w:val="00C1066D"/>
    <w:rsid w:val="00C10843"/>
    <w:rsid w:val="00C10D68"/>
    <w:rsid w:val="00C11B36"/>
    <w:rsid w:val="00C11F36"/>
    <w:rsid w:val="00C120B9"/>
    <w:rsid w:val="00C12192"/>
    <w:rsid w:val="00C12225"/>
    <w:rsid w:val="00C128C7"/>
    <w:rsid w:val="00C129C8"/>
    <w:rsid w:val="00C12F4C"/>
    <w:rsid w:val="00C12FDE"/>
    <w:rsid w:val="00C133D7"/>
    <w:rsid w:val="00C13931"/>
    <w:rsid w:val="00C13CBC"/>
    <w:rsid w:val="00C14989"/>
    <w:rsid w:val="00C14D6A"/>
    <w:rsid w:val="00C14D85"/>
    <w:rsid w:val="00C1500C"/>
    <w:rsid w:val="00C1545F"/>
    <w:rsid w:val="00C15485"/>
    <w:rsid w:val="00C154D3"/>
    <w:rsid w:val="00C1596E"/>
    <w:rsid w:val="00C15985"/>
    <w:rsid w:val="00C16177"/>
    <w:rsid w:val="00C164A1"/>
    <w:rsid w:val="00C164F3"/>
    <w:rsid w:val="00C16636"/>
    <w:rsid w:val="00C16646"/>
    <w:rsid w:val="00C16A46"/>
    <w:rsid w:val="00C1752E"/>
    <w:rsid w:val="00C175DB"/>
    <w:rsid w:val="00C1772E"/>
    <w:rsid w:val="00C17885"/>
    <w:rsid w:val="00C178FC"/>
    <w:rsid w:val="00C179CF"/>
    <w:rsid w:val="00C17CEB"/>
    <w:rsid w:val="00C17F22"/>
    <w:rsid w:val="00C17F33"/>
    <w:rsid w:val="00C201B8"/>
    <w:rsid w:val="00C20441"/>
    <w:rsid w:val="00C2046E"/>
    <w:rsid w:val="00C2075F"/>
    <w:rsid w:val="00C216B5"/>
    <w:rsid w:val="00C21BC2"/>
    <w:rsid w:val="00C225D3"/>
    <w:rsid w:val="00C22E2C"/>
    <w:rsid w:val="00C23859"/>
    <w:rsid w:val="00C23B08"/>
    <w:rsid w:val="00C23EA2"/>
    <w:rsid w:val="00C2410B"/>
    <w:rsid w:val="00C24234"/>
    <w:rsid w:val="00C24257"/>
    <w:rsid w:val="00C24543"/>
    <w:rsid w:val="00C2468D"/>
    <w:rsid w:val="00C24851"/>
    <w:rsid w:val="00C2499D"/>
    <w:rsid w:val="00C24A3C"/>
    <w:rsid w:val="00C24A9B"/>
    <w:rsid w:val="00C24E84"/>
    <w:rsid w:val="00C253C6"/>
    <w:rsid w:val="00C253E5"/>
    <w:rsid w:val="00C25756"/>
    <w:rsid w:val="00C265EB"/>
    <w:rsid w:val="00C268E7"/>
    <w:rsid w:val="00C26AE7"/>
    <w:rsid w:val="00C26D96"/>
    <w:rsid w:val="00C27584"/>
    <w:rsid w:val="00C27B5D"/>
    <w:rsid w:val="00C3012B"/>
    <w:rsid w:val="00C30140"/>
    <w:rsid w:val="00C3043B"/>
    <w:rsid w:val="00C307BD"/>
    <w:rsid w:val="00C30D8E"/>
    <w:rsid w:val="00C30DBC"/>
    <w:rsid w:val="00C30F13"/>
    <w:rsid w:val="00C310DE"/>
    <w:rsid w:val="00C31A31"/>
    <w:rsid w:val="00C322C8"/>
    <w:rsid w:val="00C3284D"/>
    <w:rsid w:val="00C32A1B"/>
    <w:rsid w:val="00C333C5"/>
    <w:rsid w:val="00C33B34"/>
    <w:rsid w:val="00C33D1B"/>
    <w:rsid w:val="00C33E18"/>
    <w:rsid w:val="00C341FD"/>
    <w:rsid w:val="00C3454D"/>
    <w:rsid w:val="00C35581"/>
    <w:rsid w:val="00C3567E"/>
    <w:rsid w:val="00C35C31"/>
    <w:rsid w:val="00C35CBE"/>
    <w:rsid w:val="00C35F87"/>
    <w:rsid w:val="00C3617D"/>
    <w:rsid w:val="00C361C6"/>
    <w:rsid w:val="00C362A7"/>
    <w:rsid w:val="00C36339"/>
    <w:rsid w:val="00C369EC"/>
    <w:rsid w:val="00C36AE2"/>
    <w:rsid w:val="00C36D46"/>
    <w:rsid w:val="00C36E3D"/>
    <w:rsid w:val="00C3700F"/>
    <w:rsid w:val="00C373D5"/>
    <w:rsid w:val="00C37584"/>
    <w:rsid w:val="00C37886"/>
    <w:rsid w:val="00C37CB6"/>
    <w:rsid w:val="00C4000A"/>
    <w:rsid w:val="00C4025D"/>
    <w:rsid w:val="00C40281"/>
    <w:rsid w:val="00C40FCA"/>
    <w:rsid w:val="00C41623"/>
    <w:rsid w:val="00C418B1"/>
    <w:rsid w:val="00C422EC"/>
    <w:rsid w:val="00C4236B"/>
    <w:rsid w:val="00C42745"/>
    <w:rsid w:val="00C42B24"/>
    <w:rsid w:val="00C43116"/>
    <w:rsid w:val="00C43231"/>
    <w:rsid w:val="00C43706"/>
    <w:rsid w:val="00C43B66"/>
    <w:rsid w:val="00C43C72"/>
    <w:rsid w:val="00C444A0"/>
    <w:rsid w:val="00C44508"/>
    <w:rsid w:val="00C448F8"/>
    <w:rsid w:val="00C44A5C"/>
    <w:rsid w:val="00C44D5E"/>
    <w:rsid w:val="00C45118"/>
    <w:rsid w:val="00C45BEC"/>
    <w:rsid w:val="00C45D38"/>
    <w:rsid w:val="00C45F8F"/>
    <w:rsid w:val="00C46327"/>
    <w:rsid w:val="00C46627"/>
    <w:rsid w:val="00C46B7E"/>
    <w:rsid w:val="00C46F09"/>
    <w:rsid w:val="00C476D7"/>
    <w:rsid w:val="00C47B03"/>
    <w:rsid w:val="00C47B09"/>
    <w:rsid w:val="00C47B4B"/>
    <w:rsid w:val="00C47E46"/>
    <w:rsid w:val="00C47F1D"/>
    <w:rsid w:val="00C502E8"/>
    <w:rsid w:val="00C502F8"/>
    <w:rsid w:val="00C504EF"/>
    <w:rsid w:val="00C506A3"/>
    <w:rsid w:val="00C50BA0"/>
    <w:rsid w:val="00C50C54"/>
    <w:rsid w:val="00C51EA9"/>
    <w:rsid w:val="00C51F4F"/>
    <w:rsid w:val="00C51F9F"/>
    <w:rsid w:val="00C520E7"/>
    <w:rsid w:val="00C52132"/>
    <w:rsid w:val="00C5226F"/>
    <w:rsid w:val="00C52406"/>
    <w:rsid w:val="00C5323D"/>
    <w:rsid w:val="00C536E3"/>
    <w:rsid w:val="00C53D4D"/>
    <w:rsid w:val="00C53ED5"/>
    <w:rsid w:val="00C54305"/>
    <w:rsid w:val="00C543A0"/>
    <w:rsid w:val="00C54642"/>
    <w:rsid w:val="00C546B4"/>
    <w:rsid w:val="00C54B4F"/>
    <w:rsid w:val="00C54DEA"/>
    <w:rsid w:val="00C55022"/>
    <w:rsid w:val="00C55535"/>
    <w:rsid w:val="00C55A9F"/>
    <w:rsid w:val="00C55BD1"/>
    <w:rsid w:val="00C56122"/>
    <w:rsid w:val="00C561B0"/>
    <w:rsid w:val="00C56471"/>
    <w:rsid w:val="00C56B69"/>
    <w:rsid w:val="00C56E22"/>
    <w:rsid w:val="00C570FF"/>
    <w:rsid w:val="00C57321"/>
    <w:rsid w:val="00C57861"/>
    <w:rsid w:val="00C57C07"/>
    <w:rsid w:val="00C57CCB"/>
    <w:rsid w:val="00C57ECC"/>
    <w:rsid w:val="00C6010D"/>
    <w:rsid w:val="00C60BFA"/>
    <w:rsid w:val="00C6114E"/>
    <w:rsid w:val="00C61944"/>
    <w:rsid w:val="00C619E0"/>
    <w:rsid w:val="00C61A22"/>
    <w:rsid w:val="00C6226E"/>
    <w:rsid w:val="00C624F0"/>
    <w:rsid w:val="00C624FA"/>
    <w:rsid w:val="00C62753"/>
    <w:rsid w:val="00C63103"/>
    <w:rsid w:val="00C6324C"/>
    <w:rsid w:val="00C6350A"/>
    <w:rsid w:val="00C636B2"/>
    <w:rsid w:val="00C63E09"/>
    <w:rsid w:val="00C64062"/>
    <w:rsid w:val="00C641CD"/>
    <w:rsid w:val="00C64753"/>
    <w:rsid w:val="00C64DAA"/>
    <w:rsid w:val="00C65139"/>
    <w:rsid w:val="00C652A8"/>
    <w:rsid w:val="00C65EE6"/>
    <w:rsid w:val="00C65FA8"/>
    <w:rsid w:val="00C666D4"/>
    <w:rsid w:val="00C66F0F"/>
    <w:rsid w:val="00C6753A"/>
    <w:rsid w:val="00C67DEC"/>
    <w:rsid w:val="00C67E0D"/>
    <w:rsid w:val="00C70388"/>
    <w:rsid w:val="00C703D2"/>
    <w:rsid w:val="00C708F3"/>
    <w:rsid w:val="00C7090D"/>
    <w:rsid w:val="00C70987"/>
    <w:rsid w:val="00C70B14"/>
    <w:rsid w:val="00C70B61"/>
    <w:rsid w:val="00C71167"/>
    <w:rsid w:val="00C71472"/>
    <w:rsid w:val="00C7171E"/>
    <w:rsid w:val="00C71819"/>
    <w:rsid w:val="00C719FA"/>
    <w:rsid w:val="00C71A71"/>
    <w:rsid w:val="00C71ACD"/>
    <w:rsid w:val="00C71AD1"/>
    <w:rsid w:val="00C71DEF"/>
    <w:rsid w:val="00C71E9A"/>
    <w:rsid w:val="00C72339"/>
    <w:rsid w:val="00C72379"/>
    <w:rsid w:val="00C72955"/>
    <w:rsid w:val="00C72ABB"/>
    <w:rsid w:val="00C72BA6"/>
    <w:rsid w:val="00C72E29"/>
    <w:rsid w:val="00C72F06"/>
    <w:rsid w:val="00C731FD"/>
    <w:rsid w:val="00C732BA"/>
    <w:rsid w:val="00C7358D"/>
    <w:rsid w:val="00C735DF"/>
    <w:rsid w:val="00C73641"/>
    <w:rsid w:val="00C736C5"/>
    <w:rsid w:val="00C73735"/>
    <w:rsid w:val="00C73801"/>
    <w:rsid w:val="00C73D6A"/>
    <w:rsid w:val="00C74734"/>
    <w:rsid w:val="00C747DB"/>
    <w:rsid w:val="00C74866"/>
    <w:rsid w:val="00C74988"/>
    <w:rsid w:val="00C74A6C"/>
    <w:rsid w:val="00C75789"/>
    <w:rsid w:val="00C76000"/>
    <w:rsid w:val="00C76556"/>
    <w:rsid w:val="00C76558"/>
    <w:rsid w:val="00C76C9C"/>
    <w:rsid w:val="00C77793"/>
    <w:rsid w:val="00C777DC"/>
    <w:rsid w:val="00C778D3"/>
    <w:rsid w:val="00C80088"/>
    <w:rsid w:val="00C804FE"/>
    <w:rsid w:val="00C80626"/>
    <w:rsid w:val="00C80D6B"/>
    <w:rsid w:val="00C80DBE"/>
    <w:rsid w:val="00C80E44"/>
    <w:rsid w:val="00C80EEC"/>
    <w:rsid w:val="00C810F3"/>
    <w:rsid w:val="00C819C0"/>
    <w:rsid w:val="00C8226D"/>
    <w:rsid w:val="00C82747"/>
    <w:rsid w:val="00C827BA"/>
    <w:rsid w:val="00C82C39"/>
    <w:rsid w:val="00C82DD5"/>
    <w:rsid w:val="00C8336D"/>
    <w:rsid w:val="00C834A5"/>
    <w:rsid w:val="00C83732"/>
    <w:rsid w:val="00C8386A"/>
    <w:rsid w:val="00C83E7A"/>
    <w:rsid w:val="00C840C7"/>
    <w:rsid w:val="00C846F3"/>
    <w:rsid w:val="00C8499D"/>
    <w:rsid w:val="00C851C9"/>
    <w:rsid w:val="00C8533D"/>
    <w:rsid w:val="00C853CD"/>
    <w:rsid w:val="00C854F4"/>
    <w:rsid w:val="00C8563D"/>
    <w:rsid w:val="00C85ECC"/>
    <w:rsid w:val="00C85F0C"/>
    <w:rsid w:val="00C86AD9"/>
    <w:rsid w:val="00C86B3C"/>
    <w:rsid w:val="00C86C82"/>
    <w:rsid w:val="00C86CF6"/>
    <w:rsid w:val="00C8713F"/>
    <w:rsid w:val="00C87613"/>
    <w:rsid w:val="00C876A5"/>
    <w:rsid w:val="00C87A68"/>
    <w:rsid w:val="00C87C0C"/>
    <w:rsid w:val="00C87C77"/>
    <w:rsid w:val="00C87C96"/>
    <w:rsid w:val="00C9027A"/>
    <w:rsid w:val="00C90310"/>
    <w:rsid w:val="00C9043B"/>
    <w:rsid w:val="00C90601"/>
    <w:rsid w:val="00C909E6"/>
    <w:rsid w:val="00C90AF2"/>
    <w:rsid w:val="00C90BA8"/>
    <w:rsid w:val="00C90E56"/>
    <w:rsid w:val="00C91A8D"/>
    <w:rsid w:val="00C91BEB"/>
    <w:rsid w:val="00C91CE8"/>
    <w:rsid w:val="00C91E72"/>
    <w:rsid w:val="00C91F71"/>
    <w:rsid w:val="00C923B8"/>
    <w:rsid w:val="00C92F68"/>
    <w:rsid w:val="00C93153"/>
    <w:rsid w:val="00C938A6"/>
    <w:rsid w:val="00C93B73"/>
    <w:rsid w:val="00C93BFC"/>
    <w:rsid w:val="00C93D6E"/>
    <w:rsid w:val="00C93FFE"/>
    <w:rsid w:val="00C9407D"/>
    <w:rsid w:val="00C94992"/>
    <w:rsid w:val="00C94D78"/>
    <w:rsid w:val="00C94DCF"/>
    <w:rsid w:val="00C94FBD"/>
    <w:rsid w:val="00C94FDB"/>
    <w:rsid w:val="00C9509D"/>
    <w:rsid w:val="00C953AC"/>
    <w:rsid w:val="00C954A4"/>
    <w:rsid w:val="00C95593"/>
    <w:rsid w:val="00C95950"/>
    <w:rsid w:val="00C959D7"/>
    <w:rsid w:val="00C95A5A"/>
    <w:rsid w:val="00C95AB2"/>
    <w:rsid w:val="00C95CF7"/>
    <w:rsid w:val="00C95E17"/>
    <w:rsid w:val="00C960EB"/>
    <w:rsid w:val="00C961EF"/>
    <w:rsid w:val="00C961FD"/>
    <w:rsid w:val="00C9639B"/>
    <w:rsid w:val="00C96510"/>
    <w:rsid w:val="00C9652F"/>
    <w:rsid w:val="00C96D0B"/>
    <w:rsid w:val="00C96EC6"/>
    <w:rsid w:val="00C973A3"/>
    <w:rsid w:val="00C975C0"/>
    <w:rsid w:val="00C97CED"/>
    <w:rsid w:val="00C97E38"/>
    <w:rsid w:val="00C97F5A"/>
    <w:rsid w:val="00CA015A"/>
    <w:rsid w:val="00CA049D"/>
    <w:rsid w:val="00CA0FF0"/>
    <w:rsid w:val="00CA1D01"/>
    <w:rsid w:val="00CA1EA0"/>
    <w:rsid w:val="00CA1FCA"/>
    <w:rsid w:val="00CA21F1"/>
    <w:rsid w:val="00CA21FE"/>
    <w:rsid w:val="00CA2316"/>
    <w:rsid w:val="00CA23D5"/>
    <w:rsid w:val="00CA2637"/>
    <w:rsid w:val="00CA271F"/>
    <w:rsid w:val="00CA27DB"/>
    <w:rsid w:val="00CA2F9C"/>
    <w:rsid w:val="00CA300C"/>
    <w:rsid w:val="00CA30C7"/>
    <w:rsid w:val="00CA34D6"/>
    <w:rsid w:val="00CA3674"/>
    <w:rsid w:val="00CA386F"/>
    <w:rsid w:val="00CA388B"/>
    <w:rsid w:val="00CA3E70"/>
    <w:rsid w:val="00CA3EE3"/>
    <w:rsid w:val="00CA40BE"/>
    <w:rsid w:val="00CA4D14"/>
    <w:rsid w:val="00CA50DD"/>
    <w:rsid w:val="00CA514E"/>
    <w:rsid w:val="00CA5591"/>
    <w:rsid w:val="00CA5980"/>
    <w:rsid w:val="00CA5A43"/>
    <w:rsid w:val="00CA5BEA"/>
    <w:rsid w:val="00CA5D96"/>
    <w:rsid w:val="00CA60C2"/>
    <w:rsid w:val="00CA6B9E"/>
    <w:rsid w:val="00CA6BCA"/>
    <w:rsid w:val="00CA726B"/>
    <w:rsid w:val="00CA72EE"/>
    <w:rsid w:val="00CB00D5"/>
    <w:rsid w:val="00CB047F"/>
    <w:rsid w:val="00CB06C9"/>
    <w:rsid w:val="00CB0980"/>
    <w:rsid w:val="00CB10FC"/>
    <w:rsid w:val="00CB1302"/>
    <w:rsid w:val="00CB1660"/>
    <w:rsid w:val="00CB1A8D"/>
    <w:rsid w:val="00CB206D"/>
    <w:rsid w:val="00CB22E9"/>
    <w:rsid w:val="00CB24D6"/>
    <w:rsid w:val="00CB2565"/>
    <w:rsid w:val="00CB2CDB"/>
    <w:rsid w:val="00CB2D43"/>
    <w:rsid w:val="00CB33CF"/>
    <w:rsid w:val="00CB34EB"/>
    <w:rsid w:val="00CB4144"/>
    <w:rsid w:val="00CB43DA"/>
    <w:rsid w:val="00CB43E2"/>
    <w:rsid w:val="00CB441B"/>
    <w:rsid w:val="00CB4908"/>
    <w:rsid w:val="00CB4AE1"/>
    <w:rsid w:val="00CB4D7D"/>
    <w:rsid w:val="00CB4DE3"/>
    <w:rsid w:val="00CB5008"/>
    <w:rsid w:val="00CB59DC"/>
    <w:rsid w:val="00CB5C8A"/>
    <w:rsid w:val="00CB5E46"/>
    <w:rsid w:val="00CB6088"/>
    <w:rsid w:val="00CB6253"/>
    <w:rsid w:val="00CB62CF"/>
    <w:rsid w:val="00CB644A"/>
    <w:rsid w:val="00CB65EA"/>
    <w:rsid w:val="00CB6CE8"/>
    <w:rsid w:val="00CB7316"/>
    <w:rsid w:val="00CB764D"/>
    <w:rsid w:val="00CB7BA2"/>
    <w:rsid w:val="00CC020C"/>
    <w:rsid w:val="00CC0225"/>
    <w:rsid w:val="00CC02D0"/>
    <w:rsid w:val="00CC13AE"/>
    <w:rsid w:val="00CC1792"/>
    <w:rsid w:val="00CC21DB"/>
    <w:rsid w:val="00CC22FC"/>
    <w:rsid w:val="00CC2302"/>
    <w:rsid w:val="00CC2321"/>
    <w:rsid w:val="00CC2386"/>
    <w:rsid w:val="00CC2686"/>
    <w:rsid w:val="00CC28D5"/>
    <w:rsid w:val="00CC35E2"/>
    <w:rsid w:val="00CC3B4A"/>
    <w:rsid w:val="00CC4F68"/>
    <w:rsid w:val="00CC52F9"/>
    <w:rsid w:val="00CC5540"/>
    <w:rsid w:val="00CC57F4"/>
    <w:rsid w:val="00CC5AE5"/>
    <w:rsid w:val="00CC63CA"/>
    <w:rsid w:val="00CC666C"/>
    <w:rsid w:val="00CC676E"/>
    <w:rsid w:val="00CC6A25"/>
    <w:rsid w:val="00CC6CF1"/>
    <w:rsid w:val="00CC70E8"/>
    <w:rsid w:val="00CC7184"/>
    <w:rsid w:val="00CC71E7"/>
    <w:rsid w:val="00CC7C54"/>
    <w:rsid w:val="00CC7CC7"/>
    <w:rsid w:val="00CC7FDE"/>
    <w:rsid w:val="00CD0462"/>
    <w:rsid w:val="00CD073C"/>
    <w:rsid w:val="00CD0BA0"/>
    <w:rsid w:val="00CD0CF3"/>
    <w:rsid w:val="00CD0EB4"/>
    <w:rsid w:val="00CD106F"/>
    <w:rsid w:val="00CD1617"/>
    <w:rsid w:val="00CD19C1"/>
    <w:rsid w:val="00CD20A7"/>
    <w:rsid w:val="00CD2156"/>
    <w:rsid w:val="00CD24CA"/>
    <w:rsid w:val="00CD270F"/>
    <w:rsid w:val="00CD2736"/>
    <w:rsid w:val="00CD282E"/>
    <w:rsid w:val="00CD2F63"/>
    <w:rsid w:val="00CD317B"/>
    <w:rsid w:val="00CD3375"/>
    <w:rsid w:val="00CD37B9"/>
    <w:rsid w:val="00CD3E18"/>
    <w:rsid w:val="00CD4189"/>
    <w:rsid w:val="00CD422C"/>
    <w:rsid w:val="00CD4351"/>
    <w:rsid w:val="00CD44CA"/>
    <w:rsid w:val="00CD478A"/>
    <w:rsid w:val="00CD4CDC"/>
    <w:rsid w:val="00CD4DE8"/>
    <w:rsid w:val="00CD581E"/>
    <w:rsid w:val="00CD58E5"/>
    <w:rsid w:val="00CD65D0"/>
    <w:rsid w:val="00CD6674"/>
    <w:rsid w:val="00CD6ADC"/>
    <w:rsid w:val="00CD6D87"/>
    <w:rsid w:val="00CD6DE6"/>
    <w:rsid w:val="00CD70BA"/>
    <w:rsid w:val="00CD7281"/>
    <w:rsid w:val="00CE0105"/>
    <w:rsid w:val="00CE043C"/>
    <w:rsid w:val="00CE048C"/>
    <w:rsid w:val="00CE0698"/>
    <w:rsid w:val="00CE088C"/>
    <w:rsid w:val="00CE0EDE"/>
    <w:rsid w:val="00CE1166"/>
    <w:rsid w:val="00CE1257"/>
    <w:rsid w:val="00CE141F"/>
    <w:rsid w:val="00CE14AE"/>
    <w:rsid w:val="00CE1538"/>
    <w:rsid w:val="00CE18C2"/>
    <w:rsid w:val="00CE23EF"/>
    <w:rsid w:val="00CE2445"/>
    <w:rsid w:val="00CE2550"/>
    <w:rsid w:val="00CE2940"/>
    <w:rsid w:val="00CE32B9"/>
    <w:rsid w:val="00CE3558"/>
    <w:rsid w:val="00CE3621"/>
    <w:rsid w:val="00CE387D"/>
    <w:rsid w:val="00CE3B9E"/>
    <w:rsid w:val="00CE3E5D"/>
    <w:rsid w:val="00CE457F"/>
    <w:rsid w:val="00CE463D"/>
    <w:rsid w:val="00CE48A3"/>
    <w:rsid w:val="00CE4C77"/>
    <w:rsid w:val="00CE4EAC"/>
    <w:rsid w:val="00CE5037"/>
    <w:rsid w:val="00CE5597"/>
    <w:rsid w:val="00CE59B0"/>
    <w:rsid w:val="00CE5EEA"/>
    <w:rsid w:val="00CE616E"/>
    <w:rsid w:val="00CE636B"/>
    <w:rsid w:val="00CE66C7"/>
    <w:rsid w:val="00CE6C89"/>
    <w:rsid w:val="00CE767E"/>
    <w:rsid w:val="00CE7773"/>
    <w:rsid w:val="00CE7893"/>
    <w:rsid w:val="00CE78DD"/>
    <w:rsid w:val="00CE7A1E"/>
    <w:rsid w:val="00CE7ACF"/>
    <w:rsid w:val="00CE7B09"/>
    <w:rsid w:val="00CE7D36"/>
    <w:rsid w:val="00CF050B"/>
    <w:rsid w:val="00CF09AD"/>
    <w:rsid w:val="00CF0BC8"/>
    <w:rsid w:val="00CF0DD7"/>
    <w:rsid w:val="00CF106C"/>
    <w:rsid w:val="00CF129C"/>
    <w:rsid w:val="00CF1438"/>
    <w:rsid w:val="00CF14FA"/>
    <w:rsid w:val="00CF2066"/>
    <w:rsid w:val="00CF2AAE"/>
    <w:rsid w:val="00CF2BC4"/>
    <w:rsid w:val="00CF2E66"/>
    <w:rsid w:val="00CF2F4F"/>
    <w:rsid w:val="00CF34DF"/>
    <w:rsid w:val="00CF36FA"/>
    <w:rsid w:val="00CF3937"/>
    <w:rsid w:val="00CF429A"/>
    <w:rsid w:val="00CF4BFD"/>
    <w:rsid w:val="00CF51BF"/>
    <w:rsid w:val="00CF57BB"/>
    <w:rsid w:val="00CF5D81"/>
    <w:rsid w:val="00CF5DCC"/>
    <w:rsid w:val="00CF5E02"/>
    <w:rsid w:val="00CF6033"/>
    <w:rsid w:val="00CF63BA"/>
    <w:rsid w:val="00CF6852"/>
    <w:rsid w:val="00CF6A86"/>
    <w:rsid w:val="00CF6B05"/>
    <w:rsid w:val="00CF6BAB"/>
    <w:rsid w:val="00CF6E4E"/>
    <w:rsid w:val="00CF6E74"/>
    <w:rsid w:val="00CF7737"/>
    <w:rsid w:val="00CF778F"/>
    <w:rsid w:val="00CF7BA7"/>
    <w:rsid w:val="00D00177"/>
    <w:rsid w:val="00D00197"/>
    <w:rsid w:val="00D00632"/>
    <w:rsid w:val="00D00B74"/>
    <w:rsid w:val="00D00CE7"/>
    <w:rsid w:val="00D0112A"/>
    <w:rsid w:val="00D019EC"/>
    <w:rsid w:val="00D0216B"/>
    <w:rsid w:val="00D021EC"/>
    <w:rsid w:val="00D0246C"/>
    <w:rsid w:val="00D03270"/>
    <w:rsid w:val="00D0343C"/>
    <w:rsid w:val="00D035FB"/>
    <w:rsid w:val="00D036B0"/>
    <w:rsid w:val="00D03A90"/>
    <w:rsid w:val="00D03A94"/>
    <w:rsid w:val="00D03E59"/>
    <w:rsid w:val="00D04076"/>
    <w:rsid w:val="00D0479C"/>
    <w:rsid w:val="00D04A1E"/>
    <w:rsid w:val="00D04AD6"/>
    <w:rsid w:val="00D04CA4"/>
    <w:rsid w:val="00D04CA5"/>
    <w:rsid w:val="00D0533F"/>
    <w:rsid w:val="00D0539C"/>
    <w:rsid w:val="00D054AE"/>
    <w:rsid w:val="00D06264"/>
    <w:rsid w:val="00D062A1"/>
    <w:rsid w:val="00D06855"/>
    <w:rsid w:val="00D06857"/>
    <w:rsid w:val="00D068C7"/>
    <w:rsid w:val="00D06BE8"/>
    <w:rsid w:val="00D0723A"/>
    <w:rsid w:val="00D07598"/>
    <w:rsid w:val="00D07C77"/>
    <w:rsid w:val="00D07CDD"/>
    <w:rsid w:val="00D10052"/>
    <w:rsid w:val="00D10652"/>
    <w:rsid w:val="00D106AE"/>
    <w:rsid w:val="00D10989"/>
    <w:rsid w:val="00D11A87"/>
    <w:rsid w:val="00D11BA8"/>
    <w:rsid w:val="00D1225A"/>
    <w:rsid w:val="00D1245C"/>
    <w:rsid w:val="00D1282C"/>
    <w:rsid w:val="00D12E20"/>
    <w:rsid w:val="00D12ED7"/>
    <w:rsid w:val="00D13D98"/>
    <w:rsid w:val="00D13EED"/>
    <w:rsid w:val="00D13FA1"/>
    <w:rsid w:val="00D1426A"/>
    <w:rsid w:val="00D14AC6"/>
    <w:rsid w:val="00D14C58"/>
    <w:rsid w:val="00D14C9F"/>
    <w:rsid w:val="00D14F36"/>
    <w:rsid w:val="00D151FF"/>
    <w:rsid w:val="00D15224"/>
    <w:rsid w:val="00D15440"/>
    <w:rsid w:val="00D15711"/>
    <w:rsid w:val="00D15840"/>
    <w:rsid w:val="00D15990"/>
    <w:rsid w:val="00D159DA"/>
    <w:rsid w:val="00D15F78"/>
    <w:rsid w:val="00D16BAE"/>
    <w:rsid w:val="00D16DF9"/>
    <w:rsid w:val="00D1719B"/>
    <w:rsid w:val="00D1765E"/>
    <w:rsid w:val="00D177DB"/>
    <w:rsid w:val="00D177E5"/>
    <w:rsid w:val="00D17A3B"/>
    <w:rsid w:val="00D17B41"/>
    <w:rsid w:val="00D17D15"/>
    <w:rsid w:val="00D17D75"/>
    <w:rsid w:val="00D17E93"/>
    <w:rsid w:val="00D2000C"/>
    <w:rsid w:val="00D20495"/>
    <w:rsid w:val="00D20606"/>
    <w:rsid w:val="00D20FE5"/>
    <w:rsid w:val="00D21669"/>
    <w:rsid w:val="00D21B94"/>
    <w:rsid w:val="00D2245F"/>
    <w:rsid w:val="00D225D2"/>
    <w:rsid w:val="00D2263E"/>
    <w:rsid w:val="00D23357"/>
    <w:rsid w:val="00D2383A"/>
    <w:rsid w:val="00D23A92"/>
    <w:rsid w:val="00D24261"/>
    <w:rsid w:val="00D2440F"/>
    <w:rsid w:val="00D246B1"/>
    <w:rsid w:val="00D24A6F"/>
    <w:rsid w:val="00D24E5A"/>
    <w:rsid w:val="00D251B4"/>
    <w:rsid w:val="00D25381"/>
    <w:rsid w:val="00D253DA"/>
    <w:rsid w:val="00D255DC"/>
    <w:rsid w:val="00D25B1C"/>
    <w:rsid w:val="00D25C68"/>
    <w:rsid w:val="00D2621A"/>
    <w:rsid w:val="00D264CF"/>
    <w:rsid w:val="00D26505"/>
    <w:rsid w:val="00D2679A"/>
    <w:rsid w:val="00D268D9"/>
    <w:rsid w:val="00D2697F"/>
    <w:rsid w:val="00D269A8"/>
    <w:rsid w:val="00D26EC9"/>
    <w:rsid w:val="00D274B0"/>
    <w:rsid w:val="00D277E6"/>
    <w:rsid w:val="00D309EA"/>
    <w:rsid w:val="00D30C6A"/>
    <w:rsid w:val="00D30F52"/>
    <w:rsid w:val="00D3171F"/>
    <w:rsid w:val="00D31A2E"/>
    <w:rsid w:val="00D31D04"/>
    <w:rsid w:val="00D31E3E"/>
    <w:rsid w:val="00D32704"/>
    <w:rsid w:val="00D328CD"/>
    <w:rsid w:val="00D32B56"/>
    <w:rsid w:val="00D33223"/>
    <w:rsid w:val="00D333F4"/>
    <w:rsid w:val="00D334CD"/>
    <w:rsid w:val="00D335E7"/>
    <w:rsid w:val="00D33631"/>
    <w:rsid w:val="00D33DF6"/>
    <w:rsid w:val="00D33F2E"/>
    <w:rsid w:val="00D34336"/>
    <w:rsid w:val="00D3466F"/>
    <w:rsid w:val="00D3470F"/>
    <w:rsid w:val="00D34F86"/>
    <w:rsid w:val="00D35213"/>
    <w:rsid w:val="00D353EF"/>
    <w:rsid w:val="00D356C7"/>
    <w:rsid w:val="00D35833"/>
    <w:rsid w:val="00D35E3C"/>
    <w:rsid w:val="00D35ED8"/>
    <w:rsid w:val="00D3603E"/>
    <w:rsid w:val="00D3610F"/>
    <w:rsid w:val="00D36143"/>
    <w:rsid w:val="00D3642E"/>
    <w:rsid w:val="00D37358"/>
    <w:rsid w:val="00D37D6A"/>
    <w:rsid w:val="00D4002B"/>
    <w:rsid w:val="00D4020D"/>
    <w:rsid w:val="00D40452"/>
    <w:rsid w:val="00D40541"/>
    <w:rsid w:val="00D40774"/>
    <w:rsid w:val="00D407F4"/>
    <w:rsid w:val="00D40942"/>
    <w:rsid w:val="00D40A0C"/>
    <w:rsid w:val="00D40B60"/>
    <w:rsid w:val="00D40BC7"/>
    <w:rsid w:val="00D40E8E"/>
    <w:rsid w:val="00D4130C"/>
    <w:rsid w:val="00D419B5"/>
    <w:rsid w:val="00D41BEC"/>
    <w:rsid w:val="00D41E2A"/>
    <w:rsid w:val="00D41E78"/>
    <w:rsid w:val="00D420E0"/>
    <w:rsid w:val="00D4241B"/>
    <w:rsid w:val="00D424BF"/>
    <w:rsid w:val="00D4296C"/>
    <w:rsid w:val="00D42E80"/>
    <w:rsid w:val="00D43376"/>
    <w:rsid w:val="00D4353B"/>
    <w:rsid w:val="00D43C86"/>
    <w:rsid w:val="00D440A2"/>
    <w:rsid w:val="00D441CF"/>
    <w:rsid w:val="00D442BD"/>
    <w:rsid w:val="00D446D5"/>
    <w:rsid w:val="00D446E0"/>
    <w:rsid w:val="00D44E29"/>
    <w:rsid w:val="00D453A7"/>
    <w:rsid w:val="00D455DF"/>
    <w:rsid w:val="00D4563D"/>
    <w:rsid w:val="00D45A12"/>
    <w:rsid w:val="00D45CA4"/>
    <w:rsid w:val="00D466A4"/>
    <w:rsid w:val="00D466B5"/>
    <w:rsid w:val="00D46811"/>
    <w:rsid w:val="00D46888"/>
    <w:rsid w:val="00D46B85"/>
    <w:rsid w:val="00D470B7"/>
    <w:rsid w:val="00D47772"/>
    <w:rsid w:val="00D47892"/>
    <w:rsid w:val="00D47B74"/>
    <w:rsid w:val="00D47C5E"/>
    <w:rsid w:val="00D47E91"/>
    <w:rsid w:val="00D50473"/>
    <w:rsid w:val="00D50938"/>
    <w:rsid w:val="00D50DB0"/>
    <w:rsid w:val="00D5113D"/>
    <w:rsid w:val="00D511E3"/>
    <w:rsid w:val="00D51971"/>
    <w:rsid w:val="00D524B0"/>
    <w:rsid w:val="00D5280A"/>
    <w:rsid w:val="00D52CA6"/>
    <w:rsid w:val="00D532A8"/>
    <w:rsid w:val="00D5384E"/>
    <w:rsid w:val="00D54886"/>
    <w:rsid w:val="00D54A3D"/>
    <w:rsid w:val="00D54F63"/>
    <w:rsid w:val="00D55296"/>
    <w:rsid w:val="00D5560F"/>
    <w:rsid w:val="00D559C3"/>
    <w:rsid w:val="00D55D45"/>
    <w:rsid w:val="00D55E59"/>
    <w:rsid w:val="00D56050"/>
    <w:rsid w:val="00D56253"/>
    <w:rsid w:val="00D56421"/>
    <w:rsid w:val="00D566A4"/>
    <w:rsid w:val="00D56D1C"/>
    <w:rsid w:val="00D572EC"/>
    <w:rsid w:val="00D574E2"/>
    <w:rsid w:val="00D5790F"/>
    <w:rsid w:val="00D60287"/>
    <w:rsid w:val="00D60472"/>
    <w:rsid w:val="00D60BA6"/>
    <w:rsid w:val="00D60C2A"/>
    <w:rsid w:val="00D61697"/>
    <w:rsid w:val="00D61F30"/>
    <w:rsid w:val="00D61FAA"/>
    <w:rsid w:val="00D6205B"/>
    <w:rsid w:val="00D62319"/>
    <w:rsid w:val="00D6233E"/>
    <w:rsid w:val="00D62451"/>
    <w:rsid w:val="00D62873"/>
    <w:rsid w:val="00D628CC"/>
    <w:rsid w:val="00D62C5C"/>
    <w:rsid w:val="00D62D3F"/>
    <w:rsid w:val="00D62FA8"/>
    <w:rsid w:val="00D63182"/>
    <w:rsid w:val="00D6348E"/>
    <w:rsid w:val="00D63AA1"/>
    <w:rsid w:val="00D63B56"/>
    <w:rsid w:val="00D63BA5"/>
    <w:rsid w:val="00D63BED"/>
    <w:rsid w:val="00D63EC6"/>
    <w:rsid w:val="00D63FF8"/>
    <w:rsid w:val="00D64846"/>
    <w:rsid w:val="00D648CA"/>
    <w:rsid w:val="00D649F2"/>
    <w:rsid w:val="00D64AE2"/>
    <w:rsid w:val="00D64C5B"/>
    <w:rsid w:val="00D650A0"/>
    <w:rsid w:val="00D651FE"/>
    <w:rsid w:val="00D6528E"/>
    <w:rsid w:val="00D65A1B"/>
    <w:rsid w:val="00D65F8B"/>
    <w:rsid w:val="00D66082"/>
    <w:rsid w:val="00D6632D"/>
    <w:rsid w:val="00D66474"/>
    <w:rsid w:val="00D66690"/>
    <w:rsid w:val="00D6675A"/>
    <w:rsid w:val="00D66910"/>
    <w:rsid w:val="00D66A79"/>
    <w:rsid w:val="00D66B23"/>
    <w:rsid w:val="00D66BF1"/>
    <w:rsid w:val="00D66EEE"/>
    <w:rsid w:val="00D67B4D"/>
    <w:rsid w:val="00D67C2A"/>
    <w:rsid w:val="00D70062"/>
    <w:rsid w:val="00D70165"/>
    <w:rsid w:val="00D70422"/>
    <w:rsid w:val="00D7046A"/>
    <w:rsid w:val="00D70815"/>
    <w:rsid w:val="00D709C3"/>
    <w:rsid w:val="00D70B57"/>
    <w:rsid w:val="00D70C43"/>
    <w:rsid w:val="00D70F5D"/>
    <w:rsid w:val="00D7108B"/>
    <w:rsid w:val="00D710A8"/>
    <w:rsid w:val="00D7131A"/>
    <w:rsid w:val="00D713F5"/>
    <w:rsid w:val="00D71BC4"/>
    <w:rsid w:val="00D72317"/>
    <w:rsid w:val="00D72547"/>
    <w:rsid w:val="00D72601"/>
    <w:rsid w:val="00D72611"/>
    <w:rsid w:val="00D726C0"/>
    <w:rsid w:val="00D726E0"/>
    <w:rsid w:val="00D72BEA"/>
    <w:rsid w:val="00D72F37"/>
    <w:rsid w:val="00D72F5D"/>
    <w:rsid w:val="00D732C8"/>
    <w:rsid w:val="00D7378E"/>
    <w:rsid w:val="00D73D81"/>
    <w:rsid w:val="00D7487C"/>
    <w:rsid w:val="00D749A8"/>
    <w:rsid w:val="00D749B6"/>
    <w:rsid w:val="00D75182"/>
    <w:rsid w:val="00D75644"/>
    <w:rsid w:val="00D759B1"/>
    <w:rsid w:val="00D761A6"/>
    <w:rsid w:val="00D76240"/>
    <w:rsid w:val="00D7627B"/>
    <w:rsid w:val="00D763BD"/>
    <w:rsid w:val="00D7684F"/>
    <w:rsid w:val="00D779A8"/>
    <w:rsid w:val="00D80116"/>
    <w:rsid w:val="00D80128"/>
    <w:rsid w:val="00D80D31"/>
    <w:rsid w:val="00D80D38"/>
    <w:rsid w:val="00D80DEF"/>
    <w:rsid w:val="00D80E19"/>
    <w:rsid w:val="00D8119B"/>
    <w:rsid w:val="00D8158B"/>
    <w:rsid w:val="00D81765"/>
    <w:rsid w:val="00D8178D"/>
    <w:rsid w:val="00D81968"/>
    <w:rsid w:val="00D81D6D"/>
    <w:rsid w:val="00D82B5C"/>
    <w:rsid w:val="00D82CBF"/>
    <w:rsid w:val="00D832E3"/>
    <w:rsid w:val="00D833A1"/>
    <w:rsid w:val="00D833DC"/>
    <w:rsid w:val="00D834F5"/>
    <w:rsid w:val="00D83954"/>
    <w:rsid w:val="00D840E8"/>
    <w:rsid w:val="00D84153"/>
    <w:rsid w:val="00D841F4"/>
    <w:rsid w:val="00D843FD"/>
    <w:rsid w:val="00D84486"/>
    <w:rsid w:val="00D84E2C"/>
    <w:rsid w:val="00D85338"/>
    <w:rsid w:val="00D86018"/>
    <w:rsid w:val="00D866AE"/>
    <w:rsid w:val="00D86C12"/>
    <w:rsid w:val="00D87060"/>
    <w:rsid w:val="00D8720D"/>
    <w:rsid w:val="00D8741A"/>
    <w:rsid w:val="00D87557"/>
    <w:rsid w:val="00D877B9"/>
    <w:rsid w:val="00D87A9F"/>
    <w:rsid w:val="00D87EB2"/>
    <w:rsid w:val="00D901D8"/>
    <w:rsid w:val="00D90C98"/>
    <w:rsid w:val="00D90D65"/>
    <w:rsid w:val="00D9131F"/>
    <w:rsid w:val="00D919A4"/>
    <w:rsid w:val="00D91DCE"/>
    <w:rsid w:val="00D9243D"/>
    <w:rsid w:val="00D930F3"/>
    <w:rsid w:val="00D93141"/>
    <w:rsid w:val="00D932AA"/>
    <w:rsid w:val="00D9354D"/>
    <w:rsid w:val="00D942F9"/>
    <w:rsid w:val="00D947C9"/>
    <w:rsid w:val="00D94897"/>
    <w:rsid w:val="00D94AAE"/>
    <w:rsid w:val="00D94B1D"/>
    <w:rsid w:val="00D94D9C"/>
    <w:rsid w:val="00D94FF5"/>
    <w:rsid w:val="00D95981"/>
    <w:rsid w:val="00D96BDC"/>
    <w:rsid w:val="00D97931"/>
    <w:rsid w:val="00D97995"/>
    <w:rsid w:val="00D97CBC"/>
    <w:rsid w:val="00DA0A46"/>
    <w:rsid w:val="00DA0A6A"/>
    <w:rsid w:val="00DA0D6A"/>
    <w:rsid w:val="00DA0FEF"/>
    <w:rsid w:val="00DA12DD"/>
    <w:rsid w:val="00DA1CCD"/>
    <w:rsid w:val="00DA20CA"/>
    <w:rsid w:val="00DA2476"/>
    <w:rsid w:val="00DA260E"/>
    <w:rsid w:val="00DA2730"/>
    <w:rsid w:val="00DA2D30"/>
    <w:rsid w:val="00DA2FEE"/>
    <w:rsid w:val="00DA315E"/>
    <w:rsid w:val="00DA3352"/>
    <w:rsid w:val="00DA3445"/>
    <w:rsid w:val="00DA3814"/>
    <w:rsid w:val="00DA3A0F"/>
    <w:rsid w:val="00DA4AAF"/>
    <w:rsid w:val="00DA4AFD"/>
    <w:rsid w:val="00DA4B25"/>
    <w:rsid w:val="00DA4C12"/>
    <w:rsid w:val="00DA5C02"/>
    <w:rsid w:val="00DA6029"/>
    <w:rsid w:val="00DA6132"/>
    <w:rsid w:val="00DA6147"/>
    <w:rsid w:val="00DA633B"/>
    <w:rsid w:val="00DA66A3"/>
    <w:rsid w:val="00DA6A4D"/>
    <w:rsid w:val="00DA6F28"/>
    <w:rsid w:val="00DA7311"/>
    <w:rsid w:val="00DA731D"/>
    <w:rsid w:val="00DA7568"/>
    <w:rsid w:val="00DA7F1E"/>
    <w:rsid w:val="00DB03B2"/>
    <w:rsid w:val="00DB0679"/>
    <w:rsid w:val="00DB0B64"/>
    <w:rsid w:val="00DB0CE7"/>
    <w:rsid w:val="00DB0E8C"/>
    <w:rsid w:val="00DB132E"/>
    <w:rsid w:val="00DB182E"/>
    <w:rsid w:val="00DB186A"/>
    <w:rsid w:val="00DB1BB2"/>
    <w:rsid w:val="00DB1C05"/>
    <w:rsid w:val="00DB2043"/>
    <w:rsid w:val="00DB2653"/>
    <w:rsid w:val="00DB2957"/>
    <w:rsid w:val="00DB2B23"/>
    <w:rsid w:val="00DB2D96"/>
    <w:rsid w:val="00DB3034"/>
    <w:rsid w:val="00DB3070"/>
    <w:rsid w:val="00DB3233"/>
    <w:rsid w:val="00DB354E"/>
    <w:rsid w:val="00DB36AC"/>
    <w:rsid w:val="00DB3CFF"/>
    <w:rsid w:val="00DB4011"/>
    <w:rsid w:val="00DB403D"/>
    <w:rsid w:val="00DB4295"/>
    <w:rsid w:val="00DB4387"/>
    <w:rsid w:val="00DB456C"/>
    <w:rsid w:val="00DB4918"/>
    <w:rsid w:val="00DB498E"/>
    <w:rsid w:val="00DB4C96"/>
    <w:rsid w:val="00DB4E45"/>
    <w:rsid w:val="00DB510C"/>
    <w:rsid w:val="00DB5C69"/>
    <w:rsid w:val="00DB5D3A"/>
    <w:rsid w:val="00DB60BE"/>
    <w:rsid w:val="00DB6121"/>
    <w:rsid w:val="00DB63F8"/>
    <w:rsid w:val="00DB6425"/>
    <w:rsid w:val="00DB65F0"/>
    <w:rsid w:val="00DB66C5"/>
    <w:rsid w:val="00DB66C9"/>
    <w:rsid w:val="00DB7B04"/>
    <w:rsid w:val="00DB7BB4"/>
    <w:rsid w:val="00DB7ED4"/>
    <w:rsid w:val="00DC0596"/>
    <w:rsid w:val="00DC0A6E"/>
    <w:rsid w:val="00DC0FE4"/>
    <w:rsid w:val="00DC1358"/>
    <w:rsid w:val="00DC16E6"/>
    <w:rsid w:val="00DC1830"/>
    <w:rsid w:val="00DC1AC1"/>
    <w:rsid w:val="00DC2961"/>
    <w:rsid w:val="00DC3DFA"/>
    <w:rsid w:val="00DC53E2"/>
    <w:rsid w:val="00DC55AD"/>
    <w:rsid w:val="00DC5601"/>
    <w:rsid w:val="00DC5792"/>
    <w:rsid w:val="00DC5890"/>
    <w:rsid w:val="00DC5A29"/>
    <w:rsid w:val="00DC65C6"/>
    <w:rsid w:val="00DC668D"/>
    <w:rsid w:val="00DC66C7"/>
    <w:rsid w:val="00DC6871"/>
    <w:rsid w:val="00DC6C08"/>
    <w:rsid w:val="00DC6FB2"/>
    <w:rsid w:val="00DC7627"/>
    <w:rsid w:val="00DC7703"/>
    <w:rsid w:val="00DC78EC"/>
    <w:rsid w:val="00DC7F23"/>
    <w:rsid w:val="00DD08AF"/>
    <w:rsid w:val="00DD0DA7"/>
    <w:rsid w:val="00DD11F1"/>
    <w:rsid w:val="00DD1338"/>
    <w:rsid w:val="00DD1732"/>
    <w:rsid w:val="00DD18FF"/>
    <w:rsid w:val="00DD1D53"/>
    <w:rsid w:val="00DD1F88"/>
    <w:rsid w:val="00DD1FE1"/>
    <w:rsid w:val="00DD231F"/>
    <w:rsid w:val="00DD2898"/>
    <w:rsid w:val="00DD315B"/>
    <w:rsid w:val="00DD3345"/>
    <w:rsid w:val="00DD35BD"/>
    <w:rsid w:val="00DD3735"/>
    <w:rsid w:val="00DD3F34"/>
    <w:rsid w:val="00DD3FB4"/>
    <w:rsid w:val="00DD451D"/>
    <w:rsid w:val="00DD47EA"/>
    <w:rsid w:val="00DD4CA9"/>
    <w:rsid w:val="00DD4F70"/>
    <w:rsid w:val="00DD5788"/>
    <w:rsid w:val="00DD5B41"/>
    <w:rsid w:val="00DD6388"/>
    <w:rsid w:val="00DD63E4"/>
    <w:rsid w:val="00DD6555"/>
    <w:rsid w:val="00DD67AB"/>
    <w:rsid w:val="00DD69AE"/>
    <w:rsid w:val="00DD6B74"/>
    <w:rsid w:val="00DD6C13"/>
    <w:rsid w:val="00DD710F"/>
    <w:rsid w:val="00DD73AC"/>
    <w:rsid w:val="00DD7AAC"/>
    <w:rsid w:val="00DD7EBB"/>
    <w:rsid w:val="00DD7F7A"/>
    <w:rsid w:val="00DE00AF"/>
    <w:rsid w:val="00DE014C"/>
    <w:rsid w:val="00DE0185"/>
    <w:rsid w:val="00DE0598"/>
    <w:rsid w:val="00DE079E"/>
    <w:rsid w:val="00DE0CA7"/>
    <w:rsid w:val="00DE0DFD"/>
    <w:rsid w:val="00DE0E43"/>
    <w:rsid w:val="00DE10A3"/>
    <w:rsid w:val="00DE120F"/>
    <w:rsid w:val="00DE155A"/>
    <w:rsid w:val="00DE1796"/>
    <w:rsid w:val="00DE1940"/>
    <w:rsid w:val="00DE1C5F"/>
    <w:rsid w:val="00DE1E36"/>
    <w:rsid w:val="00DE23BE"/>
    <w:rsid w:val="00DE247B"/>
    <w:rsid w:val="00DE2600"/>
    <w:rsid w:val="00DE319C"/>
    <w:rsid w:val="00DE33A2"/>
    <w:rsid w:val="00DE34EF"/>
    <w:rsid w:val="00DE3B00"/>
    <w:rsid w:val="00DE4C9D"/>
    <w:rsid w:val="00DE4D25"/>
    <w:rsid w:val="00DE50A4"/>
    <w:rsid w:val="00DE5833"/>
    <w:rsid w:val="00DE5C8C"/>
    <w:rsid w:val="00DE5E79"/>
    <w:rsid w:val="00DE60A4"/>
    <w:rsid w:val="00DE62C8"/>
    <w:rsid w:val="00DE64FF"/>
    <w:rsid w:val="00DE675A"/>
    <w:rsid w:val="00DE6E0C"/>
    <w:rsid w:val="00DE6EC4"/>
    <w:rsid w:val="00DE71CD"/>
    <w:rsid w:val="00DE7715"/>
    <w:rsid w:val="00DE7F9C"/>
    <w:rsid w:val="00DF17EC"/>
    <w:rsid w:val="00DF1DC7"/>
    <w:rsid w:val="00DF1EBD"/>
    <w:rsid w:val="00DF2292"/>
    <w:rsid w:val="00DF2702"/>
    <w:rsid w:val="00DF2809"/>
    <w:rsid w:val="00DF2A70"/>
    <w:rsid w:val="00DF2D57"/>
    <w:rsid w:val="00DF313B"/>
    <w:rsid w:val="00DF34D1"/>
    <w:rsid w:val="00DF3A5A"/>
    <w:rsid w:val="00DF3CD4"/>
    <w:rsid w:val="00DF407A"/>
    <w:rsid w:val="00DF4571"/>
    <w:rsid w:val="00DF4798"/>
    <w:rsid w:val="00DF47D6"/>
    <w:rsid w:val="00DF4960"/>
    <w:rsid w:val="00DF5900"/>
    <w:rsid w:val="00DF5EEE"/>
    <w:rsid w:val="00DF5FBB"/>
    <w:rsid w:val="00DF620C"/>
    <w:rsid w:val="00DF6484"/>
    <w:rsid w:val="00DF7131"/>
    <w:rsid w:val="00DF7195"/>
    <w:rsid w:val="00DF71B2"/>
    <w:rsid w:val="00DF72E5"/>
    <w:rsid w:val="00DF7687"/>
    <w:rsid w:val="00DF7B43"/>
    <w:rsid w:val="00DF7CBF"/>
    <w:rsid w:val="00DF7E0D"/>
    <w:rsid w:val="00E00C73"/>
    <w:rsid w:val="00E00EB9"/>
    <w:rsid w:val="00E015F1"/>
    <w:rsid w:val="00E01BF6"/>
    <w:rsid w:val="00E01F5C"/>
    <w:rsid w:val="00E0208E"/>
    <w:rsid w:val="00E02131"/>
    <w:rsid w:val="00E021AE"/>
    <w:rsid w:val="00E0267E"/>
    <w:rsid w:val="00E02E5D"/>
    <w:rsid w:val="00E02EEA"/>
    <w:rsid w:val="00E03182"/>
    <w:rsid w:val="00E032BE"/>
    <w:rsid w:val="00E03712"/>
    <w:rsid w:val="00E03751"/>
    <w:rsid w:val="00E03B67"/>
    <w:rsid w:val="00E03C39"/>
    <w:rsid w:val="00E03D37"/>
    <w:rsid w:val="00E03DF0"/>
    <w:rsid w:val="00E03EB4"/>
    <w:rsid w:val="00E048A2"/>
    <w:rsid w:val="00E04C9D"/>
    <w:rsid w:val="00E04D6F"/>
    <w:rsid w:val="00E0507A"/>
    <w:rsid w:val="00E05472"/>
    <w:rsid w:val="00E05C31"/>
    <w:rsid w:val="00E05F6E"/>
    <w:rsid w:val="00E065C1"/>
    <w:rsid w:val="00E06905"/>
    <w:rsid w:val="00E06A2B"/>
    <w:rsid w:val="00E06B6B"/>
    <w:rsid w:val="00E06F18"/>
    <w:rsid w:val="00E07510"/>
    <w:rsid w:val="00E0764F"/>
    <w:rsid w:val="00E07809"/>
    <w:rsid w:val="00E1021A"/>
    <w:rsid w:val="00E10400"/>
    <w:rsid w:val="00E10445"/>
    <w:rsid w:val="00E107AA"/>
    <w:rsid w:val="00E11179"/>
    <w:rsid w:val="00E113F8"/>
    <w:rsid w:val="00E11BF2"/>
    <w:rsid w:val="00E1225E"/>
    <w:rsid w:val="00E12575"/>
    <w:rsid w:val="00E12752"/>
    <w:rsid w:val="00E12820"/>
    <w:rsid w:val="00E1285D"/>
    <w:rsid w:val="00E12EA3"/>
    <w:rsid w:val="00E12F27"/>
    <w:rsid w:val="00E13010"/>
    <w:rsid w:val="00E13121"/>
    <w:rsid w:val="00E134C5"/>
    <w:rsid w:val="00E13691"/>
    <w:rsid w:val="00E13772"/>
    <w:rsid w:val="00E13BB7"/>
    <w:rsid w:val="00E13EDC"/>
    <w:rsid w:val="00E13F35"/>
    <w:rsid w:val="00E14AC6"/>
    <w:rsid w:val="00E14FA0"/>
    <w:rsid w:val="00E15345"/>
    <w:rsid w:val="00E15372"/>
    <w:rsid w:val="00E15859"/>
    <w:rsid w:val="00E158C1"/>
    <w:rsid w:val="00E15B30"/>
    <w:rsid w:val="00E16129"/>
    <w:rsid w:val="00E16D20"/>
    <w:rsid w:val="00E16F82"/>
    <w:rsid w:val="00E177C9"/>
    <w:rsid w:val="00E17B9E"/>
    <w:rsid w:val="00E17DDE"/>
    <w:rsid w:val="00E17F22"/>
    <w:rsid w:val="00E2043B"/>
    <w:rsid w:val="00E2059A"/>
    <w:rsid w:val="00E2076C"/>
    <w:rsid w:val="00E20881"/>
    <w:rsid w:val="00E20935"/>
    <w:rsid w:val="00E20950"/>
    <w:rsid w:val="00E20B78"/>
    <w:rsid w:val="00E20CBE"/>
    <w:rsid w:val="00E20E6F"/>
    <w:rsid w:val="00E2134A"/>
    <w:rsid w:val="00E218E2"/>
    <w:rsid w:val="00E21AA1"/>
    <w:rsid w:val="00E21E76"/>
    <w:rsid w:val="00E21F2F"/>
    <w:rsid w:val="00E22064"/>
    <w:rsid w:val="00E220A4"/>
    <w:rsid w:val="00E22525"/>
    <w:rsid w:val="00E2259E"/>
    <w:rsid w:val="00E22F28"/>
    <w:rsid w:val="00E230F7"/>
    <w:rsid w:val="00E232EA"/>
    <w:rsid w:val="00E2347E"/>
    <w:rsid w:val="00E2372E"/>
    <w:rsid w:val="00E243E8"/>
    <w:rsid w:val="00E2498F"/>
    <w:rsid w:val="00E249CE"/>
    <w:rsid w:val="00E24B35"/>
    <w:rsid w:val="00E24E10"/>
    <w:rsid w:val="00E252D2"/>
    <w:rsid w:val="00E25420"/>
    <w:rsid w:val="00E2598F"/>
    <w:rsid w:val="00E25AD0"/>
    <w:rsid w:val="00E25E3F"/>
    <w:rsid w:val="00E261B7"/>
    <w:rsid w:val="00E26223"/>
    <w:rsid w:val="00E26451"/>
    <w:rsid w:val="00E27034"/>
    <w:rsid w:val="00E27335"/>
    <w:rsid w:val="00E27DD3"/>
    <w:rsid w:val="00E3018D"/>
    <w:rsid w:val="00E3020C"/>
    <w:rsid w:val="00E3034E"/>
    <w:rsid w:val="00E3073F"/>
    <w:rsid w:val="00E308E2"/>
    <w:rsid w:val="00E30A1C"/>
    <w:rsid w:val="00E30D62"/>
    <w:rsid w:val="00E30E74"/>
    <w:rsid w:val="00E312B2"/>
    <w:rsid w:val="00E3143E"/>
    <w:rsid w:val="00E31715"/>
    <w:rsid w:val="00E32022"/>
    <w:rsid w:val="00E321B4"/>
    <w:rsid w:val="00E3330D"/>
    <w:rsid w:val="00E339B5"/>
    <w:rsid w:val="00E33A17"/>
    <w:rsid w:val="00E33CC1"/>
    <w:rsid w:val="00E3400C"/>
    <w:rsid w:val="00E347CA"/>
    <w:rsid w:val="00E34873"/>
    <w:rsid w:val="00E34928"/>
    <w:rsid w:val="00E34B00"/>
    <w:rsid w:val="00E355AC"/>
    <w:rsid w:val="00E358E7"/>
    <w:rsid w:val="00E35A16"/>
    <w:rsid w:val="00E35F24"/>
    <w:rsid w:val="00E36244"/>
    <w:rsid w:val="00E367BE"/>
    <w:rsid w:val="00E36FBE"/>
    <w:rsid w:val="00E370D3"/>
    <w:rsid w:val="00E37689"/>
    <w:rsid w:val="00E37B23"/>
    <w:rsid w:val="00E37BE3"/>
    <w:rsid w:val="00E37D9A"/>
    <w:rsid w:val="00E400C5"/>
    <w:rsid w:val="00E4027C"/>
    <w:rsid w:val="00E40AA2"/>
    <w:rsid w:val="00E411E4"/>
    <w:rsid w:val="00E41531"/>
    <w:rsid w:val="00E41DD7"/>
    <w:rsid w:val="00E425CA"/>
    <w:rsid w:val="00E43090"/>
    <w:rsid w:val="00E430FA"/>
    <w:rsid w:val="00E4327F"/>
    <w:rsid w:val="00E43639"/>
    <w:rsid w:val="00E437A0"/>
    <w:rsid w:val="00E4393E"/>
    <w:rsid w:val="00E43AAA"/>
    <w:rsid w:val="00E43CCB"/>
    <w:rsid w:val="00E44583"/>
    <w:rsid w:val="00E44AAA"/>
    <w:rsid w:val="00E44E2F"/>
    <w:rsid w:val="00E4546B"/>
    <w:rsid w:val="00E457E2"/>
    <w:rsid w:val="00E458A7"/>
    <w:rsid w:val="00E45A28"/>
    <w:rsid w:val="00E45FE9"/>
    <w:rsid w:val="00E4630B"/>
    <w:rsid w:val="00E463AB"/>
    <w:rsid w:val="00E46428"/>
    <w:rsid w:val="00E46676"/>
    <w:rsid w:val="00E46BA7"/>
    <w:rsid w:val="00E4722B"/>
    <w:rsid w:val="00E478FF"/>
    <w:rsid w:val="00E507ED"/>
    <w:rsid w:val="00E50AD5"/>
    <w:rsid w:val="00E50C4C"/>
    <w:rsid w:val="00E515D0"/>
    <w:rsid w:val="00E517D3"/>
    <w:rsid w:val="00E51B7F"/>
    <w:rsid w:val="00E51B98"/>
    <w:rsid w:val="00E523A5"/>
    <w:rsid w:val="00E5278A"/>
    <w:rsid w:val="00E52B44"/>
    <w:rsid w:val="00E52DB8"/>
    <w:rsid w:val="00E52FFA"/>
    <w:rsid w:val="00E532F8"/>
    <w:rsid w:val="00E53452"/>
    <w:rsid w:val="00E5349D"/>
    <w:rsid w:val="00E53A28"/>
    <w:rsid w:val="00E53F3D"/>
    <w:rsid w:val="00E540DE"/>
    <w:rsid w:val="00E54170"/>
    <w:rsid w:val="00E5490E"/>
    <w:rsid w:val="00E549B3"/>
    <w:rsid w:val="00E54A0F"/>
    <w:rsid w:val="00E551B8"/>
    <w:rsid w:val="00E55214"/>
    <w:rsid w:val="00E55F9E"/>
    <w:rsid w:val="00E563AA"/>
    <w:rsid w:val="00E564CC"/>
    <w:rsid w:val="00E569FD"/>
    <w:rsid w:val="00E56BD9"/>
    <w:rsid w:val="00E56DED"/>
    <w:rsid w:val="00E56FE1"/>
    <w:rsid w:val="00E570FA"/>
    <w:rsid w:val="00E572B8"/>
    <w:rsid w:val="00E57983"/>
    <w:rsid w:val="00E57C26"/>
    <w:rsid w:val="00E57E3B"/>
    <w:rsid w:val="00E57FF6"/>
    <w:rsid w:val="00E60C97"/>
    <w:rsid w:val="00E60CCC"/>
    <w:rsid w:val="00E60D7C"/>
    <w:rsid w:val="00E60E6F"/>
    <w:rsid w:val="00E6127F"/>
    <w:rsid w:val="00E612AA"/>
    <w:rsid w:val="00E615A2"/>
    <w:rsid w:val="00E61A54"/>
    <w:rsid w:val="00E61AE8"/>
    <w:rsid w:val="00E61EDD"/>
    <w:rsid w:val="00E61F29"/>
    <w:rsid w:val="00E61FCB"/>
    <w:rsid w:val="00E62028"/>
    <w:rsid w:val="00E6210A"/>
    <w:rsid w:val="00E628AA"/>
    <w:rsid w:val="00E62986"/>
    <w:rsid w:val="00E62BEA"/>
    <w:rsid w:val="00E62F5A"/>
    <w:rsid w:val="00E63134"/>
    <w:rsid w:val="00E63265"/>
    <w:rsid w:val="00E63569"/>
    <w:rsid w:val="00E64472"/>
    <w:rsid w:val="00E64E0E"/>
    <w:rsid w:val="00E64FD8"/>
    <w:rsid w:val="00E6522E"/>
    <w:rsid w:val="00E65A68"/>
    <w:rsid w:val="00E65CB7"/>
    <w:rsid w:val="00E65DAA"/>
    <w:rsid w:val="00E65F44"/>
    <w:rsid w:val="00E66032"/>
    <w:rsid w:val="00E66145"/>
    <w:rsid w:val="00E661EE"/>
    <w:rsid w:val="00E661F9"/>
    <w:rsid w:val="00E6622A"/>
    <w:rsid w:val="00E6652A"/>
    <w:rsid w:val="00E66BAC"/>
    <w:rsid w:val="00E66E48"/>
    <w:rsid w:val="00E67149"/>
    <w:rsid w:val="00E6757C"/>
    <w:rsid w:val="00E67635"/>
    <w:rsid w:val="00E67921"/>
    <w:rsid w:val="00E67D8E"/>
    <w:rsid w:val="00E702D2"/>
    <w:rsid w:val="00E705EA"/>
    <w:rsid w:val="00E7071D"/>
    <w:rsid w:val="00E70807"/>
    <w:rsid w:val="00E70E08"/>
    <w:rsid w:val="00E7101C"/>
    <w:rsid w:val="00E71173"/>
    <w:rsid w:val="00E71C01"/>
    <w:rsid w:val="00E7287F"/>
    <w:rsid w:val="00E72880"/>
    <w:rsid w:val="00E72BA3"/>
    <w:rsid w:val="00E730C2"/>
    <w:rsid w:val="00E731FA"/>
    <w:rsid w:val="00E7346A"/>
    <w:rsid w:val="00E735C4"/>
    <w:rsid w:val="00E736E2"/>
    <w:rsid w:val="00E73CA9"/>
    <w:rsid w:val="00E73DA3"/>
    <w:rsid w:val="00E7412D"/>
    <w:rsid w:val="00E74210"/>
    <w:rsid w:val="00E7447D"/>
    <w:rsid w:val="00E7454E"/>
    <w:rsid w:val="00E74655"/>
    <w:rsid w:val="00E74EB8"/>
    <w:rsid w:val="00E75795"/>
    <w:rsid w:val="00E75801"/>
    <w:rsid w:val="00E7582B"/>
    <w:rsid w:val="00E75B20"/>
    <w:rsid w:val="00E75B7C"/>
    <w:rsid w:val="00E75C4D"/>
    <w:rsid w:val="00E76A48"/>
    <w:rsid w:val="00E76BD9"/>
    <w:rsid w:val="00E775C5"/>
    <w:rsid w:val="00E77A44"/>
    <w:rsid w:val="00E80083"/>
    <w:rsid w:val="00E800DA"/>
    <w:rsid w:val="00E805FF"/>
    <w:rsid w:val="00E8082F"/>
    <w:rsid w:val="00E808EF"/>
    <w:rsid w:val="00E80CFE"/>
    <w:rsid w:val="00E80F1F"/>
    <w:rsid w:val="00E80F5D"/>
    <w:rsid w:val="00E8127F"/>
    <w:rsid w:val="00E8159C"/>
    <w:rsid w:val="00E81F3A"/>
    <w:rsid w:val="00E81FCC"/>
    <w:rsid w:val="00E82004"/>
    <w:rsid w:val="00E8247B"/>
    <w:rsid w:val="00E82577"/>
    <w:rsid w:val="00E8263E"/>
    <w:rsid w:val="00E8275C"/>
    <w:rsid w:val="00E8283E"/>
    <w:rsid w:val="00E82DE1"/>
    <w:rsid w:val="00E831E0"/>
    <w:rsid w:val="00E83276"/>
    <w:rsid w:val="00E8331D"/>
    <w:rsid w:val="00E8333E"/>
    <w:rsid w:val="00E8380D"/>
    <w:rsid w:val="00E83B4A"/>
    <w:rsid w:val="00E83C45"/>
    <w:rsid w:val="00E845C9"/>
    <w:rsid w:val="00E84679"/>
    <w:rsid w:val="00E8477B"/>
    <w:rsid w:val="00E84CAF"/>
    <w:rsid w:val="00E8506D"/>
    <w:rsid w:val="00E85150"/>
    <w:rsid w:val="00E8515F"/>
    <w:rsid w:val="00E8523C"/>
    <w:rsid w:val="00E859D2"/>
    <w:rsid w:val="00E85A68"/>
    <w:rsid w:val="00E85CB8"/>
    <w:rsid w:val="00E870D2"/>
    <w:rsid w:val="00E871E4"/>
    <w:rsid w:val="00E87C3B"/>
    <w:rsid w:val="00E87E11"/>
    <w:rsid w:val="00E87EA0"/>
    <w:rsid w:val="00E902A0"/>
    <w:rsid w:val="00E903A7"/>
    <w:rsid w:val="00E90AC9"/>
    <w:rsid w:val="00E90AF0"/>
    <w:rsid w:val="00E90C3D"/>
    <w:rsid w:val="00E90C93"/>
    <w:rsid w:val="00E91275"/>
    <w:rsid w:val="00E91427"/>
    <w:rsid w:val="00E91624"/>
    <w:rsid w:val="00E91CBC"/>
    <w:rsid w:val="00E920BE"/>
    <w:rsid w:val="00E927BA"/>
    <w:rsid w:val="00E92902"/>
    <w:rsid w:val="00E9291C"/>
    <w:rsid w:val="00E92D86"/>
    <w:rsid w:val="00E93033"/>
    <w:rsid w:val="00E93457"/>
    <w:rsid w:val="00E935CE"/>
    <w:rsid w:val="00E936D3"/>
    <w:rsid w:val="00E93730"/>
    <w:rsid w:val="00E93969"/>
    <w:rsid w:val="00E93B20"/>
    <w:rsid w:val="00E93C05"/>
    <w:rsid w:val="00E93DF4"/>
    <w:rsid w:val="00E93E07"/>
    <w:rsid w:val="00E942C8"/>
    <w:rsid w:val="00E9430B"/>
    <w:rsid w:val="00E946B7"/>
    <w:rsid w:val="00E94730"/>
    <w:rsid w:val="00E9487F"/>
    <w:rsid w:val="00E94B45"/>
    <w:rsid w:val="00E94FB6"/>
    <w:rsid w:val="00E95190"/>
    <w:rsid w:val="00E952CF"/>
    <w:rsid w:val="00E9535C"/>
    <w:rsid w:val="00E95740"/>
    <w:rsid w:val="00E96134"/>
    <w:rsid w:val="00E9622D"/>
    <w:rsid w:val="00E96510"/>
    <w:rsid w:val="00E96AF0"/>
    <w:rsid w:val="00E979C1"/>
    <w:rsid w:val="00E97BEA"/>
    <w:rsid w:val="00EA01E5"/>
    <w:rsid w:val="00EA0242"/>
    <w:rsid w:val="00EA026E"/>
    <w:rsid w:val="00EA0742"/>
    <w:rsid w:val="00EA0ACB"/>
    <w:rsid w:val="00EA0EDE"/>
    <w:rsid w:val="00EA11BE"/>
    <w:rsid w:val="00EA144F"/>
    <w:rsid w:val="00EA17D0"/>
    <w:rsid w:val="00EA189A"/>
    <w:rsid w:val="00EA1915"/>
    <w:rsid w:val="00EA195A"/>
    <w:rsid w:val="00EA1AB0"/>
    <w:rsid w:val="00EA1CD2"/>
    <w:rsid w:val="00EA1EFF"/>
    <w:rsid w:val="00EA1FCE"/>
    <w:rsid w:val="00EA2284"/>
    <w:rsid w:val="00EA25C5"/>
    <w:rsid w:val="00EA2B81"/>
    <w:rsid w:val="00EA32EB"/>
    <w:rsid w:val="00EA3424"/>
    <w:rsid w:val="00EA3C24"/>
    <w:rsid w:val="00EA4359"/>
    <w:rsid w:val="00EA4572"/>
    <w:rsid w:val="00EA49CA"/>
    <w:rsid w:val="00EA4D84"/>
    <w:rsid w:val="00EA524C"/>
    <w:rsid w:val="00EA5C57"/>
    <w:rsid w:val="00EA5C6E"/>
    <w:rsid w:val="00EA607B"/>
    <w:rsid w:val="00EA6276"/>
    <w:rsid w:val="00EA62DD"/>
    <w:rsid w:val="00EA6495"/>
    <w:rsid w:val="00EA64E4"/>
    <w:rsid w:val="00EA6729"/>
    <w:rsid w:val="00EA6BF4"/>
    <w:rsid w:val="00EA6D84"/>
    <w:rsid w:val="00EA6E4C"/>
    <w:rsid w:val="00EA6EAB"/>
    <w:rsid w:val="00EA6F08"/>
    <w:rsid w:val="00EA7305"/>
    <w:rsid w:val="00EA7701"/>
    <w:rsid w:val="00EA791D"/>
    <w:rsid w:val="00EA7A8A"/>
    <w:rsid w:val="00EA7A8F"/>
    <w:rsid w:val="00EA7BD0"/>
    <w:rsid w:val="00EA7EA9"/>
    <w:rsid w:val="00EA7FEE"/>
    <w:rsid w:val="00EB08A1"/>
    <w:rsid w:val="00EB0E8C"/>
    <w:rsid w:val="00EB12F8"/>
    <w:rsid w:val="00EB1415"/>
    <w:rsid w:val="00EB150B"/>
    <w:rsid w:val="00EB2753"/>
    <w:rsid w:val="00EB27BA"/>
    <w:rsid w:val="00EB2D0E"/>
    <w:rsid w:val="00EB4746"/>
    <w:rsid w:val="00EB4C35"/>
    <w:rsid w:val="00EB5684"/>
    <w:rsid w:val="00EB588B"/>
    <w:rsid w:val="00EB5B43"/>
    <w:rsid w:val="00EB5C77"/>
    <w:rsid w:val="00EB6066"/>
    <w:rsid w:val="00EB60AC"/>
    <w:rsid w:val="00EB6116"/>
    <w:rsid w:val="00EB61E7"/>
    <w:rsid w:val="00EB64E6"/>
    <w:rsid w:val="00EB650A"/>
    <w:rsid w:val="00EB65DF"/>
    <w:rsid w:val="00EB67D9"/>
    <w:rsid w:val="00EB6B39"/>
    <w:rsid w:val="00EB70F1"/>
    <w:rsid w:val="00EB7469"/>
    <w:rsid w:val="00EB75C0"/>
    <w:rsid w:val="00EB7DB2"/>
    <w:rsid w:val="00EB7E67"/>
    <w:rsid w:val="00EB7F38"/>
    <w:rsid w:val="00EB7F93"/>
    <w:rsid w:val="00EC022D"/>
    <w:rsid w:val="00EC0676"/>
    <w:rsid w:val="00EC0F7E"/>
    <w:rsid w:val="00EC14D1"/>
    <w:rsid w:val="00EC1E79"/>
    <w:rsid w:val="00EC1EBB"/>
    <w:rsid w:val="00EC204D"/>
    <w:rsid w:val="00EC21BC"/>
    <w:rsid w:val="00EC2890"/>
    <w:rsid w:val="00EC28A0"/>
    <w:rsid w:val="00EC2A25"/>
    <w:rsid w:val="00EC2CB0"/>
    <w:rsid w:val="00EC2FF4"/>
    <w:rsid w:val="00EC3015"/>
    <w:rsid w:val="00EC3027"/>
    <w:rsid w:val="00EC30A2"/>
    <w:rsid w:val="00EC313B"/>
    <w:rsid w:val="00EC3340"/>
    <w:rsid w:val="00EC33A7"/>
    <w:rsid w:val="00EC3777"/>
    <w:rsid w:val="00EC3B9C"/>
    <w:rsid w:val="00EC3F2A"/>
    <w:rsid w:val="00EC4039"/>
    <w:rsid w:val="00EC41A7"/>
    <w:rsid w:val="00EC50BF"/>
    <w:rsid w:val="00EC514F"/>
    <w:rsid w:val="00EC52BC"/>
    <w:rsid w:val="00EC564B"/>
    <w:rsid w:val="00EC5751"/>
    <w:rsid w:val="00EC5A82"/>
    <w:rsid w:val="00EC5AB4"/>
    <w:rsid w:val="00EC63E9"/>
    <w:rsid w:val="00EC64DE"/>
    <w:rsid w:val="00EC7148"/>
    <w:rsid w:val="00EC755F"/>
    <w:rsid w:val="00EC75AA"/>
    <w:rsid w:val="00EC75C9"/>
    <w:rsid w:val="00EC77BA"/>
    <w:rsid w:val="00EC7827"/>
    <w:rsid w:val="00EC7C32"/>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967"/>
    <w:rsid w:val="00ED1A56"/>
    <w:rsid w:val="00ED1E0F"/>
    <w:rsid w:val="00ED2422"/>
    <w:rsid w:val="00ED2C2B"/>
    <w:rsid w:val="00ED2DE9"/>
    <w:rsid w:val="00ED31D3"/>
    <w:rsid w:val="00ED350A"/>
    <w:rsid w:val="00ED3887"/>
    <w:rsid w:val="00ED38E3"/>
    <w:rsid w:val="00ED4359"/>
    <w:rsid w:val="00ED4BE8"/>
    <w:rsid w:val="00ED52FE"/>
    <w:rsid w:val="00ED54DF"/>
    <w:rsid w:val="00ED590D"/>
    <w:rsid w:val="00ED5972"/>
    <w:rsid w:val="00ED5B34"/>
    <w:rsid w:val="00ED5B4E"/>
    <w:rsid w:val="00ED5F65"/>
    <w:rsid w:val="00ED65E2"/>
    <w:rsid w:val="00ED66C0"/>
    <w:rsid w:val="00ED66EE"/>
    <w:rsid w:val="00ED6C2B"/>
    <w:rsid w:val="00ED70F5"/>
    <w:rsid w:val="00ED71CA"/>
    <w:rsid w:val="00ED7B9B"/>
    <w:rsid w:val="00EE0785"/>
    <w:rsid w:val="00EE1028"/>
    <w:rsid w:val="00EE11BF"/>
    <w:rsid w:val="00EE1349"/>
    <w:rsid w:val="00EE14FF"/>
    <w:rsid w:val="00EE1A70"/>
    <w:rsid w:val="00EE1D43"/>
    <w:rsid w:val="00EE1DD9"/>
    <w:rsid w:val="00EE1E5A"/>
    <w:rsid w:val="00EE2012"/>
    <w:rsid w:val="00EE25E2"/>
    <w:rsid w:val="00EE2AC7"/>
    <w:rsid w:val="00EE2B94"/>
    <w:rsid w:val="00EE2FB2"/>
    <w:rsid w:val="00EE30AA"/>
    <w:rsid w:val="00EE325D"/>
    <w:rsid w:val="00EE32B3"/>
    <w:rsid w:val="00EE334F"/>
    <w:rsid w:val="00EE335F"/>
    <w:rsid w:val="00EE395F"/>
    <w:rsid w:val="00EE39B3"/>
    <w:rsid w:val="00EE3A58"/>
    <w:rsid w:val="00EE3E44"/>
    <w:rsid w:val="00EE449E"/>
    <w:rsid w:val="00EE4EF2"/>
    <w:rsid w:val="00EE4F94"/>
    <w:rsid w:val="00EE5A0F"/>
    <w:rsid w:val="00EE5A51"/>
    <w:rsid w:val="00EE5F7B"/>
    <w:rsid w:val="00EE6A23"/>
    <w:rsid w:val="00EE6D45"/>
    <w:rsid w:val="00EE726D"/>
    <w:rsid w:val="00EE72B4"/>
    <w:rsid w:val="00EE7475"/>
    <w:rsid w:val="00EE74B7"/>
    <w:rsid w:val="00EE765D"/>
    <w:rsid w:val="00EE766D"/>
    <w:rsid w:val="00EE7DB0"/>
    <w:rsid w:val="00EE7F09"/>
    <w:rsid w:val="00EF0112"/>
    <w:rsid w:val="00EF0C56"/>
    <w:rsid w:val="00EF0D73"/>
    <w:rsid w:val="00EF102B"/>
    <w:rsid w:val="00EF1272"/>
    <w:rsid w:val="00EF17C4"/>
    <w:rsid w:val="00EF181E"/>
    <w:rsid w:val="00EF1A3E"/>
    <w:rsid w:val="00EF1BD9"/>
    <w:rsid w:val="00EF20C4"/>
    <w:rsid w:val="00EF26CE"/>
    <w:rsid w:val="00EF2806"/>
    <w:rsid w:val="00EF2925"/>
    <w:rsid w:val="00EF2A2B"/>
    <w:rsid w:val="00EF2F07"/>
    <w:rsid w:val="00EF378E"/>
    <w:rsid w:val="00EF3CE2"/>
    <w:rsid w:val="00EF4158"/>
    <w:rsid w:val="00EF43EE"/>
    <w:rsid w:val="00EF49CE"/>
    <w:rsid w:val="00EF4D42"/>
    <w:rsid w:val="00EF510B"/>
    <w:rsid w:val="00EF5483"/>
    <w:rsid w:val="00EF5892"/>
    <w:rsid w:val="00EF5A01"/>
    <w:rsid w:val="00EF5DEA"/>
    <w:rsid w:val="00EF5EB0"/>
    <w:rsid w:val="00EF60C7"/>
    <w:rsid w:val="00EF60DA"/>
    <w:rsid w:val="00EF645D"/>
    <w:rsid w:val="00EF6720"/>
    <w:rsid w:val="00EF6817"/>
    <w:rsid w:val="00EF6885"/>
    <w:rsid w:val="00EF6AE6"/>
    <w:rsid w:val="00EF6CBD"/>
    <w:rsid w:val="00EF6CCA"/>
    <w:rsid w:val="00EF6E42"/>
    <w:rsid w:val="00EF7085"/>
    <w:rsid w:val="00EF71E8"/>
    <w:rsid w:val="00EF78A9"/>
    <w:rsid w:val="00EF7B1C"/>
    <w:rsid w:val="00EF7FBC"/>
    <w:rsid w:val="00F00406"/>
    <w:rsid w:val="00F00700"/>
    <w:rsid w:val="00F0082C"/>
    <w:rsid w:val="00F00850"/>
    <w:rsid w:val="00F00F64"/>
    <w:rsid w:val="00F014CA"/>
    <w:rsid w:val="00F018B0"/>
    <w:rsid w:val="00F01BB6"/>
    <w:rsid w:val="00F0210B"/>
    <w:rsid w:val="00F021DC"/>
    <w:rsid w:val="00F02614"/>
    <w:rsid w:val="00F02653"/>
    <w:rsid w:val="00F02858"/>
    <w:rsid w:val="00F02C20"/>
    <w:rsid w:val="00F03070"/>
    <w:rsid w:val="00F03279"/>
    <w:rsid w:val="00F03A5C"/>
    <w:rsid w:val="00F03ADB"/>
    <w:rsid w:val="00F044E5"/>
    <w:rsid w:val="00F045B0"/>
    <w:rsid w:val="00F045D8"/>
    <w:rsid w:val="00F04A2E"/>
    <w:rsid w:val="00F04D87"/>
    <w:rsid w:val="00F04E40"/>
    <w:rsid w:val="00F05EAE"/>
    <w:rsid w:val="00F0610A"/>
    <w:rsid w:val="00F063F6"/>
    <w:rsid w:val="00F063FF"/>
    <w:rsid w:val="00F066E5"/>
    <w:rsid w:val="00F06F30"/>
    <w:rsid w:val="00F0735C"/>
    <w:rsid w:val="00F0759E"/>
    <w:rsid w:val="00F075A0"/>
    <w:rsid w:val="00F078C4"/>
    <w:rsid w:val="00F07A9D"/>
    <w:rsid w:val="00F07C5C"/>
    <w:rsid w:val="00F07F77"/>
    <w:rsid w:val="00F10315"/>
    <w:rsid w:val="00F10391"/>
    <w:rsid w:val="00F1039A"/>
    <w:rsid w:val="00F10534"/>
    <w:rsid w:val="00F107BB"/>
    <w:rsid w:val="00F10997"/>
    <w:rsid w:val="00F10A3D"/>
    <w:rsid w:val="00F117BF"/>
    <w:rsid w:val="00F117C6"/>
    <w:rsid w:val="00F11845"/>
    <w:rsid w:val="00F11A17"/>
    <w:rsid w:val="00F11CCE"/>
    <w:rsid w:val="00F12146"/>
    <w:rsid w:val="00F127D1"/>
    <w:rsid w:val="00F12DE9"/>
    <w:rsid w:val="00F1323A"/>
    <w:rsid w:val="00F13389"/>
    <w:rsid w:val="00F135CA"/>
    <w:rsid w:val="00F13770"/>
    <w:rsid w:val="00F13819"/>
    <w:rsid w:val="00F13D0B"/>
    <w:rsid w:val="00F13EB3"/>
    <w:rsid w:val="00F140DC"/>
    <w:rsid w:val="00F141D9"/>
    <w:rsid w:val="00F14522"/>
    <w:rsid w:val="00F146B2"/>
    <w:rsid w:val="00F146CB"/>
    <w:rsid w:val="00F1472C"/>
    <w:rsid w:val="00F14B62"/>
    <w:rsid w:val="00F14BE0"/>
    <w:rsid w:val="00F14D52"/>
    <w:rsid w:val="00F15643"/>
    <w:rsid w:val="00F15ED8"/>
    <w:rsid w:val="00F16118"/>
    <w:rsid w:val="00F16474"/>
    <w:rsid w:val="00F169D7"/>
    <w:rsid w:val="00F16D7C"/>
    <w:rsid w:val="00F171F2"/>
    <w:rsid w:val="00F17357"/>
    <w:rsid w:val="00F17465"/>
    <w:rsid w:val="00F174E3"/>
    <w:rsid w:val="00F17A61"/>
    <w:rsid w:val="00F17B2F"/>
    <w:rsid w:val="00F17CD2"/>
    <w:rsid w:val="00F20301"/>
    <w:rsid w:val="00F20751"/>
    <w:rsid w:val="00F20D27"/>
    <w:rsid w:val="00F20E52"/>
    <w:rsid w:val="00F211B8"/>
    <w:rsid w:val="00F21554"/>
    <w:rsid w:val="00F218B5"/>
    <w:rsid w:val="00F21910"/>
    <w:rsid w:val="00F21A92"/>
    <w:rsid w:val="00F21D1C"/>
    <w:rsid w:val="00F22029"/>
    <w:rsid w:val="00F221B2"/>
    <w:rsid w:val="00F2288F"/>
    <w:rsid w:val="00F228C8"/>
    <w:rsid w:val="00F23246"/>
    <w:rsid w:val="00F23641"/>
    <w:rsid w:val="00F2467E"/>
    <w:rsid w:val="00F2487C"/>
    <w:rsid w:val="00F24D4C"/>
    <w:rsid w:val="00F25026"/>
    <w:rsid w:val="00F251B4"/>
    <w:rsid w:val="00F252BA"/>
    <w:rsid w:val="00F2534D"/>
    <w:rsid w:val="00F25ABA"/>
    <w:rsid w:val="00F25FB7"/>
    <w:rsid w:val="00F2601D"/>
    <w:rsid w:val="00F26726"/>
    <w:rsid w:val="00F26A26"/>
    <w:rsid w:val="00F27D62"/>
    <w:rsid w:val="00F300CD"/>
    <w:rsid w:val="00F30670"/>
    <w:rsid w:val="00F306D9"/>
    <w:rsid w:val="00F30F2F"/>
    <w:rsid w:val="00F314F6"/>
    <w:rsid w:val="00F3151A"/>
    <w:rsid w:val="00F31674"/>
    <w:rsid w:val="00F3176E"/>
    <w:rsid w:val="00F319E6"/>
    <w:rsid w:val="00F31C19"/>
    <w:rsid w:val="00F32532"/>
    <w:rsid w:val="00F3254B"/>
    <w:rsid w:val="00F329E2"/>
    <w:rsid w:val="00F32AB1"/>
    <w:rsid w:val="00F32B20"/>
    <w:rsid w:val="00F32D5B"/>
    <w:rsid w:val="00F331CA"/>
    <w:rsid w:val="00F337CB"/>
    <w:rsid w:val="00F33BD7"/>
    <w:rsid w:val="00F33FAB"/>
    <w:rsid w:val="00F34310"/>
    <w:rsid w:val="00F34433"/>
    <w:rsid w:val="00F34630"/>
    <w:rsid w:val="00F348D3"/>
    <w:rsid w:val="00F34DBA"/>
    <w:rsid w:val="00F34F15"/>
    <w:rsid w:val="00F34F25"/>
    <w:rsid w:val="00F3524A"/>
    <w:rsid w:val="00F354FE"/>
    <w:rsid w:val="00F3588E"/>
    <w:rsid w:val="00F35EAC"/>
    <w:rsid w:val="00F36186"/>
    <w:rsid w:val="00F361FE"/>
    <w:rsid w:val="00F36299"/>
    <w:rsid w:val="00F362B5"/>
    <w:rsid w:val="00F36647"/>
    <w:rsid w:val="00F366FC"/>
    <w:rsid w:val="00F369CA"/>
    <w:rsid w:val="00F36B7C"/>
    <w:rsid w:val="00F36C62"/>
    <w:rsid w:val="00F371AD"/>
    <w:rsid w:val="00F37931"/>
    <w:rsid w:val="00F37A1B"/>
    <w:rsid w:val="00F37E2D"/>
    <w:rsid w:val="00F40258"/>
    <w:rsid w:val="00F40416"/>
    <w:rsid w:val="00F40630"/>
    <w:rsid w:val="00F40DA7"/>
    <w:rsid w:val="00F4150D"/>
    <w:rsid w:val="00F4179A"/>
    <w:rsid w:val="00F4185A"/>
    <w:rsid w:val="00F418C3"/>
    <w:rsid w:val="00F42507"/>
    <w:rsid w:val="00F42553"/>
    <w:rsid w:val="00F425D0"/>
    <w:rsid w:val="00F4289F"/>
    <w:rsid w:val="00F42AAE"/>
    <w:rsid w:val="00F4304C"/>
    <w:rsid w:val="00F4341D"/>
    <w:rsid w:val="00F437C1"/>
    <w:rsid w:val="00F43827"/>
    <w:rsid w:val="00F43B07"/>
    <w:rsid w:val="00F43BAE"/>
    <w:rsid w:val="00F43BBB"/>
    <w:rsid w:val="00F43DFD"/>
    <w:rsid w:val="00F43F83"/>
    <w:rsid w:val="00F440CC"/>
    <w:rsid w:val="00F444BC"/>
    <w:rsid w:val="00F44696"/>
    <w:rsid w:val="00F44AB5"/>
    <w:rsid w:val="00F44AF9"/>
    <w:rsid w:val="00F44E8D"/>
    <w:rsid w:val="00F45628"/>
    <w:rsid w:val="00F45A9C"/>
    <w:rsid w:val="00F45E31"/>
    <w:rsid w:val="00F45EF8"/>
    <w:rsid w:val="00F462FD"/>
    <w:rsid w:val="00F46358"/>
    <w:rsid w:val="00F4648F"/>
    <w:rsid w:val="00F468B3"/>
    <w:rsid w:val="00F46989"/>
    <w:rsid w:val="00F46DB6"/>
    <w:rsid w:val="00F46FD7"/>
    <w:rsid w:val="00F4700C"/>
    <w:rsid w:val="00F473A7"/>
    <w:rsid w:val="00F479F4"/>
    <w:rsid w:val="00F47BB3"/>
    <w:rsid w:val="00F47CFB"/>
    <w:rsid w:val="00F47E2B"/>
    <w:rsid w:val="00F5078B"/>
    <w:rsid w:val="00F50961"/>
    <w:rsid w:val="00F50D6A"/>
    <w:rsid w:val="00F511EB"/>
    <w:rsid w:val="00F51B29"/>
    <w:rsid w:val="00F51BBA"/>
    <w:rsid w:val="00F523EC"/>
    <w:rsid w:val="00F52709"/>
    <w:rsid w:val="00F527E2"/>
    <w:rsid w:val="00F527E7"/>
    <w:rsid w:val="00F52EFC"/>
    <w:rsid w:val="00F531AB"/>
    <w:rsid w:val="00F53692"/>
    <w:rsid w:val="00F539E5"/>
    <w:rsid w:val="00F53C46"/>
    <w:rsid w:val="00F54071"/>
    <w:rsid w:val="00F5491E"/>
    <w:rsid w:val="00F54A44"/>
    <w:rsid w:val="00F54AB1"/>
    <w:rsid w:val="00F550A4"/>
    <w:rsid w:val="00F5510C"/>
    <w:rsid w:val="00F55380"/>
    <w:rsid w:val="00F554B2"/>
    <w:rsid w:val="00F55F05"/>
    <w:rsid w:val="00F56294"/>
    <w:rsid w:val="00F563C2"/>
    <w:rsid w:val="00F56BF9"/>
    <w:rsid w:val="00F56C73"/>
    <w:rsid w:val="00F570A2"/>
    <w:rsid w:val="00F57425"/>
    <w:rsid w:val="00F5770D"/>
    <w:rsid w:val="00F5776B"/>
    <w:rsid w:val="00F57991"/>
    <w:rsid w:val="00F57E8C"/>
    <w:rsid w:val="00F602C1"/>
    <w:rsid w:val="00F60586"/>
    <w:rsid w:val="00F60647"/>
    <w:rsid w:val="00F609D2"/>
    <w:rsid w:val="00F60A01"/>
    <w:rsid w:val="00F60A1C"/>
    <w:rsid w:val="00F61293"/>
    <w:rsid w:val="00F61322"/>
    <w:rsid w:val="00F61398"/>
    <w:rsid w:val="00F61506"/>
    <w:rsid w:val="00F61701"/>
    <w:rsid w:val="00F617B5"/>
    <w:rsid w:val="00F618DA"/>
    <w:rsid w:val="00F61C72"/>
    <w:rsid w:val="00F61D3D"/>
    <w:rsid w:val="00F621A9"/>
    <w:rsid w:val="00F62C2B"/>
    <w:rsid w:val="00F62DC9"/>
    <w:rsid w:val="00F62E8F"/>
    <w:rsid w:val="00F62FAF"/>
    <w:rsid w:val="00F63401"/>
    <w:rsid w:val="00F6367E"/>
    <w:rsid w:val="00F63B80"/>
    <w:rsid w:val="00F643E7"/>
    <w:rsid w:val="00F64666"/>
    <w:rsid w:val="00F646FA"/>
    <w:rsid w:val="00F64775"/>
    <w:rsid w:val="00F64F70"/>
    <w:rsid w:val="00F64FF8"/>
    <w:rsid w:val="00F65223"/>
    <w:rsid w:val="00F65366"/>
    <w:rsid w:val="00F65B20"/>
    <w:rsid w:val="00F65D77"/>
    <w:rsid w:val="00F65FAE"/>
    <w:rsid w:val="00F660D1"/>
    <w:rsid w:val="00F66B69"/>
    <w:rsid w:val="00F673E1"/>
    <w:rsid w:val="00F6760A"/>
    <w:rsid w:val="00F6782D"/>
    <w:rsid w:val="00F6789B"/>
    <w:rsid w:val="00F67F32"/>
    <w:rsid w:val="00F70286"/>
    <w:rsid w:val="00F705D0"/>
    <w:rsid w:val="00F70857"/>
    <w:rsid w:val="00F70AB4"/>
    <w:rsid w:val="00F70D78"/>
    <w:rsid w:val="00F70EA1"/>
    <w:rsid w:val="00F70F66"/>
    <w:rsid w:val="00F711C6"/>
    <w:rsid w:val="00F7137E"/>
    <w:rsid w:val="00F71922"/>
    <w:rsid w:val="00F71A16"/>
    <w:rsid w:val="00F71AB8"/>
    <w:rsid w:val="00F71E0B"/>
    <w:rsid w:val="00F7223A"/>
    <w:rsid w:val="00F7248A"/>
    <w:rsid w:val="00F72961"/>
    <w:rsid w:val="00F72B2A"/>
    <w:rsid w:val="00F72F6C"/>
    <w:rsid w:val="00F73829"/>
    <w:rsid w:val="00F73ADF"/>
    <w:rsid w:val="00F744BA"/>
    <w:rsid w:val="00F748FC"/>
    <w:rsid w:val="00F74B00"/>
    <w:rsid w:val="00F750B2"/>
    <w:rsid w:val="00F75235"/>
    <w:rsid w:val="00F75C7E"/>
    <w:rsid w:val="00F75DDF"/>
    <w:rsid w:val="00F76163"/>
    <w:rsid w:val="00F762C4"/>
    <w:rsid w:val="00F763AE"/>
    <w:rsid w:val="00F768A6"/>
    <w:rsid w:val="00F7699C"/>
    <w:rsid w:val="00F76D99"/>
    <w:rsid w:val="00F774C7"/>
    <w:rsid w:val="00F77AA7"/>
    <w:rsid w:val="00F77EDC"/>
    <w:rsid w:val="00F80364"/>
    <w:rsid w:val="00F80AED"/>
    <w:rsid w:val="00F80B0F"/>
    <w:rsid w:val="00F80CE0"/>
    <w:rsid w:val="00F810AC"/>
    <w:rsid w:val="00F810EB"/>
    <w:rsid w:val="00F81344"/>
    <w:rsid w:val="00F81458"/>
    <w:rsid w:val="00F81562"/>
    <w:rsid w:val="00F8180E"/>
    <w:rsid w:val="00F81A41"/>
    <w:rsid w:val="00F81A44"/>
    <w:rsid w:val="00F81DFE"/>
    <w:rsid w:val="00F82091"/>
    <w:rsid w:val="00F822BF"/>
    <w:rsid w:val="00F82382"/>
    <w:rsid w:val="00F826BF"/>
    <w:rsid w:val="00F82910"/>
    <w:rsid w:val="00F82ACC"/>
    <w:rsid w:val="00F82CD0"/>
    <w:rsid w:val="00F83277"/>
    <w:rsid w:val="00F83DAA"/>
    <w:rsid w:val="00F83FB9"/>
    <w:rsid w:val="00F84049"/>
    <w:rsid w:val="00F84218"/>
    <w:rsid w:val="00F8429B"/>
    <w:rsid w:val="00F8459A"/>
    <w:rsid w:val="00F84B7D"/>
    <w:rsid w:val="00F84BEB"/>
    <w:rsid w:val="00F84DB7"/>
    <w:rsid w:val="00F84F21"/>
    <w:rsid w:val="00F856C7"/>
    <w:rsid w:val="00F85869"/>
    <w:rsid w:val="00F85EC5"/>
    <w:rsid w:val="00F863F5"/>
    <w:rsid w:val="00F86ACD"/>
    <w:rsid w:val="00F86DF8"/>
    <w:rsid w:val="00F86EC0"/>
    <w:rsid w:val="00F86F76"/>
    <w:rsid w:val="00F872D6"/>
    <w:rsid w:val="00F87427"/>
    <w:rsid w:val="00F8799A"/>
    <w:rsid w:val="00F879B0"/>
    <w:rsid w:val="00F9018D"/>
    <w:rsid w:val="00F901AF"/>
    <w:rsid w:val="00F9023E"/>
    <w:rsid w:val="00F904A7"/>
    <w:rsid w:val="00F905CA"/>
    <w:rsid w:val="00F906E3"/>
    <w:rsid w:val="00F90B6E"/>
    <w:rsid w:val="00F90BDC"/>
    <w:rsid w:val="00F90D3D"/>
    <w:rsid w:val="00F910A0"/>
    <w:rsid w:val="00F91533"/>
    <w:rsid w:val="00F91630"/>
    <w:rsid w:val="00F92496"/>
    <w:rsid w:val="00F93329"/>
    <w:rsid w:val="00F9354E"/>
    <w:rsid w:val="00F936A9"/>
    <w:rsid w:val="00F9380C"/>
    <w:rsid w:val="00F9411D"/>
    <w:rsid w:val="00F945F5"/>
    <w:rsid w:val="00F946BA"/>
    <w:rsid w:val="00F9588F"/>
    <w:rsid w:val="00F959C4"/>
    <w:rsid w:val="00F95A21"/>
    <w:rsid w:val="00F95C0F"/>
    <w:rsid w:val="00F96422"/>
    <w:rsid w:val="00F9671B"/>
    <w:rsid w:val="00F96723"/>
    <w:rsid w:val="00F96A3B"/>
    <w:rsid w:val="00F97273"/>
    <w:rsid w:val="00F977E3"/>
    <w:rsid w:val="00FA0610"/>
    <w:rsid w:val="00FA07A7"/>
    <w:rsid w:val="00FA0995"/>
    <w:rsid w:val="00FA09AE"/>
    <w:rsid w:val="00FA0C78"/>
    <w:rsid w:val="00FA11CA"/>
    <w:rsid w:val="00FA1786"/>
    <w:rsid w:val="00FA181D"/>
    <w:rsid w:val="00FA19C1"/>
    <w:rsid w:val="00FA1A09"/>
    <w:rsid w:val="00FA1B02"/>
    <w:rsid w:val="00FA1D92"/>
    <w:rsid w:val="00FA1E24"/>
    <w:rsid w:val="00FA2105"/>
    <w:rsid w:val="00FA2317"/>
    <w:rsid w:val="00FA3426"/>
    <w:rsid w:val="00FA34AD"/>
    <w:rsid w:val="00FA3F5E"/>
    <w:rsid w:val="00FA4B71"/>
    <w:rsid w:val="00FA4D02"/>
    <w:rsid w:val="00FA4F71"/>
    <w:rsid w:val="00FA4FC2"/>
    <w:rsid w:val="00FA5108"/>
    <w:rsid w:val="00FA512A"/>
    <w:rsid w:val="00FA54AC"/>
    <w:rsid w:val="00FA5636"/>
    <w:rsid w:val="00FA5E03"/>
    <w:rsid w:val="00FA5F1D"/>
    <w:rsid w:val="00FA623D"/>
    <w:rsid w:val="00FA7072"/>
    <w:rsid w:val="00FA721B"/>
    <w:rsid w:val="00FA794B"/>
    <w:rsid w:val="00FA7E2A"/>
    <w:rsid w:val="00FB01B2"/>
    <w:rsid w:val="00FB05C6"/>
    <w:rsid w:val="00FB0A06"/>
    <w:rsid w:val="00FB110A"/>
    <w:rsid w:val="00FB127D"/>
    <w:rsid w:val="00FB12B9"/>
    <w:rsid w:val="00FB1379"/>
    <w:rsid w:val="00FB1389"/>
    <w:rsid w:val="00FB147A"/>
    <w:rsid w:val="00FB148E"/>
    <w:rsid w:val="00FB155A"/>
    <w:rsid w:val="00FB1A92"/>
    <w:rsid w:val="00FB1B30"/>
    <w:rsid w:val="00FB22C3"/>
    <w:rsid w:val="00FB244A"/>
    <w:rsid w:val="00FB2493"/>
    <w:rsid w:val="00FB2644"/>
    <w:rsid w:val="00FB2789"/>
    <w:rsid w:val="00FB2ABC"/>
    <w:rsid w:val="00FB2CE7"/>
    <w:rsid w:val="00FB2F0F"/>
    <w:rsid w:val="00FB2F88"/>
    <w:rsid w:val="00FB3401"/>
    <w:rsid w:val="00FB36B5"/>
    <w:rsid w:val="00FB37C4"/>
    <w:rsid w:val="00FB38B9"/>
    <w:rsid w:val="00FB3B9C"/>
    <w:rsid w:val="00FB3D58"/>
    <w:rsid w:val="00FB3DF1"/>
    <w:rsid w:val="00FB42DA"/>
    <w:rsid w:val="00FB438A"/>
    <w:rsid w:val="00FB4938"/>
    <w:rsid w:val="00FB4C0A"/>
    <w:rsid w:val="00FB545A"/>
    <w:rsid w:val="00FB55DC"/>
    <w:rsid w:val="00FB590A"/>
    <w:rsid w:val="00FB5999"/>
    <w:rsid w:val="00FB5C05"/>
    <w:rsid w:val="00FB5D68"/>
    <w:rsid w:val="00FB5EC2"/>
    <w:rsid w:val="00FB62D9"/>
    <w:rsid w:val="00FB6698"/>
    <w:rsid w:val="00FB68D1"/>
    <w:rsid w:val="00FB6941"/>
    <w:rsid w:val="00FB6ABE"/>
    <w:rsid w:val="00FB6DC0"/>
    <w:rsid w:val="00FB6EBC"/>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3E87"/>
    <w:rsid w:val="00FC42AC"/>
    <w:rsid w:val="00FC4837"/>
    <w:rsid w:val="00FC4A11"/>
    <w:rsid w:val="00FC4CC8"/>
    <w:rsid w:val="00FC5058"/>
    <w:rsid w:val="00FC51FB"/>
    <w:rsid w:val="00FC5987"/>
    <w:rsid w:val="00FC5DA2"/>
    <w:rsid w:val="00FC61C0"/>
    <w:rsid w:val="00FC676B"/>
    <w:rsid w:val="00FC68BD"/>
    <w:rsid w:val="00FC71EF"/>
    <w:rsid w:val="00FC7317"/>
    <w:rsid w:val="00FC73BE"/>
    <w:rsid w:val="00FC788C"/>
    <w:rsid w:val="00FC7A27"/>
    <w:rsid w:val="00FC7EBA"/>
    <w:rsid w:val="00FD01F4"/>
    <w:rsid w:val="00FD06D8"/>
    <w:rsid w:val="00FD0C34"/>
    <w:rsid w:val="00FD14D4"/>
    <w:rsid w:val="00FD1776"/>
    <w:rsid w:val="00FD21C0"/>
    <w:rsid w:val="00FD279A"/>
    <w:rsid w:val="00FD2BE3"/>
    <w:rsid w:val="00FD352E"/>
    <w:rsid w:val="00FD3A9B"/>
    <w:rsid w:val="00FD3F2D"/>
    <w:rsid w:val="00FD433F"/>
    <w:rsid w:val="00FD43C5"/>
    <w:rsid w:val="00FD4BE5"/>
    <w:rsid w:val="00FD4D69"/>
    <w:rsid w:val="00FD51DA"/>
    <w:rsid w:val="00FD5277"/>
    <w:rsid w:val="00FD5470"/>
    <w:rsid w:val="00FD54CD"/>
    <w:rsid w:val="00FD55AC"/>
    <w:rsid w:val="00FD5FB3"/>
    <w:rsid w:val="00FD6449"/>
    <w:rsid w:val="00FD6586"/>
    <w:rsid w:val="00FD670B"/>
    <w:rsid w:val="00FD6737"/>
    <w:rsid w:val="00FD6885"/>
    <w:rsid w:val="00FD6B13"/>
    <w:rsid w:val="00FD6CF5"/>
    <w:rsid w:val="00FD6E85"/>
    <w:rsid w:val="00FD71B1"/>
    <w:rsid w:val="00FD7431"/>
    <w:rsid w:val="00FD798F"/>
    <w:rsid w:val="00FD79A0"/>
    <w:rsid w:val="00FD7C28"/>
    <w:rsid w:val="00FE065B"/>
    <w:rsid w:val="00FE0F2F"/>
    <w:rsid w:val="00FE1746"/>
    <w:rsid w:val="00FE1770"/>
    <w:rsid w:val="00FE198B"/>
    <w:rsid w:val="00FE1D67"/>
    <w:rsid w:val="00FE1DB8"/>
    <w:rsid w:val="00FE1EDB"/>
    <w:rsid w:val="00FE291C"/>
    <w:rsid w:val="00FE2CE1"/>
    <w:rsid w:val="00FE2F58"/>
    <w:rsid w:val="00FE2FBC"/>
    <w:rsid w:val="00FE3127"/>
    <w:rsid w:val="00FE3D55"/>
    <w:rsid w:val="00FE3D5B"/>
    <w:rsid w:val="00FE3E5D"/>
    <w:rsid w:val="00FE4726"/>
    <w:rsid w:val="00FE4A6B"/>
    <w:rsid w:val="00FE4C98"/>
    <w:rsid w:val="00FE4D2C"/>
    <w:rsid w:val="00FE526B"/>
    <w:rsid w:val="00FE5604"/>
    <w:rsid w:val="00FE57A1"/>
    <w:rsid w:val="00FE5B97"/>
    <w:rsid w:val="00FE616A"/>
    <w:rsid w:val="00FE7047"/>
    <w:rsid w:val="00FE7442"/>
    <w:rsid w:val="00FE78FD"/>
    <w:rsid w:val="00FE7AD9"/>
    <w:rsid w:val="00FF09C9"/>
    <w:rsid w:val="00FF101D"/>
    <w:rsid w:val="00FF1297"/>
    <w:rsid w:val="00FF17E0"/>
    <w:rsid w:val="00FF19D6"/>
    <w:rsid w:val="00FF1A60"/>
    <w:rsid w:val="00FF1AD1"/>
    <w:rsid w:val="00FF1B74"/>
    <w:rsid w:val="00FF1EDF"/>
    <w:rsid w:val="00FF24D3"/>
    <w:rsid w:val="00FF278C"/>
    <w:rsid w:val="00FF29BA"/>
    <w:rsid w:val="00FF29C2"/>
    <w:rsid w:val="00FF2B37"/>
    <w:rsid w:val="00FF2D92"/>
    <w:rsid w:val="00FF2FFF"/>
    <w:rsid w:val="00FF305C"/>
    <w:rsid w:val="00FF3361"/>
    <w:rsid w:val="00FF3530"/>
    <w:rsid w:val="00FF3795"/>
    <w:rsid w:val="00FF39B1"/>
    <w:rsid w:val="00FF3D08"/>
    <w:rsid w:val="00FF3D5D"/>
    <w:rsid w:val="00FF3FEF"/>
    <w:rsid w:val="00FF4FCF"/>
    <w:rsid w:val="00FF5133"/>
    <w:rsid w:val="00FF526D"/>
    <w:rsid w:val="00FF549E"/>
    <w:rsid w:val="00FF5504"/>
    <w:rsid w:val="00FF57F3"/>
    <w:rsid w:val="00FF5817"/>
    <w:rsid w:val="00FF5DDA"/>
    <w:rsid w:val="00FF5F00"/>
    <w:rsid w:val="00FF60C2"/>
    <w:rsid w:val="00FF6811"/>
    <w:rsid w:val="00FF6838"/>
    <w:rsid w:val="00FF6B54"/>
    <w:rsid w:val="00FF7142"/>
    <w:rsid w:val="00FF725E"/>
    <w:rsid w:val="00FF74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B4F8473"/>
  <w15:docId w15:val="{46EEB479-E651-4C78-8D9B-456B296AD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6">
    <w:lsdException w:name="Normal" w:locked="1" w:qFormat="1"/>
    <w:lsdException w:name="heading 1" w:locked="1" w:uiPriority="9" w:qFormat="1"/>
    <w:lsdException w:name="heading 2" w:locked="1" w:uiPriority="9" w:qFormat="1"/>
    <w:lsdException w:name="heading 3" w:locked="1" w:qFormat="1"/>
    <w:lsdException w:name="heading 4" w:locked="1"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qFormat="1"/>
    <w:lsdException w:name="toc 5" w:locked="1" w:semiHidden="1" w:uiPriority="39" w:unhideWhenUsed="1" w:qFormat="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locked="1" w:uiPriority="10" w:qFormat="1"/>
    <w:lsdException w:name="Closing" w:semiHidden="1" w:unhideWhenUsed="1"/>
    <w:lsdException w:name="Signature" w:semiHidden="1" w:unhideWhenUsed="1"/>
    <w:lsdException w:name="Default Paragraph Font" w:locked="1" w:semiHidden="1" w:uiPriority="1" w:unhideWhenUsed="1"/>
    <w:lsdException w:name="Body Text" w:locked="1" w:semiHidden="1" w:uiPriority="99" w:unhideWhenUsed="1" w:qFormat="1"/>
    <w:lsdException w:name="Body Text Indent" w:semiHidden="1" w:uiPriority="99"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uiPriority="20" w:qFormat="1"/>
    <w:lsdException w:name="Document Map" w:semiHidden="1" w:uiPriority="99" w:unhideWhenUsed="1"/>
    <w:lsdException w:name="Plain Text" w:locked="1"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836CDD"/>
    <w:pPr>
      <w:keepNext/>
      <w:tabs>
        <w:tab w:val="left" w:pos="567"/>
        <w:tab w:val="left" w:pos="2268"/>
      </w:tabs>
      <w:spacing w:after="240" w:line="320" w:lineRule="exact"/>
      <w:ind w:left="709" w:hanging="709"/>
      <w:jc w:val="left"/>
      <w:outlineLvl w:val="0"/>
    </w:pPr>
    <w:rPr>
      <w:rFonts w:eastAsia="Times New Roman"/>
      <w:b/>
      <w:smallCaps/>
      <w:noProof/>
      <w:color w:val="31849B" w:themeColor="accent5" w:themeShade="BF"/>
      <w:spacing w:val="5"/>
      <w:sz w:val="40"/>
      <w:szCs w:val="40"/>
      <w:lang w:val="en-US" w:eastAsia="en-AU"/>
    </w:rPr>
  </w:style>
  <w:style w:type="paragraph" w:styleId="Heading2">
    <w:name w:val="heading 2"/>
    <w:aliases w:val="H2"/>
    <w:basedOn w:val="Normal"/>
    <w:next w:val="Normal"/>
    <w:link w:val="Heading2Char"/>
    <w:autoRedefine/>
    <w:uiPriority w:val="9"/>
    <w:qFormat/>
    <w:rsid w:val="00E232EA"/>
    <w:pPr>
      <w:keepNext/>
      <w:spacing w:before="120" w:after="120" w:line="240" w:lineRule="auto"/>
      <w:ind w:left="709" w:hanging="709"/>
      <w:outlineLvl w:val="1"/>
    </w:pPr>
    <w:rPr>
      <w:b/>
      <w:bCs/>
      <w:iCs/>
      <w:color w:val="31849B" w:themeColor="accent5" w:themeShade="BF"/>
      <w:sz w:val="28"/>
      <w:szCs w:val="28"/>
    </w:rPr>
  </w:style>
  <w:style w:type="paragraph" w:styleId="Heading3">
    <w:name w:val="heading 3"/>
    <w:aliases w:val="H3,Heading 2a"/>
    <w:basedOn w:val="Heading2"/>
    <w:next w:val="Normal"/>
    <w:link w:val="Heading3Char"/>
    <w:qFormat/>
    <w:rsid w:val="009C3C00"/>
    <w:pPr>
      <w:outlineLvl w:val="2"/>
    </w:pPr>
    <w:rPr>
      <w:bCs w:val="0"/>
      <w:sz w:val="24"/>
      <w:szCs w:val="26"/>
    </w:rPr>
  </w:style>
  <w:style w:type="paragraph" w:styleId="Heading4">
    <w:name w:val="heading 4"/>
    <w:aliases w:val="H4"/>
    <w:basedOn w:val="Normal"/>
    <w:next w:val="Normal"/>
    <w:link w:val="Heading4Char"/>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836CDD"/>
    <w:rPr>
      <w:rFonts w:eastAsia="Times New Roman"/>
      <w:b/>
      <w:smallCaps/>
      <w:noProof/>
      <w:color w:val="31849B" w:themeColor="accent5" w:themeShade="BF"/>
      <w:spacing w:val="5"/>
      <w:sz w:val="40"/>
      <w:szCs w:val="40"/>
      <w:lang w:val="en-US"/>
    </w:rPr>
  </w:style>
  <w:style w:type="character" w:customStyle="1" w:styleId="Heading2Char">
    <w:name w:val="Heading 2 Char"/>
    <w:aliases w:val="H2 Char"/>
    <w:basedOn w:val="DefaultParagraphFont"/>
    <w:link w:val="Heading2"/>
    <w:uiPriority w:val="9"/>
    <w:locked/>
    <w:rsid w:val="00E232EA"/>
    <w:rPr>
      <w:b/>
      <w:bCs/>
      <w:iCs/>
      <w:color w:val="31849B" w:themeColor="accent5" w:themeShade="BF"/>
      <w:sz w:val="28"/>
      <w:szCs w:val="28"/>
      <w:lang w:eastAsia="en-US"/>
    </w:rPr>
  </w:style>
  <w:style w:type="character" w:customStyle="1" w:styleId="Heading3Char">
    <w:name w:val="Heading 3 Char"/>
    <w:aliases w:val="H3 Char,Heading 2a Char"/>
    <w:basedOn w:val="DefaultParagraphFont"/>
    <w:link w:val="Heading3"/>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35"/>
    <w:qFormat/>
    <w:rsid w:val="00302051"/>
    <w:pPr>
      <w:keepLines/>
      <w:spacing w:before="240" w:after="120" w:line="240" w:lineRule="auto"/>
      <w:jc w:val="left"/>
    </w:pPr>
    <w:rPr>
      <w:rFonts w:cs="Arial"/>
      <w:bCs/>
      <w:sz w:val="20"/>
      <w:lang w:val="en-US"/>
    </w:rPr>
  </w:style>
  <w:style w:type="table" w:styleId="TableGrid">
    <w:name w:val="Table Grid"/>
    <w:basedOn w:val="TableNormal"/>
    <w:uiPriority w:val="39"/>
    <w:rsid w:val="006E056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4Char">
    <w:name w:val="Heading 4 Char"/>
    <w:aliases w:val="H4 Char"/>
    <w:basedOn w:val="DefaultParagraphFont"/>
    <w:link w:val="Heading4"/>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numPr>
        <w:ilvl w:val="1"/>
        <w:numId w:val="5"/>
      </w:numPr>
      <w:pBdr>
        <w:bottom w:val="single" w:sz="4" w:space="4" w:color="4F81BD"/>
      </w:pBdr>
      <w:spacing w:before="200" w:after="280"/>
      <w:ind w:right="936"/>
    </w:pPr>
    <w:rPr>
      <w:b/>
      <w:bCs/>
      <w:i/>
      <w:iCs/>
      <w:color w:val="4F81BD"/>
    </w:rPr>
  </w:style>
  <w:style w:type="character" w:customStyle="1" w:styleId="IntenseQuoteChar">
    <w:name w:val="Intense Quote Char"/>
    <w:basedOn w:val="DefaultParagraphFont"/>
    <w:link w:val="IntenseQuote"/>
    <w:uiPriority w:val="99"/>
    <w:locked/>
    <w:rsid w:val="00AB2C6A"/>
    <w:rPr>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pPr>
      <w:numPr>
        <w:ilvl w:val="4"/>
        <w:numId w:val="5"/>
      </w:numPr>
    </w:pPr>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Bullet 1,Bullet list,ch"/>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2B6159"/>
    <w:rPr>
      <w:sz w:val="36"/>
      <w:szCs w:val="36"/>
    </w:r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39"/>
    <w:qFormat/>
    <w:rsid w:val="005A4E29"/>
    <w:pPr>
      <w:keepLines/>
      <w:spacing w:before="480" w:line="276" w:lineRule="auto"/>
      <w:outlineLvl w:val="9"/>
    </w:pPr>
    <w:rPr>
      <w:rFonts w:ascii="Cambria" w:eastAsia="Calibri" w:hAnsi="Cambria"/>
      <w:bCs/>
      <w:smallCaps w:val="0"/>
      <w:color w:val="365F91"/>
      <w:spacing w:val="0"/>
      <w:sz w:val="28"/>
      <w:szCs w:val="28"/>
      <w14:textFill>
        <w14:solidFill>
          <w14:srgbClr w14:val="365F91">
            <w14:lumMod w14:val="50000"/>
          </w14:srgbClr>
        </w14:solidFill>
      </w14:textFill>
    </w:rPr>
  </w:style>
  <w:style w:type="paragraph" w:styleId="TOC1">
    <w:name w:val="toc 1"/>
    <w:basedOn w:val="Normal"/>
    <w:next w:val="Normal"/>
    <w:autoRedefine/>
    <w:uiPriority w:val="39"/>
    <w:qFormat/>
    <w:rsid w:val="00CE1538"/>
    <w:pPr>
      <w:tabs>
        <w:tab w:val="left" w:pos="567"/>
        <w:tab w:val="right" w:leader="dot" w:pos="9061"/>
      </w:tabs>
      <w:spacing w:after="240" w:line="240" w:lineRule="auto"/>
      <w:ind w:left="567" w:hanging="567"/>
    </w:pPr>
    <w:rPr>
      <w:b/>
      <w:noProof/>
    </w:rPr>
  </w:style>
  <w:style w:type="paragraph" w:styleId="TOC2">
    <w:name w:val="toc 2"/>
    <w:basedOn w:val="Normal"/>
    <w:next w:val="Normal"/>
    <w:autoRedefine/>
    <w:uiPriority w:val="39"/>
    <w:qFormat/>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qFormat/>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39"/>
    <w:qFormat/>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39"/>
    <w:unhideWhenUsed/>
    <w:qFormat/>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1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4"/>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4"/>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4"/>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4"/>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22"/>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5"/>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6"/>
      </w:numPr>
      <w:contextualSpacing/>
    </w:pPr>
  </w:style>
  <w:style w:type="paragraph" w:styleId="ListNumber">
    <w:name w:val="List Number"/>
    <w:basedOn w:val="Normal"/>
    <w:uiPriority w:val="99"/>
    <w:unhideWhenUsed/>
    <w:rsid w:val="00455928"/>
    <w:pPr>
      <w:numPr>
        <w:numId w:val="7"/>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7"/>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7"/>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7"/>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7"/>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7"/>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link w:val="TOCHeadingChar"/>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Bullet 1 Char,Bullet list Char,ch Char"/>
    <w:link w:val="ListParagraph"/>
    <w:uiPriority w:val="34"/>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uiPriority w:val="22"/>
    <w:rsid w:val="001D0150"/>
    <w:rPr>
      <w:rFonts w:ascii="Times New Roman" w:eastAsia="Times New Roman" w:hAnsi="Times New Roman"/>
      <w:sz w:val="22"/>
      <w:lang w:eastAsia="en-US"/>
    </w:rPr>
  </w:style>
  <w:style w:type="character" w:customStyle="1" w:styleId="TOCHeadingChar">
    <w:name w:val="TOC Heading Char"/>
    <w:basedOn w:val="DefaultParagraphFont"/>
    <w:link w:val="BodyText1"/>
    <w:locked/>
    <w:rsid w:val="00AB4C1C"/>
    <w:rPr>
      <w:rFonts w:ascii="Century Gothic" w:eastAsia="Times New Roman" w:hAnsi="Century Gothic" w:cs="Angsana New"/>
      <w:sz w:val="22"/>
      <w:szCs w:val="22"/>
      <w:lang w:eastAsia="zh-CN" w:bidi="th-TH"/>
    </w:rPr>
  </w:style>
  <w:style w:type="paragraph" w:customStyle="1" w:styleId="dotpoint">
    <w:name w:val="dot point"/>
    <w:basedOn w:val="Normal"/>
    <w:rsid w:val="00AB4C1C"/>
    <w:pPr>
      <w:numPr>
        <w:numId w:val="8"/>
      </w:numPr>
      <w:spacing w:before="120" w:after="120"/>
    </w:pPr>
    <w:rPr>
      <w:rFonts w:ascii="Century Gothic" w:eastAsiaTheme="minorHAnsi" w:hAnsi="Century Gothic"/>
      <w:i/>
      <w:iCs/>
      <w:sz w:val="20"/>
      <w:lang w:eastAsia="en-AU"/>
    </w:rPr>
  </w:style>
  <w:style w:type="paragraph" w:customStyle="1" w:styleId="Para0">
    <w:name w:val="Para 0"/>
    <w:aliases w:val="Auto,After:  3 pt"/>
    <w:basedOn w:val="Normal"/>
    <w:link w:val="Para0Char"/>
    <w:qFormat/>
    <w:rsid w:val="000D0967"/>
    <w:pPr>
      <w:spacing w:before="240" w:after="120" w:line="240" w:lineRule="atLeast"/>
      <w:jc w:val="left"/>
    </w:pPr>
    <w:rPr>
      <w:rFonts w:ascii="Arial" w:eastAsiaTheme="minorEastAsia" w:hAnsi="Arial" w:cstheme="minorBidi"/>
      <w:sz w:val="20"/>
      <w:szCs w:val="24"/>
      <w:lang w:val="en-GB"/>
    </w:rPr>
  </w:style>
  <w:style w:type="paragraph" w:customStyle="1" w:styleId="Para0bullet">
    <w:name w:val="Para 0 bullet"/>
    <w:basedOn w:val="Para0"/>
    <w:link w:val="Para0bulletChar"/>
    <w:qFormat/>
    <w:rsid w:val="000D0967"/>
    <w:pPr>
      <w:numPr>
        <w:numId w:val="12"/>
      </w:numPr>
      <w:tabs>
        <w:tab w:val="left" w:pos="851"/>
      </w:tabs>
      <w:spacing w:before="0"/>
    </w:pPr>
  </w:style>
  <w:style w:type="paragraph" w:customStyle="1" w:styleId="Para1narrowarrow">
    <w:name w:val="Para 1 narrow arrow"/>
    <w:basedOn w:val="Normal"/>
    <w:uiPriority w:val="5"/>
    <w:unhideWhenUsed/>
    <w:rsid w:val="000D0967"/>
    <w:pPr>
      <w:numPr>
        <w:ilvl w:val="1"/>
        <w:numId w:val="12"/>
      </w:numPr>
      <w:tabs>
        <w:tab w:val="left" w:pos="851"/>
      </w:tabs>
      <w:spacing w:after="120" w:line="240" w:lineRule="atLeast"/>
      <w:jc w:val="left"/>
    </w:pPr>
    <w:rPr>
      <w:rFonts w:ascii="Arial" w:eastAsiaTheme="minorEastAsia" w:hAnsi="Arial" w:cstheme="minorBidi"/>
      <w:sz w:val="20"/>
      <w:szCs w:val="24"/>
      <w:lang w:val="en-GB"/>
    </w:rPr>
  </w:style>
  <w:style w:type="numbering" w:customStyle="1" w:styleId="SKMBulletList1">
    <w:name w:val="SKM Bullet List 1"/>
    <w:uiPriority w:val="99"/>
    <w:rsid w:val="000D0967"/>
    <w:pPr>
      <w:numPr>
        <w:numId w:val="12"/>
      </w:numPr>
    </w:pPr>
  </w:style>
  <w:style w:type="character" w:customStyle="1" w:styleId="Para0Char">
    <w:name w:val="Para 0 Char"/>
    <w:aliases w:val="Auto Char,After:  3 pt Char Char"/>
    <w:basedOn w:val="DefaultParagraphFont"/>
    <w:link w:val="Para0"/>
    <w:rsid w:val="000D0967"/>
    <w:rPr>
      <w:rFonts w:ascii="Arial" w:eastAsiaTheme="minorEastAsia" w:hAnsi="Arial" w:cstheme="minorBidi"/>
      <w:szCs w:val="24"/>
      <w:lang w:val="en-GB" w:eastAsia="en-US"/>
    </w:rPr>
  </w:style>
  <w:style w:type="character" w:customStyle="1" w:styleId="Para0bulletChar">
    <w:name w:val="Para 0 bullet Char"/>
    <w:basedOn w:val="DefaultParagraphFont"/>
    <w:link w:val="Para0bullet"/>
    <w:locked/>
    <w:rsid w:val="000D0967"/>
    <w:rPr>
      <w:rFonts w:ascii="Arial" w:eastAsiaTheme="minorEastAsia" w:hAnsi="Arial" w:cstheme="minorBidi"/>
      <w:szCs w:val="24"/>
      <w:lang w:val="en-GB" w:eastAsia="en-US"/>
    </w:rPr>
  </w:style>
  <w:style w:type="character" w:customStyle="1" w:styleId="named-content">
    <w:name w:val="named-content"/>
    <w:basedOn w:val="DefaultParagraphFont"/>
    <w:rsid w:val="00F71922"/>
  </w:style>
  <w:style w:type="paragraph" w:customStyle="1" w:styleId="Tabletext">
    <w:name w:val="Table text"/>
    <w:basedOn w:val="Normal"/>
    <w:uiPriority w:val="14"/>
    <w:qFormat/>
    <w:rsid w:val="0000180C"/>
    <w:pPr>
      <w:spacing w:before="60" w:after="60" w:line="240" w:lineRule="atLeast"/>
      <w:jc w:val="left"/>
    </w:pPr>
    <w:rPr>
      <w:rFonts w:ascii="Arial" w:eastAsiaTheme="minorEastAsia" w:hAnsi="Arial" w:cstheme="minorBidi"/>
      <w:sz w:val="20"/>
      <w:szCs w:val="24"/>
      <w:lang w:val="en-GB"/>
    </w:rPr>
  </w:style>
  <w:style w:type="paragraph" w:customStyle="1" w:styleId="ProjectName">
    <w:name w:val="Project Name"/>
    <w:basedOn w:val="Normal"/>
    <w:next w:val="Para0"/>
    <w:rsid w:val="0000180C"/>
    <w:pPr>
      <w:spacing w:after="0" w:line="240" w:lineRule="auto"/>
      <w:jc w:val="left"/>
    </w:pPr>
    <w:rPr>
      <w:rFonts w:ascii="Arial" w:eastAsiaTheme="minorEastAsia" w:hAnsi="Arial" w:cstheme="minorBidi"/>
      <w:b/>
      <w:color w:val="00338D"/>
      <w:sz w:val="24"/>
      <w:szCs w:val="24"/>
      <w:lang w:val="en-GB"/>
    </w:rPr>
  </w:style>
  <w:style w:type="paragraph" w:customStyle="1" w:styleId="Tablesmalltext">
    <w:name w:val="Table small text"/>
    <w:basedOn w:val="Normal"/>
    <w:uiPriority w:val="15"/>
    <w:qFormat/>
    <w:rsid w:val="0000180C"/>
    <w:pPr>
      <w:spacing w:before="40" w:after="40" w:line="240" w:lineRule="atLeast"/>
      <w:jc w:val="left"/>
    </w:pPr>
    <w:rPr>
      <w:rFonts w:ascii="Arial" w:eastAsiaTheme="minorEastAsia" w:hAnsi="Arial" w:cstheme="minorBidi"/>
      <w:sz w:val="16"/>
      <w:szCs w:val="24"/>
      <w:lang w:val="en-GB"/>
    </w:rPr>
  </w:style>
  <w:style w:type="paragraph" w:customStyle="1" w:styleId="Tablesmallheading">
    <w:name w:val="Table small heading"/>
    <w:basedOn w:val="Normal"/>
    <w:uiPriority w:val="15"/>
    <w:qFormat/>
    <w:rsid w:val="0000180C"/>
    <w:pPr>
      <w:keepNext/>
      <w:spacing w:before="60" w:after="60" w:line="240" w:lineRule="atLeast"/>
      <w:jc w:val="left"/>
    </w:pPr>
    <w:rPr>
      <w:rFonts w:ascii="Arial" w:eastAsiaTheme="minorEastAsia" w:hAnsi="Arial" w:cstheme="minorBidi"/>
      <w:b/>
      <w:sz w:val="16"/>
      <w:szCs w:val="24"/>
      <w:lang w:val="en-GB"/>
    </w:rPr>
  </w:style>
  <w:style w:type="paragraph" w:customStyle="1" w:styleId="DocumentTitle">
    <w:name w:val="Document Title"/>
    <w:basedOn w:val="Normal"/>
    <w:uiPriority w:val="19"/>
    <w:rsid w:val="0000180C"/>
    <w:pPr>
      <w:spacing w:before="60" w:after="60" w:line="240" w:lineRule="atLeast"/>
      <w:jc w:val="left"/>
    </w:pPr>
    <w:rPr>
      <w:rFonts w:ascii="Arial" w:eastAsiaTheme="minorEastAsia" w:hAnsi="Arial" w:cstheme="minorBidi"/>
      <w:sz w:val="20"/>
      <w:szCs w:val="24"/>
      <w:lang w:val="en-GB"/>
    </w:rPr>
  </w:style>
  <w:style w:type="paragraph" w:customStyle="1" w:styleId="Tablecaption0">
    <w:name w:val="Table caption"/>
    <w:basedOn w:val="Caption"/>
    <w:next w:val="Para0"/>
    <w:rsid w:val="0000180C"/>
    <w:pPr>
      <w:keepLines w:val="0"/>
      <w:spacing w:after="100" w:line="240" w:lineRule="atLeast"/>
    </w:pPr>
    <w:rPr>
      <w:rFonts w:ascii="Arial" w:eastAsiaTheme="minorEastAsia" w:hAnsi="Arial" w:cstheme="minorBidi"/>
      <w:b/>
      <w:bCs w:val="0"/>
      <w:szCs w:val="24"/>
      <w:lang w:val="en-GB"/>
    </w:rPr>
  </w:style>
  <w:style w:type="paragraph" w:customStyle="1" w:styleId="ClientName">
    <w:name w:val="Client Name"/>
    <w:basedOn w:val="Tabletext"/>
    <w:uiPriority w:val="19"/>
    <w:qFormat/>
    <w:rsid w:val="0000180C"/>
    <w:pPr>
      <w:spacing w:before="0"/>
    </w:pPr>
  </w:style>
  <w:style w:type="paragraph" w:customStyle="1" w:styleId="ProjectNo">
    <w:name w:val="Project No"/>
    <w:basedOn w:val="Tabletext"/>
    <w:rsid w:val="0000180C"/>
    <w:pPr>
      <w:spacing w:before="0"/>
    </w:pPr>
  </w:style>
  <w:style w:type="character" w:customStyle="1" w:styleId="publication-meta-separator">
    <w:name w:val="publication-meta-separator"/>
    <w:basedOn w:val="DefaultParagraphFont"/>
    <w:rsid w:val="00192F1A"/>
  </w:style>
  <w:style w:type="character" w:customStyle="1" w:styleId="publication-meta-journal">
    <w:name w:val="publication-meta-journal"/>
    <w:basedOn w:val="DefaultParagraphFont"/>
    <w:rsid w:val="00192F1A"/>
  </w:style>
  <w:style w:type="character" w:customStyle="1" w:styleId="mixed-citation">
    <w:name w:val="mixed-citation"/>
    <w:basedOn w:val="DefaultParagraphFont"/>
    <w:rsid w:val="006C0327"/>
  </w:style>
  <w:style w:type="character" w:customStyle="1" w:styleId="ref-title">
    <w:name w:val="ref-title"/>
    <w:basedOn w:val="DefaultParagraphFont"/>
    <w:rsid w:val="006C0327"/>
  </w:style>
  <w:style w:type="character" w:customStyle="1" w:styleId="ref-journal">
    <w:name w:val="ref-journal"/>
    <w:basedOn w:val="DefaultParagraphFont"/>
    <w:rsid w:val="006C0327"/>
  </w:style>
  <w:style w:type="character" w:customStyle="1" w:styleId="ref-vol">
    <w:name w:val="ref-vol"/>
    <w:basedOn w:val="DefaultParagraphFont"/>
    <w:rsid w:val="006C0327"/>
  </w:style>
  <w:style w:type="table" w:customStyle="1" w:styleId="TableGrid1">
    <w:name w:val="Table Grid1"/>
    <w:basedOn w:val="TableNormal"/>
    <w:next w:val="TableGrid"/>
    <w:uiPriority w:val="39"/>
    <w:rsid w:val="004F0B1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F0B1F"/>
    <w:rPr>
      <w:rFonts w:eastAsia="Times New Roman"/>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A67BE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A67BEB"/>
    <w:rPr>
      <w:noProof/>
      <w:sz w:val="22"/>
      <w:lang w:val="en-US" w:eastAsia="en-US"/>
    </w:rPr>
  </w:style>
  <w:style w:type="paragraph" w:customStyle="1" w:styleId="TableHeading">
    <w:name w:val="TableHeading"/>
    <w:basedOn w:val="Normal"/>
    <w:uiPriority w:val="13"/>
    <w:qFormat/>
    <w:rsid w:val="00600650"/>
    <w:pPr>
      <w:spacing w:before="120" w:after="120" w:line="240" w:lineRule="auto"/>
    </w:pPr>
    <w:rPr>
      <w:rFonts w:asciiTheme="minorHAnsi" w:eastAsia="Times New Roman" w:hAnsiTheme="minorHAnsi" w:cs="Arial"/>
      <w:b/>
      <w:color w:val="000000"/>
      <w:kern w:val="28"/>
      <w:sz w:val="20"/>
      <w:szCs w:val="22"/>
    </w:rPr>
  </w:style>
  <w:style w:type="paragraph" w:customStyle="1" w:styleId="TableText0">
    <w:name w:val="TableText"/>
    <w:basedOn w:val="Normal"/>
    <w:next w:val="Normal"/>
    <w:uiPriority w:val="14"/>
    <w:qFormat/>
    <w:rsid w:val="00600650"/>
    <w:pPr>
      <w:spacing w:before="120" w:after="0" w:line="240" w:lineRule="auto"/>
    </w:pPr>
    <w:rPr>
      <w:rFonts w:asciiTheme="minorHAnsi" w:eastAsia="Times New Roman" w:hAnsiTheme="minorHAnsi" w:cs="Arial"/>
      <w:color w:val="000000"/>
      <w:kern w:val="28"/>
      <w:sz w:val="20"/>
      <w:szCs w:val="22"/>
    </w:rPr>
  </w:style>
  <w:style w:type="paragraph" w:customStyle="1" w:styleId="TableParagraph">
    <w:name w:val="Table Paragraph"/>
    <w:basedOn w:val="Normal"/>
    <w:uiPriority w:val="1"/>
    <w:qFormat/>
    <w:rsid w:val="00186538"/>
    <w:pPr>
      <w:widowControl w:val="0"/>
      <w:spacing w:after="0" w:line="240" w:lineRule="auto"/>
      <w:jc w:val="left"/>
    </w:pPr>
    <w:rPr>
      <w:rFonts w:asciiTheme="minorHAnsi" w:eastAsiaTheme="minorHAnsi" w:hAnsiTheme="minorHAnsi" w:cstheme="minorBidi"/>
      <w:szCs w:val="22"/>
      <w:lang w:val="en-US"/>
    </w:rPr>
  </w:style>
  <w:style w:type="character" w:customStyle="1" w:styleId="dttext">
    <w:name w:val="dttext"/>
    <w:basedOn w:val="DefaultParagraphFont"/>
    <w:rsid w:val="00D1225A"/>
  </w:style>
  <w:style w:type="table" w:customStyle="1" w:styleId="TableGrid3">
    <w:name w:val="Table Grid3"/>
    <w:basedOn w:val="TableNormal"/>
    <w:next w:val="TableGrid"/>
    <w:uiPriority w:val="39"/>
    <w:rsid w:val="001D753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lfld-contribauthor">
    <w:name w:val="hlfld-contribauthor"/>
    <w:basedOn w:val="DefaultParagraphFont"/>
    <w:rsid w:val="006971DE"/>
  </w:style>
  <w:style w:type="character" w:customStyle="1" w:styleId="nlmgiven-names">
    <w:name w:val="nlm_given-names"/>
    <w:basedOn w:val="DefaultParagraphFont"/>
    <w:rsid w:val="006971DE"/>
  </w:style>
  <w:style w:type="character" w:customStyle="1" w:styleId="nlmyear">
    <w:name w:val="nlm_year"/>
    <w:basedOn w:val="DefaultParagraphFont"/>
    <w:rsid w:val="006971DE"/>
  </w:style>
  <w:style w:type="character" w:customStyle="1" w:styleId="nlmarticle-title">
    <w:name w:val="nlm_article-title"/>
    <w:basedOn w:val="DefaultParagraphFont"/>
    <w:rsid w:val="006971DE"/>
  </w:style>
  <w:style w:type="character" w:customStyle="1" w:styleId="nlmfpage">
    <w:name w:val="nlm_fpage"/>
    <w:basedOn w:val="DefaultParagraphFont"/>
    <w:rsid w:val="006971DE"/>
  </w:style>
  <w:style w:type="character" w:customStyle="1" w:styleId="nlmlpage">
    <w:name w:val="nlm_lpage"/>
    <w:basedOn w:val="DefaultParagraphFont"/>
    <w:rsid w:val="006971DE"/>
  </w:style>
  <w:style w:type="paragraph" w:customStyle="1" w:styleId="Reportbodytext">
    <w:name w:val="Report body text"/>
    <w:basedOn w:val="Normal"/>
    <w:uiPriority w:val="99"/>
    <w:rsid w:val="00085A12"/>
    <w:pPr>
      <w:spacing w:before="60" w:after="60" w:line="276" w:lineRule="auto"/>
      <w:jc w:val="left"/>
    </w:pPr>
    <w:rPr>
      <w:rFonts w:ascii="Arial" w:hAnsi="Arial" w:cs="Arial"/>
      <w:szCs w:val="18"/>
      <w:lang w:eastAsia="en-AU"/>
    </w:rPr>
  </w:style>
  <w:style w:type="table" w:styleId="GridTable5Dark-Accent1">
    <w:name w:val="Grid Table 5 Dark Accent 1"/>
    <w:basedOn w:val="TableNormal"/>
    <w:uiPriority w:val="50"/>
    <w:rsid w:val="00421736"/>
    <w:rPr>
      <w:rFonts w:asciiTheme="minorHAnsi" w:eastAsiaTheme="minorEastAsia" w:hAnsiTheme="minorHAnsi" w:cstheme="minorBidi"/>
      <w:sz w:val="22"/>
      <w:szCs w:val="22"/>
      <w:lang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uto"/>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divisionheading">
    <w:name w:val="divisionheading"/>
    <w:basedOn w:val="Normal"/>
    <w:rsid w:val="00784A1F"/>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sectionheading">
    <w:name w:val="sectionheading"/>
    <w:basedOn w:val="Normal"/>
    <w:rsid w:val="00784A1F"/>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UnresolvedMention1">
    <w:name w:val="Unresolved Mention1"/>
    <w:basedOn w:val="DefaultParagraphFont"/>
    <w:uiPriority w:val="99"/>
    <w:semiHidden/>
    <w:unhideWhenUsed/>
    <w:rsid w:val="00784A1F"/>
    <w:rPr>
      <w:color w:val="605E5C"/>
      <w:shd w:val="clear" w:color="auto" w:fill="E1DFDD"/>
    </w:rPr>
  </w:style>
  <w:style w:type="table" w:styleId="TableGridLight">
    <w:name w:val="Grid Table Light"/>
    <w:basedOn w:val="TableNormal"/>
    <w:uiPriority w:val="40"/>
    <w:rsid w:val="005D0C92"/>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rmaltextrun">
    <w:name w:val="normaltextrun"/>
    <w:basedOn w:val="DefaultParagraphFont"/>
    <w:rsid w:val="00EE7F09"/>
  </w:style>
  <w:style w:type="character" w:customStyle="1" w:styleId="UnresolvedMention10">
    <w:name w:val="Unresolved Mention1"/>
    <w:basedOn w:val="DefaultParagraphFont"/>
    <w:uiPriority w:val="99"/>
    <w:semiHidden/>
    <w:unhideWhenUsed/>
    <w:rsid w:val="00EE7F09"/>
    <w:rPr>
      <w:color w:val="605E5C"/>
      <w:shd w:val="clear" w:color="auto" w:fill="E1DFDD"/>
    </w:rPr>
  </w:style>
  <w:style w:type="character" w:customStyle="1" w:styleId="UnresolvedMention2">
    <w:name w:val="Unresolved Mention2"/>
    <w:basedOn w:val="DefaultParagraphFont"/>
    <w:uiPriority w:val="99"/>
    <w:semiHidden/>
    <w:unhideWhenUsed/>
    <w:rsid w:val="00EE7F09"/>
    <w:rPr>
      <w:color w:val="605E5C"/>
      <w:shd w:val="clear" w:color="auto" w:fill="E1DFDD"/>
    </w:rPr>
  </w:style>
  <w:style w:type="paragraph" w:customStyle="1" w:styleId="xmsonormal">
    <w:name w:val="x_msonormal"/>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msolistparagraph">
    <w:name w:val="x_msolistparagraph"/>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ms-button-flexcontainer">
    <w:name w:val="ms-button-flexcontainer"/>
    <w:basedOn w:val="DefaultParagraphFont"/>
    <w:rsid w:val="006501A4"/>
  </w:style>
  <w:style w:type="paragraph" w:customStyle="1" w:styleId="msonormal0">
    <w:name w:val="msonormal"/>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63">
    <w:name w:val="xl63"/>
    <w:basedOn w:val="Normal"/>
    <w:rsid w:val="006501A4"/>
    <w:pP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4">
    <w:name w:val="xl64"/>
    <w:basedOn w:val="Normal"/>
    <w:rsid w:val="006501A4"/>
    <w:pPr>
      <w:pBdr>
        <w:bottom w:val="single" w:sz="8"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65">
    <w:name w:val="xl65"/>
    <w:basedOn w:val="Normal"/>
    <w:rsid w:val="006501A4"/>
    <w:pPr>
      <w:pBdr>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6">
    <w:name w:val="xl66"/>
    <w:basedOn w:val="Normal"/>
    <w:rsid w:val="006501A4"/>
    <w:pPr>
      <w:spacing w:before="100" w:beforeAutospacing="1" w:after="100" w:afterAutospacing="1" w:line="240" w:lineRule="auto"/>
      <w:jc w:val="center"/>
    </w:pPr>
    <w:rPr>
      <w:rFonts w:ascii="Wingdings" w:eastAsia="Times New Roman" w:hAnsi="Wingdings"/>
      <w:sz w:val="24"/>
      <w:szCs w:val="24"/>
      <w:lang w:eastAsia="en-AU"/>
    </w:rPr>
  </w:style>
  <w:style w:type="paragraph" w:customStyle="1" w:styleId="xl67">
    <w:name w:val="xl67"/>
    <w:basedOn w:val="Normal"/>
    <w:rsid w:val="006501A4"/>
    <w:pP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8">
    <w:name w:val="xl68"/>
    <w:basedOn w:val="Normal"/>
    <w:rsid w:val="006501A4"/>
    <w:pPr>
      <w:pBdr>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9">
    <w:name w:val="xl69"/>
    <w:basedOn w:val="Normal"/>
    <w:rsid w:val="006501A4"/>
    <w:pPr>
      <w:pBdr>
        <w:top w:val="single" w:sz="8"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70">
    <w:name w:val="xl70"/>
    <w:basedOn w:val="Normal"/>
    <w:rsid w:val="006501A4"/>
    <w:pPr>
      <w:pBdr>
        <w:top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71">
    <w:name w:val="xl71"/>
    <w:basedOn w:val="Normal"/>
    <w:rsid w:val="006501A4"/>
    <w:pPr>
      <w:pBdr>
        <w:bottom w:val="single" w:sz="4"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72">
    <w:name w:val="xl72"/>
    <w:basedOn w:val="Normal"/>
    <w:rsid w:val="006501A4"/>
    <w:pPr>
      <w:pBdr>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73">
    <w:name w:val="xl73"/>
    <w:basedOn w:val="Normal"/>
    <w:rsid w:val="006501A4"/>
    <w:pPr>
      <w:pBdr>
        <w:top w:val="single" w:sz="8" w:space="0" w:color="auto"/>
      </w:pBd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4">
    <w:name w:val="xl74"/>
    <w:basedOn w:val="Normal"/>
    <w:rsid w:val="006501A4"/>
    <w:pPr>
      <w:pBdr>
        <w:bottom w:val="single" w:sz="4" w:space="0" w:color="auto"/>
      </w:pBd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5">
    <w:name w:val="xl75"/>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6">
    <w:name w:val="xl76"/>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7">
    <w:name w:val="xl77"/>
    <w:basedOn w:val="Normal"/>
    <w:rsid w:val="006501A4"/>
    <w:pPr>
      <w:shd w:val="clear" w:color="000000" w:fill="E2EFDA"/>
      <w:spacing w:before="100" w:beforeAutospacing="1" w:after="100" w:afterAutospacing="1" w:line="240" w:lineRule="auto"/>
      <w:jc w:val="center"/>
    </w:pPr>
    <w:rPr>
      <w:rFonts w:ascii="Wingdings" w:eastAsia="Times New Roman" w:hAnsi="Wingdings"/>
      <w:sz w:val="24"/>
      <w:szCs w:val="24"/>
      <w:lang w:eastAsia="en-AU"/>
    </w:rPr>
  </w:style>
  <w:style w:type="paragraph" w:customStyle="1" w:styleId="xl78">
    <w:name w:val="xl78"/>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9">
    <w:name w:val="xl79"/>
    <w:basedOn w:val="Normal"/>
    <w:rsid w:val="006501A4"/>
    <w:pPr>
      <w:shd w:val="clear" w:color="000000" w:fill="FFC7CE"/>
      <w:spacing w:before="100" w:beforeAutospacing="1" w:after="100" w:afterAutospacing="1" w:line="240" w:lineRule="auto"/>
      <w:jc w:val="center"/>
    </w:pPr>
    <w:rPr>
      <w:rFonts w:ascii="Times New Roman" w:eastAsia="Times New Roman" w:hAnsi="Times New Roman"/>
      <w:color w:val="9C0006"/>
      <w:sz w:val="24"/>
      <w:szCs w:val="24"/>
      <w:lang w:eastAsia="en-AU"/>
    </w:rPr>
  </w:style>
  <w:style w:type="paragraph" w:customStyle="1" w:styleId="xl80">
    <w:name w:val="xl80"/>
    <w:basedOn w:val="Normal"/>
    <w:rsid w:val="006501A4"/>
    <w:pPr>
      <w:pBdr>
        <w:bottom w:val="single" w:sz="8" w:space="0" w:color="auto"/>
      </w:pBdr>
      <w:shd w:val="clear" w:color="000000" w:fill="FFC7CE"/>
      <w:spacing w:before="100" w:beforeAutospacing="1" w:after="100" w:afterAutospacing="1" w:line="240" w:lineRule="auto"/>
      <w:jc w:val="center"/>
    </w:pPr>
    <w:rPr>
      <w:rFonts w:ascii="Times New Roman" w:eastAsia="Times New Roman" w:hAnsi="Times New Roman"/>
      <w:color w:val="9C0006"/>
      <w:sz w:val="24"/>
      <w:szCs w:val="24"/>
      <w:lang w:eastAsia="en-AU"/>
    </w:rPr>
  </w:style>
  <w:style w:type="paragraph" w:customStyle="1" w:styleId="xl81">
    <w:name w:val="xl81"/>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82">
    <w:name w:val="xl82"/>
    <w:basedOn w:val="Normal"/>
    <w:rsid w:val="006501A4"/>
    <w:pPr>
      <w:shd w:val="clear" w:color="000000" w:fill="E2EFDA"/>
      <w:spacing w:before="100" w:beforeAutospacing="1" w:after="100" w:afterAutospacing="1" w:line="240" w:lineRule="auto"/>
      <w:jc w:val="center"/>
    </w:pPr>
    <w:rPr>
      <w:rFonts w:ascii="Wingdings" w:eastAsia="Times New Roman" w:hAnsi="Wingdings"/>
      <w:color w:val="000000"/>
      <w:sz w:val="24"/>
      <w:szCs w:val="24"/>
      <w:lang w:eastAsia="en-AU"/>
    </w:rPr>
  </w:style>
  <w:style w:type="paragraph" w:customStyle="1" w:styleId="xl83">
    <w:name w:val="xl83"/>
    <w:basedOn w:val="Normal"/>
    <w:rsid w:val="006501A4"/>
    <w:pPr>
      <w:pBdr>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olor w:val="000000"/>
      <w:sz w:val="24"/>
      <w:szCs w:val="24"/>
      <w:lang w:eastAsia="en-AU"/>
    </w:rPr>
  </w:style>
  <w:style w:type="paragraph" w:customStyle="1" w:styleId="xl84">
    <w:name w:val="xl84"/>
    <w:basedOn w:val="Normal"/>
    <w:rsid w:val="006501A4"/>
    <w:pPr>
      <w:shd w:val="clear" w:color="000000" w:fill="FFFFFF"/>
      <w:spacing w:before="100" w:beforeAutospacing="1" w:after="100" w:afterAutospacing="1" w:line="240" w:lineRule="auto"/>
      <w:jc w:val="center"/>
    </w:pPr>
    <w:rPr>
      <w:rFonts w:ascii="Times New Roman" w:eastAsia="Times New Roman" w:hAnsi="Times New Roman"/>
      <w:color w:val="000000"/>
      <w:sz w:val="24"/>
      <w:szCs w:val="24"/>
      <w:lang w:eastAsia="en-AU"/>
    </w:rPr>
  </w:style>
  <w:style w:type="character" w:customStyle="1" w:styleId="d2edcug0">
    <w:name w:val="d2edcug0"/>
    <w:basedOn w:val="DefaultParagraphFont"/>
    <w:rsid w:val="0020768B"/>
  </w:style>
  <w:style w:type="paragraph" w:customStyle="1" w:styleId="source">
    <w:name w:val="source"/>
    <w:basedOn w:val="Normal"/>
    <w:rsid w:val="006D6FBF"/>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SNormalText">
    <w:name w:val="S_Normal Text"/>
    <w:basedOn w:val="Normal"/>
    <w:link w:val="SNormalTextChar"/>
    <w:qFormat/>
    <w:rsid w:val="004379FD"/>
    <w:pPr>
      <w:spacing w:after="0" w:line="240" w:lineRule="auto"/>
      <w:jc w:val="left"/>
    </w:pPr>
    <w:rPr>
      <w:rFonts w:asciiTheme="minorHAnsi" w:eastAsiaTheme="minorEastAsia" w:hAnsiTheme="minorHAnsi" w:cstheme="minorHAnsi"/>
      <w:szCs w:val="22"/>
    </w:rPr>
  </w:style>
  <w:style w:type="character" w:customStyle="1" w:styleId="SNormalTextChar">
    <w:name w:val="S_Normal Text Char"/>
    <w:basedOn w:val="DefaultParagraphFont"/>
    <w:link w:val="SNormalText"/>
    <w:rsid w:val="004379FD"/>
    <w:rPr>
      <w:rFonts w:asciiTheme="minorHAnsi" w:eastAsiaTheme="minorEastAsia" w:hAnsiTheme="minorHAnsi" w:cstheme="minorHAnsi"/>
      <w:sz w:val="22"/>
      <w:szCs w:val="22"/>
      <w:lang w:eastAsia="en-US"/>
    </w:rPr>
  </w:style>
  <w:style w:type="paragraph" w:customStyle="1" w:styleId="SH1">
    <w:name w:val="S_H1"/>
    <w:basedOn w:val="SNormalText"/>
    <w:next w:val="SNormalText"/>
    <w:link w:val="SH1Char"/>
    <w:qFormat/>
    <w:rsid w:val="004379FD"/>
    <w:pPr>
      <w:spacing w:before="120" w:after="240"/>
      <w:outlineLvl w:val="0"/>
    </w:pPr>
    <w:rPr>
      <w:rFonts w:ascii="Calibri Light" w:hAnsi="Calibri Light" w:cs="Calibri Light"/>
      <w:b/>
      <w:sz w:val="40"/>
      <w:lang w:val="en-US"/>
    </w:rPr>
  </w:style>
  <w:style w:type="character" w:customStyle="1" w:styleId="SH1Char">
    <w:name w:val="S_H1 Char"/>
    <w:basedOn w:val="SNormalTextChar"/>
    <w:link w:val="SH1"/>
    <w:rsid w:val="004379FD"/>
    <w:rPr>
      <w:rFonts w:ascii="Calibri Light" w:eastAsiaTheme="minorEastAsia" w:hAnsi="Calibri Light" w:cs="Calibri Light"/>
      <w:b/>
      <w:sz w:val="40"/>
      <w:szCs w:val="22"/>
      <w:lang w:val="en-US" w:eastAsia="en-US"/>
    </w:rPr>
  </w:style>
  <w:style w:type="paragraph" w:customStyle="1" w:styleId="SH2">
    <w:name w:val="S_H2"/>
    <w:basedOn w:val="SH1"/>
    <w:next w:val="SNormalText"/>
    <w:link w:val="SH2Char"/>
    <w:qFormat/>
    <w:rsid w:val="004379FD"/>
    <w:pPr>
      <w:spacing w:after="120"/>
      <w:ind w:left="-360" w:firstLine="360"/>
      <w:outlineLvl w:val="1"/>
    </w:pPr>
    <w:rPr>
      <w:color w:val="755432"/>
      <w:sz w:val="32"/>
    </w:rPr>
  </w:style>
  <w:style w:type="character" w:customStyle="1" w:styleId="SH2Char">
    <w:name w:val="S_H2 Char"/>
    <w:basedOn w:val="DefaultParagraphFont"/>
    <w:link w:val="SH2"/>
    <w:rsid w:val="004379FD"/>
    <w:rPr>
      <w:rFonts w:ascii="Calibri Light" w:eastAsiaTheme="minorEastAsia" w:hAnsi="Calibri Light" w:cs="Calibri Light"/>
      <w:b/>
      <w:color w:val="755432"/>
      <w:sz w:val="32"/>
      <w:szCs w:val="22"/>
      <w:lang w:val="en-US" w:eastAsia="en-US"/>
    </w:rPr>
  </w:style>
  <w:style w:type="paragraph" w:customStyle="1" w:styleId="SH3">
    <w:name w:val="S_H3"/>
    <w:basedOn w:val="SH2"/>
    <w:next w:val="SNormalText"/>
    <w:link w:val="SH3Char"/>
    <w:qFormat/>
    <w:rsid w:val="004379FD"/>
    <w:pPr>
      <w:numPr>
        <w:ilvl w:val="2"/>
      </w:numPr>
      <w:spacing w:before="60"/>
      <w:ind w:left="273" w:firstLine="720"/>
      <w:outlineLvl w:val="2"/>
    </w:pPr>
    <w:rPr>
      <w:sz w:val="24"/>
    </w:rPr>
  </w:style>
  <w:style w:type="character" w:customStyle="1" w:styleId="SH3Char">
    <w:name w:val="S_H3 Char"/>
    <w:basedOn w:val="SH2Char"/>
    <w:link w:val="SH3"/>
    <w:rsid w:val="004379FD"/>
    <w:rPr>
      <w:rFonts w:ascii="Calibri Light" w:eastAsiaTheme="minorEastAsia" w:hAnsi="Calibri Light" w:cs="Calibri Light"/>
      <w:b/>
      <w:color w:val="755432"/>
      <w:sz w:val="24"/>
      <w:szCs w:val="22"/>
      <w:lang w:val="en-US" w:eastAsia="en-US"/>
    </w:rPr>
  </w:style>
  <w:style w:type="paragraph" w:customStyle="1" w:styleId="Caption-Table">
    <w:name w:val="Caption - Table"/>
    <w:basedOn w:val="Caption"/>
    <w:next w:val="Normal"/>
    <w:qFormat/>
    <w:rsid w:val="004379FD"/>
    <w:pPr>
      <w:keepNext/>
      <w:spacing w:before="200"/>
    </w:pPr>
    <w:rPr>
      <w:rFonts w:ascii="Arial" w:eastAsia="Times New Roman" w:hAnsi="Arial"/>
      <w:b/>
      <w:color w:val="9BBB59" w:themeColor="accent3"/>
      <w:sz w:val="22"/>
      <w:szCs w:val="22"/>
      <w:lang w:val="en-AU"/>
    </w:rPr>
  </w:style>
  <w:style w:type="paragraph" w:styleId="ListContinue2">
    <w:name w:val="List Continue 2"/>
    <w:basedOn w:val="Normal"/>
    <w:uiPriority w:val="99"/>
    <w:semiHidden/>
    <w:unhideWhenUsed/>
    <w:rsid w:val="004379FD"/>
    <w:pPr>
      <w:spacing w:after="120" w:line="240" w:lineRule="auto"/>
      <w:ind w:left="566"/>
      <w:contextualSpacing/>
      <w:jc w:val="left"/>
    </w:pPr>
    <w:rPr>
      <w:rFonts w:ascii="Calibri Light" w:eastAsiaTheme="minorEastAsia" w:hAnsi="Calibri Light" w:cs="Calibri Light"/>
      <w:szCs w:val="22"/>
      <w:lang w:val="en-US"/>
    </w:rPr>
  </w:style>
  <w:style w:type="paragraph" w:customStyle="1" w:styleId="SHCaption">
    <w:name w:val="S_H_Caption"/>
    <w:basedOn w:val="Caption"/>
    <w:next w:val="SNormalText"/>
    <w:qFormat/>
    <w:rsid w:val="004379FD"/>
    <w:pPr>
      <w:keepLines w:val="0"/>
      <w:spacing w:before="0" w:after="200"/>
    </w:pPr>
    <w:rPr>
      <w:rFonts w:asciiTheme="minorHAnsi" w:eastAsiaTheme="minorEastAsia" w:hAnsiTheme="minorHAnsi" w:cstheme="minorHAnsi"/>
      <w:color w:val="002060"/>
    </w:rPr>
  </w:style>
  <w:style w:type="paragraph" w:styleId="Subtitle">
    <w:name w:val="Subtitle"/>
    <w:aliases w:val="S_H_Subtitle"/>
    <w:basedOn w:val="Normal"/>
    <w:next w:val="Normal"/>
    <w:link w:val="SubtitleChar"/>
    <w:uiPriority w:val="11"/>
    <w:qFormat/>
    <w:locked/>
    <w:rsid w:val="004379FD"/>
    <w:pPr>
      <w:numPr>
        <w:ilvl w:val="1"/>
      </w:numPr>
      <w:spacing w:after="0" w:line="240" w:lineRule="auto"/>
      <w:jc w:val="left"/>
    </w:pPr>
    <w:rPr>
      <w:rFonts w:ascii="Pero" w:eastAsiaTheme="majorEastAsia" w:hAnsi="Pero" w:cstheme="majorBidi"/>
      <w:b/>
      <w:i/>
      <w:iCs/>
      <w:color w:val="B1CD29"/>
      <w:spacing w:val="15"/>
      <w:sz w:val="32"/>
      <w:szCs w:val="22"/>
      <w:lang w:val="en-US"/>
    </w:rPr>
  </w:style>
  <w:style w:type="character" w:customStyle="1" w:styleId="SubtitleChar">
    <w:name w:val="Subtitle Char"/>
    <w:aliases w:val="S_H_Subtitle Char"/>
    <w:basedOn w:val="DefaultParagraphFont"/>
    <w:link w:val="Subtitle"/>
    <w:uiPriority w:val="11"/>
    <w:rsid w:val="004379FD"/>
    <w:rPr>
      <w:rFonts w:ascii="Pero" w:eastAsiaTheme="majorEastAsia" w:hAnsi="Pero" w:cstheme="majorBidi"/>
      <w:b/>
      <w:i/>
      <w:iCs/>
      <w:color w:val="B1CD29"/>
      <w:spacing w:val="15"/>
      <w:sz w:val="32"/>
      <w:szCs w:val="22"/>
      <w:lang w:val="en-US" w:eastAsia="en-US"/>
    </w:rPr>
  </w:style>
  <w:style w:type="paragraph" w:customStyle="1" w:styleId="SSubtitle">
    <w:name w:val="S_Subtitle"/>
    <w:basedOn w:val="Subtitle"/>
    <w:next w:val="SNormalText"/>
    <w:qFormat/>
    <w:rsid w:val="004379FD"/>
  </w:style>
  <w:style w:type="paragraph" w:styleId="Title">
    <w:name w:val="Title"/>
    <w:basedOn w:val="Normal"/>
    <w:next w:val="Normal"/>
    <w:link w:val="TitleChar"/>
    <w:uiPriority w:val="10"/>
    <w:locked/>
    <w:rsid w:val="004379FD"/>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leChar">
    <w:name w:val="Title Char"/>
    <w:basedOn w:val="DefaultParagraphFont"/>
    <w:link w:val="Title"/>
    <w:uiPriority w:val="10"/>
    <w:rsid w:val="004379FD"/>
    <w:rPr>
      <w:rFonts w:asciiTheme="majorHAnsi" w:eastAsiaTheme="majorEastAsia" w:hAnsiTheme="majorHAnsi" w:cstheme="majorBidi"/>
      <w:color w:val="17365D" w:themeColor="text2" w:themeShade="BF"/>
      <w:spacing w:val="5"/>
      <w:kern w:val="28"/>
      <w:sz w:val="52"/>
      <w:szCs w:val="52"/>
      <w:lang w:val="en-US" w:eastAsia="en-US"/>
    </w:rPr>
  </w:style>
  <w:style w:type="paragraph" w:customStyle="1" w:styleId="STitle">
    <w:name w:val="S_Title"/>
    <w:next w:val="SNormalText"/>
    <w:qFormat/>
    <w:rsid w:val="004379FD"/>
    <w:pPr>
      <w:spacing w:after="300"/>
    </w:pPr>
    <w:rPr>
      <w:rFonts w:ascii="Pero" w:eastAsiaTheme="minorEastAsia" w:hAnsi="Pero" w:cs="Calibri Light"/>
      <w:b/>
      <w:color w:val="2D8EC2"/>
      <w:sz w:val="56"/>
      <w:szCs w:val="22"/>
      <w:lang w:val="en-US" w:eastAsia="en-US"/>
    </w:rPr>
  </w:style>
  <w:style w:type="character" w:styleId="PageNumber">
    <w:name w:val="page number"/>
    <w:basedOn w:val="DefaultParagraphFont"/>
    <w:uiPriority w:val="99"/>
    <w:unhideWhenUsed/>
    <w:rsid w:val="004379FD"/>
  </w:style>
  <w:style w:type="paragraph" w:customStyle="1" w:styleId="SPageNumber">
    <w:name w:val="S_Page Number"/>
    <w:basedOn w:val="SNormalText"/>
    <w:next w:val="SNormalText"/>
    <w:qFormat/>
    <w:rsid w:val="004379FD"/>
    <w:rPr>
      <w:rFonts w:ascii="Calibri Light" w:hAnsi="Calibri Light" w:cs="Calibri Light"/>
      <w:sz w:val="20"/>
      <w:lang w:val="en-US"/>
    </w:rPr>
  </w:style>
  <w:style w:type="paragraph" w:customStyle="1" w:styleId="SEmphasisBold">
    <w:name w:val="S_Emphasis Bold"/>
    <w:basedOn w:val="SNormalText"/>
    <w:next w:val="SNormalText"/>
    <w:qFormat/>
    <w:rsid w:val="004379FD"/>
    <w:rPr>
      <w:rFonts w:ascii="Calibri Light" w:hAnsi="Calibri Light" w:cs="Calibri Light"/>
      <w:b/>
      <w:i/>
      <w:lang w:val="en-US"/>
    </w:rPr>
  </w:style>
  <w:style w:type="paragraph" w:customStyle="1" w:styleId="SEmphasisSubtle">
    <w:name w:val="S_Emphasis Subtle"/>
    <w:basedOn w:val="SEmphasisBold"/>
    <w:next w:val="SNormalText"/>
    <w:qFormat/>
    <w:rsid w:val="004379FD"/>
  </w:style>
  <w:style w:type="table" w:styleId="LightShading-Accent5">
    <w:name w:val="Light Shading Accent 5"/>
    <w:basedOn w:val="TableNormal"/>
    <w:uiPriority w:val="60"/>
    <w:rsid w:val="004379FD"/>
    <w:rPr>
      <w:rFonts w:ascii="Calibri Light" w:eastAsiaTheme="minorEastAsia" w:hAnsi="Calibri Light" w:cs="Calibri Light"/>
      <w:color w:val="31849B" w:themeColor="accent5" w:themeShade="BF"/>
      <w:sz w:val="22"/>
      <w:szCs w:val="22"/>
      <w:lang w:val="en-US"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StreamologyH1">
    <w:name w:val="Streamology H1"/>
    <w:basedOn w:val="Normal"/>
    <w:next w:val="Normal"/>
    <w:autoRedefine/>
    <w:qFormat/>
    <w:rsid w:val="004379FD"/>
    <w:pPr>
      <w:spacing w:before="120" w:after="120" w:line="240" w:lineRule="auto"/>
      <w:contextualSpacing/>
      <w:jc w:val="left"/>
    </w:pPr>
    <w:rPr>
      <w:rFonts w:ascii="Pero" w:eastAsiaTheme="minorEastAsia" w:hAnsi="Pero" w:cs="Calibri Light"/>
      <w:b/>
      <w:color w:val="392D21"/>
      <w:sz w:val="32"/>
      <w:szCs w:val="32"/>
      <w:lang w:val="en-US"/>
    </w:rPr>
  </w:style>
  <w:style w:type="table" w:styleId="LightList-Accent1">
    <w:name w:val="Light List Accent 1"/>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Accent3">
    <w:name w:val="Light Grid Accent 3"/>
    <w:basedOn w:val="TableNormal"/>
    <w:uiPriority w:val="62"/>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Table">
    <w:name w:val="S_Table"/>
    <w:basedOn w:val="LightList"/>
    <w:uiPriority w:val="99"/>
    <w:rsid w:val="004379FD"/>
    <w:rPr>
      <w:rFonts w:ascii="Pero" w:hAnsi="Pero"/>
      <w:lang w:eastAsia="en-GB"/>
    </w:rPr>
    <w:tblPr/>
    <w:tblStylePr w:type="firstRow">
      <w:pPr>
        <w:spacing w:before="0" w:after="0" w:line="240" w:lineRule="auto"/>
      </w:pPr>
      <w:rPr>
        <w:rFonts w:ascii="inherit" w:hAnsi="inherit"/>
        <w:b/>
        <w:bCs/>
        <w:color w:val="FFFFFF" w:themeColor="background1"/>
        <w:sz w:val="24"/>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Pr/>
      <w:tcPr>
        <w:tcBorders>
          <w:top w:val="nil"/>
          <w:left w:val="nil"/>
          <w:bottom w:val="nil"/>
          <w:right w:val="nil"/>
          <w:insideH w:val="nil"/>
          <w:insideV w:val="nil"/>
          <w:tl2br w:val="nil"/>
          <w:tr2bl w:val="nil"/>
        </w:tcBorders>
        <w:shd w:val="clear" w:color="auto" w:fill="auto"/>
      </w:tc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styleId="LightList">
    <w:name w:val="Light List"/>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TableNoBoarders">
    <w:name w:val="S_Table_No Boarders"/>
    <w:basedOn w:val="TableNormal"/>
    <w:uiPriority w:val="99"/>
    <w:rsid w:val="004379FD"/>
    <w:rPr>
      <w:rFonts w:ascii="Pero" w:eastAsiaTheme="minorEastAsia" w:hAnsi="Pero" w:cs="Calibri Light"/>
      <w:szCs w:val="22"/>
      <w:lang w:val="en-US" w:eastAsia="en-US"/>
    </w:rPr>
    <w:tblPr>
      <w:tblBorders>
        <w:top w:val="single" w:sz="4" w:space="0" w:color="2D8EC2"/>
        <w:bottom w:val="single" w:sz="4" w:space="0" w:color="2D8EC2"/>
        <w:insideH w:val="single" w:sz="4" w:space="0" w:color="2D8EC2"/>
      </w:tblBorders>
    </w:tblPr>
    <w:tblStylePr w:type="firstRow">
      <w:rPr>
        <w:rFonts w:ascii="Bodoni MT Condensed" w:hAnsi="Bodoni MT Condensed"/>
        <w:b/>
        <w:color w:val="FFFFFF" w:themeColor="background1"/>
        <w:sz w:val="24"/>
      </w:rPr>
      <w:tblPr/>
      <w:tcPr>
        <w:shd w:val="clear" w:color="auto" w:fill="2D8EC2"/>
      </w:tcPr>
    </w:tblStylePr>
  </w:style>
  <w:style w:type="table" w:styleId="PlainTable3">
    <w:name w:val="Plain Table 3"/>
    <w:basedOn w:val="TableNormal"/>
    <w:uiPriority w:val="43"/>
    <w:rsid w:val="004379FD"/>
    <w:rPr>
      <w:rFonts w:ascii="Calibri Light" w:eastAsiaTheme="minorHAnsi" w:hAnsi="Calibri Light" w:cs="Calibri Light"/>
      <w:sz w:val="22"/>
      <w:szCs w:val="22"/>
      <w:lang w:val="en-GB"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eop">
    <w:name w:val="eop"/>
    <w:basedOn w:val="DefaultParagraphFont"/>
    <w:rsid w:val="004379FD"/>
  </w:style>
  <w:style w:type="character" w:customStyle="1" w:styleId="UnresolvedMention3">
    <w:name w:val="Unresolved Mention3"/>
    <w:basedOn w:val="DefaultParagraphFont"/>
    <w:uiPriority w:val="99"/>
    <w:rsid w:val="004379FD"/>
    <w:rPr>
      <w:color w:val="605E5C"/>
      <w:shd w:val="clear" w:color="auto" w:fill="E1DFDD"/>
    </w:rPr>
  </w:style>
  <w:style w:type="character" w:customStyle="1" w:styleId="Mention1">
    <w:name w:val="Mention1"/>
    <w:basedOn w:val="DefaultParagraphFont"/>
    <w:uiPriority w:val="99"/>
    <w:unhideWhenUsed/>
    <w:rsid w:val="004379FD"/>
    <w:rPr>
      <w:color w:val="2B579A"/>
      <w:shd w:val="clear" w:color="auto" w:fill="E1DFDD"/>
    </w:rPr>
  </w:style>
  <w:style w:type="table" w:styleId="ListTable3-Accent5">
    <w:name w:val="List Table 3 Accent 5"/>
    <w:basedOn w:val="TableNormal"/>
    <w:uiPriority w:val="48"/>
    <w:rsid w:val="004379FD"/>
    <w:rPr>
      <w:rFonts w:ascii="Calibri Light" w:eastAsiaTheme="minorHAnsi" w:hAnsi="Calibri Light" w:cs="Calibri Light"/>
      <w:sz w:val="22"/>
      <w:szCs w:val="22"/>
      <w:lang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GridTable1Light-Accent1">
    <w:name w:val="Grid Table 1 Light Accent 1"/>
    <w:basedOn w:val="TableNormal"/>
    <w:uiPriority w:val="46"/>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4379FD"/>
    <w:rPr>
      <w:rFonts w:ascii="Calibri Light" w:eastAsiaTheme="minorEastAsia" w:hAnsi="Calibri Light" w:cs="Calibri Light"/>
      <w:sz w:val="22"/>
      <w:szCs w:val="22"/>
      <w:lang w:val="en-US"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PlainTable2">
    <w:name w:val="Plain Table 2"/>
    <w:basedOn w:val="TableNormal"/>
    <w:uiPriority w:val="42"/>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vent-Bold">
    <w:name w:val="Event - Bold"/>
    <w:basedOn w:val="Normal"/>
    <w:qFormat/>
    <w:rsid w:val="004379FD"/>
    <w:pPr>
      <w:spacing w:after="80" w:line="240" w:lineRule="auto"/>
      <w:jc w:val="left"/>
    </w:pPr>
    <w:rPr>
      <w:rFonts w:ascii="Calibri Light" w:eastAsiaTheme="minorHAnsi" w:hAnsi="Calibri Light" w:cs="Calibri Light"/>
      <w:b/>
      <w:sz w:val="18"/>
      <w:szCs w:val="22"/>
      <w:lang w:val="en-US"/>
    </w:rPr>
  </w:style>
  <w:style w:type="paragraph" w:customStyle="1" w:styleId="Tableheadingtext">
    <w:name w:val="Table heading text"/>
    <w:qFormat/>
    <w:rsid w:val="004379FD"/>
    <w:pPr>
      <w:spacing w:before="60" w:after="60" w:line="230" w:lineRule="atLeast"/>
    </w:pPr>
    <w:rPr>
      <w:rFonts w:ascii="Arial" w:eastAsia="Times New Roman" w:hAnsi="Arial" w:cs="Arial"/>
      <w:b/>
      <w:color w:val="FFFFFF" w:themeColor="background1"/>
      <w:szCs w:val="22"/>
      <w:lang w:eastAsia="en-US"/>
    </w:rPr>
  </w:style>
  <w:style w:type="character" w:customStyle="1" w:styleId="gnkrckgcgsb">
    <w:name w:val="gnkrckgcgsb"/>
    <w:basedOn w:val="DefaultParagraphFont"/>
    <w:rsid w:val="004379FD"/>
  </w:style>
  <w:style w:type="paragraph" w:customStyle="1" w:styleId="Normalnumbered">
    <w:name w:val="Normal numbered"/>
    <w:basedOn w:val="ListParagraph"/>
    <w:qFormat/>
    <w:rsid w:val="004379FD"/>
    <w:pPr>
      <w:numPr>
        <w:numId w:val="38"/>
      </w:numPr>
      <w:spacing w:after="113" w:line="240" w:lineRule="atLeast"/>
      <w:jc w:val="left"/>
    </w:pPr>
    <w:rPr>
      <w:rFonts w:ascii="Arial" w:eastAsia="Times New Roman" w:hAnsi="Arial" w:cs="Arial"/>
      <w:sz w:val="20"/>
      <w:szCs w:val="22"/>
      <w:lang w:eastAsia="en-AU"/>
    </w:rPr>
  </w:style>
  <w:style w:type="table" w:customStyle="1" w:styleId="DELWPTable">
    <w:name w:val="DELWP_Table"/>
    <w:basedOn w:val="TableNormal"/>
    <w:uiPriority w:val="99"/>
    <w:rsid w:val="004379FD"/>
    <w:rPr>
      <w:rFonts w:ascii="Times New Roman" w:eastAsia="Times New Roman" w:hAnsi="Times New Roman"/>
      <w:lang w:val="en-US" w:eastAsia="en-US"/>
    </w:rPr>
    <w:tblPr>
      <w:tblInd w:w="0" w:type="nil"/>
      <w:tblBorders>
        <w:bottom w:val="single" w:sz="4" w:space="0" w:color="4F81BD" w:themeColor="accent1"/>
        <w:insideH w:val="single" w:sz="4" w:space="0" w:color="4F81BD" w:themeColor="accent1"/>
      </w:tblBorders>
    </w:tblPr>
    <w:tblStylePr w:type="firstRow">
      <w:tblPr/>
      <w:tcPr>
        <w:tcBorders>
          <w:top w:val="nil"/>
          <w:left w:val="nil"/>
          <w:bottom w:val="nil"/>
          <w:right w:val="nil"/>
          <w:insideH w:val="nil"/>
          <w:insideV w:val="nil"/>
          <w:tl2br w:val="nil"/>
          <w:tr2bl w:val="nil"/>
        </w:tcBorders>
        <w:shd w:val="clear" w:color="auto" w:fill="4F81BD" w:themeFill="accent1"/>
      </w:tcPr>
    </w:tblStylePr>
  </w:style>
  <w:style w:type="paragraph" w:customStyle="1" w:styleId="References0">
    <w:name w:val="_References"/>
    <w:basedOn w:val="Normal"/>
    <w:qFormat/>
    <w:rsid w:val="004379FD"/>
    <w:pPr>
      <w:spacing w:after="120" w:line="240" w:lineRule="auto"/>
      <w:ind w:left="720" w:hanging="720"/>
      <w:jc w:val="left"/>
    </w:pPr>
    <w:rPr>
      <w:rFonts w:ascii="Arial" w:eastAsia="Times New Roman" w:hAnsi="Arial" w:cs="Calibri"/>
      <w:noProof/>
      <w:sz w:val="20"/>
      <w:szCs w:val="22"/>
    </w:rPr>
  </w:style>
  <w:style w:type="paragraph" w:customStyle="1" w:styleId="paragraph">
    <w:name w:val="paragraph"/>
    <w:basedOn w:val="Normal"/>
    <w:rsid w:val="004379FD"/>
    <w:pPr>
      <w:spacing w:before="100" w:beforeAutospacing="1" w:after="100" w:afterAutospacing="1" w:line="240" w:lineRule="auto"/>
      <w:jc w:val="left"/>
    </w:pPr>
    <w:rPr>
      <w:rFonts w:ascii="Times New Roman" w:eastAsia="Times New Roman" w:hAnsi="Times New Roman"/>
      <w:szCs w:val="22"/>
      <w:lang w:eastAsia="en-AU"/>
    </w:rPr>
  </w:style>
  <w:style w:type="character" w:customStyle="1" w:styleId="advancedproofingissue">
    <w:name w:val="advancedproofingissue"/>
    <w:basedOn w:val="DefaultParagraphFont"/>
    <w:rsid w:val="004379FD"/>
  </w:style>
  <w:style w:type="character" w:customStyle="1" w:styleId="spellingerror">
    <w:name w:val="spellingerror"/>
    <w:basedOn w:val="DefaultParagraphFont"/>
    <w:rsid w:val="004379FD"/>
  </w:style>
  <w:style w:type="character" w:customStyle="1" w:styleId="contextualspellingandgrammarerror">
    <w:name w:val="contextualspellingandgrammarerror"/>
    <w:basedOn w:val="DefaultParagraphFont"/>
    <w:rsid w:val="004379FD"/>
  </w:style>
  <w:style w:type="table" w:styleId="GridTable4-Accent5">
    <w:name w:val="Grid Table 4 Accent 5"/>
    <w:basedOn w:val="TableNormal"/>
    <w:uiPriority w:val="49"/>
    <w:rsid w:val="004379FD"/>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aptions">
    <w:name w:val="captions"/>
    <w:basedOn w:val="BodyText1"/>
    <w:link w:val="captionsChar"/>
    <w:qFormat/>
    <w:rsid w:val="004379FD"/>
    <w:pPr>
      <w:spacing w:after="0" w:line="240" w:lineRule="auto"/>
    </w:pPr>
    <w:rPr>
      <w:rFonts w:asciiTheme="minorHAnsi" w:hAnsiTheme="minorHAnsi" w:cstheme="minorHAnsi"/>
      <w:b/>
      <w:sz w:val="20"/>
      <w:szCs w:val="20"/>
    </w:rPr>
  </w:style>
  <w:style w:type="character" w:customStyle="1" w:styleId="captionsChar">
    <w:name w:val="captions Char"/>
    <w:basedOn w:val="TOCHeadingChar"/>
    <w:link w:val="captions"/>
    <w:rsid w:val="004379FD"/>
    <w:rPr>
      <w:rFonts w:asciiTheme="minorHAnsi" w:eastAsia="Times New Roman" w:hAnsiTheme="minorHAnsi" w:cstheme="minorHAnsi"/>
      <w:b/>
      <w:sz w:val="22"/>
      <w:szCs w:val="22"/>
      <w:lang w:eastAsia="zh-CN"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27091810">
      <w:bodyDiv w:val="1"/>
      <w:marLeft w:val="0"/>
      <w:marRight w:val="0"/>
      <w:marTop w:val="0"/>
      <w:marBottom w:val="0"/>
      <w:divBdr>
        <w:top w:val="none" w:sz="0" w:space="0" w:color="auto"/>
        <w:left w:val="none" w:sz="0" w:space="0" w:color="auto"/>
        <w:bottom w:val="none" w:sz="0" w:space="0" w:color="auto"/>
        <w:right w:val="none" w:sz="0" w:space="0" w:color="auto"/>
      </w:divBdr>
      <w:divsChild>
        <w:div w:id="1231620380">
          <w:marLeft w:val="446"/>
          <w:marRight w:val="0"/>
          <w:marTop w:val="0"/>
          <w:marBottom w:val="0"/>
          <w:divBdr>
            <w:top w:val="none" w:sz="0" w:space="0" w:color="auto"/>
            <w:left w:val="none" w:sz="0" w:space="0" w:color="auto"/>
            <w:bottom w:val="none" w:sz="0" w:space="0" w:color="auto"/>
            <w:right w:val="none" w:sz="0" w:space="0" w:color="auto"/>
          </w:divBdr>
        </w:div>
      </w:divsChild>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399534">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726">
      <w:bodyDiv w:val="1"/>
      <w:marLeft w:val="0"/>
      <w:marRight w:val="0"/>
      <w:marTop w:val="0"/>
      <w:marBottom w:val="0"/>
      <w:divBdr>
        <w:top w:val="none" w:sz="0" w:space="0" w:color="auto"/>
        <w:left w:val="none" w:sz="0" w:space="0" w:color="auto"/>
        <w:bottom w:val="none" w:sz="0" w:space="0" w:color="auto"/>
        <w:right w:val="none" w:sz="0" w:space="0" w:color="auto"/>
      </w:divBdr>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26628178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362512090">
      <w:bodyDiv w:val="1"/>
      <w:marLeft w:val="0"/>
      <w:marRight w:val="0"/>
      <w:marTop w:val="0"/>
      <w:marBottom w:val="0"/>
      <w:divBdr>
        <w:top w:val="none" w:sz="0" w:space="0" w:color="auto"/>
        <w:left w:val="none" w:sz="0" w:space="0" w:color="auto"/>
        <w:bottom w:val="none" w:sz="0" w:space="0" w:color="auto"/>
        <w:right w:val="none" w:sz="0" w:space="0" w:color="auto"/>
      </w:divBdr>
    </w:div>
    <w:div w:id="395860874">
      <w:bodyDiv w:val="1"/>
      <w:marLeft w:val="0"/>
      <w:marRight w:val="0"/>
      <w:marTop w:val="0"/>
      <w:marBottom w:val="0"/>
      <w:divBdr>
        <w:top w:val="none" w:sz="0" w:space="0" w:color="auto"/>
        <w:left w:val="none" w:sz="0" w:space="0" w:color="auto"/>
        <w:bottom w:val="none" w:sz="0" w:space="0" w:color="auto"/>
        <w:right w:val="none" w:sz="0" w:space="0" w:color="auto"/>
      </w:divBdr>
      <w:divsChild>
        <w:div w:id="2005434281">
          <w:marLeft w:val="0"/>
          <w:marRight w:val="0"/>
          <w:marTop w:val="0"/>
          <w:marBottom w:val="0"/>
          <w:divBdr>
            <w:top w:val="none" w:sz="0" w:space="0" w:color="auto"/>
            <w:left w:val="none" w:sz="0" w:space="0" w:color="auto"/>
            <w:bottom w:val="none" w:sz="0" w:space="0" w:color="auto"/>
            <w:right w:val="none" w:sz="0" w:space="0" w:color="auto"/>
          </w:divBdr>
        </w:div>
      </w:divsChild>
    </w:div>
    <w:div w:id="422800858">
      <w:bodyDiv w:val="1"/>
      <w:marLeft w:val="0"/>
      <w:marRight w:val="0"/>
      <w:marTop w:val="0"/>
      <w:marBottom w:val="0"/>
      <w:divBdr>
        <w:top w:val="none" w:sz="0" w:space="0" w:color="auto"/>
        <w:left w:val="none" w:sz="0" w:space="0" w:color="auto"/>
        <w:bottom w:val="none" w:sz="0" w:space="0" w:color="auto"/>
        <w:right w:val="none" w:sz="0" w:space="0" w:color="auto"/>
      </w:divBdr>
    </w:div>
    <w:div w:id="437650481">
      <w:bodyDiv w:val="1"/>
      <w:marLeft w:val="0"/>
      <w:marRight w:val="0"/>
      <w:marTop w:val="0"/>
      <w:marBottom w:val="0"/>
      <w:divBdr>
        <w:top w:val="none" w:sz="0" w:space="0" w:color="auto"/>
        <w:left w:val="none" w:sz="0" w:space="0" w:color="auto"/>
        <w:bottom w:val="none" w:sz="0" w:space="0" w:color="auto"/>
        <w:right w:val="none" w:sz="0" w:space="0" w:color="auto"/>
      </w:divBdr>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79931518">
      <w:bodyDiv w:val="1"/>
      <w:marLeft w:val="0"/>
      <w:marRight w:val="0"/>
      <w:marTop w:val="0"/>
      <w:marBottom w:val="0"/>
      <w:divBdr>
        <w:top w:val="none" w:sz="0" w:space="0" w:color="auto"/>
        <w:left w:val="none" w:sz="0" w:space="0" w:color="auto"/>
        <w:bottom w:val="none" w:sz="0" w:space="0" w:color="auto"/>
        <w:right w:val="none" w:sz="0" w:space="0" w:color="auto"/>
      </w:divBdr>
    </w:div>
    <w:div w:id="488131916">
      <w:bodyDiv w:val="1"/>
      <w:marLeft w:val="0"/>
      <w:marRight w:val="0"/>
      <w:marTop w:val="0"/>
      <w:marBottom w:val="0"/>
      <w:divBdr>
        <w:top w:val="none" w:sz="0" w:space="0" w:color="auto"/>
        <w:left w:val="none" w:sz="0" w:space="0" w:color="auto"/>
        <w:bottom w:val="none" w:sz="0" w:space="0" w:color="auto"/>
        <w:right w:val="none" w:sz="0" w:space="0" w:color="auto"/>
      </w:divBdr>
    </w:div>
    <w:div w:id="488910296">
      <w:bodyDiv w:val="1"/>
      <w:marLeft w:val="0"/>
      <w:marRight w:val="0"/>
      <w:marTop w:val="0"/>
      <w:marBottom w:val="0"/>
      <w:divBdr>
        <w:top w:val="none" w:sz="0" w:space="0" w:color="auto"/>
        <w:left w:val="none" w:sz="0" w:space="0" w:color="auto"/>
        <w:bottom w:val="none" w:sz="0" w:space="0" w:color="auto"/>
        <w:right w:val="none" w:sz="0" w:space="0" w:color="auto"/>
      </w:divBdr>
    </w:div>
    <w:div w:id="492796151">
      <w:bodyDiv w:val="1"/>
      <w:marLeft w:val="0"/>
      <w:marRight w:val="0"/>
      <w:marTop w:val="0"/>
      <w:marBottom w:val="0"/>
      <w:divBdr>
        <w:top w:val="none" w:sz="0" w:space="0" w:color="auto"/>
        <w:left w:val="none" w:sz="0" w:space="0" w:color="auto"/>
        <w:bottom w:val="none" w:sz="0" w:space="0" w:color="auto"/>
        <w:right w:val="none" w:sz="0" w:space="0" w:color="auto"/>
      </w:divBdr>
      <w:divsChild>
        <w:div w:id="268244533">
          <w:marLeft w:val="0"/>
          <w:marRight w:val="0"/>
          <w:marTop w:val="0"/>
          <w:marBottom w:val="0"/>
          <w:divBdr>
            <w:top w:val="none" w:sz="0" w:space="0" w:color="auto"/>
            <w:left w:val="none" w:sz="0" w:space="0" w:color="auto"/>
            <w:bottom w:val="none" w:sz="0" w:space="0" w:color="auto"/>
            <w:right w:val="none" w:sz="0" w:space="0" w:color="auto"/>
          </w:divBdr>
        </w:div>
        <w:div w:id="348683389">
          <w:marLeft w:val="0"/>
          <w:marRight w:val="0"/>
          <w:marTop w:val="0"/>
          <w:marBottom w:val="0"/>
          <w:divBdr>
            <w:top w:val="none" w:sz="0" w:space="0" w:color="auto"/>
            <w:left w:val="none" w:sz="0" w:space="0" w:color="auto"/>
            <w:bottom w:val="none" w:sz="0" w:space="0" w:color="auto"/>
            <w:right w:val="none" w:sz="0" w:space="0" w:color="auto"/>
          </w:divBdr>
        </w:div>
        <w:div w:id="563873056">
          <w:marLeft w:val="0"/>
          <w:marRight w:val="0"/>
          <w:marTop w:val="0"/>
          <w:marBottom w:val="0"/>
          <w:divBdr>
            <w:top w:val="none" w:sz="0" w:space="0" w:color="auto"/>
            <w:left w:val="none" w:sz="0" w:space="0" w:color="auto"/>
            <w:bottom w:val="none" w:sz="0" w:space="0" w:color="auto"/>
            <w:right w:val="none" w:sz="0" w:space="0" w:color="auto"/>
          </w:divBdr>
        </w:div>
        <w:div w:id="756749972">
          <w:marLeft w:val="0"/>
          <w:marRight w:val="0"/>
          <w:marTop w:val="0"/>
          <w:marBottom w:val="0"/>
          <w:divBdr>
            <w:top w:val="none" w:sz="0" w:space="0" w:color="auto"/>
            <w:left w:val="none" w:sz="0" w:space="0" w:color="auto"/>
            <w:bottom w:val="none" w:sz="0" w:space="0" w:color="auto"/>
            <w:right w:val="none" w:sz="0" w:space="0" w:color="auto"/>
          </w:divBdr>
        </w:div>
        <w:div w:id="994142923">
          <w:marLeft w:val="0"/>
          <w:marRight w:val="0"/>
          <w:marTop w:val="0"/>
          <w:marBottom w:val="0"/>
          <w:divBdr>
            <w:top w:val="none" w:sz="0" w:space="0" w:color="auto"/>
            <w:left w:val="none" w:sz="0" w:space="0" w:color="auto"/>
            <w:bottom w:val="none" w:sz="0" w:space="0" w:color="auto"/>
            <w:right w:val="none" w:sz="0" w:space="0" w:color="auto"/>
          </w:divBdr>
        </w:div>
        <w:div w:id="1044521264">
          <w:marLeft w:val="0"/>
          <w:marRight w:val="0"/>
          <w:marTop w:val="0"/>
          <w:marBottom w:val="0"/>
          <w:divBdr>
            <w:top w:val="none" w:sz="0" w:space="0" w:color="auto"/>
            <w:left w:val="none" w:sz="0" w:space="0" w:color="auto"/>
            <w:bottom w:val="none" w:sz="0" w:space="0" w:color="auto"/>
            <w:right w:val="none" w:sz="0" w:space="0" w:color="auto"/>
          </w:divBdr>
        </w:div>
        <w:div w:id="1307053331">
          <w:marLeft w:val="0"/>
          <w:marRight w:val="0"/>
          <w:marTop w:val="0"/>
          <w:marBottom w:val="0"/>
          <w:divBdr>
            <w:top w:val="none" w:sz="0" w:space="0" w:color="auto"/>
            <w:left w:val="none" w:sz="0" w:space="0" w:color="auto"/>
            <w:bottom w:val="none" w:sz="0" w:space="0" w:color="auto"/>
            <w:right w:val="none" w:sz="0" w:space="0" w:color="auto"/>
          </w:divBdr>
        </w:div>
        <w:div w:id="1394816175">
          <w:marLeft w:val="0"/>
          <w:marRight w:val="0"/>
          <w:marTop w:val="0"/>
          <w:marBottom w:val="0"/>
          <w:divBdr>
            <w:top w:val="none" w:sz="0" w:space="0" w:color="auto"/>
            <w:left w:val="none" w:sz="0" w:space="0" w:color="auto"/>
            <w:bottom w:val="none" w:sz="0" w:space="0" w:color="auto"/>
            <w:right w:val="none" w:sz="0" w:space="0" w:color="auto"/>
          </w:divBdr>
        </w:div>
        <w:div w:id="1655916188">
          <w:marLeft w:val="0"/>
          <w:marRight w:val="0"/>
          <w:marTop w:val="0"/>
          <w:marBottom w:val="0"/>
          <w:divBdr>
            <w:top w:val="none" w:sz="0" w:space="0" w:color="auto"/>
            <w:left w:val="none" w:sz="0" w:space="0" w:color="auto"/>
            <w:bottom w:val="none" w:sz="0" w:space="0" w:color="auto"/>
            <w:right w:val="none" w:sz="0" w:space="0" w:color="auto"/>
          </w:divBdr>
        </w:div>
        <w:div w:id="1802266482">
          <w:marLeft w:val="0"/>
          <w:marRight w:val="0"/>
          <w:marTop w:val="0"/>
          <w:marBottom w:val="0"/>
          <w:divBdr>
            <w:top w:val="none" w:sz="0" w:space="0" w:color="auto"/>
            <w:left w:val="none" w:sz="0" w:space="0" w:color="auto"/>
            <w:bottom w:val="none" w:sz="0" w:space="0" w:color="auto"/>
            <w:right w:val="none" w:sz="0" w:space="0" w:color="auto"/>
          </w:divBdr>
        </w:div>
        <w:div w:id="1863394799">
          <w:marLeft w:val="0"/>
          <w:marRight w:val="0"/>
          <w:marTop w:val="0"/>
          <w:marBottom w:val="0"/>
          <w:divBdr>
            <w:top w:val="none" w:sz="0" w:space="0" w:color="auto"/>
            <w:left w:val="none" w:sz="0" w:space="0" w:color="auto"/>
            <w:bottom w:val="none" w:sz="0" w:space="0" w:color="auto"/>
            <w:right w:val="none" w:sz="0" w:space="0" w:color="auto"/>
          </w:divBdr>
        </w:div>
      </w:divsChild>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36896161">
      <w:bodyDiv w:val="1"/>
      <w:marLeft w:val="0"/>
      <w:marRight w:val="0"/>
      <w:marTop w:val="0"/>
      <w:marBottom w:val="0"/>
      <w:divBdr>
        <w:top w:val="none" w:sz="0" w:space="0" w:color="auto"/>
        <w:left w:val="none" w:sz="0" w:space="0" w:color="auto"/>
        <w:bottom w:val="none" w:sz="0" w:space="0" w:color="auto"/>
        <w:right w:val="none" w:sz="0" w:space="0" w:color="auto"/>
      </w:divBdr>
    </w:div>
    <w:div w:id="574246091">
      <w:bodyDiv w:val="1"/>
      <w:marLeft w:val="0"/>
      <w:marRight w:val="0"/>
      <w:marTop w:val="0"/>
      <w:marBottom w:val="0"/>
      <w:divBdr>
        <w:top w:val="none" w:sz="0" w:space="0" w:color="auto"/>
        <w:left w:val="none" w:sz="0" w:space="0" w:color="auto"/>
        <w:bottom w:val="none" w:sz="0" w:space="0" w:color="auto"/>
        <w:right w:val="none" w:sz="0" w:space="0" w:color="auto"/>
      </w:divBdr>
      <w:divsChild>
        <w:div w:id="456921524">
          <w:marLeft w:val="0"/>
          <w:marRight w:val="0"/>
          <w:marTop w:val="0"/>
          <w:marBottom w:val="0"/>
          <w:divBdr>
            <w:top w:val="none" w:sz="0" w:space="0" w:color="auto"/>
            <w:left w:val="none" w:sz="0" w:space="0" w:color="auto"/>
            <w:bottom w:val="none" w:sz="0" w:space="0" w:color="auto"/>
            <w:right w:val="none" w:sz="0" w:space="0" w:color="auto"/>
          </w:divBdr>
        </w:div>
        <w:div w:id="1079525209">
          <w:marLeft w:val="0"/>
          <w:marRight w:val="0"/>
          <w:marTop w:val="0"/>
          <w:marBottom w:val="0"/>
          <w:divBdr>
            <w:top w:val="none" w:sz="0" w:space="0" w:color="auto"/>
            <w:left w:val="none" w:sz="0" w:space="0" w:color="auto"/>
            <w:bottom w:val="none" w:sz="0" w:space="0" w:color="auto"/>
            <w:right w:val="none" w:sz="0" w:space="0" w:color="auto"/>
          </w:divBdr>
        </w:div>
        <w:div w:id="1138760193">
          <w:marLeft w:val="0"/>
          <w:marRight w:val="0"/>
          <w:marTop w:val="0"/>
          <w:marBottom w:val="0"/>
          <w:divBdr>
            <w:top w:val="none" w:sz="0" w:space="0" w:color="auto"/>
            <w:left w:val="none" w:sz="0" w:space="0" w:color="auto"/>
            <w:bottom w:val="none" w:sz="0" w:space="0" w:color="auto"/>
            <w:right w:val="none" w:sz="0" w:space="0" w:color="auto"/>
          </w:divBdr>
        </w:div>
        <w:div w:id="1259561441">
          <w:marLeft w:val="0"/>
          <w:marRight w:val="0"/>
          <w:marTop w:val="0"/>
          <w:marBottom w:val="0"/>
          <w:divBdr>
            <w:top w:val="none" w:sz="0" w:space="0" w:color="auto"/>
            <w:left w:val="none" w:sz="0" w:space="0" w:color="auto"/>
            <w:bottom w:val="none" w:sz="0" w:space="0" w:color="auto"/>
            <w:right w:val="none" w:sz="0" w:space="0" w:color="auto"/>
          </w:divBdr>
        </w:div>
        <w:div w:id="1586722960">
          <w:marLeft w:val="0"/>
          <w:marRight w:val="0"/>
          <w:marTop w:val="0"/>
          <w:marBottom w:val="0"/>
          <w:divBdr>
            <w:top w:val="none" w:sz="0" w:space="0" w:color="auto"/>
            <w:left w:val="none" w:sz="0" w:space="0" w:color="auto"/>
            <w:bottom w:val="none" w:sz="0" w:space="0" w:color="auto"/>
            <w:right w:val="none" w:sz="0" w:space="0" w:color="auto"/>
          </w:divBdr>
        </w:div>
        <w:div w:id="1791319438">
          <w:marLeft w:val="0"/>
          <w:marRight w:val="0"/>
          <w:marTop w:val="0"/>
          <w:marBottom w:val="0"/>
          <w:divBdr>
            <w:top w:val="none" w:sz="0" w:space="0" w:color="auto"/>
            <w:left w:val="none" w:sz="0" w:space="0" w:color="auto"/>
            <w:bottom w:val="none" w:sz="0" w:space="0" w:color="auto"/>
            <w:right w:val="none" w:sz="0" w:space="0" w:color="auto"/>
          </w:divBdr>
        </w:div>
      </w:divsChild>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599720646">
      <w:bodyDiv w:val="1"/>
      <w:marLeft w:val="0"/>
      <w:marRight w:val="0"/>
      <w:marTop w:val="0"/>
      <w:marBottom w:val="0"/>
      <w:divBdr>
        <w:top w:val="none" w:sz="0" w:space="0" w:color="auto"/>
        <w:left w:val="none" w:sz="0" w:space="0" w:color="auto"/>
        <w:bottom w:val="none" w:sz="0" w:space="0" w:color="auto"/>
        <w:right w:val="none" w:sz="0" w:space="0" w:color="auto"/>
      </w:divBdr>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37538588">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2873078">
      <w:bodyDiv w:val="1"/>
      <w:marLeft w:val="0"/>
      <w:marRight w:val="0"/>
      <w:marTop w:val="0"/>
      <w:marBottom w:val="0"/>
      <w:divBdr>
        <w:top w:val="none" w:sz="0" w:space="0" w:color="auto"/>
        <w:left w:val="none" w:sz="0" w:space="0" w:color="auto"/>
        <w:bottom w:val="none" w:sz="0" w:space="0" w:color="auto"/>
        <w:right w:val="none" w:sz="0" w:space="0" w:color="auto"/>
      </w:divBdr>
      <w:divsChild>
        <w:div w:id="252058510">
          <w:marLeft w:val="0"/>
          <w:marRight w:val="0"/>
          <w:marTop w:val="0"/>
          <w:marBottom w:val="0"/>
          <w:divBdr>
            <w:top w:val="none" w:sz="0" w:space="0" w:color="auto"/>
            <w:left w:val="none" w:sz="0" w:space="0" w:color="auto"/>
            <w:bottom w:val="none" w:sz="0" w:space="0" w:color="auto"/>
            <w:right w:val="none" w:sz="0" w:space="0" w:color="auto"/>
          </w:divBdr>
          <w:divsChild>
            <w:div w:id="169177897">
              <w:marLeft w:val="0"/>
              <w:marRight w:val="0"/>
              <w:marTop w:val="0"/>
              <w:marBottom w:val="0"/>
              <w:divBdr>
                <w:top w:val="none" w:sz="0" w:space="0" w:color="auto"/>
                <w:left w:val="none" w:sz="0" w:space="0" w:color="auto"/>
                <w:bottom w:val="none" w:sz="0" w:space="0" w:color="auto"/>
                <w:right w:val="none" w:sz="0" w:space="0" w:color="auto"/>
              </w:divBdr>
              <w:divsChild>
                <w:div w:id="14255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5046852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796145192">
      <w:bodyDiv w:val="1"/>
      <w:marLeft w:val="0"/>
      <w:marRight w:val="0"/>
      <w:marTop w:val="0"/>
      <w:marBottom w:val="0"/>
      <w:divBdr>
        <w:top w:val="none" w:sz="0" w:space="0" w:color="auto"/>
        <w:left w:val="none" w:sz="0" w:space="0" w:color="auto"/>
        <w:bottom w:val="none" w:sz="0" w:space="0" w:color="auto"/>
        <w:right w:val="none" w:sz="0" w:space="0" w:color="auto"/>
      </w:divBdr>
    </w:div>
    <w:div w:id="805007139">
      <w:bodyDiv w:val="1"/>
      <w:marLeft w:val="0"/>
      <w:marRight w:val="0"/>
      <w:marTop w:val="0"/>
      <w:marBottom w:val="0"/>
      <w:divBdr>
        <w:top w:val="none" w:sz="0" w:space="0" w:color="auto"/>
        <w:left w:val="none" w:sz="0" w:space="0" w:color="auto"/>
        <w:bottom w:val="none" w:sz="0" w:space="0" w:color="auto"/>
        <w:right w:val="none" w:sz="0" w:space="0" w:color="auto"/>
      </w:divBdr>
      <w:divsChild>
        <w:div w:id="1694695825">
          <w:marLeft w:val="446"/>
          <w:marRight w:val="0"/>
          <w:marTop w:val="0"/>
          <w:marBottom w:val="0"/>
          <w:divBdr>
            <w:top w:val="none" w:sz="0" w:space="0" w:color="auto"/>
            <w:left w:val="none" w:sz="0" w:space="0" w:color="auto"/>
            <w:bottom w:val="none" w:sz="0" w:space="0" w:color="auto"/>
            <w:right w:val="none" w:sz="0" w:space="0" w:color="auto"/>
          </w:divBdr>
        </w:div>
      </w:divsChild>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30755412">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3774">
      <w:bodyDiv w:val="1"/>
      <w:marLeft w:val="0"/>
      <w:marRight w:val="0"/>
      <w:marTop w:val="0"/>
      <w:marBottom w:val="0"/>
      <w:divBdr>
        <w:top w:val="none" w:sz="0" w:space="0" w:color="auto"/>
        <w:left w:val="none" w:sz="0" w:space="0" w:color="auto"/>
        <w:bottom w:val="none" w:sz="0" w:space="0" w:color="auto"/>
        <w:right w:val="none" w:sz="0" w:space="0" w:color="auto"/>
      </w:divBdr>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45233790">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67391355">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74142801">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2142344">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05075783">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165823497">
      <w:bodyDiv w:val="1"/>
      <w:marLeft w:val="0"/>
      <w:marRight w:val="0"/>
      <w:marTop w:val="0"/>
      <w:marBottom w:val="0"/>
      <w:divBdr>
        <w:top w:val="none" w:sz="0" w:space="0" w:color="auto"/>
        <w:left w:val="none" w:sz="0" w:space="0" w:color="auto"/>
        <w:bottom w:val="none" w:sz="0" w:space="0" w:color="auto"/>
        <w:right w:val="none" w:sz="0" w:space="0" w:color="auto"/>
      </w:divBdr>
    </w:div>
    <w:div w:id="1207916038">
      <w:bodyDiv w:val="1"/>
      <w:marLeft w:val="0"/>
      <w:marRight w:val="0"/>
      <w:marTop w:val="0"/>
      <w:marBottom w:val="0"/>
      <w:divBdr>
        <w:top w:val="none" w:sz="0" w:space="0" w:color="auto"/>
        <w:left w:val="none" w:sz="0" w:space="0" w:color="auto"/>
        <w:bottom w:val="none" w:sz="0" w:space="0" w:color="auto"/>
        <w:right w:val="none" w:sz="0" w:space="0" w:color="auto"/>
      </w:divBdr>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292327122">
      <w:bodyDiv w:val="1"/>
      <w:marLeft w:val="0"/>
      <w:marRight w:val="0"/>
      <w:marTop w:val="0"/>
      <w:marBottom w:val="0"/>
      <w:divBdr>
        <w:top w:val="none" w:sz="0" w:space="0" w:color="auto"/>
        <w:left w:val="none" w:sz="0" w:space="0" w:color="auto"/>
        <w:bottom w:val="none" w:sz="0" w:space="0" w:color="auto"/>
        <w:right w:val="none" w:sz="0" w:space="0" w:color="auto"/>
      </w:divBdr>
    </w:div>
    <w:div w:id="1310860495">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56231917">
      <w:bodyDiv w:val="1"/>
      <w:marLeft w:val="0"/>
      <w:marRight w:val="0"/>
      <w:marTop w:val="0"/>
      <w:marBottom w:val="0"/>
      <w:divBdr>
        <w:top w:val="none" w:sz="0" w:space="0" w:color="auto"/>
        <w:left w:val="none" w:sz="0" w:space="0" w:color="auto"/>
        <w:bottom w:val="none" w:sz="0" w:space="0" w:color="auto"/>
        <w:right w:val="none" w:sz="0" w:space="0" w:color="auto"/>
      </w:divBdr>
    </w:div>
    <w:div w:id="1358771252">
      <w:bodyDiv w:val="1"/>
      <w:marLeft w:val="0"/>
      <w:marRight w:val="0"/>
      <w:marTop w:val="0"/>
      <w:marBottom w:val="0"/>
      <w:divBdr>
        <w:top w:val="none" w:sz="0" w:space="0" w:color="auto"/>
        <w:left w:val="none" w:sz="0" w:space="0" w:color="auto"/>
        <w:bottom w:val="none" w:sz="0" w:space="0" w:color="auto"/>
        <w:right w:val="none" w:sz="0" w:space="0" w:color="auto"/>
      </w:divBdr>
    </w:div>
    <w:div w:id="1364938348">
      <w:bodyDiv w:val="1"/>
      <w:marLeft w:val="0"/>
      <w:marRight w:val="0"/>
      <w:marTop w:val="0"/>
      <w:marBottom w:val="0"/>
      <w:divBdr>
        <w:top w:val="none" w:sz="0" w:space="0" w:color="auto"/>
        <w:left w:val="none" w:sz="0" w:space="0" w:color="auto"/>
        <w:bottom w:val="none" w:sz="0" w:space="0" w:color="auto"/>
        <w:right w:val="none" w:sz="0" w:space="0" w:color="auto"/>
      </w:divBdr>
      <w:divsChild>
        <w:div w:id="178084792">
          <w:marLeft w:val="0"/>
          <w:marRight w:val="0"/>
          <w:marTop w:val="0"/>
          <w:marBottom w:val="0"/>
          <w:divBdr>
            <w:top w:val="none" w:sz="0" w:space="0" w:color="auto"/>
            <w:left w:val="none" w:sz="0" w:space="0" w:color="auto"/>
            <w:bottom w:val="none" w:sz="0" w:space="0" w:color="auto"/>
            <w:right w:val="none" w:sz="0" w:space="0" w:color="auto"/>
          </w:divBdr>
        </w:div>
        <w:div w:id="536233407">
          <w:marLeft w:val="0"/>
          <w:marRight w:val="0"/>
          <w:marTop w:val="0"/>
          <w:marBottom w:val="0"/>
          <w:divBdr>
            <w:top w:val="none" w:sz="0" w:space="0" w:color="auto"/>
            <w:left w:val="none" w:sz="0" w:space="0" w:color="auto"/>
            <w:bottom w:val="none" w:sz="0" w:space="0" w:color="auto"/>
            <w:right w:val="none" w:sz="0" w:space="0" w:color="auto"/>
          </w:divBdr>
        </w:div>
        <w:div w:id="851800202">
          <w:marLeft w:val="0"/>
          <w:marRight w:val="0"/>
          <w:marTop w:val="0"/>
          <w:marBottom w:val="0"/>
          <w:divBdr>
            <w:top w:val="none" w:sz="0" w:space="0" w:color="auto"/>
            <w:left w:val="none" w:sz="0" w:space="0" w:color="auto"/>
            <w:bottom w:val="none" w:sz="0" w:space="0" w:color="auto"/>
            <w:right w:val="none" w:sz="0" w:space="0" w:color="auto"/>
          </w:divBdr>
        </w:div>
        <w:div w:id="863251460">
          <w:marLeft w:val="0"/>
          <w:marRight w:val="0"/>
          <w:marTop w:val="0"/>
          <w:marBottom w:val="0"/>
          <w:divBdr>
            <w:top w:val="none" w:sz="0" w:space="0" w:color="auto"/>
            <w:left w:val="none" w:sz="0" w:space="0" w:color="auto"/>
            <w:bottom w:val="none" w:sz="0" w:space="0" w:color="auto"/>
            <w:right w:val="none" w:sz="0" w:space="0" w:color="auto"/>
          </w:divBdr>
        </w:div>
        <w:div w:id="1345547274">
          <w:marLeft w:val="0"/>
          <w:marRight w:val="0"/>
          <w:marTop w:val="0"/>
          <w:marBottom w:val="0"/>
          <w:divBdr>
            <w:top w:val="none" w:sz="0" w:space="0" w:color="auto"/>
            <w:left w:val="none" w:sz="0" w:space="0" w:color="auto"/>
            <w:bottom w:val="none" w:sz="0" w:space="0" w:color="auto"/>
            <w:right w:val="none" w:sz="0" w:space="0" w:color="auto"/>
          </w:divBdr>
        </w:div>
        <w:div w:id="1675719109">
          <w:marLeft w:val="0"/>
          <w:marRight w:val="0"/>
          <w:marTop w:val="0"/>
          <w:marBottom w:val="0"/>
          <w:divBdr>
            <w:top w:val="none" w:sz="0" w:space="0" w:color="auto"/>
            <w:left w:val="none" w:sz="0" w:space="0" w:color="auto"/>
            <w:bottom w:val="none" w:sz="0" w:space="0" w:color="auto"/>
            <w:right w:val="none" w:sz="0" w:space="0" w:color="auto"/>
          </w:divBdr>
        </w:div>
      </w:divsChild>
    </w:div>
    <w:div w:id="1378242918">
      <w:bodyDiv w:val="1"/>
      <w:marLeft w:val="0"/>
      <w:marRight w:val="0"/>
      <w:marTop w:val="0"/>
      <w:marBottom w:val="0"/>
      <w:divBdr>
        <w:top w:val="none" w:sz="0" w:space="0" w:color="auto"/>
        <w:left w:val="none" w:sz="0" w:space="0" w:color="auto"/>
        <w:bottom w:val="none" w:sz="0" w:space="0" w:color="auto"/>
        <w:right w:val="none" w:sz="0" w:space="0" w:color="auto"/>
      </w:divBdr>
      <w:divsChild>
        <w:div w:id="54623598">
          <w:marLeft w:val="0"/>
          <w:marRight w:val="0"/>
          <w:marTop w:val="0"/>
          <w:marBottom w:val="0"/>
          <w:divBdr>
            <w:top w:val="none" w:sz="0" w:space="0" w:color="auto"/>
            <w:left w:val="none" w:sz="0" w:space="0" w:color="auto"/>
            <w:bottom w:val="none" w:sz="0" w:space="0" w:color="auto"/>
            <w:right w:val="none" w:sz="0" w:space="0" w:color="auto"/>
          </w:divBdr>
        </w:div>
        <w:div w:id="204559632">
          <w:marLeft w:val="0"/>
          <w:marRight w:val="0"/>
          <w:marTop w:val="0"/>
          <w:marBottom w:val="0"/>
          <w:divBdr>
            <w:top w:val="none" w:sz="0" w:space="0" w:color="auto"/>
            <w:left w:val="none" w:sz="0" w:space="0" w:color="auto"/>
            <w:bottom w:val="none" w:sz="0" w:space="0" w:color="auto"/>
            <w:right w:val="none" w:sz="0" w:space="0" w:color="auto"/>
          </w:divBdr>
        </w:div>
        <w:div w:id="284239874">
          <w:marLeft w:val="0"/>
          <w:marRight w:val="0"/>
          <w:marTop w:val="0"/>
          <w:marBottom w:val="0"/>
          <w:divBdr>
            <w:top w:val="none" w:sz="0" w:space="0" w:color="auto"/>
            <w:left w:val="none" w:sz="0" w:space="0" w:color="auto"/>
            <w:bottom w:val="none" w:sz="0" w:space="0" w:color="auto"/>
            <w:right w:val="none" w:sz="0" w:space="0" w:color="auto"/>
          </w:divBdr>
        </w:div>
        <w:div w:id="1441535036">
          <w:marLeft w:val="0"/>
          <w:marRight w:val="0"/>
          <w:marTop w:val="0"/>
          <w:marBottom w:val="0"/>
          <w:divBdr>
            <w:top w:val="none" w:sz="0" w:space="0" w:color="auto"/>
            <w:left w:val="none" w:sz="0" w:space="0" w:color="auto"/>
            <w:bottom w:val="none" w:sz="0" w:space="0" w:color="auto"/>
            <w:right w:val="none" w:sz="0" w:space="0" w:color="auto"/>
          </w:divBdr>
        </w:div>
        <w:div w:id="1504859936">
          <w:marLeft w:val="0"/>
          <w:marRight w:val="0"/>
          <w:marTop w:val="0"/>
          <w:marBottom w:val="0"/>
          <w:divBdr>
            <w:top w:val="none" w:sz="0" w:space="0" w:color="auto"/>
            <w:left w:val="none" w:sz="0" w:space="0" w:color="auto"/>
            <w:bottom w:val="none" w:sz="0" w:space="0" w:color="auto"/>
            <w:right w:val="none" w:sz="0" w:space="0" w:color="auto"/>
          </w:divBdr>
        </w:div>
        <w:div w:id="2020617506">
          <w:marLeft w:val="0"/>
          <w:marRight w:val="0"/>
          <w:marTop w:val="0"/>
          <w:marBottom w:val="0"/>
          <w:divBdr>
            <w:top w:val="none" w:sz="0" w:space="0" w:color="auto"/>
            <w:left w:val="none" w:sz="0" w:space="0" w:color="auto"/>
            <w:bottom w:val="none" w:sz="0" w:space="0" w:color="auto"/>
            <w:right w:val="none" w:sz="0" w:space="0" w:color="auto"/>
          </w:divBdr>
        </w:div>
      </w:divsChild>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04723417">
      <w:bodyDiv w:val="1"/>
      <w:marLeft w:val="0"/>
      <w:marRight w:val="0"/>
      <w:marTop w:val="0"/>
      <w:marBottom w:val="0"/>
      <w:divBdr>
        <w:top w:val="none" w:sz="0" w:space="0" w:color="auto"/>
        <w:left w:val="none" w:sz="0" w:space="0" w:color="auto"/>
        <w:bottom w:val="none" w:sz="0" w:space="0" w:color="auto"/>
        <w:right w:val="none" w:sz="0" w:space="0" w:color="auto"/>
      </w:divBdr>
      <w:divsChild>
        <w:div w:id="495075217">
          <w:marLeft w:val="0"/>
          <w:marRight w:val="0"/>
          <w:marTop w:val="0"/>
          <w:marBottom w:val="0"/>
          <w:divBdr>
            <w:top w:val="none" w:sz="0" w:space="0" w:color="auto"/>
            <w:left w:val="none" w:sz="0" w:space="0" w:color="auto"/>
            <w:bottom w:val="none" w:sz="0" w:space="0" w:color="auto"/>
            <w:right w:val="none" w:sz="0" w:space="0" w:color="auto"/>
          </w:divBdr>
        </w:div>
        <w:div w:id="888763049">
          <w:marLeft w:val="0"/>
          <w:marRight w:val="0"/>
          <w:marTop w:val="0"/>
          <w:marBottom w:val="0"/>
          <w:divBdr>
            <w:top w:val="none" w:sz="0" w:space="0" w:color="auto"/>
            <w:left w:val="none" w:sz="0" w:space="0" w:color="auto"/>
            <w:bottom w:val="none" w:sz="0" w:space="0" w:color="auto"/>
            <w:right w:val="none" w:sz="0" w:space="0" w:color="auto"/>
          </w:divBdr>
        </w:div>
        <w:div w:id="1031539658">
          <w:marLeft w:val="0"/>
          <w:marRight w:val="0"/>
          <w:marTop w:val="0"/>
          <w:marBottom w:val="0"/>
          <w:divBdr>
            <w:top w:val="none" w:sz="0" w:space="0" w:color="auto"/>
            <w:left w:val="none" w:sz="0" w:space="0" w:color="auto"/>
            <w:bottom w:val="none" w:sz="0" w:space="0" w:color="auto"/>
            <w:right w:val="none" w:sz="0" w:space="0" w:color="auto"/>
          </w:divBdr>
        </w:div>
        <w:div w:id="1133980937">
          <w:marLeft w:val="0"/>
          <w:marRight w:val="0"/>
          <w:marTop w:val="0"/>
          <w:marBottom w:val="0"/>
          <w:divBdr>
            <w:top w:val="none" w:sz="0" w:space="0" w:color="auto"/>
            <w:left w:val="none" w:sz="0" w:space="0" w:color="auto"/>
            <w:bottom w:val="none" w:sz="0" w:space="0" w:color="auto"/>
            <w:right w:val="none" w:sz="0" w:space="0" w:color="auto"/>
          </w:divBdr>
        </w:div>
        <w:div w:id="1134566599">
          <w:marLeft w:val="0"/>
          <w:marRight w:val="0"/>
          <w:marTop w:val="0"/>
          <w:marBottom w:val="0"/>
          <w:divBdr>
            <w:top w:val="none" w:sz="0" w:space="0" w:color="auto"/>
            <w:left w:val="none" w:sz="0" w:space="0" w:color="auto"/>
            <w:bottom w:val="none" w:sz="0" w:space="0" w:color="auto"/>
            <w:right w:val="none" w:sz="0" w:space="0" w:color="auto"/>
          </w:divBdr>
        </w:div>
        <w:div w:id="1419404547">
          <w:marLeft w:val="0"/>
          <w:marRight w:val="0"/>
          <w:marTop w:val="0"/>
          <w:marBottom w:val="0"/>
          <w:divBdr>
            <w:top w:val="none" w:sz="0" w:space="0" w:color="auto"/>
            <w:left w:val="none" w:sz="0" w:space="0" w:color="auto"/>
            <w:bottom w:val="none" w:sz="0" w:space="0" w:color="auto"/>
            <w:right w:val="none" w:sz="0" w:space="0" w:color="auto"/>
          </w:divBdr>
        </w:div>
        <w:div w:id="1490247244">
          <w:marLeft w:val="0"/>
          <w:marRight w:val="0"/>
          <w:marTop w:val="0"/>
          <w:marBottom w:val="0"/>
          <w:divBdr>
            <w:top w:val="none" w:sz="0" w:space="0" w:color="auto"/>
            <w:left w:val="none" w:sz="0" w:space="0" w:color="auto"/>
            <w:bottom w:val="none" w:sz="0" w:space="0" w:color="auto"/>
            <w:right w:val="none" w:sz="0" w:space="0" w:color="auto"/>
          </w:divBdr>
        </w:div>
      </w:divsChild>
    </w:div>
    <w:div w:id="1405488158">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00198762">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38396420">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64751566">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54917915">
      <w:bodyDiv w:val="1"/>
      <w:marLeft w:val="0"/>
      <w:marRight w:val="0"/>
      <w:marTop w:val="0"/>
      <w:marBottom w:val="0"/>
      <w:divBdr>
        <w:top w:val="none" w:sz="0" w:space="0" w:color="auto"/>
        <w:left w:val="none" w:sz="0" w:space="0" w:color="auto"/>
        <w:bottom w:val="none" w:sz="0" w:space="0" w:color="auto"/>
        <w:right w:val="none" w:sz="0" w:space="0" w:color="auto"/>
      </w:divBdr>
    </w:div>
    <w:div w:id="1658806798">
      <w:bodyDiv w:val="1"/>
      <w:marLeft w:val="0"/>
      <w:marRight w:val="0"/>
      <w:marTop w:val="0"/>
      <w:marBottom w:val="0"/>
      <w:divBdr>
        <w:top w:val="none" w:sz="0" w:space="0" w:color="auto"/>
        <w:left w:val="none" w:sz="0" w:space="0" w:color="auto"/>
        <w:bottom w:val="none" w:sz="0" w:space="0" w:color="auto"/>
        <w:right w:val="none" w:sz="0" w:space="0" w:color="auto"/>
      </w:divBdr>
    </w:div>
    <w:div w:id="1688630734">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08943478">
      <w:bodyDiv w:val="1"/>
      <w:marLeft w:val="0"/>
      <w:marRight w:val="0"/>
      <w:marTop w:val="0"/>
      <w:marBottom w:val="0"/>
      <w:divBdr>
        <w:top w:val="none" w:sz="0" w:space="0" w:color="auto"/>
        <w:left w:val="none" w:sz="0" w:space="0" w:color="auto"/>
        <w:bottom w:val="none" w:sz="0" w:space="0" w:color="auto"/>
        <w:right w:val="none" w:sz="0" w:space="0" w:color="auto"/>
      </w:divBdr>
      <w:divsChild>
        <w:div w:id="365759419">
          <w:marLeft w:val="0"/>
          <w:marRight w:val="0"/>
          <w:marTop w:val="0"/>
          <w:marBottom w:val="0"/>
          <w:divBdr>
            <w:top w:val="none" w:sz="0" w:space="0" w:color="auto"/>
            <w:left w:val="none" w:sz="0" w:space="0" w:color="auto"/>
            <w:bottom w:val="none" w:sz="0" w:space="0" w:color="auto"/>
            <w:right w:val="none" w:sz="0" w:space="0" w:color="auto"/>
          </w:divBdr>
        </w:div>
        <w:div w:id="486476663">
          <w:marLeft w:val="0"/>
          <w:marRight w:val="0"/>
          <w:marTop w:val="0"/>
          <w:marBottom w:val="0"/>
          <w:divBdr>
            <w:top w:val="none" w:sz="0" w:space="0" w:color="auto"/>
            <w:left w:val="none" w:sz="0" w:space="0" w:color="auto"/>
            <w:bottom w:val="none" w:sz="0" w:space="0" w:color="auto"/>
            <w:right w:val="none" w:sz="0" w:space="0" w:color="auto"/>
          </w:divBdr>
        </w:div>
        <w:div w:id="716244095">
          <w:marLeft w:val="0"/>
          <w:marRight w:val="0"/>
          <w:marTop w:val="0"/>
          <w:marBottom w:val="0"/>
          <w:divBdr>
            <w:top w:val="none" w:sz="0" w:space="0" w:color="auto"/>
            <w:left w:val="none" w:sz="0" w:space="0" w:color="auto"/>
            <w:bottom w:val="none" w:sz="0" w:space="0" w:color="auto"/>
            <w:right w:val="none" w:sz="0" w:space="0" w:color="auto"/>
          </w:divBdr>
        </w:div>
        <w:div w:id="886717186">
          <w:marLeft w:val="0"/>
          <w:marRight w:val="0"/>
          <w:marTop w:val="0"/>
          <w:marBottom w:val="0"/>
          <w:divBdr>
            <w:top w:val="none" w:sz="0" w:space="0" w:color="auto"/>
            <w:left w:val="none" w:sz="0" w:space="0" w:color="auto"/>
            <w:bottom w:val="none" w:sz="0" w:space="0" w:color="auto"/>
            <w:right w:val="none" w:sz="0" w:space="0" w:color="auto"/>
          </w:divBdr>
        </w:div>
        <w:div w:id="1413238057">
          <w:marLeft w:val="0"/>
          <w:marRight w:val="0"/>
          <w:marTop w:val="0"/>
          <w:marBottom w:val="0"/>
          <w:divBdr>
            <w:top w:val="none" w:sz="0" w:space="0" w:color="auto"/>
            <w:left w:val="none" w:sz="0" w:space="0" w:color="auto"/>
            <w:bottom w:val="none" w:sz="0" w:space="0" w:color="auto"/>
            <w:right w:val="none" w:sz="0" w:space="0" w:color="auto"/>
          </w:divBdr>
        </w:div>
        <w:div w:id="1505314158">
          <w:marLeft w:val="0"/>
          <w:marRight w:val="0"/>
          <w:marTop w:val="0"/>
          <w:marBottom w:val="0"/>
          <w:divBdr>
            <w:top w:val="none" w:sz="0" w:space="0" w:color="auto"/>
            <w:left w:val="none" w:sz="0" w:space="0" w:color="auto"/>
            <w:bottom w:val="none" w:sz="0" w:space="0" w:color="auto"/>
            <w:right w:val="none" w:sz="0" w:space="0" w:color="auto"/>
          </w:divBdr>
        </w:div>
      </w:divsChild>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46099691">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786345147">
      <w:bodyDiv w:val="1"/>
      <w:marLeft w:val="0"/>
      <w:marRight w:val="0"/>
      <w:marTop w:val="0"/>
      <w:marBottom w:val="0"/>
      <w:divBdr>
        <w:top w:val="none" w:sz="0" w:space="0" w:color="auto"/>
        <w:left w:val="none" w:sz="0" w:space="0" w:color="auto"/>
        <w:bottom w:val="none" w:sz="0" w:space="0" w:color="auto"/>
        <w:right w:val="none" w:sz="0" w:space="0" w:color="auto"/>
      </w:divBdr>
      <w:divsChild>
        <w:div w:id="149978636">
          <w:marLeft w:val="446"/>
          <w:marRight w:val="0"/>
          <w:marTop w:val="0"/>
          <w:marBottom w:val="0"/>
          <w:divBdr>
            <w:top w:val="none" w:sz="0" w:space="0" w:color="auto"/>
            <w:left w:val="none" w:sz="0" w:space="0" w:color="auto"/>
            <w:bottom w:val="none" w:sz="0" w:space="0" w:color="auto"/>
            <w:right w:val="none" w:sz="0" w:space="0" w:color="auto"/>
          </w:divBdr>
        </w:div>
        <w:div w:id="1138842509">
          <w:marLeft w:val="446"/>
          <w:marRight w:val="0"/>
          <w:marTop w:val="0"/>
          <w:marBottom w:val="0"/>
          <w:divBdr>
            <w:top w:val="none" w:sz="0" w:space="0" w:color="auto"/>
            <w:left w:val="none" w:sz="0" w:space="0" w:color="auto"/>
            <w:bottom w:val="none" w:sz="0" w:space="0" w:color="auto"/>
            <w:right w:val="none" w:sz="0" w:space="0" w:color="auto"/>
          </w:divBdr>
        </w:div>
      </w:divsChild>
    </w:div>
    <w:div w:id="1807966028">
      <w:bodyDiv w:val="1"/>
      <w:marLeft w:val="0"/>
      <w:marRight w:val="0"/>
      <w:marTop w:val="0"/>
      <w:marBottom w:val="0"/>
      <w:divBdr>
        <w:top w:val="none" w:sz="0" w:space="0" w:color="auto"/>
        <w:left w:val="none" w:sz="0" w:space="0" w:color="auto"/>
        <w:bottom w:val="none" w:sz="0" w:space="0" w:color="auto"/>
        <w:right w:val="none" w:sz="0" w:space="0" w:color="auto"/>
      </w:divBdr>
      <w:divsChild>
        <w:div w:id="101152391">
          <w:marLeft w:val="0"/>
          <w:marRight w:val="0"/>
          <w:marTop w:val="0"/>
          <w:marBottom w:val="0"/>
          <w:divBdr>
            <w:top w:val="none" w:sz="0" w:space="0" w:color="auto"/>
            <w:left w:val="none" w:sz="0" w:space="0" w:color="auto"/>
            <w:bottom w:val="none" w:sz="0" w:space="0" w:color="auto"/>
            <w:right w:val="none" w:sz="0" w:space="0" w:color="auto"/>
          </w:divBdr>
        </w:div>
        <w:div w:id="315960988">
          <w:marLeft w:val="0"/>
          <w:marRight w:val="0"/>
          <w:marTop w:val="0"/>
          <w:marBottom w:val="0"/>
          <w:divBdr>
            <w:top w:val="none" w:sz="0" w:space="0" w:color="auto"/>
            <w:left w:val="none" w:sz="0" w:space="0" w:color="auto"/>
            <w:bottom w:val="none" w:sz="0" w:space="0" w:color="auto"/>
            <w:right w:val="none" w:sz="0" w:space="0" w:color="auto"/>
          </w:divBdr>
        </w:div>
        <w:div w:id="334918926">
          <w:marLeft w:val="0"/>
          <w:marRight w:val="0"/>
          <w:marTop w:val="0"/>
          <w:marBottom w:val="0"/>
          <w:divBdr>
            <w:top w:val="none" w:sz="0" w:space="0" w:color="auto"/>
            <w:left w:val="none" w:sz="0" w:space="0" w:color="auto"/>
            <w:bottom w:val="none" w:sz="0" w:space="0" w:color="auto"/>
            <w:right w:val="none" w:sz="0" w:space="0" w:color="auto"/>
          </w:divBdr>
        </w:div>
        <w:div w:id="339966489">
          <w:marLeft w:val="0"/>
          <w:marRight w:val="0"/>
          <w:marTop w:val="0"/>
          <w:marBottom w:val="0"/>
          <w:divBdr>
            <w:top w:val="none" w:sz="0" w:space="0" w:color="auto"/>
            <w:left w:val="none" w:sz="0" w:space="0" w:color="auto"/>
            <w:bottom w:val="none" w:sz="0" w:space="0" w:color="auto"/>
            <w:right w:val="none" w:sz="0" w:space="0" w:color="auto"/>
          </w:divBdr>
        </w:div>
        <w:div w:id="694111687">
          <w:marLeft w:val="0"/>
          <w:marRight w:val="0"/>
          <w:marTop w:val="0"/>
          <w:marBottom w:val="0"/>
          <w:divBdr>
            <w:top w:val="none" w:sz="0" w:space="0" w:color="auto"/>
            <w:left w:val="none" w:sz="0" w:space="0" w:color="auto"/>
            <w:bottom w:val="none" w:sz="0" w:space="0" w:color="auto"/>
            <w:right w:val="none" w:sz="0" w:space="0" w:color="auto"/>
          </w:divBdr>
        </w:div>
        <w:div w:id="836926164">
          <w:marLeft w:val="0"/>
          <w:marRight w:val="0"/>
          <w:marTop w:val="0"/>
          <w:marBottom w:val="0"/>
          <w:divBdr>
            <w:top w:val="none" w:sz="0" w:space="0" w:color="auto"/>
            <w:left w:val="none" w:sz="0" w:space="0" w:color="auto"/>
            <w:bottom w:val="none" w:sz="0" w:space="0" w:color="auto"/>
            <w:right w:val="none" w:sz="0" w:space="0" w:color="auto"/>
          </w:divBdr>
        </w:div>
        <w:div w:id="844054555">
          <w:marLeft w:val="0"/>
          <w:marRight w:val="0"/>
          <w:marTop w:val="0"/>
          <w:marBottom w:val="0"/>
          <w:divBdr>
            <w:top w:val="none" w:sz="0" w:space="0" w:color="auto"/>
            <w:left w:val="none" w:sz="0" w:space="0" w:color="auto"/>
            <w:bottom w:val="none" w:sz="0" w:space="0" w:color="auto"/>
            <w:right w:val="none" w:sz="0" w:space="0" w:color="auto"/>
          </w:divBdr>
        </w:div>
        <w:div w:id="911501402">
          <w:marLeft w:val="0"/>
          <w:marRight w:val="0"/>
          <w:marTop w:val="0"/>
          <w:marBottom w:val="0"/>
          <w:divBdr>
            <w:top w:val="none" w:sz="0" w:space="0" w:color="auto"/>
            <w:left w:val="none" w:sz="0" w:space="0" w:color="auto"/>
            <w:bottom w:val="none" w:sz="0" w:space="0" w:color="auto"/>
            <w:right w:val="none" w:sz="0" w:space="0" w:color="auto"/>
          </w:divBdr>
        </w:div>
        <w:div w:id="942305577">
          <w:marLeft w:val="0"/>
          <w:marRight w:val="0"/>
          <w:marTop w:val="0"/>
          <w:marBottom w:val="0"/>
          <w:divBdr>
            <w:top w:val="none" w:sz="0" w:space="0" w:color="auto"/>
            <w:left w:val="none" w:sz="0" w:space="0" w:color="auto"/>
            <w:bottom w:val="none" w:sz="0" w:space="0" w:color="auto"/>
            <w:right w:val="none" w:sz="0" w:space="0" w:color="auto"/>
          </w:divBdr>
        </w:div>
        <w:div w:id="979270062">
          <w:marLeft w:val="0"/>
          <w:marRight w:val="0"/>
          <w:marTop w:val="0"/>
          <w:marBottom w:val="0"/>
          <w:divBdr>
            <w:top w:val="none" w:sz="0" w:space="0" w:color="auto"/>
            <w:left w:val="none" w:sz="0" w:space="0" w:color="auto"/>
            <w:bottom w:val="none" w:sz="0" w:space="0" w:color="auto"/>
            <w:right w:val="none" w:sz="0" w:space="0" w:color="auto"/>
          </w:divBdr>
        </w:div>
        <w:div w:id="1060980993">
          <w:marLeft w:val="0"/>
          <w:marRight w:val="0"/>
          <w:marTop w:val="0"/>
          <w:marBottom w:val="0"/>
          <w:divBdr>
            <w:top w:val="none" w:sz="0" w:space="0" w:color="auto"/>
            <w:left w:val="none" w:sz="0" w:space="0" w:color="auto"/>
            <w:bottom w:val="none" w:sz="0" w:space="0" w:color="auto"/>
            <w:right w:val="none" w:sz="0" w:space="0" w:color="auto"/>
          </w:divBdr>
        </w:div>
        <w:div w:id="1279684933">
          <w:marLeft w:val="0"/>
          <w:marRight w:val="0"/>
          <w:marTop w:val="0"/>
          <w:marBottom w:val="0"/>
          <w:divBdr>
            <w:top w:val="none" w:sz="0" w:space="0" w:color="auto"/>
            <w:left w:val="none" w:sz="0" w:space="0" w:color="auto"/>
            <w:bottom w:val="none" w:sz="0" w:space="0" w:color="auto"/>
            <w:right w:val="none" w:sz="0" w:space="0" w:color="auto"/>
          </w:divBdr>
        </w:div>
        <w:div w:id="1371538480">
          <w:marLeft w:val="0"/>
          <w:marRight w:val="0"/>
          <w:marTop w:val="0"/>
          <w:marBottom w:val="0"/>
          <w:divBdr>
            <w:top w:val="none" w:sz="0" w:space="0" w:color="auto"/>
            <w:left w:val="none" w:sz="0" w:space="0" w:color="auto"/>
            <w:bottom w:val="none" w:sz="0" w:space="0" w:color="auto"/>
            <w:right w:val="none" w:sz="0" w:space="0" w:color="auto"/>
          </w:divBdr>
        </w:div>
        <w:div w:id="1382250712">
          <w:marLeft w:val="0"/>
          <w:marRight w:val="0"/>
          <w:marTop w:val="0"/>
          <w:marBottom w:val="0"/>
          <w:divBdr>
            <w:top w:val="none" w:sz="0" w:space="0" w:color="auto"/>
            <w:left w:val="none" w:sz="0" w:space="0" w:color="auto"/>
            <w:bottom w:val="none" w:sz="0" w:space="0" w:color="auto"/>
            <w:right w:val="none" w:sz="0" w:space="0" w:color="auto"/>
          </w:divBdr>
        </w:div>
        <w:div w:id="1465850428">
          <w:marLeft w:val="0"/>
          <w:marRight w:val="0"/>
          <w:marTop w:val="0"/>
          <w:marBottom w:val="0"/>
          <w:divBdr>
            <w:top w:val="none" w:sz="0" w:space="0" w:color="auto"/>
            <w:left w:val="none" w:sz="0" w:space="0" w:color="auto"/>
            <w:bottom w:val="none" w:sz="0" w:space="0" w:color="auto"/>
            <w:right w:val="none" w:sz="0" w:space="0" w:color="auto"/>
          </w:divBdr>
        </w:div>
        <w:div w:id="1817994799">
          <w:marLeft w:val="0"/>
          <w:marRight w:val="0"/>
          <w:marTop w:val="0"/>
          <w:marBottom w:val="0"/>
          <w:divBdr>
            <w:top w:val="none" w:sz="0" w:space="0" w:color="auto"/>
            <w:left w:val="none" w:sz="0" w:space="0" w:color="auto"/>
            <w:bottom w:val="none" w:sz="0" w:space="0" w:color="auto"/>
            <w:right w:val="none" w:sz="0" w:space="0" w:color="auto"/>
          </w:divBdr>
        </w:div>
        <w:div w:id="1830633734">
          <w:marLeft w:val="0"/>
          <w:marRight w:val="0"/>
          <w:marTop w:val="0"/>
          <w:marBottom w:val="0"/>
          <w:divBdr>
            <w:top w:val="none" w:sz="0" w:space="0" w:color="auto"/>
            <w:left w:val="none" w:sz="0" w:space="0" w:color="auto"/>
            <w:bottom w:val="none" w:sz="0" w:space="0" w:color="auto"/>
            <w:right w:val="none" w:sz="0" w:space="0" w:color="auto"/>
          </w:divBdr>
        </w:div>
        <w:div w:id="1920552296">
          <w:marLeft w:val="0"/>
          <w:marRight w:val="0"/>
          <w:marTop w:val="0"/>
          <w:marBottom w:val="0"/>
          <w:divBdr>
            <w:top w:val="none" w:sz="0" w:space="0" w:color="auto"/>
            <w:left w:val="none" w:sz="0" w:space="0" w:color="auto"/>
            <w:bottom w:val="none" w:sz="0" w:space="0" w:color="auto"/>
            <w:right w:val="none" w:sz="0" w:space="0" w:color="auto"/>
          </w:divBdr>
        </w:div>
        <w:div w:id="1929849867">
          <w:marLeft w:val="0"/>
          <w:marRight w:val="0"/>
          <w:marTop w:val="0"/>
          <w:marBottom w:val="0"/>
          <w:divBdr>
            <w:top w:val="none" w:sz="0" w:space="0" w:color="auto"/>
            <w:left w:val="none" w:sz="0" w:space="0" w:color="auto"/>
            <w:bottom w:val="none" w:sz="0" w:space="0" w:color="auto"/>
            <w:right w:val="none" w:sz="0" w:space="0" w:color="auto"/>
          </w:divBdr>
        </w:div>
        <w:div w:id="1972782128">
          <w:marLeft w:val="0"/>
          <w:marRight w:val="0"/>
          <w:marTop w:val="0"/>
          <w:marBottom w:val="0"/>
          <w:divBdr>
            <w:top w:val="none" w:sz="0" w:space="0" w:color="auto"/>
            <w:left w:val="none" w:sz="0" w:space="0" w:color="auto"/>
            <w:bottom w:val="none" w:sz="0" w:space="0" w:color="auto"/>
            <w:right w:val="none" w:sz="0" w:space="0" w:color="auto"/>
          </w:divBdr>
        </w:div>
      </w:divsChild>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67332749">
      <w:bodyDiv w:val="1"/>
      <w:marLeft w:val="0"/>
      <w:marRight w:val="0"/>
      <w:marTop w:val="0"/>
      <w:marBottom w:val="0"/>
      <w:divBdr>
        <w:top w:val="none" w:sz="0" w:space="0" w:color="auto"/>
        <w:left w:val="none" w:sz="0" w:space="0" w:color="auto"/>
        <w:bottom w:val="none" w:sz="0" w:space="0" w:color="auto"/>
        <w:right w:val="none" w:sz="0" w:space="0" w:color="auto"/>
      </w:divBdr>
    </w:div>
    <w:div w:id="1870335499">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0776268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58365956">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1469901">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5325771">
      <w:bodyDiv w:val="1"/>
      <w:marLeft w:val="0"/>
      <w:marRight w:val="0"/>
      <w:marTop w:val="0"/>
      <w:marBottom w:val="0"/>
      <w:divBdr>
        <w:top w:val="none" w:sz="0" w:space="0" w:color="auto"/>
        <w:left w:val="none" w:sz="0" w:space="0" w:color="auto"/>
        <w:bottom w:val="none" w:sz="0" w:space="0" w:color="auto"/>
        <w:right w:val="none" w:sz="0" w:space="0" w:color="auto"/>
      </w:divBdr>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1985546017">
      <w:bodyDiv w:val="1"/>
      <w:marLeft w:val="0"/>
      <w:marRight w:val="0"/>
      <w:marTop w:val="0"/>
      <w:marBottom w:val="0"/>
      <w:divBdr>
        <w:top w:val="none" w:sz="0" w:space="0" w:color="auto"/>
        <w:left w:val="none" w:sz="0" w:space="0" w:color="auto"/>
        <w:bottom w:val="none" w:sz="0" w:space="0" w:color="auto"/>
        <w:right w:val="none" w:sz="0" w:space="0" w:color="auto"/>
      </w:divBdr>
    </w:div>
    <w:div w:id="2029211421">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59893424">
      <w:bodyDiv w:val="1"/>
      <w:marLeft w:val="0"/>
      <w:marRight w:val="0"/>
      <w:marTop w:val="0"/>
      <w:marBottom w:val="0"/>
      <w:divBdr>
        <w:top w:val="none" w:sz="0" w:space="0" w:color="auto"/>
        <w:left w:val="none" w:sz="0" w:space="0" w:color="auto"/>
        <w:bottom w:val="none" w:sz="0" w:space="0" w:color="auto"/>
        <w:right w:val="none" w:sz="0" w:space="0" w:color="auto"/>
      </w:divBdr>
    </w:div>
    <w:div w:id="2062095281">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8066444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093896061">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8.png"/><Relationship Id="rId42" Type="http://schemas.openxmlformats.org/officeDocument/2006/relationships/image" Target="media/image24.jpe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7.jpe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61.jpeg"/><Relationship Id="rId205" Type="http://schemas.openxmlformats.org/officeDocument/2006/relationships/image" Target="media/image174.jpeg"/><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1.jpe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hyperlink" Target="https://www.environment.gov.au/water/cewo/publications/cewo-ltim-basin-evaluation-plan" TargetMode="External"/><Relationship Id="rId160" Type="http://schemas.openxmlformats.org/officeDocument/2006/relationships/image" Target="media/image139.png"/><Relationship Id="rId165" Type="http://schemas.openxmlformats.org/officeDocument/2006/relationships/image" Target="media/image144.png"/><Relationship Id="rId181" Type="http://schemas.openxmlformats.org/officeDocument/2006/relationships/image" Target="media/image156.jpeg"/><Relationship Id="rId186" Type="http://schemas.openxmlformats.org/officeDocument/2006/relationships/hyperlink" Target="https://cloud.pix4d.com/dataset/731306/map?shareToken=530e08e5-cd59-4857-aa16-87095344e0b0" TargetMode="External"/><Relationship Id="rId211" Type="http://schemas.openxmlformats.org/officeDocument/2006/relationships/hyperlink" Target="http://plantnet.rbgsyd.nsw.gov.au" TargetMode="External"/><Relationship Id="rId22" Type="http://schemas.openxmlformats.org/officeDocument/2006/relationships/hyperlink" Target="http://www.environment.gov.au/water/cewo/monitoring/ewkr" TargetMode="External"/><Relationship Id="rId27" Type="http://schemas.openxmlformats.org/officeDocument/2006/relationships/hyperlink" Target="https://www.waternsw.com.au/water-quality/algae/algal-contacts" TargetMode="External"/><Relationship Id="rId43" Type="http://schemas.openxmlformats.org/officeDocument/2006/relationships/hyperlink" Target="https://realtimedata.waternsw.com.au/water.stm" TargetMode="External"/><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2.pn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emf"/><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50.jpeg"/><Relationship Id="rId176" Type="http://schemas.openxmlformats.org/officeDocument/2006/relationships/hyperlink" Target="https://cloud.pix4d.com/dataset/729513/map?shareToken=db186131-a901-41ee-89e0-e29ac7ea4bb1" TargetMode="External"/><Relationship Id="rId192" Type="http://schemas.openxmlformats.org/officeDocument/2006/relationships/hyperlink" Target="https://cloud.pix4d.com/dataset/731311/map?shareToken=fcc5e698-92e7-4cfe-b497-462efcb00831" TargetMode="External"/><Relationship Id="rId197" Type="http://schemas.openxmlformats.org/officeDocument/2006/relationships/image" Target="media/image166.png"/><Relationship Id="rId206" Type="http://schemas.openxmlformats.org/officeDocument/2006/relationships/image" Target="media/image175.png"/><Relationship Id="rId201" Type="http://schemas.openxmlformats.org/officeDocument/2006/relationships/image" Target="media/image170.png"/><Relationship Id="rId12" Type="http://schemas.openxmlformats.org/officeDocument/2006/relationships/header" Target="header1.xml"/><Relationship Id="rId17" Type="http://schemas.openxmlformats.org/officeDocument/2006/relationships/image" Target="media/image4.jpeg"/><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0.pn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hyperlink" Target="https://cloud.pix4d.com/dataset/729516/map?shareToken=d376312f-efca-484f-a732-c0f2720ea7cb" TargetMode="External"/><Relationship Id="rId187"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en.cnki.com.cn/Article_en/CJFDTotal-SSDB200905007.htm" TargetMode="External"/><Relationship Id="rId23" Type="http://schemas.openxmlformats.org/officeDocument/2006/relationships/hyperlink" Target="http://www.environment.gov.au/water/cewo/monitoring/ewkr" TargetMode="External"/><Relationship Id="rId28" Type="http://schemas.openxmlformats.org/officeDocument/2006/relationships/image" Target="media/image10.png"/><Relationship Id="rId49" Type="http://schemas.openxmlformats.org/officeDocument/2006/relationships/image" Target="media/image30.png"/><Relationship Id="rId114" Type="http://schemas.openxmlformats.org/officeDocument/2006/relationships/image" Target="media/image93.png"/><Relationship Id="rId119" Type="http://schemas.openxmlformats.org/officeDocument/2006/relationships/image" Target="media/image98.jpe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footer" Target="footer2.xml"/><Relationship Id="rId130" Type="http://schemas.openxmlformats.org/officeDocument/2006/relationships/image" Target="media/image109.pn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png"/><Relationship Id="rId177" Type="http://schemas.openxmlformats.org/officeDocument/2006/relationships/image" Target="media/image154.png"/><Relationship Id="rId198" Type="http://schemas.openxmlformats.org/officeDocument/2006/relationships/image" Target="media/image167.png"/><Relationship Id="rId172" Type="http://schemas.openxmlformats.org/officeDocument/2006/relationships/image" Target="media/image151.jpeg"/><Relationship Id="rId193" Type="http://schemas.openxmlformats.org/officeDocument/2006/relationships/image" Target="media/image162.jpeg"/><Relationship Id="rId202" Type="http://schemas.openxmlformats.org/officeDocument/2006/relationships/image" Target="media/image171.jpeg"/><Relationship Id="rId207" Type="http://schemas.openxmlformats.org/officeDocument/2006/relationships/image" Target="media/image176.emf"/><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1.jpe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6.emf"/><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jpeg"/><Relationship Id="rId146" Type="http://schemas.openxmlformats.org/officeDocument/2006/relationships/image" Target="media/image125.emf"/><Relationship Id="rId167" Type="http://schemas.openxmlformats.org/officeDocument/2006/relationships/image" Target="media/image146.jpeg"/><Relationship Id="rId188" Type="http://schemas.openxmlformats.org/officeDocument/2006/relationships/hyperlink" Target="https://cloud.pix4d.com/dataset/731307/map?shareToken=675044ef-4411-4d04-aef7-7277e72120b9" TargetMode="Externa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png"/><Relationship Id="rId162" Type="http://schemas.openxmlformats.org/officeDocument/2006/relationships/image" Target="media/image141.jpeg"/><Relationship Id="rId183" Type="http://schemas.openxmlformats.org/officeDocument/2006/relationships/image" Target="media/image157.jpeg"/><Relationship Id="rId213"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9.png"/><Relationship Id="rId40" Type="http://schemas.openxmlformats.org/officeDocument/2006/relationships/image" Target="media/image22.jpe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hyperlink" Target="https://cloud.pix4d.com/dataset/729514/map?shareToken=e0886fe9-c9cc-4639-b5e8-01c13bfd9f66" TargetMode="External"/><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63.png"/><Relationship Id="rId199" Type="http://schemas.openxmlformats.org/officeDocument/2006/relationships/image" Target="media/image168.jpeg"/><Relationship Id="rId203" Type="http://schemas.openxmlformats.org/officeDocument/2006/relationships/image" Target="media/image172.jpeg"/><Relationship Id="rId208" Type="http://schemas.openxmlformats.org/officeDocument/2006/relationships/hyperlink" Target="http://www.bom.gov.au/climate/current/statements/scs58.pdf" TargetMode="External"/><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7.jpeg"/><Relationship Id="rId77" Type="http://schemas.openxmlformats.org/officeDocument/2006/relationships/image" Target="media/image58.png"/><Relationship Id="rId100" Type="http://schemas.openxmlformats.org/officeDocument/2006/relationships/image" Target="media/image79.jpeg"/><Relationship Id="rId105" Type="http://schemas.openxmlformats.org/officeDocument/2006/relationships/image" Target="media/image84.tiff"/><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jpe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hyperlink" Target="https://cloud.pix4d.com/dataset/729517/map?shareToken=de9a842d-8404-40da-9971-8848fc7e63d6" TargetMode="External"/><Relationship Id="rId189" Type="http://schemas.openxmlformats.org/officeDocument/2006/relationships/image" Target="media/image160.jpeg"/><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hyperlink" Target="https://www.nhmrc.gov.au/_files_nhmrc/publications/attachments/eh38.pdf" TargetMode="External"/><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jpeg"/><Relationship Id="rId20" Type="http://schemas.openxmlformats.org/officeDocument/2006/relationships/image" Target="media/image7.png"/><Relationship Id="rId41" Type="http://schemas.openxmlformats.org/officeDocument/2006/relationships/image" Target="media/image23.jpe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8.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hyperlink" Target="https://cloud.pix4d.com/dataset/729512/map?shareToken=6d7691a1-8c7a-4c8d-a5a5-2d38321238f1" TargetMode="External"/><Relationship Id="rId179" Type="http://schemas.openxmlformats.org/officeDocument/2006/relationships/image" Target="media/image155.png"/><Relationship Id="rId195" Type="http://schemas.openxmlformats.org/officeDocument/2006/relationships/image" Target="media/image164.png"/><Relationship Id="rId209" Type="http://schemas.openxmlformats.org/officeDocument/2006/relationships/hyperlink" Target="http://www.environment.gov.au/water/cewo/catchment/mid-murray/history" TargetMode="External"/><Relationship Id="rId190" Type="http://schemas.openxmlformats.org/officeDocument/2006/relationships/hyperlink" Target="https://cloud.pix4d.com/dataset/731308/map?shareToken=9a705d9f-7638-41eb-a22e-72aa1ee82a31" TargetMode="External"/><Relationship Id="rId204" Type="http://schemas.openxmlformats.org/officeDocument/2006/relationships/image" Target="media/image173.jpeg"/><Relationship Id="rId15" Type="http://schemas.openxmlformats.org/officeDocument/2006/relationships/hyperlink" Target="http://creativecommons.org/licenses/by/3.0/au/" TargetMode="External"/><Relationship Id="rId36" Type="http://schemas.openxmlformats.org/officeDocument/2006/relationships/image" Target="media/image18.jpeg"/><Relationship Id="rId57" Type="http://schemas.openxmlformats.org/officeDocument/2006/relationships/image" Target="media/image38.jpe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4.pn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58.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cloud.pix4d.com/dataset/729515/map?shareToken=8bc38ab9-7a66-49ab-9d5c-73ad75463a6c" TargetMode="External"/><Relationship Id="rId210" Type="http://schemas.openxmlformats.org/officeDocument/2006/relationships/hyperlink" Target="https://www.R-project.org/" TargetMode="External"/><Relationship Id="rId215" Type="http://schemas.openxmlformats.org/officeDocument/2006/relationships/theme" Target="theme/theme1.xml"/><Relationship Id="rId26" Type="http://schemas.openxmlformats.org/officeDocument/2006/relationships/hyperlink" Target="https://www.nhmrc.gov.au/_files_nhmrc/publications/attachments/eh38.pdf" TargetMode="External"/><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12.emf"/><Relationship Id="rId154" Type="http://schemas.openxmlformats.org/officeDocument/2006/relationships/image" Target="media/image133.png"/><Relationship Id="rId175" Type="http://schemas.openxmlformats.org/officeDocument/2006/relationships/image" Target="media/image153.png"/><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2" ma:contentTypeDescription="Create a new document." ma:contentTypeScope="" ma:versionID="679fd235f2e52f711cc918d3c6a7adc2">
  <xsd:schema xmlns:xsd="http://www.w3.org/2001/XMLSchema" xmlns:xs="http://www.w3.org/2001/XMLSchema" xmlns:p="http://schemas.microsoft.com/office/2006/metadata/properties" xmlns:ns2="ac7ce04e-ea5d-4d46-bab0-39b1fa6a6f36" targetNamespace="http://schemas.microsoft.com/office/2006/metadata/properties" ma:root="true" ma:fieldsID="459038f077884b135300fb5f2bc6d86f"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544B7463-87BF-4B4C-93B5-2FFE8B2468E7}">
  <ds:schemaRefs>
    <ds:schemaRef ds:uri="http://schemas.openxmlformats.org/officeDocument/2006/bibliography"/>
  </ds:schemaRefs>
</ds:datastoreItem>
</file>

<file path=customXml/itemProps2.xml><?xml version="1.0" encoding="utf-8"?>
<ds:datastoreItem xmlns:ds="http://schemas.openxmlformats.org/officeDocument/2006/customXml" ds:itemID="{FE8FA569-ED8B-463C-ADC0-771903E96F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5825C18-6D33-492D-8055-AB5BDE80D699}">
  <ds:schemaRefs>
    <ds:schemaRef ds:uri="http://schemas.microsoft.com/sharepoint/v3/contenttype/forms"/>
  </ds:schemaRefs>
</ds:datastoreItem>
</file>

<file path=customXml/itemProps4.xml><?xml version="1.0" encoding="utf-8"?>
<ds:datastoreItem xmlns:ds="http://schemas.openxmlformats.org/officeDocument/2006/customXml" ds:itemID="{EB18A084-30BA-4D46-A99B-785B7966A94F}">
  <ds:schemaRefs>
    <ds:schemaRef ds:uri="http://schemas.microsoft.com/office/2006/metadata/properties"/>
    <ds:schemaRef ds:uri="http://schemas.microsoft.com/office/infopath/2007/PartnerControls"/>
    <ds:schemaRef ds:uri="ac7ce04e-ea5d-4d46-bab0-39b1fa6a6f36"/>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47</Pages>
  <Words>91175</Words>
  <Characters>519703</Characters>
  <Application>Microsoft Office Word</Application>
  <DocSecurity>0</DocSecurity>
  <Lines>4330</Lines>
  <Paragraphs>1219</Paragraphs>
  <ScaleCrop>false</ScaleCrop>
  <HeadingPairs>
    <vt:vector size="2" baseType="variant">
      <vt:variant>
        <vt:lpstr>Title</vt:lpstr>
      </vt:variant>
      <vt:variant>
        <vt:i4>1</vt:i4>
      </vt:variant>
    </vt:vector>
  </HeadingPairs>
  <TitlesOfParts>
    <vt:vector size="1" baseType="lpstr">
      <vt:lpstr>Commonwealth Environmental Water Office Monitoring, Evaluation and Research Project: Edward/Kolety-Wakool River System Selected Area Technical Report 2019-20</vt:lpstr>
    </vt:vector>
  </TitlesOfParts>
  <Company/>
  <LinksUpToDate>false</LinksUpToDate>
  <CharactersWithSpaces>609659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Monitoring, Evaluation and Research Project: Edward/Kolety-Wakool River System Selected Area Technical Report 2019-20</dc:title>
  <dc:subject/>
  <dc:creator>"Watts R.J., Bond N.R, Duncan M., Healy S., Liu X., McCasker N.G., Siebers A., Sutton N., Thiem J.D., Trethewie J.A., Vietz G., Wright D.W."</dc:creator>
  <cp:keywords/>
  <dc:description/>
  <cp:lastModifiedBy>Bec Durack</cp:lastModifiedBy>
  <cp:revision>4</cp:revision>
  <dcterms:created xsi:type="dcterms:W3CDTF">2021-06-17T07:12:00Z</dcterms:created>
  <dcterms:modified xsi:type="dcterms:W3CDTF">2021-06-21T05:51:00Z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