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2DF40" w14:textId="77777777" w:rsidR="004731C1" w:rsidRDefault="004731C1" w:rsidP="00711BC3">
      <w:pPr>
        <w:pStyle w:val="Title"/>
        <w:spacing w:before="0"/>
        <w:ind w:left="0"/>
        <w:rPr>
          <w:color w:val="155687"/>
          <w:lang w:val="fr-FR"/>
        </w:rPr>
      </w:pPr>
    </w:p>
    <w:p w14:paraId="3A03BB7F" w14:textId="78A78554" w:rsidR="009519E6" w:rsidRPr="0019595E" w:rsidRDefault="0019595E" w:rsidP="00711BC3">
      <w:pPr>
        <w:pStyle w:val="Title"/>
        <w:spacing w:before="0"/>
        <w:ind w:left="0"/>
        <w:rPr>
          <w:color w:val="155687"/>
          <w:lang w:val="fr-FR"/>
        </w:rPr>
      </w:pPr>
      <w:r w:rsidRPr="0019595E">
        <w:rPr>
          <w:color w:val="155687"/>
          <w:lang w:val="fr-FR"/>
        </w:rPr>
        <w:t>Informations destinées aux partenaires commerciaux – modifications apportées aux certificats</w:t>
      </w:r>
    </w:p>
    <w:p w14:paraId="61344423" w14:textId="77777777" w:rsidR="0019595E" w:rsidRPr="0019595E" w:rsidRDefault="0019595E" w:rsidP="00711BC3">
      <w:pPr>
        <w:pStyle w:val="Title"/>
        <w:spacing w:before="0"/>
        <w:ind w:left="0"/>
        <w:rPr>
          <w:lang w:val="fr-FR"/>
        </w:rPr>
      </w:pPr>
    </w:p>
    <w:p w14:paraId="6950A846" w14:textId="0AD4AAAD" w:rsidR="00F962C7" w:rsidRPr="0019595E" w:rsidRDefault="0019595E" w:rsidP="005E09BB">
      <w:pPr>
        <w:pStyle w:val="BodyText"/>
        <w:spacing w:after="120"/>
        <w:rPr>
          <w:lang w:val="fr-FR"/>
        </w:rPr>
      </w:pPr>
      <w:r w:rsidRPr="0019595E">
        <w:rPr>
          <w:lang w:val="fr-FR"/>
        </w:rPr>
        <w:t>Nous apportons</w:t>
      </w:r>
      <w:r w:rsidR="00711BC3" w:rsidRPr="0019595E">
        <w:rPr>
          <w:spacing w:val="-7"/>
          <w:lang w:val="fr-FR"/>
        </w:rPr>
        <w:t xml:space="preserve"> </w:t>
      </w:r>
      <w:r w:rsidRPr="0019595E">
        <w:rPr>
          <w:color w:val="6A4060"/>
          <w:u w:val="single" w:color="6A4060"/>
          <w:lang w:val="fr-FR"/>
        </w:rPr>
        <w:t>des améliorations à notre système de certification des exportations</w:t>
      </w:r>
      <w:r w:rsidR="00711BC3" w:rsidRPr="0019595E">
        <w:rPr>
          <w:color w:val="6A4060"/>
          <w:spacing w:val="-7"/>
          <w:lang w:val="fr-FR"/>
        </w:rPr>
        <w:t xml:space="preserve"> </w:t>
      </w:r>
      <w:r w:rsidRPr="0019595E">
        <w:rPr>
          <w:lang w:val="fr-FR"/>
        </w:rPr>
        <w:t>pour tous les produits agricoles exportés</w:t>
      </w:r>
      <w:r w:rsidR="00711BC3" w:rsidRPr="0019595E">
        <w:rPr>
          <w:lang w:val="fr-FR"/>
        </w:rPr>
        <w:t>.</w:t>
      </w:r>
    </w:p>
    <w:p w14:paraId="0C04F3E8" w14:textId="7329449A" w:rsidR="0019595E" w:rsidRPr="0019595E" w:rsidRDefault="0019595E" w:rsidP="005E09BB">
      <w:pPr>
        <w:pStyle w:val="BodyText"/>
        <w:spacing w:after="120"/>
        <w:ind w:right="-560"/>
        <w:rPr>
          <w:lang w:val="fr-FR"/>
        </w:rPr>
      </w:pPr>
      <w:r w:rsidRPr="0019595E">
        <w:rPr>
          <w:lang w:val="fr-FR"/>
        </w:rPr>
        <w:t xml:space="preserve">Ces améliorations ne changeront </w:t>
      </w:r>
      <w:r w:rsidR="0049021D">
        <w:rPr>
          <w:lang w:val="fr-FR"/>
        </w:rPr>
        <w:t>ni</w:t>
      </w:r>
      <w:r w:rsidRPr="0019595E">
        <w:rPr>
          <w:lang w:val="fr-FR"/>
        </w:rPr>
        <w:t xml:space="preserve"> l</w:t>
      </w:r>
      <w:r w:rsidR="00C449B2">
        <w:rPr>
          <w:lang w:val="fr-FR"/>
        </w:rPr>
        <w:t xml:space="preserve">e sens </w:t>
      </w:r>
      <w:r w:rsidR="0049021D">
        <w:rPr>
          <w:lang w:val="fr-FR"/>
        </w:rPr>
        <w:t>ni</w:t>
      </w:r>
      <w:r w:rsidRPr="0019595E">
        <w:rPr>
          <w:lang w:val="fr-FR"/>
        </w:rPr>
        <w:t xml:space="preserve"> l'intention des attestations négociées et </w:t>
      </w:r>
      <w:r w:rsidR="00C449B2">
        <w:rPr>
          <w:lang w:val="fr-FR"/>
        </w:rPr>
        <w:t>convenu</w:t>
      </w:r>
      <w:r w:rsidRPr="0019595E">
        <w:rPr>
          <w:lang w:val="fr-FR"/>
        </w:rPr>
        <w:t xml:space="preserve">es </w:t>
      </w:r>
      <w:r w:rsidR="0049021D">
        <w:rPr>
          <w:lang w:val="fr-FR"/>
        </w:rPr>
        <w:t>en ce qui concerne</w:t>
      </w:r>
      <w:r w:rsidRPr="0019595E">
        <w:rPr>
          <w:lang w:val="fr-FR"/>
        </w:rPr>
        <w:t xml:space="preserve"> l'accès au marché.</w:t>
      </w:r>
    </w:p>
    <w:p w14:paraId="54A5585F" w14:textId="71332660" w:rsidR="00F962C7" w:rsidRDefault="00C449B2" w:rsidP="005E09BB">
      <w:pPr>
        <w:pStyle w:val="BodyText"/>
        <w:spacing w:after="120"/>
        <w:rPr>
          <w:lang w:val="fr-FR"/>
        </w:rPr>
      </w:pPr>
      <w:r w:rsidRPr="00C449B2">
        <w:rPr>
          <w:lang w:val="fr-FR"/>
        </w:rPr>
        <w:t xml:space="preserve">Des informations sur les mises à jour seront ajoutées à cette page régulièrement, au fur et à mesure que </w:t>
      </w:r>
      <w:r w:rsidR="0049021D">
        <w:rPr>
          <w:lang w:val="fr-FR"/>
        </w:rPr>
        <w:t>c</w:t>
      </w:r>
      <w:r w:rsidRPr="00C449B2">
        <w:rPr>
          <w:lang w:val="fr-FR"/>
        </w:rPr>
        <w:t>es informations seront disponibles.</w:t>
      </w:r>
    </w:p>
    <w:p w14:paraId="1C2988BF" w14:textId="77777777" w:rsidR="00C449B2" w:rsidRPr="0019595E" w:rsidRDefault="00C449B2" w:rsidP="00711BC3">
      <w:pPr>
        <w:pStyle w:val="BodyText"/>
        <w:rPr>
          <w:lang w:val="fr-FR"/>
        </w:rPr>
      </w:pPr>
    </w:p>
    <w:p w14:paraId="663C1C10" w14:textId="6BD3B2F7" w:rsidR="00F962C7" w:rsidRPr="0019595E" w:rsidRDefault="00C449B2" w:rsidP="00711BC3">
      <w:pPr>
        <w:pStyle w:val="Heading1"/>
        <w:ind w:left="0"/>
        <w:rPr>
          <w:color w:val="343434"/>
          <w:lang w:val="fr-FR"/>
        </w:rPr>
      </w:pPr>
      <w:r w:rsidRPr="00C449B2">
        <w:rPr>
          <w:color w:val="343434"/>
          <w:lang w:val="fr-FR"/>
        </w:rPr>
        <w:t>Certificats d'exportation</w:t>
      </w:r>
    </w:p>
    <w:p w14:paraId="29EE19F1" w14:textId="77777777" w:rsidR="009519E6" w:rsidRPr="0019595E" w:rsidRDefault="009519E6" w:rsidP="00711BC3">
      <w:pPr>
        <w:pStyle w:val="Heading1"/>
        <w:ind w:left="0"/>
        <w:rPr>
          <w:sz w:val="21"/>
          <w:szCs w:val="21"/>
          <w:lang w:val="fr-FR"/>
        </w:rPr>
      </w:pPr>
    </w:p>
    <w:p w14:paraId="2AD0372D" w14:textId="0670DF7C" w:rsidR="00C449B2" w:rsidRPr="0019595E" w:rsidRDefault="0049021D" w:rsidP="005E09BB">
      <w:pPr>
        <w:pStyle w:val="BodyText"/>
        <w:spacing w:after="120"/>
        <w:rPr>
          <w:lang w:val="fr-FR"/>
        </w:rPr>
      </w:pPr>
      <w:r>
        <w:rPr>
          <w:lang w:val="fr-FR"/>
        </w:rPr>
        <w:t>Tout au long de l’instauration de</w:t>
      </w:r>
      <w:r w:rsidR="00C449B2" w:rsidRPr="00C449B2">
        <w:rPr>
          <w:lang w:val="fr-FR"/>
        </w:rPr>
        <w:t xml:space="preserve"> notre nouveau système de documentation des exportations </w:t>
      </w:r>
      <w:r w:rsidR="00C449B2">
        <w:rPr>
          <w:lang w:val="fr-FR"/>
        </w:rPr>
        <w:t xml:space="preserve">– </w:t>
      </w:r>
      <w:r w:rsidR="00C449B2" w:rsidRPr="00C449B2">
        <w:rPr>
          <w:lang w:val="fr-FR"/>
        </w:rPr>
        <w:t xml:space="preserve">NEXDOC, </w:t>
      </w:r>
      <w:r>
        <w:rPr>
          <w:lang w:val="fr-FR"/>
        </w:rPr>
        <w:t>l</w:t>
      </w:r>
      <w:r w:rsidR="00C449B2" w:rsidRPr="00C449B2">
        <w:rPr>
          <w:lang w:val="fr-FR"/>
        </w:rPr>
        <w:t xml:space="preserve">es </w:t>
      </w:r>
      <w:r w:rsidRPr="00C449B2">
        <w:rPr>
          <w:lang w:val="fr-FR"/>
        </w:rPr>
        <w:t xml:space="preserve">certificats d'exportation </w:t>
      </w:r>
      <w:r>
        <w:rPr>
          <w:lang w:val="fr-FR"/>
        </w:rPr>
        <w:t xml:space="preserve">feront l’objet de </w:t>
      </w:r>
      <w:r w:rsidR="00C449B2" w:rsidRPr="00C449B2">
        <w:rPr>
          <w:lang w:val="fr-FR"/>
        </w:rPr>
        <w:t>changements. Ces changements se feront par étapes, par produit, en commençant par les produits laitiers le 17 mai 2021.</w:t>
      </w:r>
    </w:p>
    <w:p w14:paraId="4B4A0205" w14:textId="66305541" w:rsidR="004A290A" w:rsidRPr="0019595E" w:rsidRDefault="004A290A" w:rsidP="005E09BB">
      <w:pPr>
        <w:pStyle w:val="BodyText"/>
        <w:spacing w:after="120"/>
        <w:rPr>
          <w:lang w:val="fr-FR"/>
        </w:rPr>
      </w:pPr>
      <w:r w:rsidRPr="004A290A">
        <w:rPr>
          <w:lang w:val="fr-FR"/>
        </w:rPr>
        <w:t>Les délais pour les autres produits sont à l'étude et seront indiqués sur cette page lorsqu'ils seront confirmés.</w:t>
      </w:r>
    </w:p>
    <w:p w14:paraId="22E0E6C5" w14:textId="51AC4795" w:rsidR="004A290A" w:rsidRPr="0019595E" w:rsidRDefault="004A290A" w:rsidP="005E09BB">
      <w:pPr>
        <w:pStyle w:val="BodyText"/>
        <w:spacing w:after="120"/>
        <w:ind w:right="-276"/>
        <w:rPr>
          <w:lang w:val="fr-FR"/>
        </w:rPr>
      </w:pPr>
      <w:r w:rsidRPr="004A290A">
        <w:rPr>
          <w:lang w:val="fr-FR"/>
        </w:rPr>
        <w:t xml:space="preserve">Il y aura une période de transition de quatre semaines pour les certificats de produits laitiers, pendant laquelle le ministère délivrera à la fois le système actuel de certification des exportations (EXDOC) et le nouveau système de certification NEXDOC. Compte tenu des délais de transport </w:t>
      </w:r>
      <w:r>
        <w:rPr>
          <w:lang w:val="fr-FR"/>
        </w:rPr>
        <w:t>des marchandises</w:t>
      </w:r>
      <w:r w:rsidRPr="004A290A">
        <w:rPr>
          <w:lang w:val="fr-FR"/>
        </w:rPr>
        <w:t>, il est possible que certaines cargaisons maritimes arrivent avec des certificats émis par EXDOC jusqu'à huit semaines après l'entrée en vigueur de NEXDOC.</w:t>
      </w:r>
    </w:p>
    <w:p w14:paraId="7CDCAB27" w14:textId="0CCB0D05" w:rsidR="004A290A" w:rsidRPr="0019595E" w:rsidRDefault="004A290A" w:rsidP="005E09BB">
      <w:pPr>
        <w:pStyle w:val="BodyText"/>
        <w:spacing w:after="120"/>
        <w:rPr>
          <w:lang w:val="fr-FR"/>
        </w:rPr>
      </w:pPr>
      <w:r w:rsidRPr="004A290A">
        <w:rPr>
          <w:lang w:val="fr-FR"/>
        </w:rPr>
        <w:t>Les changements sont les suivants</w:t>
      </w:r>
      <w:r>
        <w:rPr>
          <w:lang w:val="fr-FR"/>
        </w:rPr>
        <w:t xml:space="preserve"> </w:t>
      </w:r>
      <w:r w:rsidRPr="0019595E">
        <w:rPr>
          <w:lang w:val="fr-FR"/>
        </w:rPr>
        <w:t>:</w:t>
      </w:r>
    </w:p>
    <w:p w14:paraId="04F0F781" w14:textId="7630D54D" w:rsidR="004A290A" w:rsidRPr="004A290A" w:rsidRDefault="004A290A" w:rsidP="004A290A">
      <w:pPr>
        <w:pStyle w:val="ListParagraph"/>
        <w:numPr>
          <w:ilvl w:val="0"/>
          <w:numId w:val="2"/>
        </w:numPr>
        <w:ind w:left="426" w:right="634"/>
        <w:rPr>
          <w:sz w:val="21"/>
          <w:szCs w:val="21"/>
          <w:lang w:val="fr-FR"/>
        </w:rPr>
      </w:pPr>
      <w:r w:rsidRPr="004A290A">
        <w:rPr>
          <w:sz w:val="21"/>
          <w:szCs w:val="21"/>
          <w:lang w:val="fr-FR"/>
        </w:rPr>
        <w:t xml:space="preserve">l'utilisation du nom </w:t>
      </w:r>
      <w:r>
        <w:rPr>
          <w:sz w:val="21"/>
          <w:szCs w:val="21"/>
          <w:lang w:val="fr-FR"/>
        </w:rPr>
        <w:t>« </w:t>
      </w:r>
      <w:r w:rsidRPr="004A290A">
        <w:rPr>
          <w:sz w:val="21"/>
          <w:szCs w:val="21"/>
          <w:lang w:val="fr-FR"/>
        </w:rPr>
        <w:t>Australian Government</w:t>
      </w:r>
      <w:r>
        <w:rPr>
          <w:sz w:val="21"/>
          <w:szCs w:val="21"/>
          <w:lang w:val="fr-FR"/>
        </w:rPr>
        <w:t> »</w:t>
      </w:r>
      <w:r w:rsidRPr="004A290A">
        <w:rPr>
          <w:sz w:val="21"/>
          <w:szCs w:val="21"/>
          <w:lang w:val="fr-FR"/>
        </w:rPr>
        <w:t xml:space="preserve"> - plutôt que </w:t>
      </w:r>
      <w:r>
        <w:rPr>
          <w:sz w:val="21"/>
          <w:szCs w:val="21"/>
          <w:lang w:val="fr-FR"/>
        </w:rPr>
        <w:t>ceux</w:t>
      </w:r>
      <w:r w:rsidRPr="004A290A">
        <w:rPr>
          <w:sz w:val="21"/>
          <w:szCs w:val="21"/>
          <w:lang w:val="fr-FR"/>
        </w:rPr>
        <w:t xml:space="preserve"> du ministère </w:t>
      </w:r>
      <w:r>
        <w:rPr>
          <w:sz w:val="21"/>
          <w:szCs w:val="21"/>
          <w:lang w:val="fr-FR"/>
        </w:rPr>
        <w:t xml:space="preserve">comme précédemment </w:t>
      </w:r>
      <w:r w:rsidRPr="004A290A">
        <w:rPr>
          <w:sz w:val="21"/>
          <w:szCs w:val="21"/>
          <w:lang w:val="fr-FR"/>
        </w:rPr>
        <w:t>dans les attestations/</w:t>
      </w:r>
      <w:r w:rsidR="001259FB">
        <w:rPr>
          <w:sz w:val="21"/>
          <w:szCs w:val="21"/>
          <w:lang w:val="fr-FR"/>
        </w:rPr>
        <w:t>approbation</w:t>
      </w:r>
      <w:r w:rsidRPr="004A290A">
        <w:rPr>
          <w:sz w:val="21"/>
          <w:szCs w:val="21"/>
          <w:lang w:val="fr-FR"/>
        </w:rPr>
        <w:t>s convenues d'un commun accord</w:t>
      </w:r>
    </w:p>
    <w:p w14:paraId="2B53D1BA" w14:textId="34B49F81" w:rsidR="004A290A" w:rsidRPr="004A290A" w:rsidRDefault="004A290A" w:rsidP="004A290A">
      <w:pPr>
        <w:pStyle w:val="ListParagraph"/>
        <w:numPr>
          <w:ilvl w:val="0"/>
          <w:numId w:val="2"/>
        </w:numPr>
        <w:ind w:left="426" w:right="634"/>
        <w:rPr>
          <w:sz w:val="21"/>
          <w:szCs w:val="21"/>
          <w:lang w:val="fr-FR"/>
        </w:rPr>
      </w:pPr>
      <w:r w:rsidRPr="004A290A">
        <w:rPr>
          <w:sz w:val="21"/>
          <w:szCs w:val="21"/>
          <w:lang w:val="fr-FR"/>
        </w:rPr>
        <w:t>l'ajout d'un code unique de réponse rapide (QR) pour vérifier l'authenticité du certificat en temps réel</w:t>
      </w:r>
    </w:p>
    <w:p w14:paraId="49A19972" w14:textId="14E21557" w:rsidR="004A290A" w:rsidRPr="004A290A" w:rsidRDefault="004A290A" w:rsidP="004A290A">
      <w:pPr>
        <w:pStyle w:val="ListParagraph"/>
        <w:numPr>
          <w:ilvl w:val="0"/>
          <w:numId w:val="2"/>
        </w:numPr>
        <w:ind w:left="426" w:right="634"/>
        <w:rPr>
          <w:sz w:val="21"/>
          <w:szCs w:val="21"/>
          <w:lang w:val="fr-FR"/>
        </w:rPr>
      </w:pPr>
      <w:r w:rsidRPr="004A290A">
        <w:rPr>
          <w:sz w:val="21"/>
          <w:szCs w:val="21"/>
          <w:lang w:val="fr-FR"/>
        </w:rPr>
        <w:t xml:space="preserve">des modifications mineures </w:t>
      </w:r>
      <w:r>
        <w:rPr>
          <w:sz w:val="21"/>
          <w:szCs w:val="21"/>
          <w:lang w:val="fr-FR"/>
        </w:rPr>
        <w:t>quant à</w:t>
      </w:r>
      <w:r w:rsidRPr="004A290A">
        <w:rPr>
          <w:sz w:val="21"/>
          <w:szCs w:val="21"/>
          <w:lang w:val="fr-FR"/>
        </w:rPr>
        <w:t xml:space="preserve"> l'emplacement des informations sur le certificat</w:t>
      </w:r>
    </w:p>
    <w:p w14:paraId="26470368" w14:textId="3D5D99AC" w:rsidR="004A290A" w:rsidRPr="004A290A" w:rsidRDefault="004A290A" w:rsidP="004A290A">
      <w:pPr>
        <w:pStyle w:val="ListParagraph"/>
        <w:numPr>
          <w:ilvl w:val="0"/>
          <w:numId w:val="2"/>
        </w:numPr>
        <w:ind w:left="426" w:right="634"/>
        <w:rPr>
          <w:sz w:val="21"/>
          <w:szCs w:val="21"/>
          <w:lang w:val="fr-FR"/>
        </w:rPr>
      </w:pPr>
      <w:r w:rsidRPr="004A290A">
        <w:rPr>
          <w:sz w:val="21"/>
          <w:szCs w:val="21"/>
          <w:lang w:val="fr-FR"/>
        </w:rPr>
        <w:t>la délivrance de</w:t>
      </w:r>
      <w:r>
        <w:rPr>
          <w:sz w:val="21"/>
          <w:szCs w:val="21"/>
          <w:lang w:val="fr-FR"/>
        </w:rPr>
        <w:t>s</w:t>
      </w:r>
      <w:r w:rsidRPr="004A290A">
        <w:rPr>
          <w:sz w:val="21"/>
          <w:szCs w:val="21"/>
          <w:lang w:val="fr-FR"/>
        </w:rPr>
        <w:t xml:space="preserve"> certificats sur </w:t>
      </w:r>
      <w:r w:rsidRPr="004A290A">
        <w:rPr>
          <w:b/>
          <w:bCs/>
          <w:sz w:val="21"/>
          <w:szCs w:val="21"/>
          <w:lang w:val="fr-FR"/>
        </w:rPr>
        <w:t>papier ordinaire</w:t>
      </w:r>
      <w:r w:rsidRPr="004A290A">
        <w:rPr>
          <w:sz w:val="21"/>
          <w:szCs w:val="21"/>
          <w:lang w:val="fr-FR"/>
        </w:rPr>
        <w:t>. L'ajout d'un code QR signifie que le papier de sécurité bleu n'est plus nécessaire.</w:t>
      </w:r>
    </w:p>
    <w:p w14:paraId="334AD56B" w14:textId="77777777" w:rsidR="00F962C7" w:rsidRPr="0019595E" w:rsidRDefault="00F962C7" w:rsidP="00711BC3">
      <w:pPr>
        <w:pStyle w:val="BodyText"/>
        <w:rPr>
          <w:b/>
          <w:lang w:val="fr-FR"/>
        </w:rPr>
      </w:pPr>
    </w:p>
    <w:p w14:paraId="58EA49EE" w14:textId="69B254B6" w:rsidR="00F962C7" w:rsidRPr="004731C1" w:rsidRDefault="004A290A" w:rsidP="004731C1">
      <w:pPr>
        <w:pStyle w:val="Heading1"/>
        <w:ind w:left="0"/>
        <w:rPr>
          <w:color w:val="343434"/>
          <w:lang w:val="fr-FR"/>
        </w:rPr>
      </w:pPr>
      <w:r w:rsidRPr="004731C1">
        <w:rPr>
          <w:color w:val="343434"/>
          <w:lang w:val="fr-FR"/>
        </w:rPr>
        <w:t>Ajout d'un code de réponse rapide (QR)</w:t>
      </w:r>
    </w:p>
    <w:p w14:paraId="3AC997E5" w14:textId="77777777" w:rsidR="009519E6" w:rsidRPr="0019595E" w:rsidRDefault="009519E6" w:rsidP="00711BC3">
      <w:pPr>
        <w:rPr>
          <w:b/>
          <w:sz w:val="30"/>
          <w:lang w:val="fr-FR"/>
        </w:rPr>
      </w:pPr>
    </w:p>
    <w:p w14:paraId="4409BEC1" w14:textId="49400FF4" w:rsidR="004A290A" w:rsidRPr="0019595E" w:rsidRDefault="004A290A" w:rsidP="005E09BB">
      <w:pPr>
        <w:pStyle w:val="BodyText"/>
        <w:spacing w:after="120"/>
        <w:rPr>
          <w:lang w:val="fr-FR"/>
        </w:rPr>
      </w:pPr>
      <w:r w:rsidRPr="004A290A">
        <w:rPr>
          <w:lang w:val="fr-FR"/>
        </w:rPr>
        <w:t>Les nouveaux certificats sur papier ordinaire comprendront un code QR unique. Il s'agit d'un élément de sécurité supplémentaire.</w:t>
      </w:r>
    </w:p>
    <w:p w14:paraId="04883805" w14:textId="2CD8DFF4" w:rsidR="004A290A" w:rsidRPr="0019595E" w:rsidRDefault="004A290A" w:rsidP="005E09BB">
      <w:pPr>
        <w:pStyle w:val="BodyText"/>
        <w:spacing w:after="120"/>
        <w:rPr>
          <w:lang w:val="fr-FR"/>
        </w:rPr>
      </w:pPr>
      <w:r w:rsidRPr="004A290A">
        <w:rPr>
          <w:lang w:val="fr-FR"/>
        </w:rPr>
        <w:t xml:space="preserve">Les utilisateurs peuvent scanner le code QR pour voir un aperçu du certificat et </w:t>
      </w:r>
      <w:r w:rsidR="00EC5A47" w:rsidRPr="00EC5A47">
        <w:rPr>
          <w:lang w:val="fr-FR"/>
        </w:rPr>
        <w:t>vérifie</w:t>
      </w:r>
      <w:r w:rsidR="00EC5A47">
        <w:rPr>
          <w:lang w:val="fr-FR"/>
        </w:rPr>
        <w:t>r</w:t>
      </w:r>
      <w:r w:rsidR="00EC5A47" w:rsidRPr="00EC5A47">
        <w:rPr>
          <w:lang w:val="fr-FR"/>
        </w:rPr>
        <w:t xml:space="preserve"> l</w:t>
      </w:r>
      <w:r w:rsidR="00EC5A47">
        <w:rPr>
          <w:lang w:val="fr-FR"/>
        </w:rPr>
        <w:t>’authenticité des</w:t>
      </w:r>
      <w:r w:rsidR="00EC5A47" w:rsidRPr="00EC5A47">
        <w:rPr>
          <w:lang w:val="fr-FR"/>
        </w:rPr>
        <w:t xml:space="preserve"> informations </w:t>
      </w:r>
      <w:r w:rsidR="00EC5A47">
        <w:rPr>
          <w:lang w:val="fr-FR"/>
        </w:rPr>
        <w:t>fournie</w:t>
      </w:r>
      <w:r w:rsidR="00EC5A47" w:rsidRPr="00EC5A47">
        <w:rPr>
          <w:lang w:val="fr-FR"/>
        </w:rPr>
        <w:t>s</w:t>
      </w:r>
      <w:r w:rsidRPr="004A290A">
        <w:rPr>
          <w:lang w:val="fr-FR"/>
        </w:rPr>
        <w:t xml:space="preserve"> tel</w:t>
      </w:r>
      <w:r w:rsidR="00EC5A47">
        <w:rPr>
          <w:lang w:val="fr-FR"/>
        </w:rPr>
        <w:t>le</w:t>
      </w:r>
      <w:r w:rsidRPr="004A290A">
        <w:rPr>
          <w:lang w:val="fr-FR"/>
        </w:rPr>
        <w:t>s que :</w:t>
      </w:r>
    </w:p>
    <w:p w14:paraId="5BAA151F" w14:textId="37CF21E0" w:rsidR="00CA4D61" w:rsidRPr="00CA4D61" w:rsidRDefault="00CA4D61" w:rsidP="00CA4D61">
      <w:pPr>
        <w:pStyle w:val="BodyText"/>
        <w:numPr>
          <w:ilvl w:val="0"/>
          <w:numId w:val="3"/>
        </w:numPr>
        <w:ind w:left="426"/>
        <w:rPr>
          <w:lang w:val="fr-FR"/>
        </w:rPr>
      </w:pPr>
      <w:r w:rsidRPr="00CA4D61">
        <w:rPr>
          <w:lang w:val="fr-FR"/>
        </w:rPr>
        <w:t>le numéro du certificat</w:t>
      </w:r>
    </w:p>
    <w:p w14:paraId="26F92BA4" w14:textId="3825B66F" w:rsidR="00CA4D61" w:rsidRPr="00CA4D61" w:rsidRDefault="00CA4D61" w:rsidP="00CA4D61">
      <w:pPr>
        <w:pStyle w:val="BodyText"/>
        <w:numPr>
          <w:ilvl w:val="0"/>
          <w:numId w:val="3"/>
        </w:numPr>
        <w:ind w:left="426"/>
        <w:rPr>
          <w:lang w:val="fr-FR"/>
        </w:rPr>
      </w:pPr>
      <w:r w:rsidRPr="00CA4D61">
        <w:rPr>
          <w:lang w:val="fr-FR"/>
        </w:rPr>
        <w:t>les types de produits</w:t>
      </w:r>
    </w:p>
    <w:p w14:paraId="400C0334" w14:textId="6C9EDCCF" w:rsidR="00CA4D61" w:rsidRPr="00CA4D61" w:rsidRDefault="00CA4D61" w:rsidP="00CA4D61">
      <w:pPr>
        <w:pStyle w:val="BodyText"/>
        <w:numPr>
          <w:ilvl w:val="0"/>
          <w:numId w:val="3"/>
        </w:numPr>
        <w:ind w:left="426"/>
        <w:rPr>
          <w:lang w:val="fr-FR"/>
        </w:rPr>
      </w:pPr>
      <w:proofErr w:type="gramStart"/>
      <w:r w:rsidRPr="00CA4D61">
        <w:rPr>
          <w:lang w:val="fr-FR"/>
        </w:rPr>
        <w:t>l</w:t>
      </w:r>
      <w:r w:rsidR="009A4125">
        <w:rPr>
          <w:lang w:val="fr-FR"/>
        </w:rPr>
        <w:t>e</w:t>
      </w:r>
      <w:proofErr w:type="gramEnd"/>
      <w:r w:rsidR="009A4125">
        <w:rPr>
          <w:lang w:val="fr-FR"/>
        </w:rPr>
        <w:t xml:space="preserve"> statut</w:t>
      </w:r>
      <w:r w:rsidRPr="00CA4D61">
        <w:rPr>
          <w:lang w:val="fr-FR"/>
        </w:rPr>
        <w:t xml:space="preserve"> actuel du certificat</w:t>
      </w:r>
    </w:p>
    <w:p w14:paraId="27E3A674" w14:textId="086BA032" w:rsidR="00CA4D61" w:rsidRPr="00CA4D61" w:rsidRDefault="00CA4D61" w:rsidP="00CA4D61">
      <w:pPr>
        <w:pStyle w:val="BodyText"/>
        <w:numPr>
          <w:ilvl w:val="0"/>
          <w:numId w:val="3"/>
        </w:numPr>
        <w:ind w:left="426"/>
        <w:rPr>
          <w:lang w:val="fr-FR"/>
        </w:rPr>
      </w:pPr>
      <w:r w:rsidRPr="00CA4D61">
        <w:rPr>
          <w:lang w:val="fr-FR"/>
        </w:rPr>
        <w:t>l'exportateur</w:t>
      </w:r>
    </w:p>
    <w:p w14:paraId="63756B55" w14:textId="5FDDEF38" w:rsidR="00CA4D61" w:rsidRPr="00CA4D61" w:rsidRDefault="00CA4D61" w:rsidP="00CA4D61">
      <w:pPr>
        <w:pStyle w:val="BodyText"/>
        <w:numPr>
          <w:ilvl w:val="0"/>
          <w:numId w:val="3"/>
        </w:numPr>
        <w:ind w:left="426"/>
        <w:rPr>
          <w:lang w:val="fr-FR"/>
        </w:rPr>
      </w:pPr>
      <w:r w:rsidRPr="00CA4D61">
        <w:rPr>
          <w:lang w:val="fr-FR"/>
        </w:rPr>
        <w:t>le destinataire</w:t>
      </w:r>
    </w:p>
    <w:p w14:paraId="365A7774" w14:textId="2F9C9C2D" w:rsidR="00F962C7" w:rsidRDefault="00CA4D61" w:rsidP="00CA4D61">
      <w:pPr>
        <w:pStyle w:val="BodyText"/>
        <w:numPr>
          <w:ilvl w:val="0"/>
          <w:numId w:val="3"/>
        </w:numPr>
        <w:ind w:left="426"/>
        <w:rPr>
          <w:lang w:val="fr-FR"/>
        </w:rPr>
      </w:pPr>
      <w:r>
        <w:rPr>
          <w:lang w:val="fr-FR"/>
        </w:rPr>
        <w:t xml:space="preserve">la </w:t>
      </w:r>
      <w:r w:rsidRPr="00CA4D61">
        <w:rPr>
          <w:lang w:val="fr-FR"/>
        </w:rPr>
        <w:t>date de départ</w:t>
      </w:r>
    </w:p>
    <w:p w14:paraId="2620446A" w14:textId="77777777" w:rsidR="00EC5A47" w:rsidRPr="00CA4D61" w:rsidRDefault="00EC5A47" w:rsidP="00EC5A47">
      <w:pPr>
        <w:pStyle w:val="BodyText"/>
        <w:ind w:left="426"/>
        <w:rPr>
          <w:lang w:val="fr-FR"/>
        </w:rPr>
      </w:pPr>
    </w:p>
    <w:p w14:paraId="222821DB" w14:textId="77777777" w:rsidR="004731C1" w:rsidRDefault="004731C1">
      <w:pPr>
        <w:rPr>
          <w:sz w:val="21"/>
          <w:szCs w:val="21"/>
          <w:lang w:val="fr-FR"/>
        </w:rPr>
      </w:pPr>
      <w:r>
        <w:rPr>
          <w:lang w:val="fr-FR"/>
        </w:rPr>
        <w:br w:type="page"/>
      </w:r>
    </w:p>
    <w:p w14:paraId="47A572A2" w14:textId="21FA80B3" w:rsidR="00F962C7" w:rsidRPr="0019595E" w:rsidRDefault="00755D4B" w:rsidP="005E09BB">
      <w:pPr>
        <w:pStyle w:val="BodyText"/>
        <w:spacing w:after="120"/>
        <w:rPr>
          <w:lang w:val="fr-FR"/>
        </w:rPr>
      </w:pPr>
      <w:r w:rsidRPr="00755D4B">
        <w:rPr>
          <w:lang w:val="fr-FR"/>
        </w:rPr>
        <w:t>Le code QR peut être lu</w:t>
      </w:r>
      <w:r>
        <w:rPr>
          <w:lang w:val="fr-FR"/>
        </w:rPr>
        <w:t> :</w:t>
      </w:r>
    </w:p>
    <w:p w14:paraId="74923ED7" w14:textId="18F7F7BC" w:rsidR="00755D4B" w:rsidRPr="0019595E" w:rsidRDefault="009A4125" w:rsidP="005E09BB">
      <w:pPr>
        <w:pStyle w:val="BodyText"/>
        <w:numPr>
          <w:ilvl w:val="0"/>
          <w:numId w:val="3"/>
        </w:numPr>
        <w:spacing w:after="120"/>
        <w:ind w:left="425" w:hanging="357"/>
        <w:rPr>
          <w:lang w:val="fr-FR"/>
        </w:rPr>
      </w:pPr>
      <w:proofErr w:type="gramStart"/>
      <w:r>
        <w:rPr>
          <w:lang w:val="fr-FR"/>
        </w:rPr>
        <w:t>s</w:t>
      </w:r>
      <w:r w:rsidR="005E09BB">
        <w:rPr>
          <w:lang w:val="fr-FR"/>
        </w:rPr>
        <w:t>oit</w:t>
      </w:r>
      <w:proofErr w:type="gramEnd"/>
      <w:r w:rsidR="005E09BB">
        <w:rPr>
          <w:lang w:val="fr-FR"/>
        </w:rPr>
        <w:t xml:space="preserve"> </w:t>
      </w:r>
      <w:r w:rsidR="00755D4B" w:rsidRPr="00755D4B">
        <w:rPr>
          <w:lang w:val="fr-FR"/>
        </w:rPr>
        <w:t xml:space="preserve">à l'aide de l'application </w:t>
      </w:r>
      <w:r w:rsidR="00755D4B">
        <w:rPr>
          <w:lang w:val="fr-FR"/>
        </w:rPr>
        <w:t>« </w:t>
      </w:r>
      <w:r w:rsidR="00755D4B" w:rsidRPr="0019595E">
        <w:rPr>
          <w:lang w:val="fr-FR"/>
        </w:rPr>
        <w:t>certificate</w:t>
      </w:r>
      <w:r w:rsidR="00755D4B" w:rsidRPr="0019595E">
        <w:rPr>
          <w:spacing w:val="-5"/>
          <w:lang w:val="fr-FR"/>
        </w:rPr>
        <w:t xml:space="preserve"> </w:t>
      </w:r>
      <w:r w:rsidR="00755D4B" w:rsidRPr="0019595E">
        <w:rPr>
          <w:lang w:val="fr-FR"/>
        </w:rPr>
        <w:t>scanner</w:t>
      </w:r>
      <w:r w:rsidR="00755D4B">
        <w:rPr>
          <w:lang w:val="fr-FR"/>
        </w:rPr>
        <w:t> »</w:t>
      </w:r>
      <w:r w:rsidR="00755D4B" w:rsidRPr="00755D4B">
        <w:rPr>
          <w:lang w:val="fr-FR"/>
        </w:rPr>
        <w:t xml:space="preserve"> du ministère, disponible gratuitement sur le Google Play store et l'Apple App Store.</w:t>
      </w:r>
    </w:p>
    <w:p w14:paraId="15B8A35E" w14:textId="54FDAB6B" w:rsidR="00F962C7" w:rsidRPr="0019595E" w:rsidRDefault="005E09BB" w:rsidP="005E09BB">
      <w:pPr>
        <w:pStyle w:val="BodyText"/>
        <w:spacing w:after="120"/>
        <w:ind w:left="425"/>
        <w:rPr>
          <w:lang w:val="fr-FR"/>
        </w:rPr>
      </w:pPr>
      <w:r>
        <w:rPr>
          <w:lang w:val="fr-FR"/>
        </w:rPr>
        <w:t>soit</w:t>
      </w:r>
    </w:p>
    <w:p w14:paraId="12E27D81" w14:textId="798141CE" w:rsidR="004731C1" w:rsidRDefault="009A4125" w:rsidP="004731C1">
      <w:pPr>
        <w:pStyle w:val="BodyText"/>
        <w:numPr>
          <w:ilvl w:val="0"/>
          <w:numId w:val="3"/>
        </w:numPr>
        <w:ind w:left="426"/>
        <w:rPr>
          <w:lang w:val="fr-FR"/>
        </w:rPr>
      </w:pPr>
      <w:proofErr w:type="gramStart"/>
      <w:r>
        <w:rPr>
          <w:lang w:val="fr-FR"/>
        </w:rPr>
        <w:t>s</w:t>
      </w:r>
      <w:r w:rsidR="00755D4B" w:rsidRPr="001259FB">
        <w:rPr>
          <w:lang w:val="fr-FR"/>
        </w:rPr>
        <w:t>i</w:t>
      </w:r>
      <w:proofErr w:type="gramEnd"/>
      <w:r w:rsidR="00755D4B" w:rsidRPr="001259FB">
        <w:rPr>
          <w:lang w:val="fr-FR"/>
        </w:rPr>
        <w:t xml:space="preserve"> vous ne pouvez pas télécharger l'application, en scannant le code QR à l'aide de la caméra d'un smartphone </w:t>
      </w:r>
      <w:r w:rsidR="00755D4B" w:rsidRPr="001259FB">
        <w:rPr>
          <w:lang w:val="fr-FR"/>
        </w:rPr>
        <w:lastRenderedPageBreak/>
        <w:t xml:space="preserve">compatible, ce qui </w:t>
      </w:r>
      <w:r>
        <w:rPr>
          <w:lang w:val="fr-FR"/>
        </w:rPr>
        <w:t>affich</w:t>
      </w:r>
      <w:r w:rsidRPr="009A4125">
        <w:rPr>
          <w:lang w:val="fr-FR"/>
        </w:rPr>
        <w:t>er</w:t>
      </w:r>
      <w:r>
        <w:rPr>
          <w:lang w:val="fr-FR"/>
        </w:rPr>
        <w:t>a</w:t>
      </w:r>
      <w:r w:rsidR="00755D4B" w:rsidRPr="001259FB">
        <w:rPr>
          <w:lang w:val="fr-FR"/>
        </w:rPr>
        <w:t xml:space="preserve"> les informations d’expédition spécifiques nécessaires à la vérification. Si vous utilisez cette méthode, il est essentiel de vérifier que le site web auquel vous vous référez commence par l'adresse https:// online.agriculture.gov.au/......</w:t>
      </w:r>
    </w:p>
    <w:p w14:paraId="6EC685A0" w14:textId="77777777" w:rsidR="004731C1" w:rsidRPr="004731C1" w:rsidRDefault="004731C1" w:rsidP="004731C1">
      <w:pPr>
        <w:pStyle w:val="BodyText"/>
        <w:ind w:left="426"/>
        <w:rPr>
          <w:lang w:val="fr-FR"/>
        </w:rPr>
      </w:pPr>
    </w:p>
    <w:p w14:paraId="63F6FEBE" w14:textId="159BBE5C" w:rsidR="00F962C7" w:rsidRPr="0019595E" w:rsidRDefault="005E09BB" w:rsidP="00711BC3">
      <w:pPr>
        <w:pStyle w:val="Heading1"/>
        <w:ind w:left="0"/>
        <w:rPr>
          <w:color w:val="343434"/>
          <w:lang w:val="fr-FR"/>
        </w:rPr>
      </w:pPr>
      <w:r w:rsidRPr="005E09BB">
        <w:rPr>
          <w:color w:val="343434"/>
          <w:lang w:val="fr-FR"/>
        </w:rPr>
        <w:t>Mise à jour du système de certificats d'exportation</w:t>
      </w:r>
    </w:p>
    <w:p w14:paraId="7CC43D62" w14:textId="77777777" w:rsidR="00711BC3" w:rsidRPr="0019595E" w:rsidRDefault="00711BC3" w:rsidP="00711BC3">
      <w:pPr>
        <w:pStyle w:val="Heading1"/>
        <w:ind w:left="0"/>
        <w:rPr>
          <w:lang w:val="fr-FR"/>
        </w:rPr>
      </w:pPr>
    </w:p>
    <w:p w14:paraId="1597A78D" w14:textId="423AD354" w:rsidR="00F962C7" w:rsidRPr="0019595E" w:rsidRDefault="005E09BB" w:rsidP="00711BC3">
      <w:pPr>
        <w:pStyle w:val="BodyText"/>
        <w:rPr>
          <w:lang w:val="fr-FR"/>
        </w:rPr>
      </w:pPr>
      <w:r w:rsidRPr="005E09BB">
        <w:rPr>
          <w:lang w:val="fr-FR"/>
        </w:rPr>
        <w:t xml:space="preserve">Nous </w:t>
      </w:r>
      <w:r>
        <w:rPr>
          <w:lang w:val="fr-FR"/>
        </w:rPr>
        <w:t xml:space="preserve">procédons actuellement au remplacement du système </w:t>
      </w:r>
      <w:r w:rsidRPr="005E09BB">
        <w:rPr>
          <w:lang w:val="fr-FR"/>
        </w:rPr>
        <w:t xml:space="preserve">EXDOC par un nouveau système appelé NEXDOC </w:t>
      </w:r>
      <w:r>
        <w:rPr>
          <w:lang w:val="fr-FR"/>
        </w:rPr>
        <w:t>(</w:t>
      </w:r>
      <w:r w:rsidRPr="005E09BB">
        <w:rPr>
          <w:lang w:val="fr-FR"/>
        </w:rPr>
        <w:t>Next Export Documentation System).</w:t>
      </w:r>
    </w:p>
    <w:p w14:paraId="76038E9B" w14:textId="77777777" w:rsidR="00F962C7" w:rsidRPr="0019595E" w:rsidRDefault="00F962C7" w:rsidP="00711BC3">
      <w:pPr>
        <w:pStyle w:val="BodyText"/>
        <w:rPr>
          <w:sz w:val="20"/>
          <w:lang w:val="fr-FR"/>
        </w:rPr>
      </w:pPr>
    </w:p>
    <w:p w14:paraId="1530ECC2" w14:textId="7A9905B6" w:rsidR="005E09BB" w:rsidRPr="0019595E" w:rsidRDefault="001259FB" w:rsidP="00711BC3">
      <w:pPr>
        <w:pStyle w:val="BodyText"/>
        <w:rPr>
          <w:lang w:val="fr-FR"/>
        </w:rPr>
      </w:pPr>
      <w:r>
        <w:rPr>
          <w:lang w:val="fr-FR"/>
        </w:rPr>
        <w:t xml:space="preserve">Avec </w:t>
      </w:r>
      <w:r w:rsidR="005E09BB" w:rsidRPr="005E09BB">
        <w:rPr>
          <w:lang w:val="fr-FR"/>
        </w:rPr>
        <w:t>NEXDOC</w:t>
      </w:r>
      <w:r>
        <w:rPr>
          <w:lang w:val="fr-FR"/>
        </w:rPr>
        <w:t>,</w:t>
      </w:r>
      <w:r w:rsidR="005E09BB" w:rsidRPr="005E09BB">
        <w:rPr>
          <w:lang w:val="fr-FR"/>
        </w:rPr>
        <w:t xml:space="preserve"> le système australien de documentation des exportations </w:t>
      </w:r>
      <w:r>
        <w:rPr>
          <w:lang w:val="fr-FR"/>
        </w:rPr>
        <w:t xml:space="preserve">sera </w:t>
      </w:r>
      <w:r w:rsidR="005E09BB" w:rsidRPr="005E09BB">
        <w:rPr>
          <w:lang w:val="fr-FR"/>
        </w:rPr>
        <w:t>plus sûr et plus réactif aux changements des conditions commerciales</w:t>
      </w:r>
      <w:r>
        <w:rPr>
          <w:lang w:val="fr-FR"/>
        </w:rPr>
        <w:t>, y compris</w:t>
      </w:r>
      <w:r w:rsidR="005E09BB" w:rsidRPr="005E09BB">
        <w:rPr>
          <w:lang w:val="fr-FR"/>
        </w:rPr>
        <w:t xml:space="preserve"> les changements demandés par le</w:t>
      </w:r>
      <w:r>
        <w:rPr>
          <w:lang w:val="fr-FR"/>
        </w:rPr>
        <w:t>s</w:t>
      </w:r>
      <w:r w:rsidR="005E09BB" w:rsidRPr="005E09BB">
        <w:rPr>
          <w:lang w:val="fr-FR"/>
        </w:rPr>
        <w:t xml:space="preserve"> pays importateur</w:t>
      </w:r>
      <w:r>
        <w:rPr>
          <w:lang w:val="fr-FR"/>
        </w:rPr>
        <w:t>s</w:t>
      </w:r>
      <w:r w:rsidR="005E09BB" w:rsidRPr="005E09BB">
        <w:rPr>
          <w:lang w:val="fr-FR"/>
        </w:rPr>
        <w:t>.</w:t>
      </w:r>
    </w:p>
    <w:p w14:paraId="6C4B11D2" w14:textId="77777777" w:rsidR="00711BC3" w:rsidRPr="0019595E" w:rsidRDefault="00711BC3" w:rsidP="00711BC3">
      <w:pPr>
        <w:pStyle w:val="BodyText"/>
        <w:rPr>
          <w:lang w:val="fr-FR"/>
        </w:rPr>
      </w:pPr>
    </w:p>
    <w:p w14:paraId="4E284E2D" w14:textId="156D3525" w:rsidR="00F20C8D" w:rsidRPr="0019595E" w:rsidRDefault="00F20C8D" w:rsidP="00711BC3">
      <w:pPr>
        <w:pStyle w:val="BodyText"/>
        <w:rPr>
          <w:lang w:val="fr-FR"/>
        </w:rPr>
      </w:pPr>
      <w:r w:rsidRPr="00F20C8D">
        <w:rPr>
          <w:lang w:val="fr-FR"/>
        </w:rPr>
        <w:t xml:space="preserve">NEXDOC ne modifie pas nos accords de certification existants ni </w:t>
      </w:r>
      <w:r>
        <w:rPr>
          <w:lang w:val="fr-FR"/>
        </w:rPr>
        <w:t>le</w:t>
      </w:r>
      <w:r w:rsidRPr="00F20C8D">
        <w:rPr>
          <w:lang w:val="fr-FR"/>
        </w:rPr>
        <w:t xml:space="preserve"> contrôle réglementaire </w:t>
      </w:r>
      <w:r>
        <w:rPr>
          <w:lang w:val="fr-FR"/>
        </w:rPr>
        <w:t>que nous exerçons sur les</w:t>
      </w:r>
      <w:r w:rsidRPr="00F20C8D">
        <w:rPr>
          <w:lang w:val="fr-FR"/>
        </w:rPr>
        <w:t xml:space="preserve"> exportations.</w:t>
      </w:r>
    </w:p>
    <w:p w14:paraId="12529E67" w14:textId="77777777" w:rsidR="00711BC3" w:rsidRPr="0019595E" w:rsidRDefault="00711BC3" w:rsidP="00711BC3">
      <w:pPr>
        <w:pStyle w:val="Heading1"/>
        <w:ind w:left="0"/>
        <w:rPr>
          <w:color w:val="343434"/>
          <w:lang w:val="fr-FR"/>
        </w:rPr>
      </w:pPr>
    </w:p>
    <w:p w14:paraId="0EBE74A9" w14:textId="36DF76C2" w:rsidR="00F962C7" w:rsidRPr="0019595E" w:rsidRDefault="00711BC3" w:rsidP="00711BC3">
      <w:pPr>
        <w:pStyle w:val="Heading1"/>
        <w:ind w:left="0"/>
        <w:rPr>
          <w:color w:val="343434"/>
          <w:lang w:val="fr-FR"/>
        </w:rPr>
      </w:pPr>
      <w:r w:rsidRPr="0019595E">
        <w:rPr>
          <w:color w:val="343434"/>
          <w:lang w:val="fr-FR"/>
        </w:rPr>
        <w:t>Contact</w:t>
      </w:r>
      <w:r w:rsidR="00F20C8D">
        <w:rPr>
          <w:color w:val="343434"/>
          <w:lang w:val="fr-FR"/>
        </w:rPr>
        <w:t>s</w:t>
      </w:r>
    </w:p>
    <w:p w14:paraId="3158F55A" w14:textId="77777777" w:rsidR="00711BC3" w:rsidRPr="0019595E" w:rsidRDefault="00711BC3" w:rsidP="00711BC3">
      <w:pPr>
        <w:pStyle w:val="Heading1"/>
        <w:ind w:left="0"/>
        <w:rPr>
          <w:lang w:val="fr-FR"/>
        </w:rPr>
      </w:pPr>
    </w:p>
    <w:p w14:paraId="4A18CC2D" w14:textId="1EA53D51" w:rsidR="00F20C8D" w:rsidRPr="0019595E" w:rsidRDefault="00F20C8D" w:rsidP="00711BC3">
      <w:pPr>
        <w:pStyle w:val="BodyText"/>
        <w:ind w:right="850"/>
        <w:rPr>
          <w:lang w:val="fr-FR"/>
        </w:rPr>
      </w:pPr>
      <w:r w:rsidRPr="00F20C8D">
        <w:rPr>
          <w:lang w:val="fr-FR"/>
        </w:rPr>
        <w:t xml:space="preserve">Nous travaillons avec nos partenaires commerciaux pour </w:t>
      </w:r>
      <w:r w:rsidR="001259FB">
        <w:rPr>
          <w:lang w:val="fr-FR"/>
        </w:rPr>
        <w:t>facilite</w:t>
      </w:r>
      <w:r w:rsidRPr="00F20C8D">
        <w:rPr>
          <w:lang w:val="fr-FR"/>
        </w:rPr>
        <w:t xml:space="preserve">r </w:t>
      </w:r>
      <w:r w:rsidR="001259FB">
        <w:rPr>
          <w:lang w:val="fr-FR"/>
        </w:rPr>
        <w:t xml:space="preserve">la </w:t>
      </w:r>
      <w:r w:rsidRPr="00F20C8D">
        <w:rPr>
          <w:lang w:val="fr-FR"/>
        </w:rPr>
        <w:t xml:space="preserve">transition vers les nouveaux certificats d'exportation et minimiser toute perturbation </w:t>
      </w:r>
      <w:r w:rsidR="001259FB">
        <w:rPr>
          <w:lang w:val="fr-FR"/>
        </w:rPr>
        <w:t>des échanges commerciaux</w:t>
      </w:r>
      <w:r w:rsidRPr="00F20C8D">
        <w:rPr>
          <w:lang w:val="fr-FR"/>
        </w:rPr>
        <w:t>.</w:t>
      </w:r>
    </w:p>
    <w:p w14:paraId="6675D9A9" w14:textId="77777777" w:rsidR="00711BC3" w:rsidRPr="0019595E" w:rsidRDefault="00711BC3" w:rsidP="00711BC3">
      <w:pPr>
        <w:pStyle w:val="BodyText"/>
        <w:ind w:right="850"/>
        <w:rPr>
          <w:lang w:val="fr-FR"/>
        </w:rPr>
      </w:pPr>
    </w:p>
    <w:p w14:paraId="58E5A50C" w14:textId="442892B7" w:rsidR="00F962C7" w:rsidRPr="0019595E" w:rsidRDefault="00F20C8D" w:rsidP="00711BC3">
      <w:pPr>
        <w:pStyle w:val="BodyText"/>
        <w:rPr>
          <w:lang w:val="fr-FR"/>
        </w:rPr>
      </w:pPr>
      <w:r w:rsidRPr="00F20C8D">
        <w:rPr>
          <w:lang w:val="fr-FR"/>
        </w:rPr>
        <w:t>Si vous avez des questions, des commentaires ou des préoccupations</w:t>
      </w:r>
      <w:r w:rsidR="001259FB">
        <w:rPr>
          <w:lang w:val="fr-FR"/>
        </w:rPr>
        <w:t xml:space="preserve"> </w:t>
      </w:r>
      <w:r w:rsidR="001259FB" w:rsidRPr="001259FB">
        <w:rPr>
          <w:lang w:val="fr-FR"/>
        </w:rPr>
        <w:t>spécifiques</w:t>
      </w:r>
      <w:r w:rsidRPr="00F20C8D">
        <w:rPr>
          <w:lang w:val="fr-FR"/>
        </w:rPr>
        <w:t xml:space="preserve">, veuillez contacter le service </w:t>
      </w:r>
      <w:r w:rsidR="00711BC3" w:rsidRPr="0019595E">
        <w:rPr>
          <w:color w:val="6A4060"/>
          <w:u w:val="single" w:color="6A4060"/>
          <w:lang w:val="fr-FR"/>
        </w:rPr>
        <w:t>Exports</w:t>
      </w:r>
      <w:r w:rsidR="00711BC3" w:rsidRPr="0019595E">
        <w:rPr>
          <w:lang w:val="fr-FR"/>
        </w:rPr>
        <w:t>.</w:t>
      </w:r>
    </w:p>
    <w:p w14:paraId="7CF9A9DA" w14:textId="77777777" w:rsidR="00F962C7" w:rsidRPr="0019595E" w:rsidRDefault="00F962C7" w:rsidP="00711BC3">
      <w:pPr>
        <w:pStyle w:val="BodyText"/>
        <w:rPr>
          <w:sz w:val="20"/>
          <w:lang w:val="fr-FR"/>
        </w:rPr>
      </w:pPr>
    </w:p>
    <w:p w14:paraId="10F61100" w14:textId="7957771B" w:rsidR="00F962C7" w:rsidRPr="0019595E" w:rsidRDefault="00F962C7" w:rsidP="00711BC3">
      <w:pPr>
        <w:pStyle w:val="BodyText"/>
        <w:rPr>
          <w:sz w:val="16"/>
          <w:lang w:val="fr-FR"/>
        </w:rPr>
      </w:pPr>
    </w:p>
    <w:p w14:paraId="4AF6E9C4" w14:textId="52C01CD4" w:rsidR="00F962C7" w:rsidRPr="0019595E" w:rsidRDefault="00F962C7" w:rsidP="00711BC3">
      <w:pPr>
        <w:rPr>
          <w:sz w:val="27"/>
          <w:lang w:val="fr-FR"/>
        </w:rPr>
      </w:pPr>
    </w:p>
    <w:sectPr w:rsidR="00F962C7" w:rsidRPr="0019595E">
      <w:headerReference w:type="default" r:id="rId8"/>
      <w:footerReference w:type="default" r:id="rId9"/>
      <w:pgSz w:w="11910" w:h="16840"/>
      <w:pgMar w:top="1040" w:right="1000" w:bottom="280" w:left="980" w:header="0" w:footer="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4F8B" w14:textId="77777777" w:rsidR="000F6F33" w:rsidRDefault="00711BC3">
      <w:r>
        <w:separator/>
      </w:r>
    </w:p>
  </w:endnote>
  <w:endnote w:type="continuationSeparator" w:id="0">
    <w:p w14:paraId="56C0599A" w14:textId="77777777" w:rsidR="000F6F33" w:rsidRDefault="0071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5C08" w14:textId="43251BD8" w:rsidR="00F962C7" w:rsidRDefault="00F962C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C734" w14:textId="77777777" w:rsidR="000F6F33" w:rsidRDefault="00711BC3">
      <w:r>
        <w:separator/>
      </w:r>
    </w:p>
  </w:footnote>
  <w:footnote w:type="continuationSeparator" w:id="0">
    <w:p w14:paraId="1D7E303E" w14:textId="77777777" w:rsidR="000F6F33" w:rsidRDefault="00711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C74" w14:textId="75B18440" w:rsidR="009519E6" w:rsidRDefault="009519E6" w:rsidP="009519E6">
    <w:pPr>
      <w:spacing w:before="10"/>
      <w:ind w:left="20"/>
      <w:rPr>
        <w:rFonts w:ascii="Times New Roman"/>
      </w:rPr>
    </w:pPr>
  </w:p>
  <w:p w14:paraId="362B708E" w14:textId="77777777" w:rsidR="004731C1" w:rsidRPr="009519E6" w:rsidRDefault="004731C1" w:rsidP="009519E6">
    <w:pPr>
      <w:spacing w:before="10"/>
      <w:ind w:left="20"/>
      <w:rPr>
        <w:rFonts w:ascii="Times New Roman"/>
      </w:rPr>
    </w:pPr>
  </w:p>
  <w:tbl>
    <w:tblPr>
      <w:tblStyle w:val="TableGrid"/>
      <w:tblW w:w="0" w:type="auto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42"/>
      <w:gridCol w:w="1368"/>
    </w:tblGrid>
    <w:tr w:rsidR="009519E6" w:rsidRPr="009519E6" w14:paraId="3732A388" w14:textId="77777777" w:rsidTr="009519E6">
      <w:tc>
        <w:tcPr>
          <w:tcW w:w="8735" w:type="dxa"/>
        </w:tcPr>
        <w:p w14:paraId="2F23DD17" w14:textId="791EC8DB" w:rsidR="009519E6" w:rsidRPr="009519E6" w:rsidRDefault="004731C1" w:rsidP="009519E6">
          <w:pPr>
            <w:spacing w:before="10"/>
            <w:rPr>
              <w:rFonts w:ascii="Times New Roman" w:hAnsi="Times New Roman"/>
            </w:rPr>
          </w:pPr>
          <w:r>
            <w:rPr>
              <w:noProof/>
              <w:lang w:eastAsia="en-AU"/>
            </w:rPr>
            <w:drawing>
              <wp:inline distT="0" distB="0" distL="0" distR="0" wp14:anchorId="2D0C7232" wp14:editId="5185ACB9">
                <wp:extent cx="2417064" cy="725424"/>
                <wp:effectExtent l="0" t="0" r="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064" cy="72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1" w:type="dxa"/>
        </w:tcPr>
        <w:p w14:paraId="5C728D7C" w14:textId="77777777" w:rsidR="009519E6" w:rsidRDefault="009519E6" w:rsidP="009519E6">
          <w:pPr>
            <w:spacing w:before="10"/>
            <w:rPr>
              <w:rFonts w:ascii="Times New Roman"/>
            </w:rPr>
          </w:pPr>
          <w:r w:rsidRPr="009519E6">
            <w:rPr>
              <w:rFonts w:ascii="Times New Roman"/>
            </w:rPr>
            <w:t>Page</w:t>
          </w:r>
          <w:r w:rsidRPr="009519E6">
            <w:t xml:space="preserve"> </w:t>
          </w:r>
          <w:r w:rsidRPr="009519E6">
            <w:fldChar w:fldCharType="begin"/>
          </w:r>
          <w:r w:rsidRPr="009519E6">
            <w:rPr>
              <w:rFonts w:ascii="Times New Roman"/>
            </w:rPr>
            <w:instrText xml:space="preserve"> PAGE </w:instrText>
          </w:r>
          <w:r w:rsidRPr="009519E6">
            <w:fldChar w:fldCharType="separate"/>
          </w:r>
          <w:r w:rsidRPr="009519E6">
            <w:t>1</w:t>
          </w:r>
          <w:r w:rsidRPr="009519E6">
            <w:fldChar w:fldCharType="end"/>
          </w:r>
          <w:r w:rsidRPr="009519E6">
            <w:rPr>
              <w:rFonts w:ascii="Times New Roman"/>
            </w:rPr>
            <w:t xml:space="preserve"> of</w:t>
          </w:r>
          <w:r w:rsidRPr="009519E6">
            <w:rPr>
              <w:rFonts w:ascii="Times New Roman"/>
              <w:spacing w:val="-1"/>
            </w:rPr>
            <w:t xml:space="preserve"> </w:t>
          </w:r>
          <w:r w:rsidRPr="009519E6">
            <w:rPr>
              <w:rFonts w:ascii="Times New Roman"/>
            </w:rPr>
            <w:t>2</w:t>
          </w:r>
        </w:p>
        <w:p w14:paraId="7DA68239" w14:textId="5CEC96CC" w:rsidR="009519E6" w:rsidRDefault="002A152C" w:rsidP="009519E6">
          <w:pPr>
            <w:spacing w:before="10"/>
            <w:rPr>
              <w:rFonts w:ascii="Times New Roman"/>
            </w:rPr>
          </w:pPr>
          <w:r>
            <w:rPr>
              <w:rFonts w:ascii="Times New Roman"/>
            </w:rPr>
            <w:t>French</w:t>
          </w:r>
        </w:p>
        <w:p w14:paraId="0DE577D3" w14:textId="31AAB9CC" w:rsidR="009519E6" w:rsidRPr="009519E6" w:rsidRDefault="009519E6" w:rsidP="009519E6">
          <w:pPr>
            <w:spacing w:before="10"/>
            <w:rPr>
              <w:rFonts w:ascii="Times New Roman" w:hAnsi="Times New Roman"/>
            </w:rPr>
          </w:pPr>
        </w:p>
      </w:tc>
    </w:tr>
  </w:tbl>
  <w:p w14:paraId="633BD9F5" w14:textId="5951186E" w:rsidR="009519E6" w:rsidRPr="009519E6" w:rsidRDefault="009519E6" w:rsidP="009519E6">
    <w:pPr>
      <w:spacing w:before="10"/>
      <w:ind w:left="20"/>
      <w:rPr>
        <w:rFonts w:ascii="Times New Roman" w:hAnsi="Times New Roman"/>
      </w:rPr>
    </w:pPr>
  </w:p>
  <w:p w14:paraId="50F03866" w14:textId="48B7B49B" w:rsidR="00F962C7" w:rsidRPr="009519E6" w:rsidRDefault="00F962C7">
    <w:pPr>
      <w:pStyle w:val="BodyText"/>
      <w:spacing w:line="14" w:lineRule="aut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9B"/>
    <w:multiLevelType w:val="hybridMultilevel"/>
    <w:tmpl w:val="D4DEF410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B5F6B76"/>
    <w:multiLevelType w:val="hybridMultilevel"/>
    <w:tmpl w:val="94CA943E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6CF589A"/>
    <w:multiLevelType w:val="hybridMultilevel"/>
    <w:tmpl w:val="B5589420"/>
    <w:lvl w:ilvl="0" w:tplc="364ED3F6">
      <w:numFmt w:val="bullet"/>
      <w:lvlText w:val="•"/>
      <w:lvlJc w:val="left"/>
      <w:pPr>
        <w:ind w:left="697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1"/>
        <w:szCs w:val="21"/>
      </w:rPr>
    </w:lvl>
    <w:lvl w:ilvl="1" w:tplc="2C1CB2E8">
      <w:numFmt w:val="bullet"/>
      <w:lvlText w:val="•"/>
      <w:lvlJc w:val="left"/>
      <w:pPr>
        <w:ind w:left="1622" w:hanging="224"/>
      </w:pPr>
      <w:rPr>
        <w:rFonts w:hint="default"/>
      </w:rPr>
    </w:lvl>
    <w:lvl w:ilvl="2" w:tplc="18B072C2">
      <w:numFmt w:val="bullet"/>
      <w:lvlText w:val="•"/>
      <w:lvlJc w:val="left"/>
      <w:pPr>
        <w:ind w:left="2544" w:hanging="224"/>
      </w:pPr>
      <w:rPr>
        <w:rFonts w:hint="default"/>
      </w:rPr>
    </w:lvl>
    <w:lvl w:ilvl="3" w:tplc="E40425CA">
      <w:numFmt w:val="bullet"/>
      <w:lvlText w:val="•"/>
      <w:lvlJc w:val="left"/>
      <w:pPr>
        <w:ind w:left="3467" w:hanging="224"/>
      </w:pPr>
      <w:rPr>
        <w:rFonts w:hint="default"/>
      </w:rPr>
    </w:lvl>
    <w:lvl w:ilvl="4" w:tplc="3FB43ABA">
      <w:numFmt w:val="bullet"/>
      <w:lvlText w:val="•"/>
      <w:lvlJc w:val="left"/>
      <w:pPr>
        <w:ind w:left="4389" w:hanging="224"/>
      </w:pPr>
      <w:rPr>
        <w:rFonts w:hint="default"/>
      </w:rPr>
    </w:lvl>
    <w:lvl w:ilvl="5" w:tplc="46CA1C44">
      <w:numFmt w:val="bullet"/>
      <w:lvlText w:val="•"/>
      <w:lvlJc w:val="left"/>
      <w:pPr>
        <w:ind w:left="5312" w:hanging="224"/>
      </w:pPr>
      <w:rPr>
        <w:rFonts w:hint="default"/>
      </w:rPr>
    </w:lvl>
    <w:lvl w:ilvl="6" w:tplc="BF62969A">
      <w:numFmt w:val="bullet"/>
      <w:lvlText w:val="•"/>
      <w:lvlJc w:val="left"/>
      <w:pPr>
        <w:ind w:left="6234" w:hanging="224"/>
      </w:pPr>
      <w:rPr>
        <w:rFonts w:hint="default"/>
      </w:rPr>
    </w:lvl>
    <w:lvl w:ilvl="7" w:tplc="07D00BAA">
      <w:numFmt w:val="bullet"/>
      <w:lvlText w:val="•"/>
      <w:lvlJc w:val="left"/>
      <w:pPr>
        <w:ind w:left="7157" w:hanging="224"/>
      </w:pPr>
      <w:rPr>
        <w:rFonts w:hint="default"/>
      </w:rPr>
    </w:lvl>
    <w:lvl w:ilvl="8" w:tplc="DC3EF060">
      <w:numFmt w:val="bullet"/>
      <w:lvlText w:val="•"/>
      <w:lvlJc w:val="left"/>
      <w:pPr>
        <w:ind w:left="8079" w:hanging="22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C7"/>
    <w:rsid w:val="000F6F33"/>
    <w:rsid w:val="001259FB"/>
    <w:rsid w:val="0019595E"/>
    <w:rsid w:val="002A152C"/>
    <w:rsid w:val="004731C1"/>
    <w:rsid w:val="0049021D"/>
    <w:rsid w:val="004A290A"/>
    <w:rsid w:val="005E09BB"/>
    <w:rsid w:val="006D58F5"/>
    <w:rsid w:val="00711BC3"/>
    <w:rsid w:val="00755D4B"/>
    <w:rsid w:val="00770B87"/>
    <w:rsid w:val="009519E6"/>
    <w:rsid w:val="009A4125"/>
    <w:rsid w:val="00C449B2"/>
    <w:rsid w:val="00C91070"/>
    <w:rsid w:val="00CA4D61"/>
    <w:rsid w:val="00EC5A47"/>
    <w:rsid w:val="00F20C8D"/>
    <w:rsid w:val="00F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1A962"/>
  <w15:docId w15:val="{DDED0319-B3DC-47B7-A7E8-4C16C1EE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8"/>
      <w:ind w:left="10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97" w:hanging="2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9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9E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5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E288E-41CC-4A45-A60A-E6DF88A6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3172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file:///C:/Users/KASEMS~1/AppData/Local/Temp/PWWNVQOT.htm</vt:lpstr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trading partners – changes to certificates</dc:title>
  <dc:creator>Department of Agriculture, Water and the Environment</dc:creator>
  <dcterms:created xsi:type="dcterms:W3CDTF">2021-07-05T05:50:00Z</dcterms:created>
  <dcterms:modified xsi:type="dcterms:W3CDTF">2021-07-05T05:54:00Z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2021-05-24T00:00:00Z</vt:filetime>
  </property>
</Properties>
</file>