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36A9" w14:textId="77777777" w:rsidR="00F962C7" w:rsidRDefault="00F962C7" w:rsidP="00711BC3">
      <w:pPr>
        <w:pStyle w:val="BodyText"/>
        <w:rPr>
          <w:rFonts w:ascii="Times New Roman"/>
          <w:sz w:val="15"/>
        </w:rPr>
      </w:pPr>
    </w:p>
    <w:p w14:paraId="12E4A9BE" w14:textId="77DED0F8" w:rsidR="00F962C7" w:rsidRDefault="00711BC3" w:rsidP="00711BC3">
      <w:pPr>
        <w:pStyle w:val="Title"/>
        <w:spacing w:before="0"/>
        <w:ind w:left="0"/>
        <w:rPr>
          <w:color w:val="155687"/>
        </w:rPr>
      </w:pPr>
      <w:r>
        <w:rPr>
          <w:color w:val="155687"/>
        </w:rPr>
        <w:t>Penerangan untuk rakan dagang – perubahan pada perakuan</w:t>
      </w:r>
    </w:p>
    <w:p w14:paraId="3A03BB7F" w14:textId="77777777" w:rsidR="009519E6" w:rsidRDefault="009519E6" w:rsidP="00711BC3">
      <w:pPr>
        <w:pStyle w:val="Title"/>
        <w:spacing w:before="0"/>
        <w:ind w:left="0"/>
      </w:pPr>
    </w:p>
    <w:p w14:paraId="6950A846" w14:textId="6277264B" w:rsidR="00F962C7" w:rsidRPr="009519E6" w:rsidRDefault="00711BC3" w:rsidP="00040FF0">
      <w:pPr>
        <w:pStyle w:val="BodyText"/>
        <w:spacing w:after="120"/>
      </w:pPr>
      <w:r>
        <w:t xml:space="preserve">Kami sedang </w:t>
      </w:r>
      <w:r>
        <w:rPr>
          <w:color w:val="6A4060"/>
          <w:u w:val="single" w:color="6A4060"/>
        </w:rPr>
        <w:t>menambah baik sistem perakuan eksport kami</w:t>
      </w:r>
      <w:r>
        <w:rPr>
          <w:color w:val="6A4060"/>
        </w:rPr>
        <w:t xml:space="preserve"> </w:t>
      </w:r>
      <w:r>
        <w:t>bagi kesemua produk pertanian eksport.</w:t>
      </w:r>
    </w:p>
    <w:p w14:paraId="03A00924" w14:textId="3C3CC54A" w:rsidR="00F962C7" w:rsidRPr="009519E6" w:rsidRDefault="00711BC3" w:rsidP="00040FF0">
      <w:pPr>
        <w:pStyle w:val="BodyText"/>
        <w:spacing w:after="120"/>
      </w:pPr>
      <w:r>
        <w:t>Penambahbaikan ini tidak akan mengubah makna dan maksud apa-apa pengakuan yang telah dirundingkan dan disetujui bagi akses pasaran.</w:t>
      </w:r>
    </w:p>
    <w:p w14:paraId="2D8B50BE" w14:textId="77777777" w:rsidR="00F962C7" w:rsidRPr="009519E6" w:rsidRDefault="00711BC3" w:rsidP="00711BC3">
      <w:pPr>
        <w:pStyle w:val="BodyText"/>
      </w:pPr>
      <w:r>
        <w:t>Penerangan tentang apa-apa perubahan terbaru akan dimasukkan di halaman ini dari semasa ke semasa apabila penerangan itu tersedia.</w:t>
      </w:r>
    </w:p>
    <w:p w14:paraId="54A5585F" w14:textId="77777777" w:rsidR="00F962C7" w:rsidRPr="009519E6" w:rsidRDefault="00F962C7" w:rsidP="00711BC3">
      <w:pPr>
        <w:pStyle w:val="BodyText"/>
      </w:pPr>
    </w:p>
    <w:p w14:paraId="663C1C10" w14:textId="7F4234BC" w:rsidR="00F962C7" w:rsidRDefault="00711BC3" w:rsidP="00711BC3">
      <w:pPr>
        <w:pStyle w:val="Heading1"/>
        <w:ind w:left="0"/>
        <w:rPr>
          <w:color w:val="343434"/>
        </w:rPr>
      </w:pPr>
      <w:r>
        <w:rPr>
          <w:color w:val="343434"/>
        </w:rPr>
        <w:t>Perakuan eksport</w:t>
      </w:r>
    </w:p>
    <w:p w14:paraId="29EE19F1" w14:textId="77777777" w:rsidR="009519E6" w:rsidRPr="009519E6" w:rsidRDefault="009519E6" w:rsidP="00711BC3">
      <w:pPr>
        <w:pStyle w:val="Heading1"/>
        <w:ind w:left="0"/>
        <w:rPr>
          <w:sz w:val="21"/>
          <w:szCs w:val="21"/>
        </w:rPr>
      </w:pPr>
    </w:p>
    <w:p w14:paraId="2B0D6CB4" w14:textId="43AE420B" w:rsidR="00F962C7" w:rsidRDefault="00711BC3" w:rsidP="00040FF0">
      <w:pPr>
        <w:pStyle w:val="BodyText"/>
        <w:spacing w:after="120"/>
      </w:pPr>
      <w:r>
        <w:t xml:space="preserve">Apabila kami memperkenalkan sistem dokumentasi eksport kami yang baharu – </w:t>
      </w:r>
      <w:r w:rsidR="00D64A9F">
        <w:rPr>
          <w:color w:val="6A4060"/>
          <w:u w:val="single" w:color="6A4060"/>
        </w:rPr>
        <w:t>NEXDOC</w:t>
      </w:r>
      <w:r>
        <w:t>, perubahan akan dibuat pada perakuan eksport. Perubahan ini akan berlaku secara bertahap, berdasarkan komoditi, bermula dengan tenusu pada 17 Mei 2021.</w:t>
      </w:r>
    </w:p>
    <w:p w14:paraId="3D0FF588" w14:textId="77777777" w:rsidR="00F962C7" w:rsidRPr="009519E6" w:rsidRDefault="00711BC3" w:rsidP="00040FF0">
      <w:pPr>
        <w:pStyle w:val="BodyText"/>
        <w:spacing w:after="120"/>
      </w:pPr>
      <w:r>
        <w:t>Jangka masa perubahan bagi komoditi yang belum menjalani proses ini sedang dipertimbangkan dan akan disenaraikan di halaman ini apabila disahkan.</w:t>
      </w:r>
    </w:p>
    <w:p w14:paraId="665C30B3" w14:textId="2E65FFF4" w:rsidR="00F962C7" w:rsidRPr="009519E6" w:rsidRDefault="00711BC3" w:rsidP="00040FF0">
      <w:pPr>
        <w:pStyle w:val="BodyText"/>
        <w:spacing w:after="120"/>
      </w:pPr>
      <w:r>
        <w:t>Tempoh peralihan empat minggu akan dilaksanakan bagi perakuan tenusu. Semasa tempoh itu, Jabatan akan menggunakan kedua-dua sistem perakuan eksport, iaitu sistem sekarang (EXDOC) dan sistem baharu NEXDOC. Memandangkan jangka waktu pengangkutan kargo, sebahagian kargo laut mungkin tiba dengan perakuan EXDOC sehingga lapan minggu setelah sistem NEXDOC dimulakan.</w:t>
      </w:r>
    </w:p>
    <w:p w14:paraId="79C52A33" w14:textId="77777777" w:rsidR="00F962C7" w:rsidRPr="009519E6" w:rsidRDefault="00711BC3" w:rsidP="00040FF0">
      <w:pPr>
        <w:pStyle w:val="BodyText"/>
        <w:spacing w:after="120"/>
      </w:pPr>
      <w:r>
        <w:t>Perubahan ini merangkumi:</w:t>
      </w:r>
    </w:p>
    <w:p w14:paraId="047FBDB8" w14:textId="2652EE84" w:rsidR="00F962C7" w:rsidRPr="009519E6" w:rsidRDefault="00711BC3" w:rsidP="00AF0791">
      <w:pPr>
        <w:pStyle w:val="ListParagraph"/>
        <w:numPr>
          <w:ilvl w:val="0"/>
          <w:numId w:val="2"/>
        </w:numPr>
        <w:ind w:left="426" w:right="432"/>
        <w:rPr>
          <w:sz w:val="21"/>
          <w:szCs w:val="21"/>
        </w:rPr>
      </w:pPr>
      <w:r>
        <w:rPr>
          <w:sz w:val="21"/>
          <w:szCs w:val="21"/>
        </w:rPr>
        <w:t xml:space="preserve">menggunakan nama Kerajaan Australia </w:t>
      </w:r>
      <w:r w:rsidRPr="00D64A9F">
        <w:rPr>
          <w:i/>
          <w:iCs/>
          <w:sz w:val="21"/>
          <w:szCs w:val="21"/>
        </w:rPr>
        <w:t>(Australian Government)</w:t>
      </w:r>
      <w:r>
        <w:rPr>
          <w:sz w:val="21"/>
          <w:szCs w:val="21"/>
        </w:rPr>
        <w:t xml:space="preserve"> – bukan nama Jabatan seperti dahulu</w:t>
      </w:r>
      <w:r w:rsidR="00AF0791">
        <w:rPr>
          <w:sz w:val="21"/>
          <w:szCs w:val="21"/>
        </w:rPr>
        <w:t> </w:t>
      </w:r>
      <w:r>
        <w:rPr>
          <w:sz w:val="21"/>
          <w:szCs w:val="21"/>
        </w:rPr>
        <w:t>– dalam pengakuan/pengendorsan yang telah disetujui bersama</w:t>
      </w:r>
    </w:p>
    <w:p w14:paraId="339E0008" w14:textId="77777777" w:rsidR="00F962C7" w:rsidRPr="009519E6" w:rsidRDefault="00711BC3" w:rsidP="00711BC3">
      <w:pPr>
        <w:pStyle w:val="ListParagraph"/>
        <w:numPr>
          <w:ilvl w:val="0"/>
          <w:numId w:val="2"/>
        </w:numPr>
        <w:ind w:left="426"/>
        <w:rPr>
          <w:sz w:val="21"/>
          <w:szCs w:val="21"/>
        </w:rPr>
      </w:pPr>
      <w:r>
        <w:rPr>
          <w:sz w:val="21"/>
          <w:szCs w:val="21"/>
        </w:rPr>
        <w:t>menambahkan kod Respons Cepat (QR) yang unik bagi memeriksa kesahihan perakuan dalam masa sebenar</w:t>
      </w:r>
    </w:p>
    <w:p w14:paraId="4F73F19F" w14:textId="77777777" w:rsidR="00F962C7" w:rsidRPr="009519E6" w:rsidRDefault="00711BC3" w:rsidP="00711BC3">
      <w:pPr>
        <w:pStyle w:val="ListParagraph"/>
        <w:numPr>
          <w:ilvl w:val="0"/>
          <w:numId w:val="2"/>
        </w:numPr>
        <w:ind w:left="426"/>
        <w:rPr>
          <w:sz w:val="21"/>
          <w:szCs w:val="21"/>
        </w:rPr>
      </w:pPr>
      <w:r>
        <w:rPr>
          <w:sz w:val="21"/>
          <w:szCs w:val="21"/>
        </w:rPr>
        <w:t>perubahan kecil-kecil tentang kedudukan maklumat dalam perakuan</w:t>
      </w:r>
    </w:p>
    <w:p w14:paraId="2E093BE0" w14:textId="77777777" w:rsidR="00F962C7" w:rsidRPr="009519E6" w:rsidRDefault="00711BC3" w:rsidP="00711BC3">
      <w:pPr>
        <w:pStyle w:val="ListParagraph"/>
        <w:numPr>
          <w:ilvl w:val="0"/>
          <w:numId w:val="2"/>
        </w:numPr>
        <w:ind w:left="426" w:right="342"/>
        <w:rPr>
          <w:b/>
          <w:sz w:val="21"/>
          <w:szCs w:val="21"/>
        </w:rPr>
      </w:pPr>
      <w:r>
        <w:rPr>
          <w:sz w:val="21"/>
          <w:szCs w:val="21"/>
        </w:rPr>
        <w:t xml:space="preserve">mengeluarkan perakuan pada </w:t>
      </w:r>
      <w:r>
        <w:rPr>
          <w:b/>
          <w:sz w:val="21"/>
          <w:szCs w:val="21"/>
        </w:rPr>
        <w:t>kertas biasa</w:t>
      </w:r>
      <w:r>
        <w:rPr>
          <w:sz w:val="21"/>
          <w:szCs w:val="21"/>
        </w:rPr>
        <w:t>.</w:t>
      </w:r>
      <w:r>
        <w:rPr>
          <w:b/>
          <w:sz w:val="21"/>
          <w:szCs w:val="21"/>
        </w:rPr>
        <w:t xml:space="preserve"> </w:t>
      </w:r>
      <w:r>
        <w:rPr>
          <w:sz w:val="21"/>
          <w:szCs w:val="21"/>
        </w:rPr>
        <w:t>Dengan adanya kod QR, kertas keselamatan berwarna biru tidak diperlukan lagi.</w:t>
      </w:r>
    </w:p>
    <w:p w14:paraId="20977B1E" w14:textId="77777777" w:rsidR="009519E6" w:rsidRPr="009519E6" w:rsidRDefault="009519E6" w:rsidP="00711BC3">
      <w:pPr>
        <w:rPr>
          <w:b/>
          <w:color w:val="284E36"/>
          <w:sz w:val="21"/>
          <w:szCs w:val="21"/>
        </w:rPr>
      </w:pPr>
    </w:p>
    <w:p w14:paraId="58EA49EE" w14:textId="62D50115" w:rsidR="00F962C7" w:rsidRDefault="00711BC3" w:rsidP="00711BC3">
      <w:pPr>
        <w:rPr>
          <w:b/>
          <w:color w:val="284E36"/>
          <w:sz w:val="30"/>
        </w:rPr>
      </w:pPr>
      <w:r>
        <w:rPr>
          <w:b/>
          <w:color w:val="284E36"/>
          <w:sz w:val="30"/>
        </w:rPr>
        <w:t>Menambah kod Respons Cepat (QR)</w:t>
      </w:r>
    </w:p>
    <w:p w14:paraId="3AC997E5" w14:textId="77777777" w:rsidR="009519E6" w:rsidRDefault="009519E6" w:rsidP="00711BC3">
      <w:pPr>
        <w:rPr>
          <w:b/>
          <w:sz w:val="30"/>
        </w:rPr>
      </w:pPr>
    </w:p>
    <w:p w14:paraId="2F23040E" w14:textId="77777777" w:rsidR="00F962C7" w:rsidRDefault="00711BC3" w:rsidP="00040FF0">
      <w:pPr>
        <w:pStyle w:val="BodyText"/>
        <w:spacing w:after="120"/>
      </w:pPr>
      <w:r>
        <w:t>Perakuan baharu pada kertas biasa akan mengandungi kod QR yang unik. Kod QR merupakan ciri keselamatan tambahan.</w:t>
      </w:r>
    </w:p>
    <w:p w14:paraId="0066BEFD" w14:textId="77777777" w:rsidR="00F962C7" w:rsidRDefault="00711BC3" w:rsidP="00040FF0">
      <w:pPr>
        <w:pStyle w:val="BodyText"/>
        <w:spacing w:after="120"/>
      </w:pPr>
      <w:r>
        <w:t>Pengguna boleh mengimbas kod QR bagi melihat gambaran keseluruhan perakuan dan mengesahkan butiran kesahihan seperti:</w:t>
      </w:r>
    </w:p>
    <w:p w14:paraId="6CD4DD9A" w14:textId="77777777" w:rsidR="00F962C7" w:rsidRDefault="00711BC3" w:rsidP="00711BC3">
      <w:pPr>
        <w:pStyle w:val="BodyText"/>
        <w:numPr>
          <w:ilvl w:val="0"/>
          <w:numId w:val="3"/>
        </w:numPr>
        <w:ind w:left="426"/>
      </w:pPr>
      <w:r>
        <w:t>nombor perakuan</w:t>
      </w:r>
    </w:p>
    <w:p w14:paraId="3D464A1A" w14:textId="77777777" w:rsidR="00F962C7" w:rsidRDefault="00711BC3" w:rsidP="00711BC3">
      <w:pPr>
        <w:pStyle w:val="BodyText"/>
        <w:numPr>
          <w:ilvl w:val="0"/>
          <w:numId w:val="3"/>
        </w:numPr>
        <w:ind w:left="426"/>
      </w:pPr>
      <w:r>
        <w:t>jenis produk</w:t>
      </w:r>
    </w:p>
    <w:p w14:paraId="4C95AEEC" w14:textId="77777777" w:rsidR="00F962C7" w:rsidRDefault="00711BC3" w:rsidP="00711BC3">
      <w:pPr>
        <w:pStyle w:val="BodyText"/>
        <w:numPr>
          <w:ilvl w:val="0"/>
          <w:numId w:val="3"/>
        </w:numPr>
        <w:ind w:left="426"/>
      </w:pPr>
      <w:r>
        <w:t>status semasa perakuan</w:t>
      </w:r>
    </w:p>
    <w:p w14:paraId="256467A8" w14:textId="77777777" w:rsidR="00F962C7" w:rsidRDefault="00711BC3" w:rsidP="00711BC3">
      <w:pPr>
        <w:pStyle w:val="BodyText"/>
        <w:numPr>
          <w:ilvl w:val="0"/>
          <w:numId w:val="3"/>
        </w:numPr>
        <w:ind w:left="426"/>
      </w:pPr>
      <w:r>
        <w:t>pengeksport</w:t>
      </w:r>
    </w:p>
    <w:p w14:paraId="17E95C4B" w14:textId="77777777" w:rsidR="00F962C7" w:rsidRDefault="00711BC3" w:rsidP="00711BC3">
      <w:pPr>
        <w:pStyle w:val="BodyText"/>
        <w:numPr>
          <w:ilvl w:val="0"/>
          <w:numId w:val="3"/>
        </w:numPr>
        <w:ind w:left="426"/>
      </w:pPr>
      <w:r>
        <w:t>penerima konsainan</w:t>
      </w:r>
    </w:p>
    <w:p w14:paraId="6E866EED" w14:textId="77777777" w:rsidR="00F962C7" w:rsidRDefault="00711BC3" w:rsidP="00711BC3">
      <w:pPr>
        <w:pStyle w:val="BodyText"/>
        <w:numPr>
          <w:ilvl w:val="0"/>
          <w:numId w:val="3"/>
        </w:numPr>
        <w:ind w:left="426"/>
      </w:pPr>
      <w:r>
        <w:t>tarikh berangkat</w:t>
      </w:r>
    </w:p>
    <w:p w14:paraId="365A7774" w14:textId="77777777" w:rsidR="00F962C7" w:rsidRDefault="00F962C7" w:rsidP="00711BC3">
      <w:pPr>
        <w:pStyle w:val="BodyText"/>
        <w:rPr>
          <w:sz w:val="20"/>
        </w:rPr>
      </w:pPr>
    </w:p>
    <w:p w14:paraId="47A572A2" w14:textId="77777777" w:rsidR="00F962C7" w:rsidRDefault="00711BC3" w:rsidP="00040FF0">
      <w:pPr>
        <w:pStyle w:val="BodyText"/>
        <w:spacing w:after="120"/>
      </w:pPr>
      <w:r>
        <w:t>Kod QR boleh dibaca dengan:</w:t>
      </w:r>
    </w:p>
    <w:p w14:paraId="6FE74949" w14:textId="77777777" w:rsidR="00F962C7" w:rsidRDefault="00711BC3" w:rsidP="00040FF0">
      <w:pPr>
        <w:pStyle w:val="BodyText"/>
        <w:numPr>
          <w:ilvl w:val="0"/>
          <w:numId w:val="3"/>
        </w:numPr>
        <w:spacing w:after="120"/>
        <w:ind w:left="425" w:hanging="357"/>
      </w:pPr>
      <w:r>
        <w:t>menggunakan app pengimbas perakuan (certificate scanner) Jabatan – disediakan percuma melalui Google Play Store dan Apple App Store.</w:t>
      </w:r>
    </w:p>
    <w:p w14:paraId="15B8A35E" w14:textId="77777777" w:rsidR="00F962C7" w:rsidRDefault="00711BC3" w:rsidP="00040FF0">
      <w:pPr>
        <w:pStyle w:val="BodyText"/>
        <w:spacing w:after="120"/>
        <w:ind w:left="425"/>
      </w:pPr>
      <w:r>
        <w:t>atau</w:t>
      </w:r>
    </w:p>
    <w:p w14:paraId="69E7E194" w14:textId="77777777" w:rsidR="00F962C7" w:rsidRDefault="00711BC3" w:rsidP="00711BC3">
      <w:pPr>
        <w:pStyle w:val="BodyText"/>
        <w:numPr>
          <w:ilvl w:val="0"/>
          <w:numId w:val="3"/>
        </w:numPr>
        <w:ind w:left="426"/>
      </w:pPr>
      <w:r>
        <w:t xml:space="preserve">Jika tidak dapat memuat turun app tersebut, imbas kod QR dengan kamera telefon pintar yang serasi. Maklumat khusus yang perlu bagi mengesahkan konsainan akan dinyatakan. Jika menggunakan kaedah ini, </w:t>
      </w:r>
      <w:r>
        <w:lastRenderedPageBreak/>
        <w:t>penting sekali anda periksa dan pastikan laman web yang dirujuk itu bermula dengan alamat https://online.agriculture.gov.au / .....</w:t>
      </w:r>
    </w:p>
    <w:p w14:paraId="01667B0B" w14:textId="77777777" w:rsidR="00711BC3" w:rsidRDefault="00711BC3" w:rsidP="00711BC3">
      <w:pPr>
        <w:pStyle w:val="Heading1"/>
        <w:ind w:left="0"/>
        <w:rPr>
          <w:color w:val="343434"/>
        </w:rPr>
      </w:pPr>
    </w:p>
    <w:p w14:paraId="63F6FEBE" w14:textId="522C1D22" w:rsidR="00F962C7" w:rsidRDefault="00711BC3" w:rsidP="00711BC3">
      <w:pPr>
        <w:pStyle w:val="Heading1"/>
        <w:ind w:left="0"/>
        <w:rPr>
          <w:color w:val="343434"/>
        </w:rPr>
      </w:pPr>
      <w:r>
        <w:rPr>
          <w:color w:val="343434"/>
        </w:rPr>
        <w:t>Kemas kini sistem perakuan eksport</w:t>
      </w:r>
    </w:p>
    <w:p w14:paraId="7CC43D62" w14:textId="77777777" w:rsidR="00711BC3" w:rsidRDefault="00711BC3" w:rsidP="00711BC3">
      <w:pPr>
        <w:pStyle w:val="Heading1"/>
        <w:ind w:left="0"/>
      </w:pPr>
    </w:p>
    <w:p w14:paraId="1597A78D" w14:textId="77777777" w:rsidR="00F962C7" w:rsidRDefault="00711BC3" w:rsidP="00711BC3">
      <w:pPr>
        <w:pStyle w:val="BodyText"/>
      </w:pPr>
      <w:r>
        <w:t>Kami menggantikan sistem EXDOC dengan sistem baharu yang disebut Next Export Documentation System (NEXDOC).</w:t>
      </w:r>
    </w:p>
    <w:p w14:paraId="76038E9B" w14:textId="77777777" w:rsidR="00F962C7" w:rsidRDefault="00F962C7" w:rsidP="00711BC3">
      <w:pPr>
        <w:pStyle w:val="BodyText"/>
        <w:rPr>
          <w:sz w:val="20"/>
        </w:rPr>
      </w:pPr>
    </w:p>
    <w:p w14:paraId="0182CDF8" w14:textId="0F73E5FF" w:rsidR="00F962C7" w:rsidRDefault="00711BC3" w:rsidP="00711BC3">
      <w:pPr>
        <w:pStyle w:val="BodyText"/>
      </w:pPr>
      <w:r>
        <w:t>NEXDOC akan menjadikan sistem dokumentasi eksport Australia lebih terjamin dan responsif kepada perubahan keadaan perdagangan. Hal ini termasuk perubahan yang diminta oleh negara pengimport.</w:t>
      </w:r>
    </w:p>
    <w:p w14:paraId="6C4B11D2" w14:textId="77777777" w:rsidR="00711BC3" w:rsidRDefault="00711BC3" w:rsidP="00711BC3">
      <w:pPr>
        <w:pStyle w:val="BodyText"/>
      </w:pPr>
    </w:p>
    <w:p w14:paraId="122447BD" w14:textId="77777777" w:rsidR="00F962C7" w:rsidRDefault="00711BC3" w:rsidP="00711BC3">
      <w:pPr>
        <w:pStyle w:val="BodyText"/>
      </w:pPr>
      <w:r>
        <w:t>NEXDOC tidak mengubah aturan perakuan kami yang sedia ada atau kawal selia kami terhadap eksport.</w:t>
      </w:r>
    </w:p>
    <w:p w14:paraId="14E0CA52" w14:textId="77777777" w:rsidR="00F962C7" w:rsidRDefault="00F962C7" w:rsidP="00711BC3">
      <w:pPr>
        <w:pStyle w:val="BodyText"/>
        <w:rPr>
          <w:sz w:val="16"/>
        </w:rPr>
      </w:pPr>
    </w:p>
    <w:p w14:paraId="12529E67" w14:textId="77777777" w:rsidR="00711BC3" w:rsidRDefault="00711BC3" w:rsidP="00711BC3">
      <w:pPr>
        <w:pStyle w:val="Heading1"/>
        <w:ind w:left="0"/>
        <w:rPr>
          <w:color w:val="343434"/>
        </w:rPr>
      </w:pPr>
    </w:p>
    <w:p w14:paraId="0EBE74A9" w14:textId="3CC951C4" w:rsidR="00F962C7" w:rsidRDefault="00711BC3" w:rsidP="00711BC3">
      <w:pPr>
        <w:pStyle w:val="Heading1"/>
        <w:ind w:left="0"/>
        <w:rPr>
          <w:color w:val="343434"/>
        </w:rPr>
      </w:pPr>
      <w:r>
        <w:rPr>
          <w:color w:val="343434"/>
        </w:rPr>
        <w:t>Hubungi</w:t>
      </w:r>
    </w:p>
    <w:p w14:paraId="3158F55A" w14:textId="77777777" w:rsidR="00711BC3" w:rsidRDefault="00711BC3" w:rsidP="00711BC3">
      <w:pPr>
        <w:pStyle w:val="Heading1"/>
        <w:ind w:left="0"/>
      </w:pPr>
    </w:p>
    <w:p w14:paraId="3B8E3074" w14:textId="069392DD" w:rsidR="00F962C7" w:rsidRDefault="00711BC3" w:rsidP="00711BC3">
      <w:pPr>
        <w:pStyle w:val="BodyText"/>
        <w:ind w:right="850"/>
      </w:pPr>
      <w:r>
        <w:t>Kami sedang bekerjasama dengan rakan-rakan dagang bagi memastikan peralihan yang lancar ke sistem perakuan eksport baharu ini, demi mengurangkan tergendalanya perdagangan.</w:t>
      </w:r>
    </w:p>
    <w:p w14:paraId="6675D9A9" w14:textId="77777777" w:rsidR="00711BC3" w:rsidRDefault="00711BC3" w:rsidP="00711BC3">
      <w:pPr>
        <w:pStyle w:val="BodyText"/>
        <w:ind w:right="850"/>
      </w:pPr>
    </w:p>
    <w:p w14:paraId="58E5A50C" w14:textId="77777777" w:rsidR="00F962C7" w:rsidRDefault="00711BC3" w:rsidP="00711BC3">
      <w:pPr>
        <w:pStyle w:val="BodyText"/>
      </w:pPr>
      <w:r>
        <w:t xml:space="preserve">Jika ada pertanyaan, komen atau kebimbangan, sila hubungi </w:t>
      </w:r>
      <w:r>
        <w:rPr>
          <w:color w:val="6A4060"/>
          <w:u w:val="single" w:color="6A4060"/>
        </w:rPr>
        <w:t>Exports</w:t>
      </w:r>
      <w:r>
        <w:t>.</w:t>
      </w:r>
    </w:p>
    <w:p w14:paraId="7CF9A9DA" w14:textId="77777777" w:rsidR="00F962C7" w:rsidRDefault="00F962C7" w:rsidP="00711BC3">
      <w:pPr>
        <w:pStyle w:val="BodyText"/>
        <w:rPr>
          <w:sz w:val="20"/>
        </w:rPr>
      </w:pPr>
    </w:p>
    <w:p w14:paraId="10F61100" w14:textId="7957771B" w:rsidR="00F962C7" w:rsidRDefault="00F962C7" w:rsidP="00711BC3">
      <w:pPr>
        <w:pStyle w:val="BodyText"/>
        <w:rPr>
          <w:sz w:val="16"/>
        </w:rPr>
      </w:pPr>
    </w:p>
    <w:p w14:paraId="4AF6E9C4" w14:textId="52C01CD4" w:rsidR="00F962C7" w:rsidRDefault="00F962C7" w:rsidP="00711BC3">
      <w:pPr>
        <w:rPr>
          <w:sz w:val="27"/>
        </w:rPr>
      </w:pPr>
    </w:p>
    <w:sectPr w:rsidR="00F962C7">
      <w:headerReference w:type="default" r:id="rId7"/>
      <w:footerReference w:type="default" r:id="rId8"/>
      <w:pgSz w:w="11910" w:h="16840"/>
      <w:pgMar w:top="1040" w:right="1000" w:bottom="280" w:left="980" w:header="0" w:footer="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4F8B" w14:textId="77777777" w:rsidR="006E1E17" w:rsidRDefault="00711BC3">
      <w:r>
        <w:separator/>
      </w:r>
    </w:p>
  </w:endnote>
  <w:endnote w:type="continuationSeparator" w:id="0">
    <w:p w14:paraId="56C0599A" w14:textId="77777777" w:rsidR="006E1E17" w:rsidRDefault="0071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5C08" w14:textId="43251BD8" w:rsidR="00F962C7" w:rsidRDefault="00F962C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C734" w14:textId="77777777" w:rsidR="006E1E17" w:rsidRDefault="00711BC3">
      <w:r>
        <w:separator/>
      </w:r>
    </w:p>
  </w:footnote>
  <w:footnote w:type="continuationSeparator" w:id="0">
    <w:p w14:paraId="1D7E303E" w14:textId="77777777" w:rsidR="006E1E17" w:rsidRDefault="0071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D1DB" w14:textId="454D9104" w:rsidR="00040FF0" w:rsidRDefault="00040FF0" w:rsidP="00040FF0">
    <w:pPr>
      <w:spacing w:before="10"/>
      <w:ind w:left="20"/>
      <w:rPr>
        <w:rFonts w:ascii="Times New Roman"/>
      </w:rPr>
    </w:pPr>
  </w:p>
  <w:p w14:paraId="4BC12277" w14:textId="4B540B2B" w:rsidR="004E41C1" w:rsidRDefault="004E41C1" w:rsidP="00040FF0">
    <w:pPr>
      <w:spacing w:before="10"/>
      <w:ind w:left="20"/>
      <w:rPr>
        <w:rFonts w:ascii="Times New Roman"/>
      </w:rPr>
    </w:pPr>
  </w:p>
  <w:p w14:paraId="723D4596" w14:textId="77777777" w:rsidR="004E41C1" w:rsidRPr="009519E6" w:rsidRDefault="004E41C1" w:rsidP="00040FF0">
    <w:pPr>
      <w:spacing w:before="10"/>
      <w:ind w:left="20"/>
      <w:rPr>
        <w:rFonts w:ascii="Times New Roman"/>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4"/>
      <w:gridCol w:w="1366"/>
    </w:tblGrid>
    <w:tr w:rsidR="00040FF0" w:rsidRPr="009519E6" w14:paraId="77B941DA" w14:textId="77777777" w:rsidTr="00A00EEB">
      <w:tc>
        <w:tcPr>
          <w:tcW w:w="8735" w:type="dxa"/>
        </w:tcPr>
        <w:p w14:paraId="558A96C0" w14:textId="583A07E4" w:rsidR="00040FF0" w:rsidRPr="009519E6" w:rsidRDefault="004E41C1" w:rsidP="00040FF0">
          <w:pPr>
            <w:spacing w:before="10"/>
            <w:rPr>
              <w:rFonts w:ascii="Times New Roman" w:hAnsi="Times New Roman"/>
            </w:rPr>
          </w:pPr>
          <w:r>
            <w:rPr>
              <w:noProof/>
            </w:rPr>
            <w:drawing>
              <wp:inline distT="0" distB="0" distL="0" distR="0" wp14:anchorId="441627CA" wp14:editId="210146ED">
                <wp:extent cx="2416810" cy="72517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810" cy="725170"/>
                        </a:xfrm>
                        <a:prstGeom prst="rect">
                          <a:avLst/>
                        </a:prstGeom>
                      </pic:spPr>
                    </pic:pic>
                  </a:graphicData>
                </a:graphic>
              </wp:inline>
            </w:drawing>
          </w:r>
          <w:r w:rsidR="00040FF0" w:rsidRPr="009519E6">
            <w:rPr>
              <w:rFonts w:ascii="Times New Roman"/>
            </w:rPr>
            <w:t xml:space="preserve"> </w:t>
          </w:r>
        </w:p>
      </w:tc>
      <w:tc>
        <w:tcPr>
          <w:tcW w:w="1391" w:type="dxa"/>
        </w:tcPr>
        <w:p w14:paraId="40C61592" w14:textId="77777777" w:rsidR="00040FF0" w:rsidRDefault="00040FF0" w:rsidP="00040FF0">
          <w:pPr>
            <w:spacing w:before="10"/>
            <w:rPr>
              <w:rFonts w:ascii="Times New Roman"/>
            </w:rPr>
          </w:pPr>
          <w:r w:rsidRPr="009519E6">
            <w:rPr>
              <w:rFonts w:ascii="Times New Roman"/>
            </w:rPr>
            <w:t>Page</w:t>
          </w:r>
          <w:r w:rsidRPr="009519E6">
            <w:t xml:space="preserve"> </w:t>
          </w:r>
          <w:r w:rsidRPr="009519E6">
            <w:rPr>
              <w:rFonts w:ascii="Times New Roman"/>
            </w:rPr>
            <w:fldChar w:fldCharType="begin"/>
          </w:r>
          <w:r w:rsidRPr="009519E6">
            <w:rPr>
              <w:rFonts w:ascii="Times New Roman"/>
            </w:rPr>
            <w:instrText xml:space="preserve"> PAGE </w:instrText>
          </w:r>
          <w:r w:rsidRPr="009519E6">
            <w:rPr>
              <w:rFonts w:ascii="Times New Roman"/>
            </w:rPr>
            <w:fldChar w:fldCharType="separate"/>
          </w:r>
          <w:r>
            <w:t>1</w:t>
          </w:r>
          <w:r w:rsidRPr="009519E6">
            <w:rPr>
              <w:rFonts w:ascii="Times New Roman"/>
            </w:rPr>
            <w:fldChar w:fldCharType="end"/>
          </w:r>
          <w:r w:rsidRPr="009519E6">
            <w:rPr>
              <w:rFonts w:ascii="Times New Roman"/>
            </w:rPr>
            <w:t xml:space="preserve"> of</w:t>
          </w:r>
          <w:r w:rsidRPr="009519E6">
            <w:rPr>
              <w:rFonts w:ascii="Times New Roman"/>
              <w:spacing w:val="-1"/>
            </w:rPr>
            <w:t xml:space="preserve"> </w:t>
          </w:r>
          <w:r w:rsidRPr="009519E6">
            <w:rPr>
              <w:rFonts w:ascii="Times New Roman"/>
            </w:rPr>
            <w:t>2</w:t>
          </w:r>
        </w:p>
        <w:p w14:paraId="0A36695E" w14:textId="7814E901" w:rsidR="00040FF0" w:rsidRDefault="00040FF0" w:rsidP="00040FF0">
          <w:pPr>
            <w:spacing w:before="10"/>
            <w:rPr>
              <w:rFonts w:ascii="Times New Roman"/>
            </w:rPr>
          </w:pPr>
          <w:r>
            <w:rPr>
              <w:rFonts w:ascii="Times New Roman"/>
            </w:rPr>
            <w:t>Malay</w:t>
          </w:r>
        </w:p>
        <w:p w14:paraId="64750121" w14:textId="77777777" w:rsidR="00040FF0" w:rsidRPr="009519E6" w:rsidRDefault="00040FF0" w:rsidP="00040FF0">
          <w:pPr>
            <w:spacing w:before="10"/>
            <w:rPr>
              <w:rFonts w:ascii="Times New Roman" w:hAnsi="Times New Roman"/>
            </w:rPr>
          </w:pPr>
        </w:p>
      </w:tc>
    </w:tr>
  </w:tbl>
  <w:p w14:paraId="1920337F" w14:textId="77777777" w:rsidR="00040FF0" w:rsidRPr="009519E6" w:rsidRDefault="00040FF0" w:rsidP="00040FF0">
    <w:pPr>
      <w:spacing w:before="10"/>
      <w:ind w:left="20"/>
      <w:rPr>
        <w:rFonts w:ascii="Times New Roman" w:hAnsi="Times New Roman"/>
      </w:rPr>
    </w:pPr>
  </w:p>
  <w:p w14:paraId="036446D0" w14:textId="77777777" w:rsidR="00040FF0" w:rsidRPr="009519E6" w:rsidRDefault="00040FF0" w:rsidP="00040FF0">
    <w:pPr>
      <w:pStyle w:val="BodyText"/>
      <w:spacing w:line="14" w:lineRule="aut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49B"/>
    <w:multiLevelType w:val="hybridMultilevel"/>
    <w:tmpl w:val="D4DEF410"/>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15:restartNumberingAfterBreak="0">
    <w:nsid w:val="3B5F6B76"/>
    <w:multiLevelType w:val="hybridMultilevel"/>
    <w:tmpl w:val="94CA943E"/>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 w15:restartNumberingAfterBreak="0">
    <w:nsid w:val="66CF589A"/>
    <w:multiLevelType w:val="hybridMultilevel"/>
    <w:tmpl w:val="B5589420"/>
    <w:lvl w:ilvl="0" w:tplc="364ED3F6">
      <w:numFmt w:val="bullet"/>
      <w:lvlText w:val="•"/>
      <w:lvlJc w:val="left"/>
      <w:pPr>
        <w:ind w:left="697" w:hanging="224"/>
      </w:pPr>
      <w:rPr>
        <w:rFonts w:ascii="Calibri" w:eastAsia="Calibri" w:hAnsi="Calibri" w:cs="Calibri" w:hint="default"/>
        <w:b w:val="0"/>
        <w:bCs w:val="0"/>
        <w:i w:val="0"/>
        <w:iCs w:val="0"/>
        <w:w w:val="99"/>
        <w:sz w:val="21"/>
        <w:szCs w:val="21"/>
      </w:rPr>
    </w:lvl>
    <w:lvl w:ilvl="1" w:tplc="2C1CB2E8">
      <w:numFmt w:val="bullet"/>
      <w:lvlText w:val="•"/>
      <w:lvlJc w:val="left"/>
      <w:pPr>
        <w:ind w:left="1622" w:hanging="224"/>
      </w:pPr>
      <w:rPr>
        <w:rFonts w:hint="default"/>
      </w:rPr>
    </w:lvl>
    <w:lvl w:ilvl="2" w:tplc="18B072C2">
      <w:numFmt w:val="bullet"/>
      <w:lvlText w:val="•"/>
      <w:lvlJc w:val="left"/>
      <w:pPr>
        <w:ind w:left="2544" w:hanging="224"/>
      </w:pPr>
      <w:rPr>
        <w:rFonts w:hint="default"/>
      </w:rPr>
    </w:lvl>
    <w:lvl w:ilvl="3" w:tplc="E40425CA">
      <w:numFmt w:val="bullet"/>
      <w:lvlText w:val="•"/>
      <w:lvlJc w:val="left"/>
      <w:pPr>
        <w:ind w:left="3467" w:hanging="224"/>
      </w:pPr>
      <w:rPr>
        <w:rFonts w:hint="default"/>
      </w:rPr>
    </w:lvl>
    <w:lvl w:ilvl="4" w:tplc="3FB43ABA">
      <w:numFmt w:val="bullet"/>
      <w:lvlText w:val="•"/>
      <w:lvlJc w:val="left"/>
      <w:pPr>
        <w:ind w:left="4389" w:hanging="224"/>
      </w:pPr>
      <w:rPr>
        <w:rFonts w:hint="default"/>
      </w:rPr>
    </w:lvl>
    <w:lvl w:ilvl="5" w:tplc="46CA1C44">
      <w:numFmt w:val="bullet"/>
      <w:lvlText w:val="•"/>
      <w:lvlJc w:val="left"/>
      <w:pPr>
        <w:ind w:left="5312" w:hanging="224"/>
      </w:pPr>
      <w:rPr>
        <w:rFonts w:hint="default"/>
      </w:rPr>
    </w:lvl>
    <w:lvl w:ilvl="6" w:tplc="BF62969A">
      <w:numFmt w:val="bullet"/>
      <w:lvlText w:val="•"/>
      <w:lvlJc w:val="left"/>
      <w:pPr>
        <w:ind w:left="6234" w:hanging="224"/>
      </w:pPr>
      <w:rPr>
        <w:rFonts w:hint="default"/>
      </w:rPr>
    </w:lvl>
    <w:lvl w:ilvl="7" w:tplc="07D00BAA">
      <w:numFmt w:val="bullet"/>
      <w:lvlText w:val="•"/>
      <w:lvlJc w:val="left"/>
      <w:pPr>
        <w:ind w:left="7157" w:hanging="224"/>
      </w:pPr>
      <w:rPr>
        <w:rFonts w:hint="default"/>
      </w:rPr>
    </w:lvl>
    <w:lvl w:ilvl="8" w:tplc="DC3EF060">
      <w:numFmt w:val="bullet"/>
      <w:lvlText w:val="•"/>
      <w:lvlJc w:val="left"/>
      <w:pPr>
        <w:ind w:left="8079" w:hanging="22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0tTQ0tzAyM7YwtrBQ0lEKTi0uzszPAykwrAUApCOvQCwAAAA="/>
  </w:docVars>
  <w:rsids>
    <w:rsidRoot w:val="00F962C7"/>
    <w:rsid w:val="00040FF0"/>
    <w:rsid w:val="004E41C1"/>
    <w:rsid w:val="006D58F5"/>
    <w:rsid w:val="006E1E17"/>
    <w:rsid w:val="00711BC3"/>
    <w:rsid w:val="009231E1"/>
    <w:rsid w:val="009519E6"/>
    <w:rsid w:val="00AF0791"/>
    <w:rsid w:val="00D64A9F"/>
    <w:rsid w:val="00F962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1A962"/>
  <w15:docId w15:val="{008F0C85-1CDE-490C-B1D7-8E21D137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s-MY"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28"/>
      <w:ind w:left="100"/>
    </w:pPr>
    <w:rPr>
      <w:sz w:val="36"/>
      <w:szCs w:val="36"/>
    </w:rPr>
  </w:style>
  <w:style w:type="paragraph" w:styleId="ListParagraph">
    <w:name w:val="List Paragraph"/>
    <w:basedOn w:val="Normal"/>
    <w:uiPriority w:val="1"/>
    <w:qFormat/>
    <w:pPr>
      <w:ind w:left="697" w:hanging="22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19E6"/>
    <w:pPr>
      <w:tabs>
        <w:tab w:val="center" w:pos="4680"/>
        <w:tab w:val="right" w:pos="9360"/>
      </w:tabs>
    </w:pPr>
  </w:style>
  <w:style w:type="character" w:customStyle="1" w:styleId="HeaderChar">
    <w:name w:val="Header Char"/>
    <w:basedOn w:val="DefaultParagraphFont"/>
    <w:link w:val="Header"/>
    <w:uiPriority w:val="99"/>
    <w:rsid w:val="009519E6"/>
    <w:rPr>
      <w:rFonts w:ascii="Calibri" w:eastAsia="Calibri" w:hAnsi="Calibri" w:cs="Calibri"/>
    </w:rPr>
  </w:style>
  <w:style w:type="paragraph" w:styleId="Footer">
    <w:name w:val="footer"/>
    <w:basedOn w:val="Normal"/>
    <w:link w:val="FooterChar"/>
    <w:uiPriority w:val="99"/>
    <w:unhideWhenUsed/>
    <w:rsid w:val="009519E6"/>
    <w:pPr>
      <w:tabs>
        <w:tab w:val="center" w:pos="4680"/>
        <w:tab w:val="right" w:pos="9360"/>
      </w:tabs>
    </w:pPr>
  </w:style>
  <w:style w:type="character" w:customStyle="1" w:styleId="FooterChar">
    <w:name w:val="Footer Char"/>
    <w:basedOn w:val="DefaultParagraphFont"/>
    <w:link w:val="Footer"/>
    <w:uiPriority w:val="99"/>
    <w:rsid w:val="009519E6"/>
    <w:rPr>
      <w:rFonts w:ascii="Calibri" w:eastAsia="Calibri" w:hAnsi="Calibri" w:cs="Calibri"/>
    </w:rPr>
  </w:style>
  <w:style w:type="table" w:styleId="TableGrid">
    <w:name w:val="Table Grid"/>
    <w:basedOn w:val="TableNormal"/>
    <w:uiPriority w:val="39"/>
    <w:rsid w:val="0095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file:///C:/Users/KASEMS~1/AppData/Local/Temp/PWWNVQOT.htm</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trading partners – changes to certificates</dc:title>
  <dc:creator>Department of Agriculture, Water and the Environment</dc:creator>
  <dcterms:created xsi:type="dcterms:W3CDTF">2021-07-05T06:04:00Z</dcterms:created>
  <dcterms:modified xsi:type="dcterms:W3CDTF">2021-07-05T06:04:00Z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Nuance PDF Create</vt:lpwstr>
  </property>
  <property fmtid="{D5CDD505-2E9C-101B-9397-08002B2CF9AE}" pid="4" name="LastSaved">
    <vt:filetime>2021-05-24T00:00:00Z</vt:filetime>
  </property>
</Properties>
</file>