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24A9" w14:textId="574F0C44" w:rsidR="001C0255" w:rsidRPr="00643BFF" w:rsidRDefault="00643BFF" w:rsidP="0001300A">
      <w:pPr>
        <w:pStyle w:val="Heading1"/>
      </w:pPr>
      <w:r w:rsidRPr="00643BFF">
        <w:t>C</w:t>
      </w:r>
      <w:r w:rsidR="007A5E53" w:rsidRPr="00643BFF">
        <w:t>hanges to c</w:t>
      </w:r>
      <w:r w:rsidR="006025E8" w:rsidRPr="00643BFF">
        <w:t>ost recovery</w:t>
      </w:r>
      <w:r w:rsidR="007A5E53" w:rsidRPr="00643BFF">
        <w:t xml:space="preserve"> legislation in </w:t>
      </w:r>
      <w:r w:rsidR="00243C78">
        <w:t xml:space="preserve">the </w:t>
      </w:r>
      <w:r w:rsidR="007A5E53" w:rsidRPr="00643BFF">
        <w:t>2026-27</w:t>
      </w:r>
      <w:r w:rsidR="00243C78">
        <w:t xml:space="preserve"> financial year</w:t>
      </w:r>
    </w:p>
    <w:p w14:paraId="74F469D1" w14:textId="219DF010" w:rsidR="00E41A89" w:rsidRDefault="00E41A89" w:rsidP="00AC37F5">
      <w:pPr>
        <w:spacing w:line="276" w:lineRule="auto"/>
      </w:pPr>
      <w:r>
        <w:t xml:space="preserve">The department has identified </w:t>
      </w:r>
      <w:r w:rsidR="00294C15">
        <w:t xml:space="preserve">several </w:t>
      </w:r>
      <w:r w:rsidR="00234144">
        <w:t xml:space="preserve">amendments to </w:t>
      </w:r>
      <w:r>
        <w:t>legislation</w:t>
      </w:r>
      <w:r w:rsidR="00294C15">
        <w:t xml:space="preserve"> </w:t>
      </w:r>
      <w:r w:rsidR="003C356B">
        <w:t xml:space="preserve">that are </w:t>
      </w:r>
      <w:r w:rsidR="00294C15">
        <w:t>necessary</w:t>
      </w:r>
      <w:r w:rsidR="00234144">
        <w:t xml:space="preserve"> </w:t>
      </w:r>
      <w:r w:rsidR="009B6D01">
        <w:t xml:space="preserve">to </w:t>
      </w:r>
      <w:r w:rsidR="00C02C44">
        <w:t xml:space="preserve">introduce new </w:t>
      </w:r>
      <w:r w:rsidR="006025E8">
        <w:t xml:space="preserve">fees and </w:t>
      </w:r>
      <w:r w:rsidR="00C02C44">
        <w:t xml:space="preserve">charges, </w:t>
      </w:r>
      <w:r w:rsidR="009B6D01">
        <w:t xml:space="preserve">remove </w:t>
      </w:r>
      <w:r w:rsidR="003C356B">
        <w:t>fees and charges</w:t>
      </w:r>
      <w:r w:rsidR="009B6D01">
        <w:t xml:space="preserve"> </w:t>
      </w:r>
      <w:r w:rsidR="00243C78">
        <w:t xml:space="preserve">that are </w:t>
      </w:r>
      <w:r>
        <w:t xml:space="preserve">no longer </w:t>
      </w:r>
      <w:r w:rsidR="009B6D01">
        <w:t xml:space="preserve">applied </w:t>
      </w:r>
      <w:r w:rsidR="00C02C44">
        <w:t xml:space="preserve">and </w:t>
      </w:r>
      <w:r w:rsidR="009B6D01">
        <w:t>revise those</w:t>
      </w:r>
      <w:r w:rsidR="003C356B">
        <w:t xml:space="preserve"> fees and charges</w:t>
      </w:r>
      <w:r w:rsidR="009B6D01">
        <w:t xml:space="preserve"> that do not reflect </w:t>
      </w:r>
      <w:r w:rsidR="006025E8">
        <w:t>the costs of service delivery</w:t>
      </w:r>
      <w:r w:rsidR="00DB27B0">
        <w:t xml:space="preserve">. </w:t>
      </w:r>
    </w:p>
    <w:p w14:paraId="13F34E50" w14:textId="16484290" w:rsidR="00E41A89" w:rsidRDefault="00234144" w:rsidP="00AC37F5">
      <w:pPr>
        <w:spacing w:line="276" w:lineRule="auto"/>
      </w:pPr>
      <w:r>
        <w:t xml:space="preserve">The need for these </w:t>
      </w:r>
      <w:r w:rsidR="00C02C44">
        <w:t xml:space="preserve">amendments </w:t>
      </w:r>
      <w:r>
        <w:t>was</w:t>
      </w:r>
      <w:r w:rsidR="00C02C44">
        <w:t xml:space="preserve"> </w:t>
      </w:r>
      <w:r w:rsidR="009B6D01">
        <w:t>identified through</w:t>
      </w:r>
      <w:r w:rsidR="001A1B46">
        <w:t xml:space="preserve"> the</w:t>
      </w:r>
      <w:r w:rsidR="009B6D01">
        <w:t xml:space="preserve">: </w:t>
      </w:r>
    </w:p>
    <w:p w14:paraId="3C283FDD" w14:textId="698B94DA" w:rsidR="00E41A89" w:rsidRDefault="00E41A89" w:rsidP="00AD4BAE">
      <w:pPr>
        <w:pStyle w:val="ListParagraph"/>
        <w:numPr>
          <w:ilvl w:val="0"/>
          <w:numId w:val="6"/>
        </w:numPr>
        <w:spacing w:line="276" w:lineRule="auto"/>
      </w:pPr>
      <w:r>
        <w:t>outcome of the</w:t>
      </w:r>
      <w:r w:rsidR="00527401">
        <w:t xml:space="preserve"> annual review of cost recovery </w:t>
      </w:r>
      <w:r w:rsidR="007B20C9">
        <w:t xml:space="preserve">fees and </w:t>
      </w:r>
      <w:r w:rsidR="00096D72">
        <w:t>charges</w:t>
      </w:r>
    </w:p>
    <w:p w14:paraId="0376B2D4" w14:textId="2ADA6895" w:rsidR="007349E2" w:rsidRDefault="00234144" w:rsidP="00AD4BAE">
      <w:pPr>
        <w:pStyle w:val="ListParagraph"/>
        <w:numPr>
          <w:ilvl w:val="0"/>
          <w:numId w:val="6"/>
        </w:numPr>
        <w:spacing w:line="276" w:lineRule="auto"/>
      </w:pPr>
      <w:r>
        <w:t>r</w:t>
      </w:r>
      <w:r w:rsidR="005765CE">
        <w:t xml:space="preserve">eview of </w:t>
      </w:r>
      <w:bookmarkStart w:id="0" w:name="_Hlk184051160"/>
      <w:r w:rsidR="00AC37F5">
        <w:t xml:space="preserve">the </w:t>
      </w:r>
      <w:r w:rsidR="00AC37F5" w:rsidRPr="004D384E">
        <w:t>Biosecurity Regulation 2016</w:t>
      </w:r>
      <w:r w:rsidR="00AC37F5">
        <w:t xml:space="preserve">, </w:t>
      </w:r>
      <w:r w:rsidR="00096D72">
        <w:t>to</w:t>
      </w:r>
      <w:r w:rsidR="00AC37F5">
        <w:t xml:space="preserve"> </w:t>
      </w:r>
      <w:r w:rsidR="00096D72">
        <w:t>inform</w:t>
      </w:r>
      <w:r w:rsidR="00AC37F5">
        <w:t xml:space="preserve"> the remake of th</w:t>
      </w:r>
      <w:r w:rsidR="006025E8">
        <w:t>at</w:t>
      </w:r>
      <w:r w:rsidR="00096D72">
        <w:t xml:space="preserve"> R</w:t>
      </w:r>
      <w:r w:rsidR="00AC37F5">
        <w:t>egulation</w:t>
      </w:r>
      <w:r w:rsidR="00096D72">
        <w:t xml:space="preserve">, </w:t>
      </w:r>
      <w:r w:rsidR="00AC37F5">
        <w:t xml:space="preserve">due to sunset </w:t>
      </w:r>
      <w:r w:rsidR="006025E8">
        <w:t>o</w:t>
      </w:r>
      <w:r w:rsidR="00AC37F5">
        <w:t xml:space="preserve">n </w:t>
      </w:r>
      <w:r w:rsidR="00643018">
        <w:br/>
        <w:t>1 October</w:t>
      </w:r>
      <w:r w:rsidR="00AC37F5">
        <w:t xml:space="preserve"> </w:t>
      </w:r>
      <w:r w:rsidR="007349E2">
        <w:t>2026</w:t>
      </w:r>
    </w:p>
    <w:p w14:paraId="26C82EDE" w14:textId="5587AAA0" w:rsidR="00A56279" w:rsidRDefault="00E41A89" w:rsidP="00AD4BAE">
      <w:pPr>
        <w:pStyle w:val="ListParagraph"/>
        <w:numPr>
          <w:ilvl w:val="0"/>
          <w:numId w:val="6"/>
        </w:numPr>
        <w:spacing w:line="276" w:lineRule="auto"/>
      </w:pPr>
      <w:r>
        <w:t xml:space="preserve">recent approval and release of import conditions </w:t>
      </w:r>
      <w:r w:rsidR="00180A66">
        <w:t xml:space="preserve">facilitating </w:t>
      </w:r>
      <w:r w:rsidR="009B6D01">
        <w:t>t</w:t>
      </w:r>
      <w:r>
        <w:t xml:space="preserve">he importation of live </w:t>
      </w:r>
      <w:r w:rsidR="00C02C44">
        <w:t xml:space="preserve">garden </w:t>
      </w:r>
      <w:r>
        <w:t>snails</w:t>
      </w:r>
      <w:r w:rsidR="007349E2">
        <w:t xml:space="preserve">. </w:t>
      </w:r>
    </w:p>
    <w:p w14:paraId="55FD0C36" w14:textId="513120E1" w:rsidR="006A1873" w:rsidRDefault="005C59BD" w:rsidP="00527401">
      <w:pPr>
        <w:spacing w:line="276" w:lineRule="auto"/>
      </w:pPr>
      <w:r w:rsidRPr="005C59BD">
        <w:t>To support</w:t>
      </w:r>
      <w:r w:rsidR="00BB34E0">
        <w:t xml:space="preserve"> the</w:t>
      </w:r>
      <w:r w:rsidRPr="005C59BD">
        <w:t xml:space="preserve"> </w:t>
      </w:r>
      <w:r w:rsidR="00AC37F5">
        <w:t xml:space="preserve">efficient application of cost recovery </w:t>
      </w:r>
      <w:r w:rsidR="006025E8">
        <w:t xml:space="preserve">fees and </w:t>
      </w:r>
      <w:r w:rsidR="00AC37F5">
        <w:t>charg</w:t>
      </w:r>
      <w:r w:rsidR="00527401">
        <w:t>es</w:t>
      </w:r>
      <w:r w:rsidR="007349E2">
        <w:t xml:space="preserve"> and allow the department to recover the cost</w:t>
      </w:r>
      <w:r w:rsidR="00AD4BAE">
        <w:t xml:space="preserve"> of </w:t>
      </w:r>
      <w:r w:rsidR="00351F53">
        <w:t>the regulatory</w:t>
      </w:r>
      <w:r w:rsidR="009B6D01">
        <w:t xml:space="preserve"> activity it deliver</w:t>
      </w:r>
      <w:r w:rsidR="00C02C44">
        <w:t>s</w:t>
      </w:r>
      <w:r w:rsidR="002F7B6B">
        <w:t>,</w:t>
      </w:r>
      <w:r w:rsidR="006C3018">
        <w:t xml:space="preserve"> subject to approval of the </w:t>
      </w:r>
      <w:r w:rsidR="002D6848">
        <w:t>legislation, amendments</w:t>
      </w:r>
      <w:r w:rsidR="009B6D01">
        <w:t xml:space="preserve"> to </w:t>
      </w:r>
      <w:r w:rsidR="006025E8">
        <w:t xml:space="preserve">the </w:t>
      </w:r>
      <w:r w:rsidR="006025E8" w:rsidRPr="004D384E">
        <w:rPr>
          <w:rFonts w:cs="Calibri"/>
        </w:rPr>
        <w:t>Biosecurity Charges Imposition (Customs) Regulation 2016, the Biosecurity Charges Imposition (General) Regulation 2016 and the Biosecurity Regulation 2016</w:t>
      </w:r>
      <w:r w:rsidR="00527401" w:rsidRPr="004D384E">
        <w:t xml:space="preserve"> </w:t>
      </w:r>
      <w:r w:rsidR="00C02C44">
        <w:t xml:space="preserve">have been identified and </w:t>
      </w:r>
      <w:r w:rsidR="009B6D01">
        <w:t xml:space="preserve">are proposed </w:t>
      </w:r>
      <w:r w:rsidR="00643BFF">
        <w:t xml:space="preserve">to </w:t>
      </w:r>
      <w:r w:rsidR="0071026F">
        <w:t>commence</w:t>
      </w:r>
      <w:r w:rsidR="0071026F" w:rsidRPr="0071026F">
        <w:t xml:space="preserve"> </w:t>
      </w:r>
      <w:r w:rsidR="0071026F">
        <w:t xml:space="preserve">on </w:t>
      </w:r>
      <w:r w:rsidR="006025E8" w:rsidRPr="00A65E68">
        <w:rPr>
          <w:rStyle w:val="Strong"/>
        </w:rPr>
        <w:t>1 July 2026</w:t>
      </w:r>
      <w:r w:rsidR="009B6D01">
        <w:t xml:space="preserve">. </w:t>
      </w:r>
    </w:p>
    <w:p w14:paraId="0DD0DCB8" w14:textId="77777777" w:rsidR="00C02C44" w:rsidRDefault="00C02C44" w:rsidP="00643BFF">
      <w:pPr>
        <w:pStyle w:val="Heading3"/>
        <w:rPr>
          <w:lang w:eastAsia="en-AU"/>
        </w:rPr>
      </w:pPr>
      <w:r w:rsidRPr="007349E2">
        <w:rPr>
          <w:lang w:eastAsia="en-AU"/>
        </w:rPr>
        <w:t>New cost recovery charges</w:t>
      </w:r>
      <w:r>
        <w:rPr>
          <w:lang w:eastAsia="en-AU"/>
        </w:rPr>
        <w:t xml:space="preserve"> for</w:t>
      </w:r>
      <w:r w:rsidRPr="007349E2">
        <w:rPr>
          <w:lang w:eastAsia="en-AU"/>
        </w:rPr>
        <w:t xml:space="preserve"> live snail consignment</w:t>
      </w:r>
      <w:r>
        <w:rPr>
          <w:lang w:eastAsia="en-AU"/>
        </w:rPr>
        <w:t>s</w:t>
      </w:r>
      <w:r w:rsidRPr="007349E2">
        <w:rPr>
          <w:lang w:eastAsia="en-AU"/>
        </w:rPr>
        <w:t xml:space="preserve"> housed at the post </w:t>
      </w:r>
      <w:r>
        <w:rPr>
          <w:lang w:eastAsia="en-AU"/>
        </w:rPr>
        <w:t>e</w:t>
      </w:r>
      <w:r w:rsidRPr="007349E2">
        <w:rPr>
          <w:lang w:eastAsia="en-AU"/>
        </w:rPr>
        <w:t xml:space="preserve">ntry </w:t>
      </w:r>
      <w:r>
        <w:rPr>
          <w:lang w:eastAsia="en-AU"/>
        </w:rPr>
        <w:t>q</w:t>
      </w:r>
      <w:r w:rsidRPr="007349E2">
        <w:rPr>
          <w:lang w:eastAsia="en-AU"/>
        </w:rPr>
        <w:t>uarantine facility</w:t>
      </w:r>
    </w:p>
    <w:p w14:paraId="3FC93F0D" w14:textId="5A02B2F3" w:rsidR="00C17760" w:rsidRDefault="00C02C44" w:rsidP="00C02C44">
      <w:r w:rsidRPr="00C02C44">
        <w:t xml:space="preserve">The proposed cost recovery charges have been developed based on the expected effort and costs associated with the management of a consignment of </w:t>
      </w:r>
      <w:r w:rsidR="00243C78">
        <w:t xml:space="preserve">live </w:t>
      </w:r>
      <w:r w:rsidRPr="00C02C44">
        <w:t xml:space="preserve">snails housed at </w:t>
      </w:r>
      <w:r w:rsidR="00BB34E0">
        <w:t>a</w:t>
      </w:r>
      <w:r w:rsidRPr="00C02C44">
        <w:t xml:space="preserve"> </w:t>
      </w:r>
      <w:r w:rsidR="00351F53">
        <w:t xml:space="preserve">post entry quarantine </w:t>
      </w:r>
      <w:r w:rsidR="00C17760">
        <w:t xml:space="preserve">(PEQ) </w:t>
      </w:r>
      <w:r w:rsidR="00351F53">
        <w:t>facility.</w:t>
      </w:r>
      <w:r w:rsidRPr="00C02C44">
        <w:t xml:space="preserve"> The level of effort reflects the risk management activities required when live snails </w:t>
      </w:r>
      <w:r w:rsidR="00643BFF">
        <w:t xml:space="preserve">are imported </w:t>
      </w:r>
      <w:r w:rsidRPr="00C02C44">
        <w:t xml:space="preserve">as described in </w:t>
      </w:r>
      <w:hyperlink r:id="rId11" w:history="1">
        <w:r w:rsidRPr="00C02C44">
          <w:rPr>
            <w:rStyle w:val="Hyperlink"/>
          </w:rPr>
          <w:t xml:space="preserve">Importation of live garden snails </w:t>
        </w:r>
        <w:r w:rsidRPr="00D428CD">
          <w:rPr>
            <w:rStyle w:val="Hyperlink"/>
          </w:rPr>
          <w:t>(Cornu aspersum)</w:t>
        </w:r>
        <w:r w:rsidRPr="00C02C44">
          <w:rPr>
            <w:rStyle w:val="Hyperlink"/>
          </w:rPr>
          <w:t xml:space="preserve"> for heliciculture - DAFF</w:t>
        </w:r>
      </w:hyperlink>
      <w:r w:rsidR="00C17760">
        <w:t>.</w:t>
      </w:r>
    </w:p>
    <w:p w14:paraId="24619020" w14:textId="441DA3ED" w:rsidR="00C02C44" w:rsidRDefault="00C17760" w:rsidP="00C02C44">
      <w:r>
        <w:t xml:space="preserve">These costs </w:t>
      </w:r>
      <w:r w:rsidR="00643BFF">
        <w:t xml:space="preserve">will </w:t>
      </w:r>
      <w:r>
        <w:t>apply if an</w:t>
      </w:r>
      <w:r w:rsidR="00C02C44" w:rsidRPr="00C02C44">
        <w:t xml:space="preserve"> importer </w:t>
      </w:r>
      <w:r>
        <w:t xml:space="preserve">chooses to </w:t>
      </w:r>
      <w:r w:rsidR="00C02C44" w:rsidRPr="00C02C44">
        <w:t xml:space="preserve">house </w:t>
      </w:r>
      <w:r w:rsidR="00DC74A0">
        <w:t>a consignment of</w:t>
      </w:r>
      <w:r w:rsidR="00C02C44" w:rsidRPr="00C02C44">
        <w:t xml:space="preserve"> </w:t>
      </w:r>
      <w:r>
        <w:t xml:space="preserve">live </w:t>
      </w:r>
      <w:r w:rsidR="00C02C44" w:rsidRPr="00C02C44">
        <w:t xml:space="preserve">snails at the </w:t>
      </w:r>
      <w:r>
        <w:t>PEQ</w:t>
      </w:r>
      <w:r w:rsidR="00643BFF">
        <w:t xml:space="preserve"> facility</w:t>
      </w:r>
      <w:r w:rsidR="00C02C44" w:rsidRPr="00C02C44">
        <w:t xml:space="preserve">. </w:t>
      </w:r>
      <w:r>
        <w:t xml:space="preserve">The </w:t>
      </w:r>
      <w:r w:rsidR="00243C78">
        <w:t xml:space="preserve">proposed </w:t>
      </w:r>
      <w:r>
        <w:t>new fees and charges are described in Table 1.</w:t>
      </w:r>
    </w:p>
    <w:p w14:paraId="01CF173B" w14:textId="104F42EC" w:rsidR="00C17760" w:rsidRPr="00C17760" w:rsidRDefault="00C17760" w:rsidP="00C17760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r w:rsidRPr="00C17760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C17760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C17760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C17760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643BFF">
        <w:rPr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C17760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C17760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243C78">
        <w:rPr>
          <w:b/>
          <w:bCs/>
          <w:i w:val="0"/>
          <w:iCs w:val="0"/>
          <w:color w:val="auto"/>
          <w:sz w:val="24"/>
          <w:szCs w:val="24"/>
        </w:rPr>
        <w:t xml:space="preserve">- </w:t>
      </w:r>
      <w:r w:rsidRPr="00C17760">
        <w:rPr>
          <w:b/>
          <w:bCs/>
          <w:i w:val="0"/>
          <w:iCs w:val="0"/>
          <w:color w:val="auto"/>
          <w:sz w:val="24"/>
          <w:szCs w:val="24"/>
        </w:rPr>
        <w:t>Fees and charges for live snails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59"/>
        <w:gridCol w:w="5699"/>
        <w:gridCol w:w="2551"/>
        <w:gridCol w:w="992"/>
      </w:tblGrid>
      <w:tr w:rsidR="00C02C44" w:rsidRPr="000D055D" w14:paraId="56E46BBD" w14:textId="77777777" w:rsidTr="00BC2148">
        <w:tc>
          <w:tcPr>
            <w:tcW w:w="959" w:type="dxa"/>
          </w:tcPr>
          <w:p w14:paraId="4DE2D937" w14:textId="77777777" w:rsidR="00C02C44" w:rsidRPr="000D055D" w:rsidRDefault="00C02C44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 w:rsidRPr="000D055D">
              <w:rPr>
                <w:b/>
                <w:bCs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5699" w:type="dxa"/>
          </w:tcPr>
          <w:p w14:paraId="12B3F8A9" w14:textId="6BBF0489" w:rsidR="00C02C44" w:rsidRPr="000D055D" w:rsidRDefault="00C17760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D</w:t>
            </w:r>
            <w:r w:rsidR="00C02C44">
              <w:rPr>
                <w:b/>
                <w:bCs/>
                <w:sz w:val="20"/>
                <w:szCs w:val="20"/>
                <w:lang w:eastAsia="en-AU"/>
              </w:rPr>
              <w:t>escription</w:t>
            </w:r>
          </w:p>
        </w:tc>
        <w:tc>
          <w:tcPr>
            <w:tcW w:w="2551" w:type="dxa"/>
          </w:tcPr>
          <w:p w14:paraId="1D573188" w14:textId="77777777" w:rsidR="00C02C44" w:rsidRPr="000D055D" w:rsidRDefault="00C02C44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 xml:space="preserve">Unit </w:t>
            </w:r>
          </w:p>
        </w:tc>
        <w:tc>
          <w:tcPr>
            <w:tcW w:w="992" w:type="dxa"/>
          </w:tcPr>
          <w:p w14:paraId="3513E27B" w14:textId="77777777" w:rsidR="00C02C44" w:rsidRDefault="00C02C44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Rate ($)</w:t>
            </w:r>
          </w:p>
        </w:tc>
      </w:tr>
      <w:tr w:rsidR="00C02C44" w14:paraId="6910A9A0" w14:textId="77777777" w:rsidTr="00BC2148">
        <w:tc>
          <w:tcPr>
            <w:tcW w:w="959" w:type="dxa"/>
          </w:tcPr>
          <w:p w14:paraId="14061073" w14:textId="77777777" w:rsidR="00C02C44" w:rsidRPr="000F2C06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Fee</w:t>
            </w:r>
          </w:p>
        </w:tc>
        <w:tc>
          <w:tcPr>
            <w:tcW w:w="5699" w:type="dxa"/>
          </w:tcPr>
          <w:p w14:paraId="47B1B6A3" w14:textId="3497FD54" w:rsidR="00C02C44" w:rsidRPr="000814E9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color w:val="000000"/>
                <w:sz w:val="20"/>
                <w:szCs w:val="20"/>
              </w:rPr>
              <w:t xml:space="preserve">Husbandry activities in relation to a consignment of live snails </w:t>
            </w:r>
            <w:r w:rsidR="00243C78">
              <w:rPr>
                <w:color w:val="000000"/>
                <w:sz w:val="20"/>
                <w:szCs w:val="20"/>
              </w:rPr>
              <w:t xml:space="preserve">which would </w:t>
            </w:r>
            <w:r>
              <w:rPr>
                <w:color w:val="000000"/>
                <w:sz w:val="20"/>
                <w:szCs w:val="20"/>
              </w:rPr>
              <w:t>includ</w:t>
            </w:r>
            <w:r w:rsidR="00243C78">
              <w:rPr>
                <w:color w:val="000000"/>
                <w:sz w:val="20"/>
                <w:szCs w:val="20"/>
              </w:rPr>
              <w:t>e</w:t>
            </w:r>
            <w:r w:rsidR="0001300A">
              <w:rPr>
                <w:color w:val="000000"/>
                <w:sz w:val="20"/>
                <w:szCs w:val="20"/>
              </w:rPr>
              <w:t xml:space="preserve"> activities such as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br/>
            </w:r>
            <w:r w:rsidRPr="000814E9">
              <w:rPr>
                <w:sz w:val="20"/>
                <w:szCs w:val="20"/>
                <w:lang w:eastAsia="en-AU"/>
              </w:rPr>
              <w:t>Monitoring snail health during stay at PEQ</w:t>
            </w:r>
          </w:p>
          <w:p w14:paraId="07B86129" w14:textId="77777777" w:rsidR="00C02C44" w:rsidRPr="000814E9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 w:rsidRPr="000814E9">
              <w:rPr>
                <w:sz w:val="20"/>
                <w:szCs w:val="20"/>
                <w:lang w:eastAsia="en-AU"/>
              </w:rPr>
              <w:t>Removal of dead or diseased snails</w:t>
            </w:r>
          </w:p>
          <w:p w14:paraId="4774227C" w14:textId="77777777" w:rsidR="00C02C44" w:rsidRPr="000814E9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T</w:t>
            </w:r>
            <w:r w:rsidRPr="000814E9">
              <w:rPr>
                <w:sz w:val="20"/>
                <w:szCs w:val="20"/>
                <w:lang w:eastAsia="en-AU"/>
              </w:rPr>
              <w:t>ransport of snails</w:t>
            </w:r>
          </w:p>
          <w:p w14:paraId="4D5BB88D" w14:textId="77777777" w:rsidR="00C02C44" w:rsidRPr="000814E9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 w:rsidRPr="000814E9">
              <w:rPr>
                <w:sz w:val="20"/>
                <w:szCs w:val="20"/>
                <w:lang w:eastAsia="en-AU"/>
              </w:rPr>
              <w:t>Feeding and watering snails</w:t>
            </w:r>
          </w:p>
          <w:p w14:paraId="52C3DA54" w14:textId="77777777" w:rsidR="00C02C44" w:rsidRPr="000814E9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 w:rsidRPr="000814E9">
              <w:rPr>
                <w:sz w:val="20"/>
                <w:szCs w:val="20"/>
                <w:lang w:eastAsia="en-AU"/>
              </w:rPr>
              <w:t xml:space="preserve">Cleaning and maintenance of the snail enclosure throughout </w:t>
            </w:r>
            <w:r>
              <w:rPr>
                <w:sz w:val="20"/>
                <w:szCs w:val="20"/>
                <w:lang w:eastAsia="en-AU"/>
              </w:rPr>
              <w:t>the</w:t>
            </w:r>
            <w:r w:rsidRPr="000814E9">
              <w:rPr>
                <w:sz w:val="20"/>
                <w:szCs w:val="20"/>
                <w:lang w:eastAsia="en-AU"/>
              </w:rPr>
              <w:t xml:space="preserve"> duration of the stay at the PEQ facility. </w:t>
            </w:r>
          </w:p>
          <w:p w14:paraId="3E9BB1F1" w14:textId="77777777" w:rsidR="00C02C44" w:rsidRPr="000F2C06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</w:p>
        </w:tc>
        <w:tc>
          <w:tcPr>
            <w:tcW w:w="2551" w:type="dxa"/>
          </w:tcPr>
          <w:p w14:paraId="760633D4" w14:textId="77777777" w:rsidR="00C02C44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Per calendar month or part thereof, for each consignment </w:t>
            </w:r>
          </w:p>
        </w:tc>
        <w:tc>
          <w:tcPr>
            <w:tcW w:w="992" w:type="dxa"/>
          </w:tcPr>
          <w:p w14:paraId="66FF3E94" w14:textId="4C058118" w:rsidR="00C02C44" w:rsidRPr="000814E9" w:rsidRDefault="00121E2F" w:rsidP="00BC2148">
            <w:pPr>
              <w:pStyle w:val="TableText"/>
              <w:jc w:val="righ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2</w:t>
            </w:r>
            <w:r w:rsidR="006025E8">
              <w:rPr>
                <w:b/>
                <w:bCs/>
                <w:sz w:val="20"/>
                <w:szCs w:val="20"/>
                <w:lang w:eastAsia="en-AU"/>
              </w:rPr>
              <w:t>,</w:t>
            </w:r>
            <w:r>
              <w:rPr>
                <w:b/>
                <w:bCs/>
                <w:sz w:val="20"/>
                <w:szCs w:val="20"/>
                <w:lang w:eastAsia="en-AU"/>
              </w:rPr>
              <w:t>470</w:t>
            </w:r>
          </w:p>
        </w:tc>
      </w:tr>
      <w:tr w:rsidR="00C02C44" w14:paraId="296CA083" w14:textId="77777777" w:rsidTr="00BC2148">
        <w:tc>
          <w:tcPr>
            <w:tcW w:w="959" w:type="dxa"/>
          </w:tcPr>
          <w:p w14:paraId="3F48549D" w14:textId="77777777" w:rsidR="00C02C44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Charge </w:t>
            </w:r>
          </w:p>
        </w:tc>
        <w:tc>
          <w:tcPr>
            <w:tcW w:w="5699" w:type="dxa"/>
          </w:tcPr>
          <w:p w14:paraId="54E2DDAE" w14:textId="77777777" w:rsidR="00C02C44" w:rsidRDefault="00C02C44" w:rsidP="00BC2148">
            <w:pPr>
              <w:pStyle w:val="TableText"/>
              <w:rPr>
                <w:color w:val="000000"/>
                <w:sz w:val="20"/>
                <w:szCs w:val="20"/>
              </w:rPr>
            </w:pPr>
            <w:r w:rsidRPr="000814E9">
              <w:rPr>
                <w:color w:val="000000"/>
                <w:sz w:val="20"/>
                <w:szCs w:val="20"/>
              </w:rPr>
              <w:t>Reservation of a place in a post</w:t>
            </w:r>
            <w:r w:rsidRPr="000814E9">
              <w:rPr>
                <w:color w:val="000000"/>
                <w:sz w:val="20"/>
                <w:szCs w:val="20"/>
              </w:rPr>
              <w:noBreakHyphen/>
              <w:t>entry quarantine facility for a consignment of live snails, and administration and management of biosecurity activities in relation to the consignment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E5F4377" w14:textId="77777777" w:rsidR="00C02C44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Per consignment </w:t>
            </w:r>
          </w:p>
        </w:tc>
        <w:tc>
          <w:tcPr>
            <w:tcW w:w="992" w:type="dxa"/>
          </w:tcPr>
          <w:p w14:paraId="47ABEB3F" w14:textId="7D6C674B" w:rsidR="00C02C44" w:rsidRPr="000814E9" w:rsidRDefault="00121E2F" w:rsidP="00BC2148">
            <w:pPr>
              <w:pStyle w:val="TableText"/>
              <w:jc w:val="righ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892</w:t>
            </w:r>
          </w:p>
        </w:tc>
      </w:tr>
      <w:tr w:rsidR="00C02C44" w14:paraId="50E388B5" w14:textId="77777777" w:rsidTr="00BC2148">
        <w:tc>
          <w:tcPr>
            <w:tcW w:w="959" w:type="dxa"/>
          </w:tcPr>
          <w:p w14:paraId="47568626" w14:textId="77777777" w:rsidR="00C02C44" w:rsidRPr="000F2C06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Charge </w:t>
            </w:r>
          </w:p>
        </w:tc>
        <w:tc>
          <w:tcPr>
            <w:tcW w:w="5699" w:type="dxa"/>
          </w:tcPr>
          <w:p w14:paraId="5D65415C" w14:textId="77777777" w:rsidR="00C02C44" w:rsidRPr="000F2C06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 w:rsidRPr="000814E9">
              <w:rPr>
                <w:color w:val="000000"/>
                <w:sz w:val="20"/>
                <w:szCs w:val="20"/>
              </w:rPr>
              <w:t>Confirmation of a reservation of a place in a post</w:t>
            </w:r>
            <w:r w:rsidRPr="000814E9">
              <w:rPr>
                <w:color w:val="000000"/>
                <w:sz w:val="20"/>
                <w:szCs w:val="20"/>
              </w:rPr>
              <w:noBreakHyphen/>
              <w:t>entry quarantine facility for a consignment of live snails, and administration and management of biosecurity activities in relation to the consignment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14:paraId="1089534C" w14:textId="77777777" w:rsidR="00C02C44" w:rsidRDefault="00C02C44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Per consignment</w:t>
            </w:r>
          </w:p>
        </w:tc>
        <w:tc>
          <w:tcPr>
            <w:tcW w:w="992" w:type="dxa"/>
          </w:tcPr>
          <w:p w14:paraId="7F4D3B29" w14:textId="4672F937" w:rsidR="00C02C44" w:rsidRPr="000814E9" w:rsidRDefault="00C02C44" w:rsidP="00BC2148">
            <w:pPr>
              <w:pStyle w:val="TableText"/>
              <w:jc w:val="right"/>
              <w:rPr>
                <w:b/>
                <w:bCs/>
                <w:sz w:val="20"/>
                <w:szCs w:val="20"/>
                <w:lang w:eastAsia="en-AU"/>
              </w:rPr>
            </w:pPr>
            <w:r w:rsidRPr="00B90E1F">
              <w:rPr>
                <w:b/>
                <w:bCs/>
                <w:sz w:val="20"/>
                <w:szCs w:val="20"/>
                <w:lang w:eastAsia="en-AU"/>
              </w:rPr>
              <w:t>3,</w:t>
            </w:r>
            <w:r w:rsidR="00121E2F">
              <w:rPr>
                <w:b/>
                <w:bCs/>
                <w:sz w:val="20"/>
                <w:szCs w:val="20"/>
                <w:lang w:eastAsia="en-AU"/>
              </w:rPr>
              <w:t>571</w:t>
            </w:r>
          </w:p>
        </w:tc>
      </w:tr>
    </w:tbl>
    <w:p w14:paraId="5EB549FE" w14:textId="77777777" w:rsidR="00C02C44" w:rsidRDefault="00C02C44" w:rsidP="00527401">
      <w:pPr>
        <w:spacing w:line="276" w:lineRule="auto"/>
        <w:rPr>
          <w:b/>
          <w:bCs/>
          <w:i/>
          <w:iCs/>
        </w:rPr>
      </w:pPr>
    </w:p>
    <w:p w14:paraId="1D25E405" w14:textId="5741586A" w:rsidR="00527401" w:rsidRPr="001059F3" w:rsidRDefault="00527401" w:rsidP="00643BFF">
      <w:pPr>
        <w:pStyle w:val="Heading2"/>
        <w:pageBreakBefore/>
      </w:pPr>
      <w:r w:rsidRPr="001059F3">
        <w:lastRenderedPageBreak/>
        <w:t>Removing redundant provision</w:t>
      </w:r>
      <w:r w:rsidR="002E7FBB">
        <w:t xml:space="preserve">s </w:t>
      </w:r>
      <w:r w:rsidR="00643018">
        <w:t>in legislation</w:t>
      </w:r>
    </w:p>
    <w:p w14:paraId="7D637A6E" w14:textId="45DE4C51" w:rsidR="00527401" w:rsidRDefault="00520901" w:rsidP="00A65E68">
      <w:r>
        <w:t xml:space="preserve">The department is </w:t>
      </w:r>
      <w:r w:rsidR="007349E2">
        <w:t xml:space="preserve">proposing to </w:t>
      </w:r>
      <w:r w:rsidR="001059F3">
        <w:t xml:space="preserve">remove 3 provisions </w:t>
      </w:r>
      <w:r w:rsidR="007349E2">
        <w:t xml:space="preserve">relating </w:t>
      </w:r>
      <w:r w:rsidR="001059F3">
        <w:t xml:space="preserve">to </w:t>
      </w:r>
      <w:r w:rsidR="007349E2">
        <w:t xml:space="preserve">the application of </w:t>
      </w:r>
      <w:r w:rsidR="001059F3">
        <w:t>cost recovery</w:t>
      </w:r>
      <w:r w:rsidR="006025E8">
        <w:t xml:space="preserve"> fees</w:t>
      </w:r>
      <w:r w:rsidR="001059F3">
        <w:t xml:space="preserve"> that are no longer applied</w:t>
      </w:r>
      <w:r w:rsidR="007349E2">
        <w:t>.</w:t>
      </w:r>
      <w:r w:rsidR="00643BFF">
        <w:t xml:space="preserve"> </w:t>
      </w:r>
      <w:r w:rsidR="00A65E68">
        <w:t xml:space="preserve">Table 2 describes the provisions we are proposing to remove. </w:t>
      </w:r>
    </w:p>
    <w:p w14:paraId="46E5C35A" w14:textId="70B36208" w:rsidR="00C17760" w:rsidRPr="00643BFF" w:rsidRDefault="00643BFF" w:rsidP="00643BFF">
      <w:pPr>
        <w:pStyle w:val="Caption"/>
        <w:rPr>
          <w:b/>
          <w:bCs/>
          <w:i w:val="0"/>
          <w:iCs w:val="0"/>
          <w:color w:val="auto"/>
          <w:sz w:val="24"/>
          <w:szCs w:val="24"/>
        </w:rPr>
      </w:pPr>
      <w:r w:rsidRPr="00643BFF">
        <w:rPr>
          <w:b/>
          <w:bCs/>
          <w:i w:val="0"/>
          <w:iCs w:val="0"/>
          <w:color w:val="auto"/>
          <w:sz w:val="24"/>
          <w:szCs w:val="24"/>
        </w:rPr>
        <w:t xml:space="preserve">Table </w:t>
      </w:r>
      <w:r w:rsidRPr="00643BFF">
        <w:rPr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643BFF">
        <w:rPr>
          <w:b/>
          <w:bCs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643BFF">
        <w:rPr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643BFF">
        <w:rPr>
          <w:b/>
          <w:bCs/>
          <w:i w:val="0"/>
          <w:iCs w:val="0"/>
          <w:color w:val="auto"/>
          <w:sz w:val="24"/>
          <w:szCs w:val="24"/>
        </w:rPr>
        <w:t>2</w:t>
      </w:r>
      <w:r w:rsidRPr="00643BFF">
        <w:rPr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520901">
        <w:rPr>
          <w:b/>
          <w:bCs/>
          <w:i w:val="0"/>
          <w:iCs w:val="0"/>
          <w:color w:val="auto"/>
          <w:sz w:val="24"/>
          <w:szCs w:val="24"/>
        </w:rPr>
        <w:t xml:space="preserve"> -</w:t>
      </w:r>
      <w:r w:rsidRPr="00643BFF">
        <w:rPr>
          <w:b/>
          <w:bCs/>
          <w:i w:val="0"/>
          <w:iCs w:val="0"/>
          <w:color w:val="auto"/>
          <w:sz w:val="24"/>
          <w:szCs w:val="24"/>
        </w:rPr>
        <w:t xml:space="preserve"> </w:t>
      </w:r>
      <w:r>
        <w:rPr>
          <w:b/>
          <w:bCs/>
          <w:i w:val="0"/>
          <w:iCs w:val="0"/>
          <w:color w:val="auto"/>
          <w:sz w:val="24"/>
          <w:szCs w:val="24"/>
        </w:rPr>
        <w:t>R</w:t>
      </w:r>
      <w:r w:rsidRPr="00643BFF">
        <w:rPr>
          <w:b/>
          <w:bCs/>
          <w:i w:val="0"/>
          <w:iCs w:val="0"/>
          <w:color w:val="auto"/>
          <w:sz w:val="24"/>
          <w:szCs w:val="24"/>
        </w:rPr>
        <w:t>edundant provisions in legislation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5840"/>
        <w:gridCol w:w="3374"/>
      </w:tblGrid>
      <w:tr w:rsidR="001059F3" w:rsidRPr="000D055D" w14:paraId="0E37F732" w14:textId="77777777" w:rsidTr="001059F3">
        <w:tc>
          <w:tcPr>
            <w:tcW w:w="959" w:type="dxa"/>
          </w:tcPr>
          <w:p w14:paraId="7067BADF" w14:textId="77777777" w:rsidR="001059F3" w:rsidRPr="000D055D" w:rsidRDefault="001059F3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 w:rsidRPr="000D055D">
              <w:rPr>
                <w:b/>
                <w:bCs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5840" w:type="dxa"/>
          </w:tcPr>
          <w:p w14:paraId="5679023C" w14:textId="77777777" w:rsidR="001059F3" w:rsidRPr="000D055D" w:rsidRDefault="001059F3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 w:rsidRPr="000D055D">
              <w:rPr>
                <w:b/>
                <w:bCs/>
                <w:sz w:val="20"/>
                <w:szCs w:val="20"/>
                <w:lang w:eastAsia="en-AU"/>
              </w:rPr>
              <w:t>Application</w:t>
            </w:r>
          </w:p>
        </w:tc>
        <w:tc>
          <w:tcPr>
            <w:tcW w:w="3374" w:type="dxa"/>
          </w:tcPr>
          <w:p w14:paraId="7B579022" w14:textId="6DB8D92C" w:rsidR="001059F3" w:rsidRPr="000D055D" w:rsidRDefault="001059F3" w:rsidP="00BC2148">
            <w:pPr>
              <w:pStyle w:val="TableText"/>
              <w:rPr>
                <w:b/>
                <w:bCs/>
                <w:sz w:val="20"/>
                <w:szCs w:val="20"/>
                <w:lang w:eastAsia="en-AU"/>
              </w:rPr>
            </w:pPr>
            <w:r>
              <w:rPr>
                <w:b/>
                <w:bCs/>
                <w:sz w:val="20"/>
                <w:szCs w:val="20"/>
                <w:lang w:eastAsia="en-AU"/>
              </w:rPr>
              <w:t>Rationale</w:t>
            </w:r>
            <w:r w:rsidR="007349E2">
              <w:rPr>
                <w:b/>
                <w:bCs/>
                <w:sz w:val="20"/>
                <w:szCs w:val="20"/>
                <w:lang w:eastAsia="en-AU"/>
              </w:rPr>
              <w:t xml:space="preserve"> for removal</w:t>
            </w:r>
          </w:p>
        </w:tc>
      </w:tr>
      <w:tr w:rsidR="001059F3" w:rsidRPr="000F2C06" w14:paraId="1E237021" w14:textId="77777777" w:rsidTr="001059F3">
        <w:tc>
          <w:tcPr>
            <w:tcW w:w="959" w:type="dxa"/>
          </w:tcPr>
          <w:p w14:paraId="1412E779" w14:textId="4D3EF0E9" w:rsidR="001059F3" w:rsidRPr="000F2C06" w:rsidRDefault="001059F3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Fee</w:t>
            </w:r>
          </w:p>
        </w:tc>
        <w:tc>
          <w:tcPr>
            <w:tcW w:w="5840" w:type="dxa"/>
          </w:tcPr>
          <w:p w14:paraId="3446CA2D" w14:textId="0C89AAB9" w:rsidR="001059F3" w:rsidRPr="000F2C06" w:rsidRDefault="001059F3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color w:val="000000"/>
                <w:sz w:val="20"/>
                <w:szCs w:val="20"/>
              </w:rPr>
              <w:t>Husbandry activities in relation to a horse in a post</w:t>
            </w:r>
            <w:r>
              <w:rPr>
                <w:color w:val="000000"/>
                <w:sz w:val="20"/>
                <w:szCs w:val="20"/>
              </w:rPr>
              <w:noBreakHyphen/>
              <w:t>entry quarantine facility, for each day after the initial 14 day period during which the horse stayed at the post</w:t>
            </w:r>
            <w:r>
              <w:rPr>
                <w:color w:val="000000"/>
                <w:sz w:val="20"/>
                <w:szCs w:val="20"/>
              </w:rPr>
              <w:noBreakHyphen/>
              <w:t>entry quarantine facility</w:t>
            </w:r>
          </w:p>
        </w:tc>
        <w:tc>
          <w:tcPr>
            <w:tcW w:w="3374" w:type="dxa"/>
          </w:tcPr>
          <w:p w14:paraId="1AC6E330" w14:textId="4CB40B46" w:rsidR="001059F3" w:rsidRDefault="001059F3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The department does not provide husbandry services for horses during their stay in the post entry quarantine facility.  </w:t>
            </w:r>
          </w:p>
        </w:tc>
      </w:tr>
      <w:tr w:rsidR="001059F3" w:rsidRPr="000F2C06" w14:paraId="37AE03D2" w14:textId="77777777" w:rsidTr="001059F3">
        <w:tc>
          <w:tcPr>
            <w:tcW w:w="959" w:type="dxa"/>
            <w:vMerge w:val="restart"/>
          </w:tcPr>
          <w:p w14:paraId="5091704A" w14:textId="7A957CD4" w:rsidR="001059F3" w:rsidRPr="000F2C06" w:rsidRDefault="001059F3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Fee </w:t>
            </w:r>
          </w:p>
        </w:tc>
        <w:tc>
          <w:tcPr>
            <w:tcW w:w="5840" w:type="dxa"/>
          </w:tcPr>
          <w:p w14:paraId="768D999A" w14:textId="391CFE18" w:rsidR="001059F3" w:rsidRPr="000F2C06" w:rsidRDefault="001059F3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color w:val="000000"/>
                <w:sz w:val="20"/>
                <w:szCs w:val="20"/>
              </w:rPr>
              <w:t>Assessment of a permit application provided on a weekday outside ordinary hours of duty</w:t>
            </w:r>
          </w:p>
        </w:tc>
        <w:tc>
          <w:tcPr>
            <w:tcW w:w="3374" w:type="dxa"/>
          </w:tcPr>
          <w:p w14:paraId="314A972B" w14:textId="53AF43BF" w:rsidR="001059F3" w:rsidRDefault="009B6D01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This activity rarely occurs outside ordinary hours on a </w:t>
            </w:r>
            <w:r w:rsidR="005F748C">
              <w:rPr>
                <w:sz w:val="20"/>
                <w:szCs w:val="20"/>
                <w:lang w:eastAsia="en-AU"/>
              </w:rPr>
              <w:t>weekday;</w:t>
            </w:r>
            <w:r>
              <w:rPr>
                <w:sz w:val="20"/>
                <w:szCs w:val="20"/>
                <w:lang w:eastAsia="en-AU"/>
              </w:rPr>
              <w:t xml:space="preserve"> in the event it does a</w:t>
            </w:r>
            <w:r w:rsidR="001059F3">
              <w:rPr>
                <w:sz w:val="20"/>
                <w:szCs w:val="20"/>
                <w:lang w:eastAsia="en-AU"/>
              </w:rPr>
              <w:t xml:space="preserve">n existing provision allows </w:t>
            </w:r>
            <w:r>
              <w:rPr>
                <w:sz w:val="20"/>
                <w:szCs w:val="20"/>
                <w:lang w:eastAsia="en-AU"/>
              </w:rPr>
              <w:t xml:space="preserve">the department to charge for the activity. </w:t>
            </w:r>
          </w:p>
        </w:tc>
      </w:tr>
      <w:tr w:rsidR="001059F3" w:rsidRPr="000F2C06" w14:paraId="1AF47FE1" w14:textId="77777777" w:rsidTr="001059F3">
        <w:tc>
          <w:tcPr>
            <w:tcW w:w="959" w:type="dxa"/>
            <w:vMerge/>
          </w:tcPr>
          <w:p w14:paraId="6527E2DB" w14:textId="11668900" w:rsidR="001059F3" w:rsidRDefault="001059F3" w:rsidP="00BC2148">
            <w:pPr>
              <w:pStyle w:val="TableText"/>
              <w:rPr>
                <w:sz w:val="20"/>
                <w:szCs w:val="20"/>
                <w:lang w:eastAsia="en-AU"/>
              </w:rPr>
            </w:pPr>
          </w:p>
        </w:tc>
        <w:tc>
          <w:tcPr>
            <w:tcW w:w="5840" w:type="dxa"/>
          </w:tcPr>
          <w:p w14:paraId="4636E1CC" w14:textId="5733C804" w:rsidR="001059F3" w:rsidRPr="000F2C06" w:rsidRDefault="001059F3" w:rsidP="00BC2148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Ass</w:t>
            </w:r>
            <w:r w:rsidRPr="001059F3">
              <w:rPr>
                <w:sz w:val="20"/>
                <w:szCs w:val="20"/>
                <w:lang w:eastAsia="en-AU"/>
              </w:rPr>
              <w:t xml:space="preserve">essment of a permit application provided on a Saturday, Sunday or a </w:t>
            </w:r>
            <w:r w:rsidR="006C78D0">
              <w:rPr>
                <w:sz w:val="20"/>
                <w:szCs w:val="20"/>
                <w:lang w:eastAsia="en-AU"/>
              </w:rPr>
              <w:t>d</w:t>
            </w:r>
            <w:r w:rsidRPr="001059F3">
              <w:rPr>
                <w:sz w:val="20"/>
                <w:szCs w:val="20"/>
                <w:lang w:eastAsia="en-AU"/>
              </w:rPr>
              <w:t>epartmental holiday</w:t>
            </w:r>
          </w:p>
        </w:tc>
        <w:tc>
          <w:tcPr>
            <w:tcW w:w="3374" w:type="dxa"/>
          </w:tcPr>
          <w:p w14:paraId="428131B7" w14:textId="36E90A96" w:rsidR="001059F3" w:rsidRDefault="009B6D01" w:rsidP="001059F3">
            <w:pPr>
              <w:pStyle w:val="TableText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This activity rarely occurs on a weekend or departmental holiday, in the event it does an existing provision allows the department to charge for the activity. </w:t>
            </w:r>
          </w:p>
        </w:tc>
      </w:tr>
    </w:tbl>
    <w:p w14:paraId="41D81F2E" w14:textId="19DAA63C" w:rsidR="001059F3" w:rsidRDefault="0001300A" w:rsidP="00A65E68">
      <w:pPr>
        <w:pStyle w:val="Heading2"/>
        <w:spacing w:before="240"/>
      </w:pPr>
      <w:r>
        <w:t xml:space="preserve">Clarity on </w:t>
      </w:r>
      <w:r w:rsidR="007349E2" w:rsidRPr="007349E2">
        <w:t>cost recovery charges for avian imports</w:t>
      </w:r>
    </w:p>
    <w:p w14:paraId="5E4CC76B" w14:textId="3E2E02B7" w:rsidR="008442C2" w:rsidRDefault="00351F53" w:rsidP="008442C2">
      <w:pPr>
        <w:spacing w:after="120"/>
        <w:rPr>
          <w:rFonts w:eastAsia="Times New Roman" w:cs="Calibri"/>
        </w:rPr>
      </w:pPr>
      <w:r>
        <w:rPr>
          <w:rFonts w:cs="Calibri"/>
        </w:rPr>
        <w:t xml:space="preserve">The recent reviews of </w:t>
      </w:r>
      <w:r w:rsidR="006025E8">
        <w:rPr>
          <w:rFonts w:cs="Calibri"/>
        </w:rPr>
        <w:t xml:space="preserve">cost recovery </w:t>
      </w:r>
      <w:r>
        <w:rPr>
          <w:rFonts w:cs="Calibri"/>
        </w:rPr>
        <w:t xml:space="preserve">legislation </w:t>
      </w:r>
      <w:r w:rsidR="008442C2">
        <w:rPr>
          <w:rFonts w:cs="Calibri"/>
        </w:rPr>
        <w:t xml:space="preserve">identified </w:t>
      </w:r>
      <w:r w:rsidR="00180A66">
        <w:rPr>
          <w:rFonts w:cs="Calibri"/>
        </w:rPr>
        <w:t>amendments needed to</w:t>
      </w:r>
      <w:r w:rsidR="008442C2">
        <w:rPr>
          <w:rFonts w:cs="Calibri"/>
        </w:rPr>
        <w:t xml:space="preserve"> </w:t>
      </w:r>
      <w:r w:rsidR="001A1B46">
        <w:rPr>
          <w:rFonts w:cs="Calibri"/>
        </w:rPr>
        <w:t xml:space="preserve">legislative provisions </w:t>
      </w:r>
      <w:r w:rsidR="00643BFF">
        <w:rPr>
          <w:rFonts w:cs="Calibri"/>
        </w:rPr>
        <w:t xml:space="preserve">to </w:t>
      </w:r>
      <w:r w:rsidR="00180A66">
        <w:rPr>
          <w:rFonts w:cs="Calibri"/>
        </w:rPr>
        <w:t>ensure</w:t>
      </w:r>
      <w:r w:rsidR="008442C2">
        <w:rPr>
          <w:rFonts w:cs="Calibri"/>
        </w:rPr>
        <w:t xml:space="preserve"> charging for avian imports</w:t>
      </w:r>
      <w:r w:rsidR="00180A66">
        <w:rPr>
          <w:rFonts w:cs="Calibri"/>
        </w:rPr>
        <w:t xml:space="preserve"> </w:t>
      </w:r>
      <w:r w:rsidR="00263587">
        <w:rPr>
          <w:rFonts w:cs="Calibri"/>
        </w:rPr>
        <w:t>better</w:t>
      </w:r>
      <w:r w:rsidR="00B7743A">
        <w:rPr>
          <w:rFonts w:cs="Calibri"/>
        </w:rPr>
        <w:t xml:space="preserve"> </w:t>
      </w:r>
      <w:r w:rsidR="00180A66">
        <w:rPr>
          <w:rFonts w:cs="Calibri"/>
        </w:rPr>
        <w:t>reflect</w:t>
      </w:r>
      <w:r w:rsidR="00B7743A">
        <w:rPr>
          <w:rFonts w:cs="Calibri"/>
        </w:rPr>
        <w:t>s</w:t>
      </w:r>
      <w:r w:rsidR="00180A66">
        <w:rPr>
          <w:rFonts w:cs="Calibri"/>
        </w:rPr>
        <w:t xml:space="preserve"> the costs of the services delivered</w:t>
      </w:r>
      <w:r w:rsidR="0001300A">
        <w:rPr>
          <w:rFonts w:cs="Calibri"/>
        </w:rPr>
        <w:t xml:space="preserve"> and provide</w:t>
      </w:r>
      <w:r w:rsidR="0079506A">
        <w:rPr>
          <w:rFonts w:cs="Calibri"/>
        </w:rPr>
        <w:t>s</w:t>
      </w:r>
      <w:r w:rsidR="0001300A">
        <w:rPr>
          <w:rFonts w:cs="Calibri"/>
        </w:rPr>
        <w:t xml:space="preserve"> clarity on the application of cost recovery charges. </w:t>
      </w:r>
    </w:p>
    <w:p w14:paraId="138CDDDE" w14:textId="77777777" w:rsidR="008442C2" w:rsidRPr="008442C2" w:rsidRDefault="008442C2" w:rsidP="008442C2">
      <w:pPr>
        <w:spacing w:after="120"/>
        <w:rPr>
          <w:rFonts w:cs="Calibri"/>
        </w:rPr>
      </w:pPr>
      <w:r w:rsidRPr="008442C2">
        <w:rPr>
          <w:rFonts w:cs="Calibri"/>
        </w:rPr>
        <w:t xml:space="preserve">Cost recovery charges for avian imports include a reservation charge, a confirmation of reservation charge and a daily husbandry fee. </w:t>
      </w:r>
    </w:p>
    <w:p w14:paraId="0F197496" w14:textId="17020854" w:rsidR="008442C2" w:rsidRDefault="008442C2" w:rsidP="008442C2">
      <w:pPr>
        <w:spacing w:after="120"/>
        <w:rPr>
          <w:rFonts w:cs="Calibri"/>
        </w:rPr>
      </w:pPr>
      <w:r>
        <w:rPr>
          <w:rFonts w:cs="Calibri"/>
        </w:rPr>
        <w:t>Existing provisions in biosecurity c</w:t>
      </w:r>
      <w:r w:rsidRPr="0006757F">
        <w:rPr>
          <w:rFonts w:cs="Calibri"/>
        </w:rPr>
        <w:t xml:space="preserve">harging legislation set the application of </w:t>
      </w:r>
      <w:r>
        <w:rPr>
          <w:rFonts w:cs="Calibri"/>
        </w:rPr>
        <w:t>cost recovery charges</w:t>
      </w:r>
      <w:r w:rsidRPr="0006757F">
        <w:rPr>
          <w:rFonts w:cs="Calibri"/>
        </w:rPr>
        <w:t xml:space="preserve"> for husbandry services and avian biosecurity activities on a per consignment basis.</w:t>
      </w:r>
      <w:r w:rsidR="00B7743A">
        <w:rPr>
          <w:rFonts w:cs="Calibri"/>
        </w:rPr>
        <w:t xml:space="preserve"> The proposed amendments would instead charge for those activities per biocontainment unit.</w:t>
      </w:r>
      <w:r>
        <w:rPr>
          <w:rFonts w:cs="Calibri"/>
        </w:rPr>
        <w:t xml:space="preserve"> </w:t>
      </w:r>
    </w:p>
    <w:p w14:paraId="5E9A47B4" w14:textId="71BCDA41" w:rsidR="008442C2" w:rsidRDefault="00B7743A" w:rsidP="008442C2">
      <w:pPr>
        <w:pStyle w:val="ListParagraph"/>
        <w:numPr>
          <w:ilvl w:val="0"/>
          <w:numId w:val="7"/>
        </w:numPr>
        <w:spacing w:after="120"/>
        <w:rPr>
          <w:rFonts w:cs="Calibri"/>
        </w:rPr>
      </w:pPr>
      <w:r>
        <w:rPr>
          <w:rFonts w:cs="Calibri"/>
        </w:rPr>
        <w:t>A</w:t>
      </w:r>
      <w:r w:rsidR="008442C2">
        <w:rPr>
          <w:rFonts w:cs="Calibri"/>
        </w:rPr>
        <w:t xml:space="preserve"> single consignment may occupy one or multiple biocontainment units at the post entry quarantine facility</w:t>
      </w:r>
      <w:r>
        <w:rPr>
          <w:rFonts w:cs="Calibri"/>
        </w:rPr>
        <w:t>.</w:t>
      </w:r>
    </w:p>
    <w:p w14:paraId="449923A9" w14:textId="750DD464" w:rsidR="000D1833" w:rsidRDefault="00180A66" w:rsidP="00F5757A">
      <w:pPr>
        <w:pStyle w:val="ListParagraph"/>
        <w:numPr>
          <w:ilvl w:val="0"/>
          <w:numId w:val="7"/>
        </w:numPr>
        <w:spacing w:after="120"/>
      </w:pPr>
      <w:r>
        <w:t>T</w:t>
      </w:r>
      <w:r w:rsidR="008442C2">
        <w:t>he cost to the department varies depending on how many biocontainment units are needed to house a consignment.</w:t>
      </w:r>
    </w:p>
    <w:p w14:paraId="1E1E6E7C" w14:textId="77777777" w:rsidR="006A7754" w:rsidRDefault="006A7754" w:rsidP="006A7754">
      <w:pPr>
        <w:pStyle w:val="ListParagraph"/>
        <w:numPr>
          <w:ilvl w:val="0"/>
          <w:numId w:val="7"/>
        </w:numPr>
      </w:pPr>
      <w:r w:rsidRPr="00643018">
        <w:t xml:space="preserve">Existing avian importers nominate the number of biocontainment units needed to house a consignment. </w:t>
      </w:r>
    </w:p>
    <w:p w14:paraId="535333DB" w14:textId="63A7BC9A" w:rsidR="00293BDE" w:rsidRDefault="00DD292A" w:rsidP="006A7754">
      <w:r>
        <w:t xml:space="preserve">To ensure </w:t>
      </w:r>
      <w:r w:rsidR="00E940C0">
        <w:t xml:space="preserve">the </w:t>
      </w:r>
      <w:r w:rsidR="004820BA">
        <w:t xml:space="preserve">cost recovery </w:t>
      </w:r>
      <w:r w:rsidR="00983900">
        <w:t>charges</w:t>
      </w:r>
      <w:r w:rsidR="00E940C0">
        <w:t xml:space="preserve"> better reflect the costs of the services delivered, </w:t>
      </w:r>
      <w:r w:rsidR="00983900">
        <w:t>the</w:t>
      </w:r>
      <w:r w:rsidR="004D384E">
        <w:t xml:space="preserve"> </w:t>
      </w:r>
      <w:r w:rsidR="00A65E68">
        <w:t>c</w:t>
      </w:r>
      <w:r w:rsidR="008442C2" w:rsidRPr="000D1833">
        <w:t xml:space="preserve">harges for avian consignments </w:t>
      </w:r>
      <w:r w:rsidR="00983900">
        <w:t>need to</w:t>
      </w:r>
      <w:r w:rsidR="00777A9A">
        <w:t xml:space="preserve"> be </w:t>
      </w:r>
      <w:r w:rsidR="008442C2" w:rsidRPr="000D1833">
        <w:t xml:space="preserve">applied based on the number of biocontainment units </w:t>
      </w:r>
      <w:r w:rsidR="000D1833" w:rsidRPr="000D1833">
        <w:t>occupied</w:t>
      </w:r>
      <w:r w:rsidR="002E7FBB" w:rsidRPr="000D1833">
        <w:t>.</w:t>
      </w:r>
      <w:r w:rsidR="00180A66">
        <w:t xml:space="preserve"> </w:t>
      </w:r>
    </w:p>
    <w:p w14:paraId="7A2F49EE" w14:textId="6A734840" w:rsidR="00C02C44" w:rsidRPr="00643018" w:rsidRDefault="00643BFF" w:rsidP="009921F3">
      <w:r>
        <w:t>Th</w:t>
      </w:r>
      <w:r w:rsidR="009921F3">
        <w:t xml:space="preserve">is change </w:t>
      </w:r>
      <w:r w:rsidR="0001300A">
        <w:t xml:space="preserve">provides </w:t>
      </w:r>
      <w:r w:rsidR="009921F3">
        <w:t>clarity on the application of fees and charges</w:t>
      </w:r>
      <w:r w:rsidR="0001300A">
        <w:t xml:space="preserve"> for avian imports</w:t>
      </w:r>
      <w:r w:rsidR="0079506A">
        <w:t xml:space="preserve">. </w:t>
      </w:r>
      <w:bookmarkEnd w:id="0"/>
    </w:p>
    <w:sectPr w:rsidR="00C02C44" w:rsidRPr="00643018" w:rsidSect="00E777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566" w:bottom="709" w:left="1134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1E9C" w14:textId="77777777" w:rsidR="00550D91" w:rsidRDefault="00550D91">
      <w:r>
        <w:separator/>
      </w:r>
    </w:p>
  </w:endnote>
  <w:endnote w:type="continuationSeparator" w:id="0">
    <w:p w14:paraId="6EFC6624" w14:textId="77777777" w:rsidR="00550D91" w:rsidRDefault="0055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5FAC" w14:textId="77777777" w:rsidR="00CA7136" w:rsidRDefault="008E583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FDB03A7" wp14:editId="0027F5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814643737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B8BC49" w14:textId="77777777" w:rsidR="008E5838" w:rsidRPr="008E5838" w:rsidRDefault="008E5838" w:rsidP="008E583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583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B03A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left:0;text-align:left;margin-left:0;margin-top:0;width:43.45pt;height:29.65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21B8BC49" w14:textId="77777777" w:rsidR="008E5838" w:rsidRPr="008E5838" w:rsidRDefault="008E5838" w:rsidP="008E583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583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EC0D8" w14:textId="1E35475D" w:rsidR="0046450A" w:rsidRPr="00ED30D0" w:rsidRDefault="008E5838" w:rsidP="008E5838">
    <w:pPr>
      <w:pStyle w:val="Footer"/>
      <w:tabs>
        <w:tab w:val="clear" w:pos="4513"/>
        <w:tab w:val="center" w:pos="4820"/>
      </w:tabs>
    </w:pPr>
    <w:r>
      <w:t>Department of Agriculture, Fisheries and Forestry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2877" w14:textId="407E56E3" w:rsidR="009F0367" w:rsidRPr="009F0367" w:rsidRDefault="008E5838" w:rsidP="008E5838">
    <w:pPr>
      <w:pStyle w:val="Footer"/>
      <w:tabs>
        <w:tab w:val="clear" w:pos="4513"/>
        <w:tab w:val="left" w:pos="4820"/>
      </w:tabs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7B0F426" wp14:editId="0A9337E4">
              <wp:simplePos x="809625" y="100393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73221914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72301A" w14:textId="77777777" w:rsidR="008E5838" w:rsidRPr="008E5838" w:rsidRDefault="008E5838" w:rsidP="008E583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583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0F42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" style="position:absolute;left:0;text-align:left;margin-left:0;margin-top:0;width:43.45pt;height:29.65pt;z-index:25167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772301A" w14:textId="77777777" w:rsidR="008E5838" w:rsidRPr="008E5838" w:rsidRDefault="008E5838" w:rsidP="008E583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583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144C" w:rsidRPr="009F036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F4549" w14:textId="77777777" w:rsidR="00550D91" w:rsidRDefault="00550D91">
      <w:r>
        <w:separator/>
      </w:r>
    </w:p>
  </w:footnote>
  <w:footnote w:type="continuationSeparator" w:id="0">
    <w:p w14:paraId="2A762B04" w14:textId="77777777" w:rsidR="00550D91" w:rsidRDefault="00550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54AA" w14:textId="77777777" w:rsidR="00CA7136" w:rsidRDefault="008E5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5B55B1A" wp14:editId="0974B3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00524704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3D063" w14:textId="77777777" w:rsidR="008E5838" w:rsidRPr="008E5838" w:rsidRDefault="008E5838" w:rsidP="008E583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583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55B1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left:0;text-align:left;margin-left:0;margin-top:0;width:43.45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4CD3D063" w14:textId="77777777" w:rsidR="008E5838" w:rsidRPr="008E5838" w:rsidRDefault="008E5838" w:rsidP="008E583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583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1661" w14:textId="20160A5A" w:rsidR="008E5838" w:rsidRDefault="008E58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5D26C5B6" wp14:editId="337BCFAE">
              <wp:simplePos x="809625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09256105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F8820" w14:textId="77777777" w:rsidR="008E5838" w:rsidRPr="008E5838" w:rsidRDefault="008E5838" w:rsidP="008E583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583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6C5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OFFICIAL" style="position:absolute;left:0;text-align:left;margin-left:0;margin-top:0;width:43.45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740F8820" w14:textId="77777777" w:rsidR="008E5838" w:rsidRPr="008E5838" w:rsidRDefault="008E5838" w:rsidP="008E583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583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73016994"/>
  <w:p w14:paraId="7E6557A5" w14:textId="77777777" w:rsidR="00617D03" w:rsidRPr="00EC461B" w:rsidRDefault="008E5838" w:rsidP="00EC461B">
    <w:r w:rsidRPr="00EC461B"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C1FE9D4" wp14:editId="7F5A4EB7">
              <wp:simplePos x="809625" y="6096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79929256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CC9B8" w14:textId="77777777" w:rsidR="008E5838" w:rsidRPr="008E5838" w:rsidRDefault="008E5838" w:rsidP="008E5838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E5838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FE9D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0;width:43.45pt;height:29.6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0FCC9B8" w14:textId="77777777" w:rsidR="008E5838" w:rsidRPr="008E5838" w:rsidRDefault="008E5838" w:rsidP="008E5838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E5838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751E" w:rsidRPr="00EC461B">
      <w:rPr>
        <w:noProof/>
      </w:rPr>
      <w:drawing>
        <wp:inline distT="0" distB="0" distL="0" distR="0" wp14:anchorId="468AC77A" wp14:editId="55137D0B">
          <wp:extent cx="1971675" cy="569937"/>
          <wp:effectExtent l="0" t="0" r="0" b="1905"/>
          <wp:docPr id="35706059" name="Picture 35706059" descr="Department of Agriculture, Fisheries and Forest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abl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69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DB9"/>
    <w:multiLevelType w:val="multilevel"/>
    <w:tmpl w:val="DF9CF8EC"/>
    <w:styleLink w:val="BulletList"/>
    <w:lvl w:ilvl="0">
      <w:start w:val="1"/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  <w:color w:val="auto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  <w:color w:val="auto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  <w:color w:val="auto"/>
      </w:rPr>
    </w:lvl>
  </w:abstractNum>
  <w:abstractNum w:abstractNumId="1" w15:restartNumberingAfterBreak="0">
    <w:nsid w:val="0F276FA7"/>
    <w:multiLevelType w:val="hybridMultilevel"/>
    <w:tmpl w:val="D7323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1C6A9E"/>
    <w:multiLevelType w:val="hybridMultilevel"/>
    <w:tmpl w:val="15B2B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35D10"/>
    <w:multiLevelType w:val="hybridMultilevel"/>
    <w:tmpl w:val="D90654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92686"/>
    <w:multiLevelType w:val="hybridMultilevel"/>
    <w:tmpl w:val="2208EECA"/>
    <w:lvl w:ilvl="0" w:tplc="0C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361C7DAA"/>
    <w:multiLevelType w:val="multilevel"/>
    <w:tmpl w:val="CAA83148"/>
    <w:styleLink w:val="Attach"/>
    <w:lvl w:ilvl="0">
      <w:start w:val="1"/>
      <w:numFmt w:val="upperLetter"/>
      <w:lvlText w:val="Attachment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AA12966"/>
    <w:multiLevelType w:val="multilevel"/>
    <w:tmpl w:val="A0241B28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B8F3B04"/>
    <w:multiLevelType w:val="multilevel"/>
    <w:tmpl w:val="47AAA7EE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8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num w:numId="1" w16cid:durableId="340739955">
    <w:abstractNumId w:val="8"/>
  </w:num>
  <w:num w:numId="2" w16cid:durableId="1540624282">
    <w:abstractNumId w:val="0"/>
  </w:num>
  <w:num w:numId="3" w16cid:durableId="1000696171">
    <w:abstractNumId w:val="5"/>
  </w:num>
  <w:num w:numId="4" w16cid:durableId="1043018704">
    <w:abstractNumId w:val="6"/>
  </w:num>
  <w:num w:numId="5" w16cid:durableId="1079400119">
    <w:abstractNumId w:val="7"/>
  </w:num>
  <w:num w:numId="6" w16cid:durableId="1987473345">
    <w:abstractNumId w:val="3"/>
  </w:num>
  <w:num w:numId="7" w16cid:durableId="419788815">
    <w:abstractNumId w:val="4"/>
  </w:num>
  <w:num w:numId="8" w16cid:durableId="1888301653">
    <w:abstractNumId w:val="2"/>
  </w:num>
  <w:num w:numId="9" w16cid:durableId="97144176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EF"/>
    <w:rsid w:val="000001A1"/>
    <w:rsid w:val="000032A0"/>
    <w:rsid w:val="0001300A"/>
    <w:rsid w:val="000131EE"/>
    <w:rsid w:val="0001784D"/>
    <w:rsid w:val="000215D8"/>
    <w:rsid w:val="00031111"/>
    <w:rsid w:val="00047CF6"/>
    <w:rsid w:val="000514BD"/>
    <w:rsid w:val="00052F41"/>
    <w:rsid w:val="000613B1"/>
    <w:rsid w:val="0006757F"/>
    <w:rsid w:val="000679E4"/>
    <w:rsid w:val="000814E9"/>
    <w:rsid w:val="00082E59"/>
    <w:rsid w:val="00091B06"/>
    <w:rsid w:val="00091B79"/>
    <w:rsid w:val="00096D72"/>
    <w:rsid w:val="000A6311"/>
    <w:rsid w:val="000D055D"/>
    <w:rsid w:val="000D06D9"/>
    <w:rsid w:val="000D1751"/>
    <w:rsid w:val="000D1833"/>
    <w:rsid w:val="000E4E7B"/>
    <w:rsid w:val="000E5C12"/>
    <w:rsid w:val="000F2C06"/>
    <w:rsid w:val="000F55E7"/>
    <w:rsid w:val="00100542"/>
    <w:rsid w:val="001059F3"/>
    <w:rsid w:val="00114BA0"/>
    <w:rsid w:val="00114DF6"/>
    <w:rsid w:val="00120538"/>
    <w:rsid w:val="00121E2F"/>
    <w:rsid w:val="0014182C"/>
    <w:rsid w:val="0015123F"/>
    <w:rsid w:val="00156132"/>
    <w:rsid w:val="0015695F"/>
    <w:rsid w:val="0017077A"/>
    <w:rsid w:val="00170D66"/>
    <w:rsid w:val="00170DC6"/>
    <w:rsid w:val="00172AEE"/>
    <w:rsid w:val="0017351A"/>
    <w:rsid w:val="00180A66"/>
    <w:rsid w:val="001827C2"/>
    <w:rsid w:val="0018593E"/>
    <w:rsid w:val="00186E6F"/>
    <w:rsid w:val="001A1B46"/>
    <w:rsid w:val="001A602B"/>
    <w:rsid w:val="001B198C"/>
    <w:rsid w:val="001B2287"/>
    <w:rsid w:val="001C0255"/>
    <w:rsid w:val="001F4637"/>
    <w:rsid w:val="001F4661"/>
    <w:rsid w:val="00204E35"/>
    <w:rsid w:val="00227ECF"/>
    <w:rsid w:val="00231A97"/>
    <w:rsid w:val="00233436"/>
    <w:rsid w:val="00234144"/>
    <w:rsid w:val="00234917"/>
    <w:rsid w:val="00235D34"/>
    <w:rsid w:val="00243C78"/>
    <w:rsid w:val="002561B9"/>
    <w:rsid w:val="00263587"/>
    <w:rsid w:val="0026417C"/>
    <w:rsid w:val="00272B0B"/>
    <w:rsid w:val="002878BB"/>
    <w:rsid w:val="00291B5F"/>
    <w:rsid w:val="00293BDE"/>
    <w:rsid w:val="00294C15"/>
    <w:rsid w:val="002B4251"/>
    <w:rsid w:val="002B74A1"/>
    <w:rsid w:val="002C086E"/>
    <w:rsid w:val="002C6C13"/>
    <w:rsid w:val="002D3EC0"/>
    <w:rsid w:val="002D6848"/>
    <w:rsid w:val="002E351B"/>
    <w:rsid w:val="002E7FBB"/>
    <w:rsid w:val="002F7B6B"/>
    <w:rsid w:val="00323C7D"/>
    <w:rsid w:val="00351F53"/>
    <w:rsid w:val="00352BB1"/>
    <w:rsid w:val="00374588"/>
    <w:rsid w:val="00374903"/>
    <w:rsid w:val="00376A5A"/>
    <w:rsid w:val="00377969"/>
    <w:rsid w:val="00384EC2"/>
    <w:rsid w:val="003860F8"/>
    <w:rsid w:val="0039416C"/>
    <w:rsid w:val="00395870"/>
    <w:rsid w:val="003B10AF"/>
    <w:rsid w:val="003B1B22"/>
    <w:rsid w:val="003B64C4"/>
    <w:rsid w:val="003C356B"/>
    <w:rsid w:val="003C464C"/>
    <w:rsid w:val="003D251E"/>
    <w:rsid w:val="003D63BD"/>
    <w:rsid w:val="003D7036"/>
    <w:rsid w:val="003F7DA8"/>
    <w:rsid w:val="00406DCC"/>
    <w:rsid w:val="00407D3B"/>
    <w:rsid w:val="00411E2E"/>
    <w:rsid w:val="00412531"/>
    <w:rsid w:val="0041656D"/>
    <w:rsid w:val="00463BE8"/>
    <w:rsid w:val="0046450A"/>
    <w:rsid w:val="00474D5B"/>
    <w:rsid w:val="004820BA"/>
    <w:rsid w:val="00490047"/>
    <w:rsid w:val="004A3264"/>
    <w:rsid w:val="004B6AB8"/>
    <w:rsid w:val="004C561D"/>
    <w:rsid w:val="004C7D97"/>
    <w:rsid w:val="004D384E"/>
    <w:rsid w:val="004E30CC"/>
    <w:rsid w:val="004F33A8"/>
    <w:rsid w:val="005102AB"/>
    <w:rsid w:val="00517ECF"/>
    <w:rsid w:val="00520901"/>
    <w:rsid w:val="005268BF"/>
    <w:rsid w:val="00527401"/>
    <w:rsid w:val="005359F0"/>
    <w:rsid w:val="00550D91"/>
    <w:rsid w:val="00564FB9"/>
    <w:rsid w:val="005765CE"/>
    <w:rsid w:val="005815B4"/>
    <w:rsid w:val="00585FD1"/>
    <w:rsid w:val="005B082F"/>
    <w:rsid w:val="005B2F67"/>
    <w:rsid w:val="005C1CD4"/>
    <w:rsid w:val="005C59BD"/>
    <w:rsid w:val="005E3B1F"/>
    <w:rsid w:val="005E3F3F"/>
    <w:rsid w:val="005F748C"/>
    <w:rsid w:val="005F7BA5"/>
    <w:rsid w:val="006025E8"/>
    <w:rsid w:val="00606C45"/>
    <w:rsid w:val="00610613"/>
    <w:rsid w:val="0061716E"/>
    <w:rsid w:val="00617D03"/>
    <w:rsid w:val="00622053"/>
    <w:rsid w:val="00632DAA"/>
    <w:rsid w:val="00633CFB"/>
    <w:rsid w:val="00643018"/>
    <w:rsid w:val="00643BFF"/>
    <w:rsid w:val="006701E1"/>
    <w:rsid w:val="0067092A"/>
    <w:rsid w:val="006A1873"/>
    <w:rsid w:val="006A7754"/>
    <w:rsid w:val="006B2B83"/>
    <w:rsid w:val="006B42AB"/>
    <w:rsid w:val="006C3018"/>
    <w:rsid w:val="006C78D0"/>
    <w:rsid w:val="006D01B3"/>
    <w:rsid w:val="006E0EC3"/>
    <w:rsid w:val="006E2B5F"/>
    <w:rsid w:val="006F3470"/>
    <w:rsid w:val="006F76CC"/>
    <w:rsid w:val="007040E3"/>
    <w:rsid w:val="0071026F"/>
    <w:rsid w:val="00710673"/>
    <w:rsid w:val="00711617"/>
    <w:rsid w:val="00723BDE"/>
    <w:rsid w:val="00725B2A"/>
    <w:rsid w:val="007349E2"/>
    <w:rsid w:val="00743ABB"/>
    <w:rsid w:val="007440F7"/>
    <w:rsid w:val="0074454B"/>
    <w:rsid w:val="00774B4C"/>
    <w:rsid w:val="00777A9A"/>
    <w:rsid w:val="0078277B"/>
    <w:rsid w:val="00783454"/>
    <w:rsid w:val="007854B6"/>
    <w:rsid w:val="00785BEC"/>
    <w:rsid w:val="00792822"/>
    <w:rsid w:val="0079506A"/>
    <w:rsid w:val="007A29DB"/>
    <w:rsid w:val="007A5E53"/>
    <w:rsid w:val="007B20C9"/>
    <w:rsid w:val="007B4347"/>
    <w:rsid w:val="007C527B"/>
    <w:rsid w:val="007D2CE0"/>
    <w:rsid w:val="007E0E38"/>
    <w:rsid w:val="007E17AB"/>
    <w:rsid w:val="007F0F1D"/>
    <w:rsid w:val="00804EA0"/>
    <w:rsid w:val="00804F0B"/>
    <w:rsid w:val="00807AEF"/>
    <w:rsid w:val="008412A4"/>
    <w:rsid w:val="00843C1C"/>
    <w:rsid w:val="008442C2"/>
    <w:rsid w:val="00854106"/>
    <w:rsid w:val="00861326"/>
    <w:rsid w:val="0087312F"/>
    <w:rsid w:val="00873C89"/>
    <w:rsid w:val="008773E5"/>
    <w:rsid w:val="008A0665"/>
    <w:rsid w:val="008A2AB3"/>
    <w:rsid w:val="008A4664"/>
    <w:rsid w:val="008A6BDC"/>
    <w:rsid w:val="008A7468"/>
    <w:rsid w:val="008A7636"/>
    <w:rsid w:val="008B1BA2"/>
    <w:rsid w:val="008B7E56"/>
    <w:rsid w:val="008D0467"/>
    <w:rsid w:val="008D5EF9"/>
    <w:rsid w:val="008D77AD"/>
    <w:rsid w:val="008E5838"/>
    <w:rsid w:val="008F0FF1"/>
    <w:rsid w:val="008F1A09"/>
    <w:rsid w:val="008F1E81"/>
    <w:rsid w:val="008F202F"/>
    <w:rsid w:val="009067DC"/>
    <w:rsid w:val="009125C0"/>
    <w:rsid w:val="009427AA"/>
    <w:rsid w:val="009572ED"/>
    <w:rsid w:val="009746B0"/>
    <w:rsid w:val="00983900"/>
    <w:rsid w:val="009921F3"/>
    <w:rsid w:val="00993DD6"/>
    <w:rsid w:val="009A034A"/>
    <w:rsid w:val="009A412F"/>
    <w:rsid w:val="009A5627"/>
    <w:rsid w:val="009A74DE"/>
    <w:rsid w:val="009B6D01"/>
    <w:rsid w:val="009C3510"/>
    <w:rsid w:val="009D393F"/>
    <w:rsid w:val="009E078F"/>
    <w:rsid w:val="009F0367"/>
    <w:rsid w:val="009F4F48"/>
    <w:rsid w:val="00A01F82"/>
    <w:rsid w:val="00A14D08"/>
    <w:rsid w:val="00A168F1"/>
    <w:rsid w:val="00A16F2C"/>
    <w:rsid w:val="00A22D36"/>
    <w:rsid w:val="00A23868"/>
    <w:rsid w:val="00A27E49"/>
    <w:rsid w:val="00A31CDF"/>
    <w:rsid w:val="00A3751E"/>
    <w:rsid w:val="00A521CB"/>
    <w:rsid w:val="00A54FB8"/>
    <w:rsid w:val="00A56279"/>
    <w:rsid w:val="00A6144C"/>
    <w:rsid w:val="00A645E5"/>
    <w:rsid w:val="00A65E68"/>
    <w:rsid w:val="00A711AF"/>
    <w:rsid w:val="00A7323C"/>
    <w:rsid w:val="00A74736"/>
    <w:rsid w:val="00A74C3E"/>
    <w:rsid w:val="00A74C64"/>
    <w:rsid w:val="00A874AA"/>
    <w:rsid w:val="00A94BCC"/>
    <w:rsid w:val="00AA2167"/>
    <w:rsid w:val="00AA3912"/>
    <w:rsid w:val="00AA47C4"/>
    <w:rsid w:val="00AA7CB2"/>
    <w:rsid w:val="00AB5559"/>
    <w:rsid w:val="00AC37F5"/>
    <w:rsid w:val="00AC4678"/>
    <w:rsid w:val="00AD4BAE"/>
    <w:rsid w:val="00AF63BF"/>
    <w:rsid w:val="00B1156A"/>
    <w:rsid w:val="00B11EEF"/>
    <w:rsid w:val="00B12041"/>
    <w:rsid w:val="00B51968"/>
    <w:rsid w:val="00B73E14"/>
    <w:rsid w:val="00B7743A"/>
    <w:rsid w:val="00B86445"/>
    <w:rsid w:val="00B90E1F"/>
    <w:rsid w:val="00B924B6"/>
    <w:rsid w:val="00B95529"/>
    <w:rsid w:val="00BA0F24"/>
    <w:rsid w:val="00BA7881"/>
    <w:rsid w:val="00BB34E0"/>
    <w:rsid w:val="00BC794A"/>
    <w:rsid w:val="00BE3331"/>
    <w:rsid w:val="00BE76F0"/>
    <w:rsid w:val="00BF7140"/>
    <w:rsid w:val="00C0103F"/>
    <w:rsid w:val="00C02C44"/>
    <w:rsid w:val="00C0797B"/>
    <w:rsid w:val="00C17760"/>
    <w:rsid w:val="00C2266F"/>
    <w:rsid w:val="00C3109F"/>
    <w:rsid w:val="00C322D8"/>
    <w:rsid w:val="00C4688F"/>
    <w:rsid w:val="00C5495A"/>
    <w:rsid w:val="00C57439"/>
    <w:rsid w:val="00C65F8C"/>
    <w:rsid w:val="00C66F30"/>
    <w:rsid w:val="00C721EA"/>
    <w:rsid w:val="00C74C92"/>
    <w:rsid w:val="00C827DA"/>
    <w:rsid w:val="00C82C04"/>
    <w:rsid w:val="00C83D74"/>
    <w:rsid w:val="00CA1720"/>
    <w:rsid w:val="00CA7136"/>
    <w:rsid w:val="00CB10DE"/>
    <w:rsid w:val="00CB67A4"/>
    <w:rsid w:val="00CC49C1"/>
    <w:rsid w:val="00CC76D5"/>
    <w:rsid w:val="00CC7983"/>
    <w:rsid w:val="00CD12E6"/>
    <w:rsid w:val="00D01F6B"/>
    <w:rsid w:val="00D1723D"/>
    <w:rsid w:val="00D3516F"/>
    <w:rsid w:val="00D37335"/>
    <w:rsid w:val="00D428CD"/>
    <w:rsid w:val="00D43648"/>
    <w:rsid w:val="00D446A8"/>
    <w:rsid w:val="00D55F96"/>
    <w:rsid w:val="00D624A3"/>
    <w:rsid w:val="00D67AB1"/>
    <w:rsid w:val="00D7162A"/>
    <w:rsid w:val="00D80621"/>
    <w:rsid w:val="00D90F1E"/>
    <w:rsid w:val="00DB1D7B"/>
    <w:rsid w:val="00DB27B0"/>
    <w:rsid w:val="00DB4BB7"/>
    <w:rsid w:val="00DB5369"/>
    <w:rsid w:val="00DC74A0"/>
    <w:rsid w:val="00DC79A9"/>
    <w:rsid w:val="00DD292A"/>
    <w:rsid w:val="00DF1A7E"/>
    <w:rsid w:val="00DF5DCC"/>
    <w:rsid w:val="00E04485"/>
    <w:rsid w:val="00E161C1"/>
    <w:rsid w:val="00E200CC"/>
    <w:rsid w:val="00E21564"/>
    <w:rsid w:val="00E2568A"/>
    <w:rsid w:val="00E37723"/>
    <w:rsid w:val="00E41A89"/>
    <w:rsid w:val="00E75161"/>
    <w:rsid w:val="00E7620A"/>
    <w:rsid w:val="00E777CE"/>
    <w:rsid w:val="00E77B8C"/>
    <w:rsid w:val="00E86F11"/>
    <w:rsid w:val="00E940C0"/>
    <w:rsid w:val="00E95614"/>
    <w:rsid w:val="00E95ABC"/>
    <w:rsid w:val="00E97A4A"/>
    <w:rsid w:val="00EA214E"/>
    <w:rsid w:val="00EC183F"/>
    <w:rsid w:val="00EC461B"/>
    <w:rsid w:val="00EC55E8"/>
    <w:rsid w:val="00ED009C"/>
    <w:rsid w:val="00ED1B2C"/>
    <w:rsid w:val="00ED30D0"/>
    <w:rsid w:val="00ED327E"/>
    <w:rsid w:val="00EE02DE"/>
    <w:rsid w:val="00EF477D"/>
    <w:rsid w:val="00F02748"/>
    <w:rsid w:val="00F23F93"/>
    <w:rsid w:val="00F24B09"/>
    <w:rsid w:val="00F267AC"/>
    <w:rsid w:val="00F33452"/>
    <w:rsid w:val="00F61EBF"/>
    <w:rsid w:val="00F66EE0"/>
    <w:rsid w:val="00F70602"/>
    <w:rsid w:val="00F75A9D"/>
    <w:rsid w:val="00F8107D"/>
    <w:rsid w:val="00F81F21"/>
    <w:rsid w:val="00F83428"/>
    <w:rsid w:val="00F92297"/>
    <w:rsid w:val="00F93899"/>
    <w:rsid w:val="00FA0421"/>
    <w:rsid w:val="00FC114A"/>
    <w:rsid w:val="00FC2697"/>
    <w:rsid w:val="00FC6CD7"/>
    <w:rsid w:val="00FD1C48"/>
    <w:rsid w:val="00FE21E0"/>
    <w:rsid w:val="00FE3C63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52F45"/>
  <w15:docId w15:val="{AF6E21B9-FB4A-4343-8CD5-0B4BDE4D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uiPriority="11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A4"/>
    <w:pPr>
      <w:spacing w:after="200"/>
    </w:pPr>
    <w:rPr>
      <w:rFonts w:ascii="Calibri" w:hAnsi="Calibri"/>
      <w:lang w:eastAsia="en-US"/>
    </w:rPr>
  </w:style>
  <w:style w:type="paragraph" w:styleId="Heading1">
    <w:name w:val="heading 1"/>
    <w:basedOn w:val="Header"/>
    <w:next w:val="Normal"/>
    <w:link w:val="Heading1Char"/>
    <w:uiPriority w:val="9"/>
    <w:qFormat/>
    <w:rsid w:val="001A602B"/>
    <w:pPr>
      <w:spacing w:after="120"/>
      <w:jc w:val="left"/>
      <w:outlineLvl w:val="0"/>
    </w:pPr>
    <w:rPr>
      <w:b/>
      <w:sz w:val="3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8412A4"/>
    <w:pPr>
      <w:keepNext/>
      <w:spacing w:before="12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12A4"/>
    <w:pPr>
      <w:keepNext/>
      <w:spacing w:after="120"/>
      <w:outlineLvl w:val="2"/>
    </w:pPr>
    <w:rPr>
      <w:rFonts w:cs="Arial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12A4"/>
    <w:pPr>
      <w:keepNext/>
      <w:outlineLvl w:val="3"/>
    </w:pPr>
    <w:rPr>
      <w:rFonts w:cs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8412A4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2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2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iCs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2A4"/>
    <w:pPr>
      <w:keepNext/>
      <w:keepLines/>
      <w:spacing w:before="40" w:after="0"/>
      <w:outlineLvl w:val="7"/>
    </w:pPr>
    <w:rPr>
      <w:rFonts w:asciiTheme="minorHAnsi" w:eastAsiaTheme="majorEastAsia" w:hAnsiTheme="minorHAnsi" w:cstheme="majorBidi"/>
      <w:i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2A4"/>
    <w:pPr>
      <w:keepNext/>
      <w:keepLines/>
      <w:spacing w:before="40" w:after="0"/>
      <w:outlineLvl w:val="8"/>
    </w:pPr>
    <w:rPr>
      <w:rFonts w:asciiTheme="minorHAnsi" w:eastAsiaTheme="majorEastAsia" w:hAnsiTheme="minorHAnsi" w:cstheme="majorBidi"/>
      <w:b/>
      <w:i/>
      <w:i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5D8"/>
    <w:pPr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0215D8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27"/>
    <w:unhideWhenUsed/>
    <w:rsid w:val="00D67AB1"/>
    <w:pPr>
      <w:tabs>
        <w:tab w:val="center" w:pos="4513"/>
        <w:tab w:val="right" w:pos="9026"/>
      </w:tabs>
      <w:spacing w:after="360"/>
      <w:jc w:val="center"/>
    </w:pPr>
  </w:style>
  <w:style w:type="character" w:customStyle="1" w:styleId="FooterChar">
    <w:name w:val="Footer Char"/>
    <w:basedOn w:val="DefaultParagraphFont"/>
    <w:link w:val="Footer"/>
    <w:uiPriority w:val="27"/>
    <w:rsid w:val="00D67AB1"/>
    <w:rPr>
      <w:rFonts w:ascii="Calibri" w:hAnsi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numbering" w:customStyle="1" w:styleId="KeyPoints">
    <w:name w:val="Key Points"/>
    <w:basedOn w:val="NoList"/>
    <w:uiPriority w:val="99"/>
    <w:pPr>
      <w:numPr>
        <w:numId w:val="1"/>
      </w:numPr>
    </w:pPr>
  </w:style>
  <w:style w:type="paragraph" w:customStyle="1" w:styleId="1NumberedPointsStyle">
    <w:name w:val="1. Numbered Points Style"/>
    <w:basedOn w:val="Normal"/>
    <w:uiPriority w:val="99"/>
    <w:semiHidden/>
  </w:style>
  <w:style w:type="numbering" w:customStyle="1" w:styleId="BulletList">
    <w:name w:val="Bullet List"/>
    <w:uiPriority w:val="99"/>
    <w:pPr>
      <w:numPr>
        <w:numId w:val="2"/>
      </w:numPr>
    </w:pPr>
  </w:style>
  <w:style w:type="paragraph" w:customStyle="1" w:styleId="1BulletStyleList">
    <w:name w:val="1. Bullet Style List"/>
    <w:basedOn w:val="Normal"/>
    <w:uiPriority w:val="99"/>
    <w:semiHidden/>
    <w:rPr>
      <w:rFonts w:eastAsia="Times New Roman"/>
      <w:szCs w:val="20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A602B"/>
    <w:rPr>
      <w:rFonts w:ascii="Calibri" w:hAnsi="Calibri"/>
      <w:b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412A4"/>
    <w:rPr>
      <w:rFonts w:ascii="Calibri" w:hAnsi="Calibri"/>
      <w:b/>
      <w:sz w:val="32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8412A4"/>
    <w:rPr>
      <w:rFonts w:ascii="Calibri" w:hAnsi="Calibri" w:cs="Arial"/>
      <w:b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412A4"/>
    <w:rPr>
      <w:rFonts w:ascii="Calibri" w:hAnsi="Calibri" w:cs="Arial"/>
      <w:b/>
      <w:sz w:val="24"/>
      <w:lang w:eastAsia="en-US"/>
    </w:rPr>
  </w:style>
  <w:style w:type="paragraph" w:styleId="ListBullet">
    <w:name w:val="List Bullet"/>
    <w:basedOn w:val="Normal"/>
    <w:uiPriority w:val="99"/>
    <w:qFormat/>
    <w:rsid w:val="000215D8"/>
    <w:pPr>
      <w:numPr>
        <w:numId w:val="4"/>
      </w:numPr>
      <w:spacing w:before="120" w:after="120" w:line="276" w:lineRule="auto"/>
    </w:pPr>
    <w:rPr>
      <w:rFonts w:asciiTheme="minorHAnsi" w:eastAsiaTheme="minorHAnsi" w:hAnsiTheme="minorHAnsi" w:cstheme="minorBidi"/>
    </w:rPr>
  </w:style>
  <w:style w:type="paragraph" w:styleId="ListBullet2">
    <w:name w:val="List Bullet 2"/>
    <w:basedOn w:val="Normal"/>
    <w:uiPriority w:val="8"/>
    <w:qFormat/>
    <w:rsid w:val="000215D8"/>
    <w:pPr>
      <w:numPr>
        <w:ilvl w:val="1"/>
        <w:numId w:val="4"/>
      </w:numPr>
      <w:spacing w:before="120" w:after="120" w:line="276" w:lineRule="auto"/>
      <w:contextualSpacing/>
    </w:pPr>
    <w:rPr>
      <w:rFonts w:asciiTheme="minorHAnsi" w:eastAsiaTheme="minorHAnsi" w:hAnsiTheme="minorHAnsi" w:cstheme="minorBidi"/>
    </w:rPr>
  </w:style>
  <w:style w:type="numbering" w:customStyle="1" w:styleId="Attach">
    <w:name w:val="Attach"/>
    <w:basedOn w:val="NoList"/>
    <w:uiPriority w:val="99"/>
    <w:pPr>
      <w:numPr>
        <w:numId w:val="3"/>
      </w:numPr>
    </w:pPr>
  </w:style>
  <w:style w:type="paragraph" w:customStyle="1" w:styleId="Classification">
    <w:name w:val="Classification"/>
    <w:basedOn w:val="Normal"/>
    <w:autoRedefine/>
    <w:uiPriority w:val="10"/>
    <w:semiHidden/>
    <w:qFormat/>
    <w:rsid w:val="00B12041"/>
    <w:pPr>
      <w:tabs>
        <w:tab w:val="center" w:pos="4536"/>
        <w:tab w:val="center" w:pos="4819"/>
        <w:tab w:val="right" w:pos="9356"/>
      </w:tabs>
      <w:spacing w:after="0"/>
      <w:jc w:val="center"/>
    </w:pPr>
    <w:rPr>
      <w:rFonts w:asciiTheme="minorHAnsi" w:eastAsia="Times New Roman" w:hAnsiTheme="minorHAnsi" w:cs="Arial"/>
      <w:color w:val="FF0000"/>
      <w:sz w:val="28"/>
      <w:szCs w:val="28"/>
      <w:lang w:eastAsia="en-AU"/>
    </w:rPr>
  </w:style>
  <w:style w:type="paragraph" w:styleId="ListNumber">
    <w:name w:val="List Number"/>
    <w:basedOn w:val="Normal"/>
    <w:uiPriority w:val="9"/>
    <w:qFormat/>
    <w:rsid w:val="000215D8"/>
    <w:pPr>
      <w:numPr>
        <w:numId w:val="5"/>
      </w:numPr>
      <w:tabs>
        <w:tab w:val="left" w:pos="142"/>
      </w:tabs>
      <w:spacing w:before="120" w:after="120" w:line="276" w:lineRule="auto"/>
    </w:pPr>
    <w:rPr>
      <w:rFonts w:asciiTheme="minorHAnsi" w:eastAsiaTheme="minorHAnsi" w:hAnsiTheme="minorHAnsi" w:cstheme="minorBidi"/>
    </w:rPr>
  </w:style>
  <w:style w:type="paragraph" w:styleId="ListNumber2">
    <w:name w:val="List Number 2"/>
    <w:uiPriority w:val="10"/>
    <w:qFormat/>
    <w:rsid w:val="000215D8"/>
    <w:pPr>
      <w:numPr>
        <w:ilvl w:val="1"/>
        <w:numId w:val="5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Cs w:val="24"/>
      <w:lang w:eastAsia="en-US"/>
    </w:rPr>
  </w:style>
  <w:style w:type="paragraph" w:styleId="ListNumber3">
    <w:name w:val="List Number 3"/>
    <w:uiPriority w:val="11"/>
    <w:qFormat/>
    <w:rsid w:val="000215D8"/>
    <w:pPr>
      <w:numPr>
        <w:ilvl w:val="2"/>
        <w:numId w:val="5"/>
      </w:numPr>
      <w:spacing w:before="120" w:after="120" w:line="264" w:lineRule="auto"/>
    </w:pPr>
    <w:rPr>
      <w:rFonts w:asciiTheme="minorHAnsi" w:eastAsia="Times New Roman" w:hAnsiTheme="minorHAnsi"/>
      <w:szCs w:val="24"/>
      <w:lang w:eastAsia="en-US"/>
    </w:rPr>
  </w:style>
  <w:style w:type="paragraph" w:customStyle="1" w:styleId="Footerclassification">
    <w:name w:val="Footer classification"/>
    <w:basedOn w:val="Header"/>
    <w:uiPriority w:val="10"/>
    <w:semiHidden/>
    <w:rPr>
      <w:rFonts w:asciiTheme="minorHAnsi" w:hAnsiTheme="minorHAnsi"/>
      <w:b/>
      <w:color w:val="FF0000"/>
      <w:sz w:val="24"/>
      <w:szCs w:val="24"/>
    </w:rPr>
  </w:style>
  <w:style w:type="paragraph" w:customStyle="1" w:styleId="Refnumber">
    <w:name w:val="Ref number"/>
    <w:basedOn w:val="Normal"/>
    <w:next w:val="Normal"/>
    <w:uiPriority w:val="14"/>
    <w:pPr>
      <w:jc w:val="right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greed">
    <w:name w:val="Agreed"/>
    <w:basedOn w:val="Normal"/>
    <w:semiHidden/>
    <w:pPr>
      <w:jc w:val="right"/>
    </w:pPr>
    <w:rPr>
      <w:b/>
    </w:rPr>
  </w:style>
  <w:style w:type="paragraph" w:customStyle="1" w:styleId="TableText">
    <w:name w:val="Table Text"/>
    <w:basedOn w:val="Normal"/>
    <w:qFormat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AU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A7C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CB2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semiHidden/>
    <w:rsid w:val="00E77B8C"/>
    <w:rPr>
      <w:rFonts w:asciiTheme="minorHAnsi" w:hAnsiTheme="minorHAnsi"/>
      <w:sz w:val="22"/>
    </w:rPr>
  </w:style>
  <w:style w:type="paragraph" w:styleId="ListBullet3">
    <w:name w:val="List Bullet 3"/>
    <w:basedOn w:val="Normal"/>
    <w:uiPriority w:val="99"/>
    <w:semiHidden/>
    <w:rsid w:val="000215D8"/>
    <w:pPr>
      <w:numPr>
        <w:ilvl w:val="2"/>
        <w:numId w:val="4"/>
      </w:numPr>
      <w:spacing w:after="120" w:line="276" w:lineRule="auto"/>
      <w:contextualSpacing/>
    </w:pPr>
    <w:rPr>
      <w:rFonts w:asciiTheme="minorHAnsi" w:eastAsiaTheme="minorHAnsi" w:hAnsiTheme="minorHAnsi" w:cstheme="min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2A4"/>
    <w:rPr>
      <w:rFonts w:ascii="Calibri" w:eastAsiaTheme="majorEastAsia" w:hAnsi="Calibri" w:cstheme="majorBidi"/>
      <w:b/>
      <w:color w:val="000000" w:themeColor="text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2A4"/>
    <w:rPr>
      <w:rFonts w:asciiTheme="minorHAnsi" w:eastAsiaTheme="majorEastAsia" w:hAnsiTheme="minorHAnsi" w:cstheme="majorBidi"/>
      <w:i/>
      <w:sz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2A4"/>
    <w:rPr>
      <w:rFonts w:asciiTheme="minorHAnsi" w:eastAsiaTheme="majorEastAsia" w:hAnsiTheme="minorHAnsi" w:cstheme="majorBidi"/>
      <w:iCs/>
      <w:sz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2A4"/>
    <w:rPr>
      <w:rFonts w:asciiTheme="minorHAnsi" w:eastAsiaTheme="majorEastAsia" w:hAnsiTheme="minorHAnsi" w:cstheme="majorBidi"/>
      <w:i/>
      <w:sz w:val="18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2A4"/>
    <w:rPr>
      <w:rFonts w:asciiTheme="minorHAnsi" w:eastAsiaTheme="majorEastAsia" w:hAnsiTheme="minorHAnsi" w:cstheme="majorBidi"/>
      <w:b/>
      <w:i/>
      <w:iCs/>
      <w:sz w:val="18"/>
      <w:szCs w:val="21"/>
      <w:lang w:eastAsia="en-US"/>
    </w:rPr>
  </w:style>
  <w:style w:type="numbering" w:customStyle="1" w:styleId="List1">
    <w:name w:val="List1"/>
    <w:basedOn w:val="NoList"/>
    <w:uiPriority w:val="99"/>
    <w:rsid w:val="00B11EEF"/>
  </w:style>
  <w:style w:type="paragraph" w:styleId="Subtitle">
    <w:name w:val="Subtitle"/>
    <w:basedOn w:val="Normal"/>
    <w:next w:val="Normal"/>
    <w:link w:val="SubtitleChar"/>
    <w:qFormat/>
    <w:rsid w:val="005765CE"/>
    <w:pPr>
      <w:keepNext/>
      <w:keepLines/>
      <w:spacing w:before="120" w:after="0" w:line="276" w:lineRule="auto"/>
      <w:outlineLvl w:val="1"/>
    </w:pPr>
    <w:rPr>
      <w:rFonts w:eastAsia="Times New Roman"/>
      <w:b/>
      <w:bCs/>
      <w:color w:val="4F81BD"/>
      <w:sz w:val="26"/>
      <w:szCs w:val="26"/>
    </w:rPr>
  </w:style>
  <w:style w:type="character" w:customStyle="1" w:styleId="SubtitleChar">
    <w:name w:val="Subtitle Char"/>
    <w:basedOn w:val="DefaultParagraphFont"/>
    <w:link w:val="Subtitle"/>
    <w:rsid w:val="005765CE"/>
    <w:rPr>
      <w:rFonts w:ascii="Calibri" w:eastAsia="Times New Roman" w:hAnsi="Calibri"/>
      <w:b/>
      <w:bCs/>
      <w:color w:val="4F81BD"/>
      <w:sz w:val="26"/>
      <w:szCs w:val="26"/>
      <w:lang w:eastAsia="en-US"/>
    </w:rPr>
  </w:style>
  <w:style w:type="paragraph" w:styleId="ListParagraph">
    <w:name w:val="List Paragraph"/>
    <w:basedOn w:val="Normal"/>
    <w:next w:val="Normal"/>
    <w:uiPriority w:val="34"/>
    <w:qFormat/>
    <w:rsid w:val="005765CE"/>
    <w:pPr>
      <w:spacing w:after="160" w:line="259" w:lineRule="auto"/>
      <w:ind w:left="720"/>
      <w:contextualSpacing/>
    </w:pPr>
    <w:rPr>
      <w:rFonts w:eastAsia="Times New Roman" w:cstheme="minorBidi"/>
      <w:szCs w:val="20"/>
      <w:lang w:eastAsia="en-AU"/>
    </w:rPr>
  </w:style>
  <w:style w:type="paragraph" w:styleId="Revision">
    <w:name w:val="Revision"/>
    <w:hidden/>
    <w:uiPriority w:val="99"/>
    <w:semiHidden/>
    <w:rsid w:val="00A16F2C"/>
    <w:rPr>
      <w:rFonts w:ascii="Calibri" w:hAnsi="Calibri"/>
      <w:lang w:eastAsia="en-US"/>
    </w:rPr>
  </w:style>
  <w:style w:type="character" w:customStyle="1" w:styleId="Advisorytext">
    <w:name w:val="Advisory text"/>
    <w:basedOn w:val="DefaultParagraphFont"/>
    <w:uiPriority w:val="99"/>
    <w:rsid w:val="005C59BD"/>
    <w:rPr>
      <w:color w:val="FF0000"/>
    </w:rPr>
  </w:style>
  <w:style w:type="paragraph" w:customStyle="1" w:styleId="tabletext0">
    <w:name w:val="tabletext"/>
    <w:basedOn w:val="Normal"/>
    <w:rsid w:val="001059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ablea">
    <w:name w:val="tablea"/>
    <w:basedOn w:val="Normal"/>
    <w:rsid w:val="001059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customStyle="1" w:styleId="tablei">
    <w:name w:val="tablei"/>
    <w:basedOn w:val="Normal"/>
    <w:rsid w:val="001059F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C17760"/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4909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5621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6871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616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819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4320">
              <w:marLeft w:val="0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48" w:space="0" w:color="000000"/>
                <w:right w:val="single" w:sz="6" w:space="0" w:color="666666"/>
              </w:divBdr>
              <w:divsChild>
                <w:div w:id="18740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44654">
                      <w:marLeft w:val="15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8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20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63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76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griculture.gov.au/biosecurity-trade/policy/risk-analysis/animal/importation-of-live-garden-snail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agriculture.sharepoint.com/OfficeTemplates/Internal%20briefing/Internal_general_briefing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3c995-2120-4bc0-8922-c25044d37f65">
      <Terms xmlns="http://schemas.microsoft.com/office/infopath/2007/PartnerControls"/>
    </lcf76f155ced4ddcb4097134ff3c332f>
    <TaxCatchAll xmlns="81c01dc6-2c49-4730-b140-874c95cac3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7091A-A3C6-4206-A7CE-6B4153F56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697BDD-6221-40D3-8F15-B77A9512B705}">
  <ds:schemaRefs>
    <ds:schemaRef ds:uri="http://schemas.microsoft.com/office/2006/metadata/properties"/>
    <ds:schemaRef ds:uri="http://schemas.microsoft.com/office/infopath/2007/PartnerControls"/>
    <ds:schemaRef ds:uri="2b53c995-2120-4bc0-8922-c25044d37f65"/>
    <ds:schemaRef ds:uri="81c01dc6-2c49-4730-b140-874c95cac377"/>
  </ds:schemaRefs>
</ds:datastoreItem>
</file>

<file path=customXml/itemProps3.xml><?xml version="1.0" encoding="utf-8"?>
<ds:datastoreItem xmlns:ds="http://schemas.openxmlformats.org/officeDocument/2006/customXml" ds:itemID="{2948FF22-ADB1-4805-837D-C876BAEE9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4DBCE3-ADBB-4C0C-96FB-97FE22C631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Internal_general_briefing_template</Template>
  <TotalTime>3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cost recovery legislation in the 2026-27 financial year</vt:lpstr>
    </vt:vector>
  </TitlesOfParts>
  <Manager/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cost recovery legislation in the 2026-27 financial year</dc:title>
  <dc:subject>
  </dc:subject>
  <dc:creator>Department of Agriculture, Fisheries and Forestry</dc:creator>
  <cp:keywords>
  </cp:keywords>
  <dc:description>
  </dc:description>
  <cp:revision>4</cp:revision>
  <cp:lastPrinted>2021-12-15T06:45:00Z</cp:lastPrinted>
  <dcterms:created xsi:type="dcterms:W3CDTF">2026-04-12T10:24:00Z</dcterms:created>
  <dcterms:modified xsi:type="dcterms:W3CDTF">2026-06-15T08:34:00Z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ClassificationContentMarkingHeaderShapeIds">
    <vt:lpwstr>5b1917dd,5c8a9147,6b3f0697,7785a441,126edfa9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7fc415c1,331e72d6,4be3d31a,6c294419,5e6cbb1e</vt:lpwstr>
  </property>
  <property fmtid="{D5CDD505-2E9C-101B-9397-08002B2CF9AE}" pid="7" name="ClassificationContentMarkingFooterFontProps">
    <vt:lpwstr>#ff0000,12,Calibri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933d8be6-3c40-4052-87a2-9c2adcba8759_Enabled">
    <vt:lpwstr>true</vt:lpwstr>
  </property>
  <property fmtid="{D5CDD505-2E9C-101B-9397-08002B2CF9AE}" pid="10" name="MSIP_Label_933d8be6-3c40-4052-87a2-9c2adcba8759_SetDate">
    <vt:lpwstr>2024-07-18T01:01:50Z</vt:lpwstr>
  </property>
  <property fmtid="{D5CDD505-2E9C-101B-9397-08002B2CF9AE}" pid="11" name="MSIP_Label_933d8be6-3c40-4052-87a2-9c2adcba8759_Method">
    <vt:lpwstr>Privileged</vt:lpwstr>
  </property>
  <property fmtid="{D5CDD505-2E9C-101B-9397-08002B2CF9AE}" pid="12" name="MSIP_Label_933d8be6-3c40-4052-87a2-9c2adcba8759_Name">
    <vt:lpwstr>OFFICIAL</vt:lpwstr>
  </property>
  <property fmtid="{D5CDD505-2E9C-101B-9397-08002B2CF9AE}" pid="13" name="MSIP_Label_933d8be6-3c40-4052-87a2-9c2adcba8759_SiteId">
    <vt:lpwstr>2be67eb7-400c-4b3f-a5a1-1258c0da0696</vt:lpwstr>
  </property>
  <property fmtid="{D5CDD505-2E9C-101B-9397-08002B2CF9AE}" pid="14" name="MSIP_Label_933d8be6-3c40-4052-87a2-9c2adcba8759_ActionId">
    <vt:lpwstr>dd0a2b11-b52b-47d4-ba3b-06f87501d99f</vt:lpwstr>
  </property>
  <property fmtid="{D5CDD505-2E9C-101B-9397-08002B2CF9AE}" pid="15" name="MSIP_Label_933d8be6-3c40-4052-87a2-9c2adcba8759_ContentBits">
    <vt:lpwstr>3</vt:lpwstr>
  </property>
  <property fmtid="{D5CDD505-2E9C-101B-9397-08002B2CF9AE}" pid="16" name="MediaServiceImageTags">
    <vt:lpwstr/>
  </property>
</Properties>
</file>