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2269FB4" w14:textId="361A7EFD" w:rsidR="00ED0614" w:rsidRPr="003E4A7B" w:rsidRDefault="006D2A58">
      <w:pPr>
        <w:pStyle w:val="Heading1"/>
      </w:pPr>
      <w:r w:rsidRPr="006D2A58">
        <w:t>Channel catfish virus disease (CCVD)</w:t>
      </w:r>
    </w:p>
    <w:p w14:paraId="47AB572D" w14:textId="7E44FFB9" w:rsidR="000C051E" w:rsidRDefault="000C051E" w:rsidP="000C051E">
      <w:pPr>
        <w:pStyle w:val="Subtitle"/>
      </w:pPr>
      <w:r>
        <w:rPr>
          <w:sz w:val="24"/>
          <w:szCs w:val="24"/>
        </w:rPr>
        <w:t xml:space="preserve">Also known </w:t>
      </w:r>
      <w:r w:rsidRPr="00171D49">
        <w:rPr>
          <w:sz w:val="24"/>
          <w:szCs w:val="24"/>
        </w:rPr>
        <w:t xml:space="preserve">as </w:t>
      </w:r>
      <w:r w:rsidR="006D2A58" w:rsidRPr="006D2A58">
        <w:rPr>
          <w:sz w:val="24"/>
          <w:szCs w:val="24"/>
        </w:rPr>
        <w:t>infec</w:t>
      </w:r>
      <w:r w:rsidR="006D2A58">
        <w:rPr>
          <w:sz w:val="24"/>
          <w:szCs w:val="24"/>
        </w:rPr>
        <w:t xml:space="preserve">tion with </w:t>
      </w:r>
      <w:r w:rsidR="006D2A58" w:rsidRPr="000347EA">
        <w:rPr>
          <w:sz w:val="24"/>
          <w:szCs w:val="24"/>
        </w:rPr>
        <w:t>Ictalurid</w:t>
      </w:r>
      <w:r w:rsidR="006D2A58">
        <w:rPr>
          <w:sz w:val="24"/>
          <w:szCs w:val="24"/>
        </w:rPr>
        <w:t xml:space="preserve"> herpesvirus </w:t>
      </w:r>
      <w:r w:rsidR="006D2A58" w:rsidRPr="006D2A58">
        <w:rPr>
          <w:sz w:val="24"/>
          <w:szCs w:val="24"/>
        </w:rPr>
        <w:t>1</w:t>
      </w:r>
    </w:p>
    <w:p w14:paraId="16BA856D" w14:textId="77777777" w:rsidR="00ED0614" w:rsidRDefault="00E260DC">
      <w:pPr>
        <w:pStyle w:val="Subtitle"/>
      </w:pPr>
      <w:r>
        <w:t xml:space="preserve">From </w:t>
      </w:r>
      <w:r>
        <w:rPr>
          <w:rStyle w:val="Emphasis"/>
        </w:rPr>
        <w:t>Aquatic animal diseases significant to Australia: identification field guide</w:t>
      </w:r>
      <w:r>
        <w:t>, 5th edition</w:t>
      </w:r>
    </w:p>
    <w:p w14:paraId="0C9D70DB" w14:textId="4973BB93" w:rsidR="00ED0614" w:rsidRDefault="00E260DC">
      <w:pPr>
        <w:pStyle w:val="Caption"/>
      </w:pPr>
      <w:r>
        <w:t xml:space="preserve">Figure </w:t>
      </w:r>
      <w:r>
        <w:rPr>
          <w:noProof/>
        </w:rPr>
        <w:fldChar w:fldCharType="begin"/>
      </w:r>
      <w:r>
        <w:rPr>
          <w:noProof/>
        </w:rPr>
        <w:instrText xml:space="preserve"> SEQ Figure \* ARABIC </w:instrText>
      </w:r>
      <w:r>
        <w:rPr>
          <w:noProof/>
        </w:rPr>
        <w:fldChar w:fldCharType="separate"/>
      </w:r>
      <w:r w:rsidR="00897F35">
        <w:rPr>
          <w:noProof/>
        </w:rPr>
        <w:t>1</w:t>
      </w:r>
      <w:r>
        <w:rPr>
          <w:noProof/>
        </w:rPr>
        <w:fldChar w:fldCharType="end"/>
      </w:r>
      <w:r>
        <w:t xml:space="preserve"> </w:t>
      </w:r>
      <w:r w:rsidR="008F518C">
        <w:t>C</w:t>
      </w:r>
      <w:r w:rsidR="006D2A58" w:rsidRPr="006D2A58">
        <w:t>hannel catfish (</w:t>
      </w:r>
      <w:r w:rsidR="006D2A58" w:rsidRPr="006D2A58">
        <w:rPr>
          <w:rStyle w:val="Emphasis"/>
        </w:rPr>
        <w:t>Ictalurus punctatus</w:t>
      </w:r>
      <w:r w:rsidR="006D2A58" w:rsidRPr="006D2A58">
        <w:t>) fingerling showing signs of CCVD</w:t>
      </w:r>
    </w:p>
    <w:p w14:paraId="0EFF3543" w14:textId="40469218" w:rsidR="00ED0614" w:rsidRPr="003E4A7B" w:rsidRDefault="006D2A58">
      <w:r w:rsidRPr="00942A2A">
        <w:rPr>
          <w:noProof/>
          <w:lang w:eastAsia="en-AU"/>
        </w:rPr>
        <w:drawing>
          <wp:inline distT="0" distB="0" distL="0" distR="0" wp14:anchorId="6E5F8925" wp14:editId="29D20093">
            <wp:extent cx="3958620" cy="2154804"/>
            <wp:effectExtent l="0" t="0" r="3810" b="0"/>
            <wp:docPr id="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VD1.jpg"/>
                    <pic:cNvPicPr/>
                  </pic:nvPicPr>
                  <pic:blipFill rotWithShape="1">
                    <a:blip r:embed="rId11" cstate="print">
                      <a:extLst>
                        <a:ext uri="{BEBA8EAE-BF5A-486C-A8C5-ECC9F3942E4B}">
                          <a14:imgProps xmlns:a14="http://schemas.microsoft.com/office/drawing/2010/main">
                            <a14:imgLayer r:embed="rId12">
                              <a14:imgEffect>
                                <a14:brightnessContrast bright="-20000" contrast="20000"/>
                              </a14:imgEffect>
                            </a14:imgLayer>
                          </a14:imgProps>
                        </a:ext>
                      </a:extLst>
                    </a:blip>
                    <a:srcRect t="1414" r="29439" b="30956"/>
                    <a:stretch/>
                  </pic:blipFill>
                  <pic:spPr bwMode="auto">
                    <a:xfrm>
                      <a:off x="0" y="0"/>
                      <a:ext cx="3960000" cy="2155555"/>
                    </a:xfrm>
                    <a:prstGeom prst="rect">
                      <a:avLst/>
                    </a:prstGeom>
                    <a:ln>
                      <a:noFill/>
                    </a:ln>
                    <a:extLst>
                      <a:ext uri="{53640926-AAD7-44D8-BBD7-CCE9431645EC}">
                        <a14:shadowObscured xmlns:a14="http://schemas.microsoft.com/office/drawing/2010/main"/>
                      </a:ext>
                    </a:extLst>
                  </pic:spPr>
                </pic:pic>
              </a:graphicData>
            </a:graphic>
          </wp:inline>
        </w:drawing>
      </w:r>
    </w:p>
    <w:p w14:paraId="76D658EB" w14:textId="7853DC04" w:rsidR="006D2A58" w:rsidRDefault="00E260DC" w:rsidP="006D2A58">
      <w:pPr>
        <w:pStyle w:val="FigureTableNoteSource"/>
      </w:pPr>
      <w:r>
        <w:t xml:space="preserve">Note: </w:t>
      </w:r>
      <w:r w:rsidR="006D2A58">
        <w:t>Swollen abdomen and popeye.</w:t>
      </w:r>
    </w:p>
    <w:p w14:paraId="0FE7139E" w14:textId="181E2191" w:rsidR="00ED0614" w:rsidRPr="003E4A7B" w:rsidRDefault="006D2A58" w:rsidP="006D2A58">
      <w:pPr>
        <w:pStyle w:val="FigureTableNoteSource"/>
      </w:pPr>
      <w:r>
        <w:t>Source: LA Hanson</w:t>
      </w:r>
    </w:p>
    <w:p w14:paraId="2EE83D63" w14:textId="08590399" w:rsidR="00ED0614" w:rsidRPr="003E4A7B" w:rsidRDefault="00E260DC">
      <w:pPr>
        <w:pStyle w:val="Caption"/>
      </w:pPr>
      <w:r>
        <w:t xml:space="preserve">Figure </w:t>
      </w:r>
      <w:r>
        <w:rPr>
          <w:noProof/>
        </w:rPr>
        <w:fldChar w:fldCharType="begin"/>
      </w:r>
      <w:r>
        <w:rPr>
          <w:noProof/>
        </w:rPr>
        <w:instrText xml:space="preserve"> SEQ Figure \* ARABIC </w:instrText>
      </w:r>
      <w:r>
        <w:rPr>
          <w:noProof/>
        </w:rPr>
        <w:fldChar w:fldCharType="separate"/>
      </w:r>
      <w:r w:rsidR="00897F35">
        <w:rPr>
          <w:noProof/>
        </w:rPr>
        <w:t>2</w:t>
      </w:r>
      <w:r>
        <w:rPr>
          <w:noProof/>
        </w:rPr>
        <w:fldChar w:fldCharType="end"/>
      </w:r>
      <w:r w:rsidR="006D2A58" w:rsidRPr="006D2A58">
        <w:t xml:space="preserve"> </w:t>
      </w:r>
      <w:r w:rsidR="00E63C0D">
        <w:t>C</w:t>
      </w:r>
      <w:r w:rsidR="006D2A58" w:rsidRPr="006D2A58">
        <w:t>hannel catfish (</w:t>
      </w:r>
      <w:r w:rsidR="006D2A58" w:rsidRPr="00E63C0D">
        <w:rPr>
          <w:rStyle w:val="Emphasis"/>
        </w:rPr>
        <w:t>Ictalurus punctatus</w:t>
      </w:r>
      <w:r w:rsidR="006D2A58" w:rsidRPr="006D2A58">
        <w:t>) with CCV</w:t>
      </w:r>
      <w:r w:rsidR="00E63C0D">
        <w:t>D</w:t>
      </w:r>
    </w:p>
    <w:p w14:paraId="1E87C028" w14:textId="693BE378" w:rsidR="00ED0614" w:rsidRPr="003E4A7B" w:rsidRDefault="006D2A58">
      <w:r w:rsidRPr="00543628">
        <w:rPr>
          <w:noProof/>
          <w:lang w:eastAsia="en-AU"/>
        </w:rPr>
        <w:drawing>
          <wp:inline distT="0" distB="0" distL="0" distR="0" wp14:anchorId="399251C1" wp14:editId="2308D02E">
            <wp:extent cx="3958532" cy="2838201"/>
            <wp:effectExtent l="0" t="0" r="4445" b="635"/>
            <wp:docPr id="1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VD2.jpg"/>
                    <pic:cNvPicPr/>
                  </pic:nvPicPr>
                  <pic:blipFill rotWithShape="1">
                    <a:blip r:embed="rId13" cstate="print"/>
                    <a:srcRect l="2927" t="8357" r="22381" b="-209"/>
                    <a:stretch/>
                  </pic:blipFill>
                  <pic:spPr bwMode="auto">
                    <a:xfrm>
                      <a:off x="0" y="0"/>
                      <a:ext cx="3960000" cy="2839254"/>
                    </a:xfrm>
                    <a:prstGeom prst="rect">
                      <a:avLst/>
                    </a:prstGeom>
                    <a:ln>
                      <a:noFill/>
                    </a:ln>
                    <a:extLst>
                      <a:ext uri="{53640926-AAD7-44D8-BBD7-CCE9431645EC}">
                        <a14:shadowObscured xmlns:a14="http://schemas.microsoft.com/office/drawing/2010/main"/>
                      </a:ext>
                    </a:extLst>
                  </pic:spPr>
                </pic:pic>
              </a:graphicData>
            </a:graphic>
          </wp:inline>
        </w:drawing>
      </w:r>
    </w:p>
    <w:p w14:paraId="5259FFC0" w14:textId="77777777" w:rsidR="006D2A58" w:rsidRDefault="00E260DC" w:rsidP="006D2A58">
      <w:pPr>
        <w:pStyle w:val="FigureTableNoteSource"/>
      </w:pPr>
      <w:r>
        <w:t xml:space="preserve">Note: </w:t>
      </w:r>
      <w:r w:rsidR="006D2A58">
        <w:t>Haemorrhages present on the base of the body, gills and fins.</w:t>
      </w:r>
    </w:p>
    <w:p w14:paraId="28C1C697" w14:textId="3D0D57C5" w:rsidR="00ED0614" w:rsidRDefault="006D2A58" w:rsidP="006D2A58">
      <w:pPr>
        <w:pStyle w:val="FigureTableNoteSource"/>
      </w:pPr>
      <w:r>
        <w:t xml:space="preserve">Source: United States </w:t>
      </w:r>
      <w:r w:rsidR="00897F35">
        <w:t>Department of Agriculture, Water and the Environment</w:t>
      </w:r>
    </w:p>
    <w:p w14:paraId="34D7581A" w14:textId="5505BD6C" w:rsidR="00ED0614" w:rsidRDefault="00E260DC" w:rsidP="00E63C0D">
      <w:pPr>
        <w:pStyle w:val="Heading2"/>
        <w:pageBreakBefore/>
      </w:pPr>
      <w:r>
        <w:lastRenderedPageBreak/>
        <w:t>Signs of disease</w:t>
      </w:r>
    </w:p>
    <w:p w14:paraId="445BBFA4" w14:textId="77777777" w:rsidR="00ED0614" w:rsidRDefault="00E260DC">
      <w:pPr>
        <w:rPr>
          <w:lang w:eastAsia="ja-JP"/>
        </w:rPr>
      </w:pPr>
      <w:r>
        <w:rPr>
          <w:lang w:eastAsia="ja-JP"/>
        </w:rPr>
        <w:t>Important: Animals with this disease may show one or more of these signs, but the pathogen may still be present in the absence of any signs.</w:t>
      </w:r>
    </w:p>
    <w:p w14:paraId="0ED3BEC6" w14:textId="77777777" w:rsidR="00ED0614" w:rsidRDefault="00E260DC">
      <w:pPr>
        <w:rPr>
          <w:lang w:eastAsia="ja-JP"/>
        </w:rPr>
      </w:pPr>
      <w:r>
        <w:rPr>
          <w:lang w:eastAsia="ja-JP"/>
        </w:rPr>
        <w:t>Disease signs at the farm, tank or pond level are:</w:t>
      </w:r>
    </w:p>
    <w:p w14:paraId="49C48004" w14:textId="683C389C" w:rsidR="006D2A58" w:rsidRDefault="006D2A58" w:rsidP="006D2A58">
      <w:pPr>
        <w:pStyle w:val="ListBullet"/>
        <w:rPr>
          <w:lang w:eastAsia="ja-JP"/>
        </w:rPr>
      </w:pPr>
      <w:r>
        <w:rPr>
          <w:lang w:eastAsia="ja-JP"/>
        </w:rPr>
        <w:t>decreased feeding activity (usually the first sign</w:t>
      </w:r>
      <w:r w:rsidR="00E63C0D">
        <w:rPr>
          <w:lang w:eastAsia="ja-JP"/>
        </w:rPr>
        <w:t xml:space="preserve"> of disease</w:t>
      </w:r>
      <w:r>
        <w:rPr>
          <w:lang w:eastAsia="ja-JP"/>
        </w:rPr>
        <w:t>)</w:t>
      </w:r>
    </w:p>
    <w:p w14:paraId="127007D4" w14:textId="77777777" w:rsidR="006D2A58" w:rsidRDefault="006D2A58" w:rsidP="006D2A58">
      <w:pPr>
        <w:pStyle w:val="ListBullet"/>
        <w:rPr>
          <w:lang w:eastAsia="ja-JP"/>
        </w:rPr>
      </w:pPr>
      <w:r>
        <w:rPr>
          <w:lang w:eastAsia="ja-JP"/>
        </w:rPr>
        <w:t>high mortality in fry and juvenile catfish</w:t>
      </w:r>
    </w:p>
    <w:p w14:paraId="6EE8FDF2" w14:textId="77777777" w:rsidR="006D2A58" w:rsidRDefault="006D2A58" w:rsidP="006D2A58">
      <w:pPr>
        <w:pStyle w:val="ListBullet"/>
        <w:rPr>
          <w:lang w:eastAsia="ja-JP"/>
        </w:rPr>
      </w:pPr>
      <w:r>
        <w:rPr>
          <w:lang w:eastAsia="ja-JP"/>
        </w:rPr>
        <w:t>erratic swimming</w:t>
      </w:r>
    </w:p>
    <w:p w14:paraId="7B631403" w14:textId="77777777" w:rsidR="006D2A58" w:rsidRDefault="006D2A58" w:rsidP="006D2A58">
      <w:pPr>
        <w:pStyle w:val="ListBullet"/>
        <w:rPr>
          <w:lang w:eastAsia="ja-JP"/>
        </w:rPr>
      </w:pPr>
      <w:r>
        <w:rPr>
          <w:lang w:eastAsia="ja-JP"/>
        </w:rPr>
        <w:t>brief episodes of hyperactivity when fish are disturbed, followed by extended periods of lethargy</w:t>
      </w:r>
    </w:p>
    <w:p w14:paraId="64631B6C" w14:textId="78DD1F78" w:rsidR="00ED0614" w:rsidRDefault="006D2A58" w:rsidP="006D2A58">
      <w:pPr>
        <w:pStyle w:val="ListBullet"/>
        <w:rPr>
          <w:lang w:eastAsia="ja-JP"/>
        </w:rPr>
      </w:pPr>
      <w:r>
        <w:rPr>
          <w:lang w:eastAsia="ja-JP"/>
        </w:rPr>
        <w:t>large congregations of fish at the sides of hatching troughs or ponds, motionless in a head-up tail-down position</w:t>
      </w:r>
      <w:r w:rsidR="00E260DC">
        <w:rPr>
          <w:lang w:eastAsia="ja-JP"/>
        </w:rPr>
        <w:t>.</w:t>
      </w:r>
    </w:p>
    <w:p w14:paraId="491FFB70" w14:textId="77777777" w:rsidR="00ED0614" w:rsidRDefault="00E260DC">
      <w:pPr>
        <w:rPr>
          <w:lang w:eastAsia="ja-JP"/>
        </w:rPr>
      </w:pPr>
      <w:r>
        <w:rPr>
          <w:lang w:eastAsia="ja-JP"/>
        </w:rPr>
        <w:t>Gross pathological signs are:</w:t>
      </w:r>
    </w:p>
    <w:p w14:paraId="7F890B07" w14:textId="77777777" w:rsidR="006D2A58" w:rsidRDefault="006D2A58" w:rsidP="006D2A58">
      <w:pPr>
        <w:pStyle w:val="ListBullet"/>
        <w:rPr>
          <w:lang w:eastAsia="ja-JP"/>
        </w:rPr>
      </w:pPr>
      <w:r>
        <w:rPr>
          <w:lang w:eastAsia="ja-JP"/>
        </w:rPr>
        <w:t>swollen abdomen</w:t>
      </w:r>
    </w:p>
    <w:p w14:paraId="47790620" w14:textId="77777777" w:rsidR="006D2A58" w:rsidRDefault="006D2A58" w:rsidP="006D2A58">
      <w:pPr>
        <w:pStyle w:val="ListBullet"/>
        <w:rPr>
          <w:lang w:eastAsia="ja-JP"/>
        </w:rPr>
      </w:pPr>
      <w:r>
        <w:rPr>
          <w:lang w:eastAsia="ja-JP"/>
        </w:rPr>
        <w:t>exophthalmos (popeye)</w:t>
      </w:r>
    </w:p>
    <w:p w14:paraId="08ECD9C3" w14:textId="77777777" w:rsidR="006D2A58" w:rsidRDefault="006D2A58" w:rsidP="006D2A58">
      <w:pPr>
        <w:pStyle w:val="ListBullet"/>
        <w:rPr>
          <w:lang w:eastAsia="ja-JP"/>
        </w:rPr>
      </w:pPr>
      <w:r>
        <w:rPr>
          <w:lang w:eastAsia="ja-JP"/>
        </w:rPr>
        <w:t>haemorrhaging of fins and ventral abdomen</w:t>
      </w:r>
    </w:p>
    <w:p w14:paraId="016AC30B" w14:textId="77777777" w:rsidR="006D2A58" w:rsidRDefault="006D2A58" w:rsidP="006D2A58">
      <w:pPr>
        <w:pStyle w:val="ListBullet"/>
        <w:rPr>
          <w:lang w:eastAsia="ja-JP"/>
        </w:rPr>
      </w:pPr>
      <w:r>
        <w:rPr>
          <w:lang w:eastAsia="ja-JP"/>
        </w:rPr>
        <w:t>haemorrhaging of the musculature, liver and kidneys</w:t>
      </w:r>
    </w:p>
    <w:p w14:paraId="77C92F1F" w14:textId="77777777" w:rsidR="006D2A58" w:rsidRDefault="006D2A58" w:rsidP="006D2A58">
      <w:pPr>
        <w:pStyle w:val="ListBullet"/>
        <w:rPr>
          <w:lang w:eastAsia="ja-JP"/>
        </w:rPr>
      </w:pPr>
      <w:r>
        <w:rPr>
          <w:lang w:eastAsia="ja-JP"/>
        </w:rPr>
        <w:t>dark and enlarged spleen</w:t>
      </w:r>
    </w:p>
    <w:p w14:paraId="7C21A5F4" w14:textId="77777777" w:rsidR="006D2A58" w:rsidRDefault="006D2A58" w:rsidP="006D2A58">
      <w:pPr>
        <w:pStyle w:val="ListBullet"/>
        <w:rPr>
          <w:lang w:eastAsia="ja-JP"/>
        </w:rPr>
      </w:pPr>
      <w:r>
        <w:rPr>
          <w:lang w:eastAsia="ja-JP"/>
        </w:rPr>
        <w:t>fluid in the abdominal cavity</w:t>
      </w:r>
    </w:p>
    <w:p w14:paraId="06EC2B36" w14:textId="31E88A63" w:rsidR="00ED0614" w:rsidRDefault="006D2A58" w:rsidP="006D2A58">
      <w:pPr>
        <w:pStyle w:val="ListBullet"/>
        <w:rPr>
          <w:lang w:eastAsia="ja-JP"/>
        </w:rPr>
      </w:pPr>
      <w:r>
        <w:rPr>
          <w:lang w:eastAsia="ja-JP"/>
        </w:rPr>
        <w:t>pale, enlarged kidneys, which may be the only internal indication of disease in infected fish</w:t>
      </w:r>
      <w:r w:rsidR="00E260DC">
        <w:rPr>
          <w:lang w:eastAsia="ja-JP"/>
        </w:rPr>
        <w:t>.</w:t>
      </w:r>
    </w:p>
    <w:p w14:paraId="2D426F0A" w14:textId="77777777" w:rsidR="00ED0614" w:rsidRDefault="00E260DC">
      <w:pPr>
        <w:rPr>
          <w:lang w:eastAsia="ja-JP"/>
        </w:rPr>
      </w:pPr>
      <w:r>
        <w:rPr>
          <w:lang w:eastAsia="ja-JP"/>
        </w:rPr>
        <w:t>Microscopic pathological signs are:</w:t>
      </w:r>
    </w:p>
    <w:p w14:paraId="68AAA3DA" w14:textId="58B71DD8" w:rsidR="00ED0614" w:rsidRDefault="006D2A58" w:rsidP="006D2A58">
      <w:pPr>
        <w:pStyle w:val="ListBullet"/>
        <w:rPr>
          <w:lang w:val="en-US"/>
        </w:rPr>
      </w:pPr>
      <w:r w:rsidRPr="006D2A58">
        <w:rPr>
          <w:lang w:val="en-US"/>
        </w:rPr>
        <w:t>extensive necrosis of renal tubules and interstitial tissues of the kidney</w:t>
      </w:r>
      <w:r w:rsidR="00E260DC">
        <w:rPr>
          <w:lang w:val="en-US"/>
        </w:rPr>
        <w:t>.</w:t>
      </w:r>
    </w:p>
    <w:p w14:paraId="755CDE80" w14:textId="77777777" w:rsidR="00ED0614" w:rsidRDefault="00E260DC">
      <w:pPr>
        <w:pStyle w:val="Heading2"/>
      </w:pPr>
      <w:r>
        <w:t>Disease agent</w:t>
      </w:r>
    </w:p>
    <w:p w14:paraId="06D0BB75" w14:textId="7E0892F6" w:rsidR="00ED0614" w:rsidRDefault="006D2A58" w:rsidP="008B4009">
      <w:r w:rsidRPr="006D2A58">
        <w:t xml:space="preserve">CCVD is caused by </w:t>
      </w:r>
      <w:r w:rsidR="00AD683C" w:rsidRPr="006D2A58">
        <w:t>infection with Ictalurid herpesvirus</w:t>
      </w:r>
      <w:r w:rsidR="00AD683C">
        <w:t> </w:t>
      </w:r>
      <w:r w:rsidR="00AD683C" w:rsidRPr="006D2A58">
        <w:t>1</w:t>
      </w:r>
      <w:r w:rsidR="00AD683C">
        <w:t xml:space="preserve">, </w:t>
      </w:r>
      <w:r w:rsidRPr="006D2A58">
        <w:t xml:space="preserve">a double stranded DNA herpes virus classified within the genus </w:t>
      </w:r>
      <w:r w:rsidRPr="006D2A58">
        <w:rPr>
          <w:rStyle w:val="Emphasis"/>
        </w:rPr>
        <w:t>Ictalurivirus</w:t>
      </w:r>
      <w:r w:rsidRPr="006D2A58">
        <w:t xml:space="preserve">, from the family </w:t>
      </w:r>
      <w:r w:rsidRPr="006D2A58">
        <w:rPr>
          <w:rStyle w:val="Emphasis"/>
        </w:rPr>
        <w:t>Alloherpesviridae</w:t>
      </w:r>
      <w:r w:rsidR="008B4009">
        <w:t>.</w:t>
      </w:r>
    </w:p>
    <w:p w14:paraId="10B41ACC" w14:textId="77777777" w:rsidR="00ED0614" w:rsidRDefault="00E260DC">
      <w:pPr>
        <w:pStyle w:val="Heading2"/>
        <w:keepLines/>
      </w:pPr>
      <w:r>
        <w:t>Host range</w:t>
      </w:r>
    </w:p>
    <w:p w14:paraId="60EA061D" w14:textId="47C94837" w:rsidR="006D2A58" w:rsidRPr="006D2A58" w:rsidRDefault="006D2A58" w:rsidP="006D2A58">
      <w:pPr>
        <w:rPr>
          <w:lang w:eastAsia="ja-JP"/>
        </w:rPr>
      </w:pPr>
      <w:r w:rsidRPr="006D2A58">
        <w:rPr>
          <w:lang w:eastAsia="ja-JP"/>
        </w:rPr>
        <w:t xml:space="preserve">CCVD has been reported from blue catfish, channel catfish and channel catfish hybrids cultured in the USA, as well as </w:t>
      </w:r>
      <w:r w:rsidRPr="006D2A58">
        <w:rPr>
          <w:rStyle w:val="Emphasis"/>
          <w:lang w:eastAsia="ja-JP"/>
        </w:rPr>
        <w:t>Pangasius</w:t>
      </w:r>
      <w:r w:rsidRPr="006D2A58">
        <w:rPr>
          <w:lang w:eastAsia="ja-JP"/>
        </w:rPr>
        <w:t xml:space="preserve"> (Basa) catfish cultured in Asia. Ictalurid herpesvirus</w:t>
      </w:r>
      <w:r w:rsidR="00E63C0D">
        <w:rPr>
          <w:lang w:eastAsia="ja-JP"/>
        </w:rPr>
        <w:t> </w:t>
      </w:r>
      <w:r w:rsidRPr="006D2A58">
        <w:rPr>
          <w:lang w:eastAsia="ja-JP"/>
        </w:rPr>
        <w:t>1 has also been isolated from crucian carp (</w:t>
      </w:r>
      <w:r w:rsidRPr="006D2A58">
        <w:rPr>
          <w:rStyle w:val="Emphasis"/>
          <w:lang w:eastAsia="ja-JP"/>
        </w:rPr>
        <w:t>Carassius carassius</w:t>
      </w:r>
      <w:r w:rsidRPr="006D2A58">
        <w:rPr>
          <w:lang w:eastAsia="ja-JP"/>
        </w:rPr>
        <w:t>) and common carp (</w:t>
      </w:r>
      <w:r w:rsidRPr="006D2A58">
        <w:rPr>
          <w:rStyle w:val="Emphasis"/>
          <w:lang w:eastAsia="ja-JP"/>
        </w:rPr>
        <w:t>Cyprinus carpio</w:t>
      </w:r>
      <w:r w:rsidRPr="006D2A58">
        <w:rPr>
          <w:lang w:eastAsia="ja-JP"/>
        </w:rPr>
        <w:t>) not exhibiting disease signs. It is currently unknown if they act as reservoirs for the virus.</w:t>
      </w:r>
    </w:p>
    <w:p w14:paraId="63E14290" w14:textId="2930FBB6" w:rsidR="00ED0614" w:rsidRDefault="00E260DC" w:rsidP="00E63C0D">
      <w:pPr>
        <w:pStyle w:val="Caption"/>
        <w:pageBreakBefore/>
      </w:pPr>
      <w:r>
        <w:lastRenderedPageBreak/>
        <w:t xml:space="preserve">Table </w:t>
      </w:r>
      <w:r>
        <w:rPr>
          <w:noProof/>
        </w:rPr>
        <w:fldChar w:fldCharType="begin"/>
      </w:r>
      <w:r>
        <w:rPr>
          <w:noProof/>
        </w:rPr>
        <w:instrText xml:space="preserve"> SEQ Table \* ARABIC </w:instrText>
      </w:r>
      <w:r>
        <w:rPr>
          <w:noProof/>
        </w:rPr>
        <w:fldChar w:fldCharType="separate"/>
      </w:r>
      <w:r w:rsidR="00897F35">
        <w:rPr>
          <w:noProof/>
        </w:rPr>
        <w:t>1</w:t>
      </w:r>
      <w:r>
        <w:rPr>
          <w:noProof/>
        </w:rPr>
        <w:fldChar w:fldCharType="end"/>
      </w:r>
      <w:r>
        <w:t xml:space="preserve"> </w:t>
      </w:r>
      <w:r w:rsidR="008B4009" w:rsidRPr="008B4009">
        <w:t xml:space="preserve">Species known to be susceptible to </w:t>
      </w:r>
      <w:r w:rsidR="006D2A58">
        <w:t>CCVD</w:t>
      </w:r>
    </w:p>
    <w:tbl>
      <w:tblPr>
        <w:tblW w:w="5000" w:type="pct"/>
        <w:tblBorders>
          <w:top w:val="single" w:sz="4" w:space="0" w:color="auto"/>
          <w:bottom w:val="single" w:sz="4" w:space="0" w:color="auto"/>
        </w:tblBorders>
        <w:tblLook w:val="04A0" w:firstRow="1" w:lastRow="0" w:firstColumn="1" w:lastColumn="0" w:noHBand="0" w:noVBand="1"/>
      </w:tblPr>
      <w:tblGrid>
        <w:gridCol w:w="4535"/>
        <w:gridCol w:w="4535"/>
      </w:tblGrid>
      <w:tr w:rsidR="00ED0614" w14:paraId="7F099F95" w14:textId="77777777">
        <w:trPr>
          <w:cantSplit/>
          <w:trHeight w:val="300"/>
          <w:tblHeader/>
        </w:trPr>
        <w:tc>
          <w:tcPr>
            <w:tcW w:w="2500" w:type="pct"/>
            <w:tcBorders>
              <w:top w:val="single" w:sz="4" w:space="0" w:color="auto"/>
              <w:bottom w:val="single" w:sz="4" w:space="0" w:color="auto"/>
            </w:tcBorders>
            <w:noWrap/>
          </w:tcPr>
          <w:p w14:paraId="53C37EB4" w14:textId="77777777" w:rsidR="00ED0614" w:rsidRDefault="00E260DC">
            <w:pPr>
              <w:pStyle w:val="TableHeading"/>
            </w:pPr>
            <w:r>
              <w:t>Common name</w:t>
            </w:r>
          </w:p>
        </w:tc>
        <w:tc>
          <w:tcPr>
            <w:tcW w:w="2500" w:type="pct"/>
            <w:tcBorders>
              <w:top w:val="single" w:sz="4" w:space="0" w:color="auto"/>
              <w:bottom w:val="single" w:sz="4" w:space="0" w:color="auto"/>
            </w:tcBorders>
            <w:noWrap/>
          </w:tcPr>
          <w:p w14:paraId="0DE0AAEB" w14:textId="77777777" w:rsidR="00ED0614" w:rsidRDefault="00E260DC">
            <w:pPr>
              <w:pStyle w:val="TableHeading"/>
            </w:pPr>
            <w:r>
              <w:t>Scientific name</w:t>
            </w:r>
          </w:p>
        </w:tc>
      </w:tr>
      <w:tr w:rsidR="006D2A58" w14:paraId="3B818FD2" w14:textId="77777777">
        <w:trPr>
          <w:cantSplit/>
          <w:trHeight w:val="315"/>
        </w:trPr>
        <w:tc>
          <w:tcPr>
            <w:tcW w:w="2500" w:type="pct"/>
            <w:tcBorders>
              <w:top w:val="single" w:sz="4" w:space="0" w:color="auto"/>
            </w:tcBorders>
            <w:noWrap/>
          </w:tcPr>
          <w:p w14:paraId="2F3C0965" w14:textId="039360E8" w:rsidR="006D2A58" w:rsidRDefault="006D2A58" w:rsidP="006D2A58">
            <w:pPr>
              <w:pStyle w:val="TableText"/>
            </w:pPr>
            <w:r w:rsidRPr="00332D48">
              <w:t>Blue catfish</w:t>
            </w:r>
            <w:r w:rsidRPr="006D2A58">
              <w:rPr>
                <w:vertAlign w:val="superscript"/>
              </w:rPr>
              <w:t>a</w:t>
            </w:r>
          </w:p>
        </w:tc>
        <w:tc>
          <w:tcPr>
            <w:tcW w:w="2500" w:type="pct"/>
            <w:tcBorders>
              <w:top w:val="single" w:sz="4" w:space="0" w:color="auto"/>
            </w:tcBorders>
            <w:noWrap/>
          </w:tcPr>
          <w:p w14:paraId="2D4141AF" w14:textId="5CA3430F" w:rsidR="006D2A58" w:rsidRPr="006D2A58" w:rsidRDefault="006D2A58" w:rsidP="006D2A58">
            <w:pPr>
              <w:pStyle w:val="TableText"/>
              <w:rPr>
                <w:rStyle w:val="Emphasis"/>
              </w:rPr>
            </w:pPr>
            <w:r w:rsidRPr="006D2A58">
              <w:rPr>
                <w:rStyle w:val="Emphasis"/>
              </w:rPr>
              <w:t>Ictalurus furcatus</w:t>
            </w:r>
          </w:p>
        </w:tc>
      </w:tr>
      <w:tr w:rsidR="006D2A58" w14:paraId="163A359F" w14:textId="77777777">
        <w:trPr>
          <w:cantSplit/>
          <w:trHeight w:val="315"/>
        </w:trPr>
        <w:tc>
          <w:tcPr>
            <w:tcW w:w="2500" w:type="pct"/>
            <w:noWrap/>
          </w:tcPr>
          <w:p w14:paraId="74773C6F" w14:textId="45C206F7" w:rsidR="006D2A58" w:rsidRDefault="006D2A58" w:rsidP="006D2A58">
            <w:pPr>
              <w:pStyle w:val="TableText"/>
            </w:pPr>
            <w:r w:rsidRPr="00332D48">
              <w:t>Channel catfish</w:t>
            </w:r>
            <w:r w:rsidRPr="006D2A58">
              <w:rPr>
                <w:vertAlign w:val="superscript"/>
              </w:rPr>
              <w:t>a</w:t>
            </w:r>
          </w:p>
        </w:tc>
        <w:tc>
          <w:tcPr>
            <w:tcW w:w="2500" w:type="pct"/>
            <w:noWrap/>
          </w:tcPr>
          <w:p w14:paraId="1D5663AA" w14:textId="336B443D" w:rsidR="006D2A58" w:rsidRPr="006D2A58" w:rsidRDefault="006D2A58" w:rsidP="006D2A58">
            <w:pPr>
              <w:pStyle w:val="TableText"/>
              <w:rPr>
                <w:rStyle w:val="Emphasis"/>
                <w:rFonts w:eastAsia="SimSun"/>
              </w:rPr>
            </w:pPr>
            <w:r w:rsidRPr="006D2A58">
              <w:rPr>
                <w:rStyle w:val="Emphasis"/>
              </w:rPr>
              <w:t>Ictalurus punctatus</w:t>
            </w:r>
          </w:p>
        </w:tc>
      </w:tr>
      <w:tr w:rsidR="006D2A58" w14:paraId="5C3B7FD0" w14:textId="77777777">
        <w:trPr>
          <w:cantSplit/>
          <w:trHeight w:val="315"/>
        </w:trPr>
        <w:tc>
          <w:tcPr>
            <w:tcW w:w="2500" w:type="pct"/>
            <w:noWrap/>
          </w:tcPr>
          <w:p w14:paraId="5227C577" w14:textId="0437AC91" w:rsidR="006D2A58" w:rsidRDefault="006D2A58" w:rsidP="00826AD7">
            <w:pPr>
              <w:pStyle w:val="TableText"/>
            </w:pPr>
            <w:r w:rsidRPr="00332D48">
              <w:t xml:space="preserve">Common carp and </w:t>
            </w:r>
            <w:r w:rsidR="00901E08">
              <w:t>k</w:t>
            </w:r>
            <w:r w:rsidRPr="00332D48">
              <w:t>oi carp</w:t>
            </w:r>
          </w:p>
        </w:tc>
        <w:tc>
          <w:tcPr>
            <w:tcW w:w="2500" w:type="pct"/>
            <w:noWrap/>
          </w:tcPr>
          <w:p w14:paraId="5ACF429E" w14:textId="552B5B97" w:rsidR="006D2A58" w:rsidRPr="006D2A58" w:rsidRDefault="006D2A58" w:rsidP="006D2A58">
            <w:pPr>
              <w:pStyle w:val="TableText"/>
              <w:rPr>
                <w:rStyle w:val="Emphasis"/>
                <w:rFonts w:eastAsia="SimSun"/>
              </w:rPr>
            </w:pPr>
            <w:r w:rsidRPr="006D2A58">
              <w:rPr>
                <w:rStyle w:val="Emphasis"/>
              </w:rPr>
              <w:t>Cyprinus carpio</w:t>
            </w:r>
          </w:p>
        </w:tc>
      </w:tr>
      <w:tr w:rsidR="006D2A58" w14:paraId="42EB7617" w14:textId="77777777">
        <w:trPr>
          <w:cantSplit/>
          <w:trHeight w:val="315"/>
        </w:trPr>
        <w:tc>
          <w:tcPr>
            <w:tcW w:w="2500" w:type="pct"/>
            <w:noWrap/>
          </w:tcPr>
          <w:p w14:paraId="71A33549" w14:textId="022F3A07" w:rsidR="006D2A58" w:rsidRDefault="006D2A58" w:rsidP="006D2A58">
            <w:pPr>
              <w:pStyle w:val="TableText"/>
            </w:pPr>
            <w:r w:rsidRPr="00332D48">
              <w:t>Crucian carp</w:t>
            </w:r>
          </w:p>
        </w:tc>
        <w:tc>
          <w:tcPr>
            <w:tcW w:w="2500" w:type="pct"/>
            <w:noWrap/>
          </w:tcPr>
          <w:p w14:paraId="1D4032D9" w14:textId="55EE4A6B" w:rsidR="006D2A58" w:rsidRPr="006D2A58" w:rsidRDefault="006D2A58" w:rsidP="006D2A58">
            <w:pPr>
              <w:pStyle w:val="TableText"/>
              <w:rPr>
                <w:rStyle w:val="Emphasis"/>
                <w:rFonts w:eastAsia="SimSun"/>
              </w:rPr>
            </w:pPr>
            <w:r w:rsidRPr="006D2A58">
              <w:rPr>
                <w:rStyle w:val="Emphasis"/>
              </w:rPr>
              <w:t>Carassius carassius</w:t>
            </w:r>
          </w:p>
        </w:tc>
      </w:tr>
      <w:tr w:rsidR="006D2A58" w14:paraId="2B6394AD" w14:textId="77777777">
        <w:trPr>
          <w:cantSplit/>
          <w:trHeight w:val="315"/>
        </w:trPr>
        <w:tc>
          <w:tcPr>
            <w:tcW w:w="2500" w:type="pct"/>
            <w:noWrap/>
          </w:tcPr>
          <w:p w14:paraId="5E1E203A" w14:textId="6040184E" w:rsidR="006D2A58" w:rsidRDefault="006D2A58" w:rsidP="006D2A58">
            <w:pPr>
              <w:pStyle w:val="TableText"/>
            </w:pPr>
            <w:r w:rsidRPr="00332D48">
              <w:t>Striped catfish or Tra</w:t>
            </w:r>
            <w:r w:rsidRPr="006D2A58">
              <w:rPr>
                <w:vertAlign w:val="superscript"/>
              </w:rPr>
              <w:t>a</w:t>
            </w:r>
          </w:p>
        </w:tc>
        <w:tc>
          <w:tcPr>
            <w:tcW w:w="2500" w:type="pct"/>
            <w:noWrap/>
          </w:tcPr>
          <w:p w14:paraId="44C74309" w14:textId="4B7BBD88" w:rsidR="006D2A58" w:rsidRPr="006D2A58" w:rsidRDefault="006D2A58" w:rsidP="006D2A58">
            <w:pPr>
              <w:pStyle w:val="TableText"/>
              <w:rPr>
                <w:rStyle w:val="Emphasis"/>
              </w:rPr>
            </w:pPr>
            <w:r w:rsidRPr="006D2A58">
              <w:rPr>
                <w:rStyle w:val="Emphasis"/>
              </w:rPr>
              <w:t>Pangasianodon hypophthalmus</w:t>
            </w:r>
          </w:p>
        </w:tc>
      </w:tr>
    </w:tbl>
    <w:p w14:paraId="289B524D" w14:textId="04A59224" w:rsidR="006D2A58" w:rsidRDefault="006D2A58" w:rsidP="006D2A58">
      <w:pPr>
        <w:pStyle w:val="FigureTableNoteSource"/>
      </w:pPr>
      <w:r w:rsidRPr="006D2A58">
        <w:rPr>
          <w:rStyle w:val="Strong"/>
        </w:rPr>
        <w:t>a</w:t>
      </w:r>
      <w:r w:rsidRPr="006D2A58">
        <w:t xml:space="preserve"> Naturally susceptible</w:t>
      </w:r>
      <w:r>
        <w:t>. Note:</w:t>
      </w:r>
      <w:r w:rsidRPr="006D2A58">
        <w:t xml:space="preserve"> </w:t>
      </w:r>
      <w:r>
        <w:t>O</w:t>
      </w:r>
      <w:r w:rsidRPr="006D2A58">
        <w:t>ther species have been shown to be experimentally susceptible.</w:t>
      </w:r>
    </w:p>
    <w:p w14:paraId="07189146" w14:textId="77777777" w:rsidR="00ED0614" w:rsidRDefault="00E260DC">
      <w:pPr>
        <w:pStyle w:val="Heading2"/>
      </w:pPr>
      <w:r>
        <w:t>Presence in Australia</w:t>
      </w:r>
    </w:p>
    <w:p w14:paraId="47104196" w14:textId="41772554" w:rsidR="00ED0614" w:rsidRDefault="00FD7D78">
      <w:pPr>
        <w:keepNext/>
        <w:keepLines/>
      </w:pPr>
      <w:r w:rsidRPr="00FD7D78">
        <w:t>Exotic disease—not recorded in Australia.</w:t>
      </w:r>
    </w:p>
    <w:p w14:paraId="55B0F228" w14:textId="455997A3" w:rsidR="00ED0614" w:rsidRDefault="00E260DC">
      <w:pPr>
        <w:pStyle w:val="Caption"/>
      </w:pPr>
      <w:r>
        <w:t xml:space="preserve">Map </w:t>
      </w:r>
      <w:r>
        <w:rPr>
          <w:noProof/>
        </w:rPr>
        <w:fldChar w:fldCharType="begin"/>
      </w:r>
      <w:r>
        <w:rPr>
          <w:noProof/>
        </w:rPr>
        <w:instrText xml:space="preserve"> SEQ Map \* ARABIC </w:instrText>
      </w:r>
      <w:r>
        <w:rPr>
          <w:noProof/>
        </w:rPr>
        <w:fldChar w:fldCharType="separate"/>
      </w:r>
      <w:r w:rsidR="00897F35">
        <w:rPr>
          <w:noProof/>
        </w:rPr>
        <w:t>1</w:t>
      </w:r>
      <w:r>
        <w:rPr>
          <w:noProof/>
        </w:rPr>
        <w:fldChar w:fldCharType="end"/>
      </w:r>
      <w:r>
        <w:t xml:space="preserve"> Presence of</w:t>
      </w:r>
      <w:r w:rsidR="007609B1">
        <w:t xml:space="preserve"> </w:t>
      </w:r>
      <w:r w:rsidR="006D2A58">
        <w:t>CCVD</w:t>
      </w:r>
      <w:r>
        <w:t>, by jurisdiction</w:t>
      </w:r>
    </w:p>
    <w:p w14:paraId="0046BA22" w14:textId="77777777" w:rsidR="00ED0614" w:rsidRDefault="00E260DC">
      <w:r>
        <w:rPr>
          <w:noProof/>
          <w:lang w:eastAsia="en-AU"/>
        </w:rPr>
        <w:drawing>
          <wp:inline distT="0" distB="0" distL="0" distR="0" wp14:anchorId="1C3B5809" wp14:editId="53D46F3A">
            <wp:extent cx="4142056" cy="2949462"/>
            <wp:effectExtent l="0" t="0" r="0" b="3810"/>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ssie and Vic AVG.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142056" cy="2949462"/>
                    </a:xfrm>
                    <a:prstGeom prst="rect">
                      <a:avLst/>
                    </a:prstGeom>
                  </pic:spPr>
                </pic:pic>
              </a:graphicData>
            </a:graphic>
          </wp:inline>
        </w:drawing>
      </w:r>
    </w:p>
    <w:p w14:paraId="345F5669" w14:textId="77777777" w:rsidR="00ED0614" w:rsidRDefault="00E260DC">
      <w:pPr>
        <w:pStyle w:val="Heading2"/>
        <w:keepLines/>
      </w:pPr>
      <w:r>
        <w:t>Epidemiology</w:t>
      </w:r>
    </w:p>
    <w:p w14:paraId="4762A3EE" w14:textId="77777777" w:rsidR="006D2A58" w:rsidRDefault="006D2A58" w:rsidP="006D2A58">
      <w:pPr>
        <w:pStyle w:val="ListBullet"/>
      </w:pPr>
      <w:r>
        <w:t>Horizontal transmission occurs directly from virus shed in water, and from virus carried by animal vectors and on fomites.</w:t>
      </w:r>
    </w:p>
    <w:p w14:paraId="2E37CF4F" w14:textId="77777777" w:rsidR="006D2A58" w:rsidRDefault="006D2A58" w:rsidP="006D2A58">
      <w:pPr>
        <w:pStyle w:val="ListBullet"/>
      </w:pPr>
      <w:r>
        <w:t>Vertical transmission (from parent to offspring via eggs) is believed to be common.</w:t>
      </w:r>
    </w:p>
    <w:p w14:paraId="2E18C81E" w14:textId="5EE42985" w:rsidR="006D2A58" w:rsidRDefault="006D2A58" w:rsidP="006D2A58">
      <w:pPr>
        <w:pStyle w:val="ListBullet"/>
      </w:pPr>
      <w:r>
        <w:t>Mortality rates in exposed fish can exceed</w:t>
      </w:r>
      <w:r w:rsidR="00F22CC4">
        <w:t> </w:t>
      </w:r>
      <w:r>
        <w:t>95%. Survivors of CCVD may experience short-term reductions in feed conversion (reduced weight gain). Generally, these fish appear normal but become carriers of the virus.</w:t>
      </w:r>
    </w:p>
    <w:p w14:paraId="07C1E624" w14:textId="77777777" w:rsidR="006D2A58" w:rsidRDefault="006D2A58" w:rsidP="006D2A58">
      <w:pPr>
        <w:pStyle w:val="ListBullet"/>
      </w:pPr>
      <w:r>
        <w:t>Susceptibility appears to vary according to the strain of the virus.</w:t>
      </w:r>
    </w:p>
    <w:p w14:paraId="34A6B23E" w14:textId="4163FB62" w:rsidR="006D2A58" w:rsidRDefault="006D2A58" w:rsidP="006D2A58">
      <w:pPr>
        <w:pStyle w:val="ListBullet"/>
      </w:pPr>
      <w:r>
        <w:t>The disease occurs almost exclusively in fish that are less than 1</w:t>
      </w:r>
      <w:r w:rsidR="00E63C0D">
        <w:t> </w:t>
      </w:r>
      <w:r>
        <w:t>year old (fry and fingerlings) or smaller than 15cm in length. The majority of occurrences are in fish less than 4</w:t>
      </w:r>
      <w:r w:rsidR="00E63C0D">
        <w:t> </w:t>
      </w:r>
      <w:r>
        <w:t>months old.</w:t>
      </w:r>
    </w:p>
    <w:p w14:paraId="45CF7725" w14:textId="74275C8B" w:rsidR="00ED0614" w:rsidRDefault="006D2A58" w:rsidP="006D2A58">
      <w:pPr>
        <w:pStyle w:val="ListBullet"/>
      </w:pPr>
      <w:r>
        <w:t>Mortality rates are highest where water temperature exceeds</w:t>
      </w:r>
      <w:r w:rsidR="00F22CC4">
        <w:t> </w:t>
      </w:r>
      <w:r>
        <w:t>27°C and declines with a reduction in temperature. Mortality rates are negligible at water temperatures lower than</w:t>
      </w:r>
      <w:r w:rsidR="00E63C0D">
        <w:t> </w:t>
      </w:r>
      <w:r>
        <w:t>18°C.</w:t>
      </w:r>
    </w:p>
    <w:p w14:paraId="431A90C5" w14:textId="77777777" w:rsidR="00ED0614" w:rsidRDefault="00E260DC">
      <w:pPr>
        <w:pStyle w:val="Heading2"/>
      </w:pPr>
      <w:r>
        <w:lastRenderedPageBreak/>
        <w:t>Differential diagnosis</w:t>
      </w:r>
    </w:p>
    <w:p w14:paraId="00D9EE0B" w14:textId="240AF61A" w:rsidR="00ED0614" w:rsidRDefault="00E260DC">
      <w:pPr>
        <w:keepLines/>
      </w:pPr>
      <w:r>
        <w:rPr>
          <w:lang w:eastAsia="en-AU"/>
        </w:rPr>
        <w:t xml:space="preserve">The list of </w:t>
      </w:r>
      <w:hyperlink w:anchor="_Similar_diseases" w:history="1">
        <w:r>
          <w:rPr>
            <w:rStyle w:val="Hyperlink"/>
            <w:lang w:eastAsia="en-AU"/>
          </w:rPr>
          <w:t>similar diseases</w:t>
        </w:r>
      </w:hyperlink>
      <w:r>
        <w:rPr>
          <w:lang w:eastAsia="en-AU"/>
        </w:rPr>
        <w:t xml:space="preserve"> in the next section refers only to the diseases covered by this field guide. </w:t>
      </w:r>
      <w:r w:rsidR="002D73AE" w:rsidRPr="002D73AE">
        <w:rPr>
          <w:lang w:eastAsia="en-AU"/>
        </w:rPr>
        <w:t>Gross pathological signs may also be representative of diseases not included in this guide. Do not rely on gross signs to provide a definitive diagnosis. Use them as a tool to help identify the listed diseases that most closely account for the observed signs</w:t>
      </w:r>
      <w:r>
        <w:rPr>
          <w:lang w:eastAsia="en-AU"/>
        </w:rPr>
        <w:t>.</w:t>
      </w:r>
    </w:p>
    <w:p w14:paraId="438DC32F" w14:textId="77777777" w:rsidR="00ED0614" w:rsidRDefault="00E260DC">
      <w:pPr>
        <w:pStyle w:val="Heading2"/>
      </w:pPr>
      <w:bookmarkStart w:id="0" w:name="_Similar_diseases"/>
      <w:bookmarkEnd w:id="0"/>
      <w:r>
        <w:t>Similar diseases</w:t>
      </w:r>
    </w:p>
    <w:p w14:paraId="3085BBD7" w14:textId="6BA1F961" w:rsidR="00ED0614" w:rsidRDefault="006D2A58">
      <w:r w:rsidRPr="006D2A58">
        <w:t>Enteric septicaemia of catfish, European catfish virus</w:t>
      </w:r>
      <w:r w:rsidR="00AE0D62">
        <w:t xml:space="preserve"> (ECV)</w:t>
      </w:r>
      <w:r w:rsidR="00901E08">
        <w:t xml:space="preserve"> and </w:t>
      </w:r>
      <w:r w:rsidRPr="006D2A58">
        <w:t>European sheatfish virus</w:t>
      </w:r>
      <w:r w:rsidR="00AE0D62">
        <w:t xml:space="preserve"> (ESV)</w:t>
      </w:r>
      <w:r w:rsidRPr="006D2A58">
        <w:t>,</w:t>
      </w:r>
      <w:r>
        <w:t xml:space="preserve"> and</w:t>
      </w:r>
      <w:r w:rsidRPr="006D2A58">
        <w:t xml:space="preserve"> infection with </w:t>
      </w:r>
      <w:r w:rsidRPr="006D2A58">
        <w:rPr>
          <w:rStyle w:val="Emphasis"/>
        </w:rPr>
        <w:t>Aeromonas salmonicida</w:t>
      </w:r>
      <w:r w:rsidRPr="006D2A58">
        <w:t>—atypical strains</w:t>
      </w:r>
      <w:r w:rsidR="005A359A">
        <w:t>.</w:t>
      </w:r>
    </w:p>
    <w:p w14:paraId="1583FD47" w14:textId="77777777" w:rsidR="00ED0614" w:rsidRDefault="00E260DC">
      <w:pPr>
        <w:pStyle w:val="Heading2"/>
      </w:pPr>
      <w:r>
        <w:t>Sample collection</w:t>
      </w:r>
    </w:p>
    <w:p w14:paraId="023FB03E" w14:textId="73624794" w:rsidR="00ED0614" w:rsidRDefault="00742002">
      <w:r w:rsidRPr="00742002">
        <w:rPr>
          <w:lang w:eastAsia="en-AU"/>
        </w:rPr>
        <w:t>Only trained personnel should collect samples. Using only gross pathological signs to differentiate between diseases is not reliable, and some aquatic animal disease agents pose a risk to humans. If you are not appropriately trained, phone your state or territory hotline number and report your observations. If you have to collect samples, the agency taking your call will advise you on the appropriate course of action. Local or district fisheries or veterinary authorities may also advise on sampling.</w:t>
      </w:r>
    </w:p>
    <w:p w14:paraId="6058F664" w14:textId="77777777" w:rsidR="00ED0614" w:rsidRDefault="00E260DC">
      <w:pPr>
        <w:pStyle w:val="Heading2"/>
      </w:pPr>
      <w:r>
        <w:t>Emergency disease hotline</w:t>
      </w:r>
    </w:p>
    <w:p w14:paraId="4FF13930" w14:textId="77777777" w:rsidR="00ED0614" w:rsidRDefault="00E260DC">
      <w:r>
        <w:t>See something you think is this disease? Report it. Even if you’re not sure.</w:t>
      </w:r>
    </w:p>
    <w:p w14:paraId="742BD5A1" w14:textId="66BC10FC" w:rsidR="00ED0614" w:rsidRDefault="00E260DC">
      <w:r>
        <w:t xml:space="preserve">Call the Emergency Animal Disease Watch Hotline on </w:t>
      </w:r>
      <w:r w:rsidR="008D7367">
        <w:rPr>
          <w:rStyle w:val="Strong"/>
        </w:rPr>
        <w:t>1800 675 888</w:t>
      </w:r>
      <w:r>
        <w:t>. They will refer you to the right state or territory agency.</w:t>
      </w:r>
    </w:p>
    <w:p w14:paraId="50AF709B" w14:textId="77777777" w:rsidR="00ED0614" w:rsidRDefault="00E260DC">
      <w:pPr>
        <w:pStyle w:val="Heading2"/>
        <w:keepLines/>
        <w:rPr>
          <w:rFonts w:ascii="Cambria" w:eastAsiaTheme="minorHAnsi" w:hAnsi="Cambria"/>
          <w:b w:val="0"/>
          <w:bCs w:val="0"/>
          <w:color w:val="auto"/>
          <w:sz w:val="22"/>
          <w:szCs w:val="22"/>
          <w:lang w:eastAsia="en-US"/>
        </w:rPr>
      </w:pPr>
      <w:r>
        <w:t>Further reading</w:t>
      </w:r>
    </w:p>
    <w:p w14:paraId="5587759E" w14:textId="12951370" w:rsidR="00BD3F55" w:rsidRDefault="00BD3F55" w:rsidP="00BD3F55">
      <w:pPr>
        <w:jc w:val="both"/>
      </w:pPr>
      <w:r>
        <w:t xml:space="preserve">CABI Invasive Species Compendium </w:t>
      </w:r>
      <w:hyperlink r:id="rId15" w:history="1">
        <w:r>
          <w:rPr>
            <w:rStyle w:val="Hyperlink"/>
          </w:rPr>
          <w:t>Channel catfish virus diseas</w:t>
        </w:r>
        <w:r w:rsidRPr="00BD3F55">
          <w:rPr>
            <w:rStyle w:val="Hyperlink"/>
          </w:rPr>
          <w:t>e</w:t>
        </w:r>
      </w:hyperlink>
    </w:p>
    <w:p w14:paraId="48B816EC" w14:textId="2BD54A55" w:rsidR="00BD3F55" w:rsidRDefault="00BD3F55" w:rsidP="00BD3F55">
      <w:pPr>
        <w:jc w:val="both"/>
      </w:pPr>
      <w:r>
        <w:t xml:space="preserve">Camus, AC 2004, </w:t>
      </w:r>
      <w:r w:rsidRPr="00901E08">
        <w:rPr>
          <w:rStyle w:val="Emphasis"/>
        </w:rPr>
        <w:t>Channel catfish virus disease</w:t>
      </w:r>
      <w:r w:rsidR="00F22CC4">
        <w:t>,</w:t>
      </w:r>
      <w:r>
        <w:t xml:space="preserve"> South</w:t>
      </w:r>
      <w:r w:rsidR="00F22CC4">
        <w:t>ern Regional Aquaculture Centre</w:t>
      </w:r>
    </w:p>
    <w:p w14:paraId="5D56A855" w14:textId="46733EBB" w:rsidR="00BD3F55" w:rsidRDefault="00BD3F55" w:rsidP="00BD3F55">
      <w:pPr>
        <w:jc w:val="both"/>
      </w:pPr>
      <w:r>
        <w:t xml:space="preserve">CEFAS International Database on Aquatic Animal Diseases </w:t>
      </w:r>
      <w:hyperlink r:id="rId16" w:history="1">
        <w:r w:rsidRPr="00BD3F55">
          <w:rPr>
            <w:rStyle w:val="Hyperlink"/>
          </w:rPr>
          <w:t>Channel catfish virus disease</w:t>
        </w:r>
      </w:hyperlink>
    </w:p>
    <w:p w14:paraId="5F7DA703" w14:textId="4D83831C" w:rsidR="00ED0614" w:rsidRDefault="00E260DC">
      <w:r>
        <w:t>These hyperlinks were correct at the time of publication.</w:t>
      </w:r>
    </w:p>
    <w:p w14:paraId="727D1659" w14:textId="77777777" w:rsidR="00ED0614" w:rsidRDefault="00E260DC">
      <w:pPr>
        <w:pStyle w:val="Heading2"/>
        <w:ind w:left="0" w:firstLine="0"/>
      </w:pPr>
      <w:r>
        <w:t>Contact details</w:t>
      </w:r>
    </w:p>
    <w:p w14:paraId="43CF42A0" w14:textId="77777777" w:rsidR="00ED0614" w:rsidRDefault="00E260DC">
      <w:pPr>
        <w:spacing w:after="0"/>
      </w:pPr>
      <w:r>
        <w:t>Emergency Animal Disease Watch Hotline 1800 675 888</w:t>
      </w:r>
    </w:p>
    <w:p w14:paraId="013BDC5B" w14:textId="77777777" w:rsidR="00ED0614" w:rsidRDefault="00E260DC">
      <w:r>
        <w:t xml:space="preserve">Email </w:t>
      </w:r>
      <w:hyperlink r:id="rId17" w:history="1">
        <w:r>
          <w:rPr>
            <w:rStyle w:val="Hyperlink"/>
          </w:rPr>
          <w:t>AAH@agriculture.gov.au</w:t>
        </w:r>
      </w:hyperlink>
      <w:r>
        <w:cr/>
        <w:t xml:space="preserve">Website </w:t>
      </w:r>
      <w:hyperlink r:id="rId18" w:history="1">
        <w:r>
          <w:rPr>
            <w:rStyle w:val="Hyperlink"/>
          </w:rPr>
          <w:t>agriculture.gov.au/pests-diseases-weeds/aquatic</w:t>
        </w:r>
      </w:hyperlink>
    </w:p>
    <w:p w14:paraId="70813592" w14:textId="7637C59B" w:rsidR="00ED0614" w:rsidRDefault="00E260DC">
      <w:pPr>
        <w:pStyle w:val="Normalsmall"/>
      </w:pPr>
      <w:r>
        <w:t>© Commonwealth of Australia 20</w:t>
      </w:r>
      <w:r w:rsidR="00897F35">
        <w:t>20</w:t>
      </w:r>
      <w:bookmarkStart w:id="1" w:name="_GoBack"/>
      <w:bookmarkEnd w:id="1"/>
    </w:p>
    <w:p w14:paraId="783F07B8" w14:textId="58E064DA" w:rsidR="00ED0614" w:rsidRDefault="00E260DC">
      <w:pPr>
        <w:pStyle w:val="Normalsmall"/>
      </w:pPr>
      <w:r>
        <w:t>This work is copyright. It may be reproduced in whole or in part subject to the inclusion of an acknowledgement of the source and no commercial usage or sale.</w:t>
      </w:r>
    </w:p>
    <w:sectPr w:rsidR="00ED0614">
      <w:headerReference w:type="default" r:id="rId19"/>
      <w:footerReference w:type="default" r:id="rId20"/>
      <w:headerReference w:type="first" r:id="rId21"/>
      <w:pgSz w:w="11906" w:h="16838"/>
      <w:pgMar w:top="1418" w:right="1418" w:bottom="1418" w:left="1418" w:header="567" w:footer="283"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3AC78D9" w14:textId="77777777" w:rsidR="00ED0614" w:rsidRDefault="00E260DC">
      <w:r>
        <w:separator/>
      </w:r>
    </w:p>
    <w:p w14:paraId="0AA4D9C1" w14:textId="77777777" w:rsidR="00ED0614" w:rsidRDefault="00ED0614"/>
    <w:p w14:paraId="71426813" w14:textId="77777777" w:rsidR="00ED0614" w:rsidRDefault="00ED0614"/>
  </w:endnote>
  <w:endnote w:type="continuationSeparator" w:id="0">
    <w:p w14:paraId="52CF7EC4" w14:textId="77777777" w:rsidR="00ED0614" w:rsidRDefault="00E260DC">
      <w:r>
        <w:continuationSeparator/>
      </w:r>
    </w:p>
    <w:p w14:paraId="7D3F088E" w14:textId="77777777" w:rsidR="00ED0614" w:rsidRDefault="00ED0614"/>
    <w:p w14:paraId="76382A3E" w14:textId="77777777" w:rsidR="00ED0614" w:rsidRDefault="00ED0614"/>
  </w:endnote>
  <w:endnote w:type="continuationNotice" w:id="1">
    <w:p w14:paraId="5C987883" w14:textId="77777777" w:rsidR="00ED0614" w:rsidRDefault="00ED0614">
      <w:pPr>
        <w:pStyle w:val="Footer"/>
      </w:pPr>
    </w:p>
    <w:p w14:paraId="6054154D" w14:textId="77777777" w:rsidR="00ED0614" w:rsidRDefault="00ED0614"/>
    <w:p w14:paraId="14C21167" w14:textId="77777777" w:rsidR="00ED0614" w:rsidRDefault="00ED061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3A225E" w14:textId="75047CD0" w:rsidR="00ED0614" w:rsidRDefault="00897F35">
    <w:pPr>
      <w:pStyle w:val="Footer"/>
    </w:pPr>
    <w:r>
      <w:t>Department of Agriculture, Water and the Environment</w:t>
    </w:r>
  </w:p>
  <w:p w14:paraId="17457BBE" w14:textId="77777777" w:rsidR="00ED0614" w:rsidRDefault="00E260DC">
    <w:pPr>
      <w:pStyle w:val="Footer"/>
    </w:pPr>
    <w:r>
      <w:fldChar w:fldCharType="begin"/>
    </w:r>
    <w:r>
      <w:instrText xml:space="preserve"> PAGE   \* MERGEFORMAT </w:instrText>
    </w:r>
    <w:r>
      <w:fldChar w:fldCharType="separate"/>
    </w:r>
    <w:r w:rsidR="00C53B8D">
      <w:rPr>
        <w:noProof/>
      </w:rPr>
      <w:t>4</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C9F4587" w14:textId="77777777" w:rsidR="00ED0614" w:rsidRDefault="00E260DC">
      <w:r>
        <w:separator/>
      </w:r>
    </w:p>
    <w:p w14:paraId="653B3757" w14:textId="77777777" w:rsidR="00ED0614" w:rsidRDefault="00ED0614"/>
    <w:p w14:paraId="2BC6E2A4" w14:textId="77777777" w:rsidR="00ED0614" w:rsidRDefault="00ED0614"/>
  </w:footnote>
  <w:footnote w:type="continuationSeparator" w:id="0">
    <w:p w14:paraId="57A88842" w14:textId="77777777" w:rsidR="00ED0614" w:rsidRDefault="00E260DC">
      <w:r>
        <w:continuationSeparator/>
      </w:r>
    </w:p>
    <w:p w14:paraId="77802F2E" w14:textId="77777777" w:rsidR="00ED0614" w:rsidRDefault="00ED0614"/>
    <w:p w14:paraId="0B9EE46F" w14:textId="77777777" w:rsidR="00ED0614" w:rsidRDefault="00ED0614"/>
  </w:footnote>
  <w:footnote w:type="continuationNotice" w:id="1">
    <w:p w14:paraId="5CC249E6" w14:textId="77777777" w:rsidR="00ED0614" w:rsidRDefault="00ED0614">
      <w:pPr>
        <w:pStyle w:val="Footer"/>
      </w:pPr>
    </w:p>
    <w:p w14:paraId="2499D858" w14:textId="77777777" w:rsidR="00ED0614" w:rsidRDefault="00ED0614"/>
    <w:p w14:paraId="3D0D6F00" w14:textId="77777777" w:rsidR="00ED0614" w:rsidRDefault="00ED061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1D61D1" w14:textId="45A8E431" w:rsidR="00ED0614" w:rsidRDefault="006D2A58">
    <w:pPr>
      <w:pStyle w:val="Header"/>
    </w:pPr>
    <w:r w:rsidRPr="006D2A58">
      <w:t>Channel catfish virus disease (CCVD)</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43F4C9" w14:textId="77777777" w:rsidR="00ED0614" w:rsidRDefault="00E260DC">
    <w:pPr>
      <w:pStyle w:val="Header"/>
      <w:jc w:val="left"/>
    </w:pPr>
    <w:r>
      <w:rPr>
        <w:noProof/>
        <w:lang w:eastAsia="en-AU"/>
      </w:rPr>
      <w:drawing>
        <wp:anchor distT="0" distB="0" distL="114300" distR="114300" simplePos="0" relativeHeight="251658240" behindDoc="1" locked="0" layoutInCell="1" allowOverlap="1" wp14:anchorId="21AE8159" wp14:editId="62035C3A">
          <wp:simplePos x="0" y="0"/>
          <wp:positionH relativeFrom="column">
            <wp:posOffset>-900429</wp:posOffset>
          </wp:positionH>
          <wp:positionV relativeFrom="paragraph">
            <wp:posOffset>-360045</wp:posOffset>
          </wp:positionV>
          <wp:extent cx="7584375" cy="1624927"/>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nner.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7584375" cy="162492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87CC3F2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718C232"/>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0F6C295E"/>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AF5CCE0E"/>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97FE7D78"/>
    <w:lvl w:ilvl="0">
      <w:start w:val="1"/>
      <w:numFmt w:val="bullet"/>
      <w:lvlText w:val="o"/>
      <w:lvlJc w:val="left"/>
      <w:pPr>
        <w:ind w:left="926" w:hanging="360"/>
      </w:pPr>
      <w:rPr>
        <w:rFonts w:ascii="Courier New" w:hAnsi="Courier New" w:cs="Courier New" w:hint="default"/>
      </w:rPr>
    </w:lvl>
  </w:abstractNum>
  <w:abstractNum w:abstractNumId="5" w15:restartNumberingAfterBreak="0">
    <w:nsid w:val="FFFFFF88"/>
    <w:multiLevelType w:val="singleLevel"/>
    <w:tmpl w:val="685ADC2E"/>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5136E848"/>
    <w:lvl w:ilvl="0">
      <w:start w:val="1"/>
      <w:numFmt w:val="bullet"/>
      <w:lvlText w:val=""/>
      <w:lvlJc w:val="left"/>
      <w:pPr>
        <w:tabs>
          <w:tab w:val="num" w:pos="360"/>
        </w:tabs>
        <w:ind w:left="360" w:hanging="360"/>
      </w:pPr>
      <w:rPr>
        <w:rFonts w:ascii="Symbol" w:hAnsi="Symbol" w:hint="default"/>
        <w:color w:val="auto"/>
      </w:rPr>
    </w:lvl>
  </w:abstractNum>
  <w:abstractNum w:abstractNumId="7" w15:restartNumberingAfterBreak="0">
    <w:nsid w:val="0A727430"/>
    <w:multiLevelType w:val="hybridMultilevel"/>
    <w:tmpl w:val="495E27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C5E2F35"/>
    <w:multiLevelType w:val="multilevel"/>
    <w:tmpl w:val="9340AC4C"/>
    <w:lvl w:ilvl="0">
      <w:start w:val="1"/>
      <w:numFmt w:val="decimal"/>
      <w:lvlText w:val="%1)"/>
      <w:lvlJc w:val="left"/>
      <w:pPr>
        <w:ind w:left="567" w:hanging="567"/>
      </w:pPr>
      <w:rPr>
        <w:rFonts w:hint="default"/>
        <w:color w:val="auto"/>
      </w:rPr>
    </w:lvl>
    <w:lvl w:ilvl="1">
      <w:start w:val="1"/>
      <w:numFmt w:val="lowerLetter"/>
      <w:lvlText w:val="%2)"/>
      <w:lvlJc w:val="left"/>
      <w:pPr>
        <w:ind w:left="851" w:hanging="284"/>
      </w:pPr>
      <w:rPr>
        <w:rFonts w:hint="default"/>
      </w:rPr>
    </w:lvl>
    <w:lvl w:ilvl="2">
      <w:start w:val="1"/>
      <w:numFmt w:val="lowerRoman"/>
      <w:lvlText w:val="%3)"/>
      <w:lvlJc w:val="left"/>
      <w:pPr>
        <w:ind w:left="1134" w:hanging="227"/>
      </w:pPr>
      <w:rPr>
        <w:rFonts w:hint="default"/>
      </w:rPr>
    </w:lvl>
    <w:lvl w:ilvl="3">
      <w:start w:val="1"/>
      <w:numFmt w:val="decimal"/>
      <w:lvlText w:val="%4."/>
      <w:lvlJc w:val="left"/>
      <w:pPr>
        <w:ind w:left="567" w:hanging="567"/>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9" w15:restartNumberingAfterBreak="0">
    <w:nsid w:val="0DD54AFF"/>
    <w:multiLevelType w:val="hybridMultilevel"/>
    <w:tmpl w:val="B6820B98"/>
    <w:lvl w:ilvl="0" w:tplc="8B58330A">
      <w:start w:val="1"/>
      <w:numFmt w:val="bullet"/>
      <w:lvlText w:val="◦"/>
      <w:lvlJc w:val="left"/>
      <w:pPr>
        <w:ind w:left="1800" w:hanging="360"/>
      </w:pPr>
      <w:rPr>
        <w:rFonts w:ascii="Calibri" w:hAnsi="Calibri"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10" w15:restartNumberingAfterBreak="0">
    <w:nsid w:val="0F77062D"/>
    <w:multiLevelType w:val="hybridMultilevel"/>
    <w:tmpl w:val="44B42D1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1" w15:restartNumberingAfterBreak="0">
    <w:nsid w:val="12056DAA"/>
    <w:multiLevelType w:val="hybridMultilevel"/>
    <w:tmpl w:val="C5CCCECC"/>
    <w:lvl w:ilvl="0" w:tplc="29C84958">
      <w:start w:val="1"/>
      <w:numFmt w:val="bullet"/>
      <w:pStyle w:val="Table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2" w15:restartNumberingAfterBreak="0">
    <w:nsid w:val="196B606F"/>
    <w:multiLevelType w:val="hybridMultilevel"/>
    <w:tmpl w:val="E0560262"/>
    <w:lvl w:ilvl="0" w:tplc="B9FA63BE">
      <w:start w:val="1"/>
      <w:numFmt w:val="bullet"/>
      <w:pStyle w:val="TableBullet1"/>
      <w:lvlText w:val=""/>
      <w:lvlJc w:val="left"/>
      <w:pPr>
        <w:ind w:left="720" w:hanging="360"/>
      </w:pPr>
      <w:rPr>
        <w:rFonts w:ascii="Symbol" w:hAnsi="Symbol" w:hint="default"/>
      </w:rPr>
    </w:lvl>
    <w:lvl w:ilvl="1" w:tplc="04987ACC" w:tentative="1">
      <w:start w:val="1"/>
      <w:numFmt w:val="bullet"/>
      <w:lvlText w:val="o"/>
      <w:lvlJc w:val="left"/>
      <w:pPr>
        <w:ind w:left="1440" w:hanging="360"/>
      </w:pPr>
      <w:rPr>
        <w:rFonts w:ascii="Courier New" w:hAnsi="Courier New" w:cs="Courier New" w:hint="default"/>
      </w:rPr>
    </w:lvl>
    <w:lvl w:ilvl="2" w:tplc="56C2C932" w:tentative="1">
      <w:start w:val="1"/>
      <w:numFmt w:val="bullet"/>
      <w:lvlText w:val=""/>
      <w:lvlJc w:val="left"/>
      <w:pPr>
        <w:ind w:left="2160" w:hanging="360"/>
      </w:pPr>
      <w:rPr>
        <w:rFonts w:ascii="Wingdings" w:hAnsi="Wingdings" w:hint="default"/>
      </w:rPr>
    </w:lvl>
    <w:lvl w:ilvl="3" w:tplc="3530ECAA" w:tentative="1">
      <w:start w:val="1"/>
      <w:numFmt w:val="bullet"/>
      <w:lvlText w:val=""/>
      <w:lvlJc w:val="left"/>
      <w:pPr>
        <w:ind w:left="2880" w:hanging="360"/>
      </w:pPr>
      <w:rPr>
        <w:rFonts w:ascii="Symbol" w:hAnsi="Symbol" w:hint="default"/>
      </w:rPr>
    </w:lvl>
    <w:lvl w:ilvl="4" w:tplc="BFACCCC4" w:tentative="1">
      <w:start w:val="1"/>
      <w:numFmt w:val="bullet"/>
      <w:lvlText w:val="o"/>
      <w:lvlJc w:val="left"/>
      <w:pPr>
        <w:ind w:left="3600" w:hanging="360"/>
      </w:pPr>
      <w:rPr>
        <w:rFonts w:ascii="Courier New" w:hAnsi="Courier New" w:cs="Courier New" w:hint="default"/>
      </w:rPr>
    </w:lvl>
    <w:lvl w:ilvl="5" w:tplc="0BC61DE0" w:tentative="1">
      <w:start w:val="1"/>
      <w:numFmt w:val="bullet"/>
      <w:lvlText w:val=""/>
      <w:lvlJc w:val="left"/>
      <w:pPr>
        <w:ind w:left="4320" w:hanging="360"/>
      </w:pPr>
      <w:rPr>
        <w:rFonts w:ascii="Wingdings" w:hAnsi="Wingdings" w:hint="default"/>
      </w:rPr>
    </w:lvl>
    <w:lvl w:ilvl="6" w:tplc="912CBCBE" w:tentative="1">
      <w:start w:val="1"/>
      <w:numFmt w:val="bullet"/>
      <w:lvlText w:val=""/>
      <w:lvlJc w:val="left"/>
      <w:pPr>
        <w:ind w:left="5040" w:hanging="360"/>
      </w:pPr>
      <w:rPr>
        <w:rFonts w:ascii="Symbol" w:hAnsi="Symbol" w:hint="default"/>
      </w:rPr>
    </w:lvl>
    <w:lvl w:ilvl="7" w:tplc="718A4C18" w:tentative="1">
      <w:start w:val="1"/>
      <w:numFmt w:val="bullet"/>
      <w:lvlText w:val="o"/>
      <w:lvlJc w:val="left"/>
      <w:pPr>
        <w:ind w:left="5760" w:hanging="360"/>
      </w:pPr>
      <w:rPr>
        <w:rFonts w:ascii="Courier New" w:hAnsi="Courier New" w:cs="Courier New" w:hint="default"/>
      </w:rPr>
    </w:lvl>
    <w:lvl w:ilvl="8" w:tplc="A6E0707C" w:tentative="1">
      <w:start w:val="1"/>
      <w:numFmt w:val="bullet"/>
      <w:lvlText w:val=""/>
      <w:lvlJc w:val="left"/>
      <w:pPr>
        <w:ind w:left="6480" w:hanging="360"/>
      </w:pPr>
      <w:rPr>
        <w:rFonts w:ascii="Wingdings" w:hAnsi="Wingdings" w:hint="default"/>
      </w:rPr>
    </w:lvl>
  </w:abstractNum>
  <w:abstractNum w:abstractNumId="13" w15:restartNumberingAfterBreak="0">
    <w:nsid w:val="1CD71580"/>
    <w:multiLevelType w:val="hybridMultilevel"/>
    <w:tmpl w:val="16AAE240"/>
    <w:lvl w:ilvl="0" w:tplc="A9884604">
      <w:start w:val="1"/>
      <w:numFmt w:val="bullet"/>
      <w:lvlText w:val=""/>
      <w:lvlJc w:val="left"/>
      <w:pPr>
        <w:ind w:left="360" w:hanging="360"/>
      </w:pPr>
      <w:rPr>
        <w:rFonts w:ascii="Symbol" w:hAnsi="Symbol" w:hint="default"/>
        <w:color w:val="FF790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1A328D5"/>
    <w:multiLevelType w:val="multilevel"/>
    <w:tmpl w:val="BE78A4F8"/>
    <w:numStyleLink w:val="Numberlist"/>
  </w:abstractNum>
  <w:abstractNum w:abstractNumId="15" w15:restartNumberingAfterBreak="0">
    <w:nsid w:val="21E20078"/>
    <w:multiLevelType w:val="multilevel"/>
    <w:tmpl w:val="F36C17E8"/>
    <w:styleLink w:val="Headinglist"/>
    <w:lvl w:ilvl="0">
      <w:start w:val="1"/>
      <w:numFmt w:val="decimal"/>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964" w:hanging="964"/>
      </w:pPr>
      <w:rPr>
        <w:rFonts w:hint="default"/>
      </w:rPr>
    </w:lvl>
    <w:lvl w:ilvl="2">
      <w:start w:val="1"/>
      <w:numFmt w:val="decimal"/>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2B103637"/>
    <w:multiLevelType w:val="multilevel"/>
    <w:tmpl w:val="BE78A4F8"/>
    <w:numStyleLink w:val="Numberlist"/>
  </w:abstractNum>
  <w:abstractNum w:abstractNumId="17" w15:restartNumberingAfterBreak="0">
    <w:nsid w:val="394A15FE"/>
    <w:multiLevelType w:val="multilevel"/>
    <w:tmpl w:val="F36C17E8"/>
    <w:numStyleLink w:val="Headinglist"/>
  </w:abstractNum>
  <w:abstractNum w:abstractNumId="18" w15:restartNumberingAfterBreak="0">
    <w:nsid w:val="414F4729"/>
    <w:multiLevelType w:val="multilevel"/>
    <w:tmpl w:val="A0241B28"/>
    <w:numStyleLink w:val="List1"/>
  </w:abstractNum>
  <w:abstractNum w:abstractNumId="19" w15:restartNumberingAfterBreak="0">
    <w:nsid w:val="486800B4"/>
    <w:multiLevelType w:val="multilevel"/>
    <w:tmpl w:val="A0241B28"/>
    <w:numStyleLink w:val="List1"/>
  </w:abstractNum>
  <w:abstractNum w:abstractNumId="20" w15:restartNumberingAfterBreak="0">
    <w:nsid w:val="48DE2E4A"/>
    <w:multiLevelType w:val="hybridMultilevel"/>
    <w:tmpl w:val="B7086130"/>
    <w:lvl w:ilvl="0" w:tplc="50623E58">
      <w:start w:val="1"/>
      <w:numFmt w:val="bullet"/>
      <w:pStyle w:val="BoxTextBullet"/>
      <w:lvlText w:val=""/>
      <w:lvlJc w:val="left"/>
      <w:pPr>
        <w:ind w:left="720" w:hanging="360"/>
      </w:pPr>
      <w:rPr>
        <w:rFonts w:ascii="Symbol" w:hAnsi="Symbol" w:hint="default"/>
      </w:rPr>
    </w:lvl>
    <w:lvl w:ilvl="1" w:tplc="3EACDEA8" w:tentative="1">
      <w:start w:val="1"/>
      <w:numFmt w:val="bullet"/>
      <w:lvlText w:val="o"/>
      <w:lvlJc w:val="left"/>
      <w:pPr>
        <w:ind w:left="1440" w:hanging="360"/>
      </w:pPr>
      <w:rPr>
        <w:rFonts w:ascii="Courier New" w:hAnsi="Courier New" w:cs="Courier New" w:hint="default"/>
      </w:rPr>
    </w:lvl>
    <w:lvl w:ilvl="2" w:tplc="53681FEE" w:tentative="1">
      <w:start w:val="1"/>
      <w:numFmt w:val="bullet"/>
      <w:lvlText w:val=""/>
      <w:lvlJc w:val="left"/>
      <w:pPr>
        <w:ind w:left="2160" w:hanging="360"/>
      </w:pPr>
      <w:rPr>
        <w:rFonts w:ascii="Wingdings" w:hAnsi="Wingdings" w:hint="default"/>
      </w:rPr>
    </w:lvl>
    <w:lvl w:ilvl="3" w:tplc="584E4508" w:tentative="1">
      <w:start w:val="1"/>
      <w:numFmt w:val="bullet"/>
      <w:lvlText w:val=""/>
      <w:lvlJc w:val="left"/>
      <w:pPr>
        <w:ind w:left="2880" w:hanging="360"/>
      </w:pPr>
      <w:rPr>
        <w:rFonts w:ascii="Symbol" w:hAnsi="Symbol" w:hint="default"/>
      </w:rPr>
    </w:lvl>
    <w:lvl w:ilvl="4" w:tplc="B26EC18E" w:tentative="1">
      <w:start w:val="1"/>
      <w:numFmt w:val="bullet"/>
      <w:lvlText w:val="o"/>
      <w:lvlJc w:val="left"/>
      <w:pPr>
        <w:ind w:left="3600" w:hanging="360"/>
      </w:pPr>
      <w:rPr>
        <w:rFonts w:ascii="Courier New" w:hAnsi="Courier New" w:cs="Courier New" w:hint="default"/>
      </w:rPr>
    </w:lvl>
    <w:lvl w:ilvl="5" w:tplc="12DC0512" w:tentative="1">
      <w:start w:val="1"/>
      <w:numFmt w:val="bullet"/>
      <w:lvlText w:val=""/>
      <w:lvlJc w:val="left"/>
      <w:pPr>
        <w:ind w:left="4320" w:hanging="360"/>
      </w:pPr>
      <w:rPr>
        <w:rFonts w:ascii="Wingdings" w:hAnsi="Wingdings" w:hint="default"/>
      </w:rPr>
    </w:lvl>
    <w:lvl w:ilvl="6" w:tplc="F2C2BD96" w:tentative="1">
      <w:start w:val="1"/>
      <w:numFmt w:val="bullet"/>
      <w:lvlText w:val=""/>
      <w:lvlJc w:val="left"/>
      <w:pPr>
        <w:ind w:left="5040" w:hanging="360"/>
      </w:pPr>
      <w:rPr>
        <w:rFonts w:ascii="Symbol" w:hAnsi="Symbol" w:hint="default"/>
      </w:rPr>
    </w:lvl>
    <w:lvl w:ilvl="7" w:tplc="D506E058" w:tentative="1">
      <w:start w:val="1"/>
      <w:numFmt w:val="bullet"/>
      <w:lvlText w:val="o"/>
      <w:lvlJc w:val="left"/>
      <w:pPr>
        <w:ind w:left="5760" w:hanging="360"/>
      </w:pPr>
      <w:rPr>
        <w:rFonts w:ascii="Courier New" w:hAnsi="Courier New" w:cs="Courier New" w:hint="default"/>
      </w:rPr>
    </w:lvl>
    <w:lvl w:ilvl="8" w:tplc="4372F2D2" w:tentative="1">
      <w:start w:val="1"/>
      <w:numFmt w:val="bullet"/>
      <w:lvlText w:val=""/>
      <w:lvlJc w:val="left"/>
      <w:pPr>
        <w:ind w:left="6480" w:hanging="360"/>
      </w:pPr>
      <w:rPr>
        <w:rFonts w:ascii="Wingdings" w:hAnsi="Wingdings" w:hint="default"/>
      </w:rPr>
    </w:lvl>
  </w:abstractNum>
  <w:abstractNum w:abstractNumId="21" w15:restartNumberingAfterBreak="0">
    <w:nsid w:val="496159DC"/>
    <w:multiLevelType w:val="multilevel"/>
    <w:tmpl w:val="BE78A4F8"/>
    <w:numStyleLink w:val="Numberlist"/>
  </w:abstractNum>
  <w:abstractNum w:abstractNumId="22" w15:restartNumberingAfterBreak="0">
    <w:nsid w:val="4B4978B0"/>
    <w:multiLevelType w:val="multilevel"/>
    <w:tmpl w:val="03FE8AF0"/>
    <w:styleLink w:val="TableBulletlis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5770342E"/>
    <w:multiLevelType w:val="multilevel"/>
    <w:tmpl w:val="887C8464"/>
    <w:lvl w:ilvl="0">
      <w:start w:val="1"/>
      <w:numFmt w:val="decimal"/>
      <w:pStyle w:val="Tablenumberedlist"/>
      <w:lvlText w:val="%1)"/>
      <w:lvlJc w:val="left"/>
      <w:pPr>
        <w:ind w:left="745" w:hanging="360"/>
      </w:pPr>
    </w:lvl>
    <w:lvl w:ilvl="1" w:tentative="1">
      <w:start w:val="1"/>
      <w:numFmt w:val="lowerLetter"/>
      <w:lvlText w:val="%2."/>
      <w:lvlJc w:val="left"/>
      <w:pPr>
        <w:ind w:left="1465" w:hanging="360"/>
      </w:pPr>
    </w:lvl>
    <w:lvl w:ilvl="2" w:tentative="1">
      <w:start w:val="1"/>
      <w:numFmt w:val="lowerRoman"/>
      <w:lvlText w:val="%3."/>
      <w:lvlJc w:val="right"/>
      <w:pPr>
        <w:ind w:left="2185" w:hanging="180"/>
      </w:pPr>
    </w:lvl>
    <w:lvl w:ilvl="3" w:tentative="1">
      <w:start w:val="1"/>
      <w:numFmt w:val="decimal"/>
      <w:lvlText w:val="%4."/>
      <w:lvlJc w:val="left"/>
      <w:pPr>
        <w:ind w:left="2905" w:hanging="360"/>
      </w:pPr>
    </w:lvl>
    <w:lvl w:ilvl="4" w:tentative="1">
      <w:start w:val="1"/>
      <w:numFmt w:val="lowerLetter"/>
      <w:lvlText w:val="%5."/>
      <w:lvlJc w:val="left"/>
      <w:pPr>
        <w:ind w:left="3625" w:hanging="360"/>
      </w:pPr>
    </w:lvl>
    <w:lvl w:ilvl="5" w:tentative="1">
      <w:start w:val="1"/>
      <w:numFmt w:val="lowerRoman"/>
      <w:lvlText w:val="%6."/>
      <w:lvlJc w:val="right"/>
      <w:pPr>
        <w:ind w:left="4345" w:hanging="180"/>
      </w:pPr>
    </w:lvl>
    <w:lvl w:ilvl="6" w:tentative="1">
      <w:start w:val="1"/>
      <w:numFmt w:val="decimal"/>
      <w:lvlText w:val="%7."/>
      <w:lvlJc w:val="left"/>
      <w:pPr>
        <w:ind w:left="5065" w:hanging="360"/>
      </w:pPr>
    </w:lvl>
    <w:lvl w:ilvl="7" w:tentative="1">
      <w:start w:val="1"/>
      <w:numFmt w:val="lowerLetter"/>
      <w:lvlText w:val="%8."/>
      <w:lvlJc w:val="left"/>
      <w:pPr>
        <w:ind w:left="5785" w:hanging="360"/>
      </w:pPr>
    </w:lvl>
    <w:lvl w:ilvl="8" w:tentative="1">
      <w:start w:val="1"/>
      <w:numFmt w:val="lowerRoman"/>
      <w:lvlText w:val="%9."/>
      <w:lvlJc w:val="right"/>
      <w:pPr>
        <w:ind w:left="6505" w:hanging="180"/>
      </w:pPr>
    </w:lvl>
  </w:abstractNum>
  <w:abstractNum w:abstractNumId="24" w15:restartNumberingAfterBreak="0">
    <w:nsid w:val="5A8B541B"/>
    <w:multiLevelType w:val="multilevel"/>
    <w:tmpl w:val="03FE8AF0"/>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5AA12966"/>
    <w:multiLevelType w:val="multilevel"/>
    <w:tmpl w:val="A0241B28"/>
    <w:styleLink w:val="List1"/>
    <w:lvl w:ilvl="0">
      <w:start w:val="1"/>
      <w:numFmt w:val="bullet"/>
      <w:pStyle w:val="ListBullet"/>
      <w:lvlText w:val=""/>
      <w:lvlJc w:val="left"/>
      <w:pPr>
        <w:ind w:left="425" w:hanging="425"/>
      </w:pPr>
      <w:rPr>
        <w:rFonts w:ascii="Symbol" w:hAnsi="Symbol" w:hint="default"/>
        <w:color w:val="003150"/>
      </w:rPr>
    </w:lvl>
    <w:lvl w:ilvl="1">
      <w:start w:val="1"/>
      <w:numFmt w:val="bullet"/>
      <w:pStyle w:val="ListBullet2"/>
      <w:lvlText w:val=""/>
      <w:lvlJc w:val="left"/>
      <w:pPr>
        <w:ind w:left="851" w:hanging="426"/>
      </w:pPr>
      <w:rPr>
        <w:rFonts w:ascii="Symbol" w:hAnsi="Symbol" w:hint="default"/>
        <w:color w:val="auto"/>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26" w15:restartNumberingAfterBreak="0">
    <w:nsid w:val="5B8F3B04"/>
    <w:multiLevelType w:val="multilevel"/>
    <w:tmpl w:val="BE78A4F8"/>
    <w:styleLink w:val="Numberlist"/>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851" w:hanging="426"/>
      </w:pPr>
      <w:rPr>
        <w:rFonts w:hint="default"/>
      </w:rPr>
    </w:lvl>
    <w:lvl w:ilvl="2">
      <w:start w:val="1"/>
      <w:numFmt w:val="lowerRoman"/>
      <w:pStyle w:val="ListNumber3"/>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27" w15:restartNumberingAfterBreak="0">
    <w:nsid w:val="683B6DC7"/>
    <w:multiLevelType w:val="multilevel"/>
    <w:tmpl w:val="688C19C6"/>
    <w:lvl w:ilvl="0">
      <w:start w:val="1"/>
      <w:numFmt w:val="bullet"/>
      <w:lvlText w:val="o"/>
      <w:lvlJc w:val="left"/>
      <w:pPr>
        <w:ind w:left="926"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6C8C10A1"/>
    <w:multiLevelType w:val="multilevel"/>
    <w:tmpl w:val="BE78A4F8"/>
    <w:numStyleLink w:val="Numberlist"/>
  </w:abstractNum>
  <w:abstractNum w:abstractNumId="29" w15:restartNumberingAfterBreak="0">
    <w:nsid w:val="733934B7"/>
    <w:multiLevelType w:val="multilevel"/>
    <w:tmpl w:val="A0241B28"/>
    <w:numStyleLink w:val="List1"/>
  </w:abstractNum>
  <w:num w:numId="1">
    <w:abstractNumId w:val="6"/>
  </w:num>
  <w:num w:numId="2">
    <w:abstractNumId w:val="19"/>
  </w:num>
  <w:num w:numId="3">
    <w:abstractNumId w:val="20"/>
  </w:num>
  <w:num w:numId="4">
    <w:abstractNumId w:val="12"/>
  </w:num>
  <w:num w:numId="5">
    <w:abstractNumId w:val="25"/>
  </w:num>
  <w:num w:numId="6">
    <w:abstractNumId w:val="26"/>
  </w:num>
  <w:num w:numId="7">
    <w:abstractNumId w:val="8"/>
  </w:num>
  <w:num w:numId="8">
    <w:abstractNumId w:val="15"/>
  </w:num>
  <w:num w:numId="9">
    <w:abstractNumId w:val="17"/>
  </w:num>
  <w:num w:numId="10">
    <w:abstractNumId w:val="8"/>
    <w:lvlOverride w:ilvl="0">
      <w:startOverride w:val="10"/>
    </w:lvlOverride>
    <w:lvlOverride w:ilvl="1">
      <w:startOverride w:val="1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num>
  <w:num w:numId="12">
    <w:abstractNumId w:val="4"/>
  </w:num>
  <w:num w:numId="13">
    <w:abstractNumId w:val="3"/>
  </w:num>
  <w:num w:numId="14">
    <w:abstractNumId w:val="2"/>
  </w:num>
  <w:num w:numId="15">
    <w:abstractNumId w:val="13"/>
  </w:num>
  <w:num w:numId="16">
    <w:abstractNumId w:val="23"/>
  </w:num>
  <w:num w:numId="1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7"/>
  </w:num>
  <w:num w:numId="19">
    <w:abstractNumId w:val="1"/>
  </w:num>
  <w:num w:numId="20">
    <w:abstractNumId w:val="0"/>
  </w:num>
  <w:num w:numId="21">
    <w:abstractNumId w:val="16"/>
  </w:num>
  <w:num w:numId="22">
    <w:abstractNumId w:val="21"/>
  </w:num>
  <w:num w:numId="23">
    <w:abstractNumId w:val="28"/>
  </w:num>
  <w:num w:numId="24">
    <w:abstractNumId w:val="14"/>
  </w:num>
  <w:num w:numId="25">
    <w:abstractNumId w:val="18"/>
  </w:num>
  <w:num w:numId="2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9"/>
  </w:num>
  <w:num w:numId="28">
    <w:abstractNumId w:val="22"/>
  </w:num>
  <w:num w:numId="29">
    <w:abstractNumId w:val="24"/>
  </w:num>
  <w:num w:numId="30">
    <w:abstractNumId w:val="11"/>
  </w:num>
  <w:num w:numId="31">
    <w:abstractNumId w:val="7"/>
  </w:num>
  <w:num w:numId="32">
    <w:abstractNumId w:val="9"/>
  </w:num>
  <w:num w:numId="33">
    <w:abstractNumId w:val="1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10"/>
  <w:displayHorizontalDrawingGridEvery w:val="2"/>
  <w:characterSpacingControl w:val="doNotCompress"/>
  <w:hdrShapeDefaults>
    <o:shapedefaults v:ext="edit" spidmax="4096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0614"/>
    <w:rsid w:val="00025DF0"/>
    <w:rsid w:val="000347EA"/>
    <w:rsid w:val="000349A7"/>
    <w:rsid w:val="000C051E"/>
    <w:rsid w:val="00127C77"/>
    <w:rsid w:val="00171D49"/>
    <w:rsid w:val="00274A52"/>
    <w:rsid w:val="002D73AE"/>
    <w:rsid w:val="003E4A7B"/>
    <w:rsid w:val="003F4E8E"/>
    <w:rsid w:val="004034D2"/>
    <w:rsid w:val="00443189"/>
    <w:rsid w:val="00590FCC"/>
    <w:rsid w:val="005A359A"/>
    <w:rsid w:val="005A41A2"/>
    <w:rsid w:val="00624559"/>
    <w:rsid w:val="0069046C"/>
    <w:rsid w:val="006D2A58"/>
    <w:rsid w:val="006E2E28"/>
    <w:rsid w:val="006F103E"/>
    <w:rsid w:val="0072670B"/>
    <w:rsid w:val="00742002"/>
    <w:rsid w:val="007554E6"/>
    <w:rsid w:val="0075553A"/>
    <w:rsid w:val="007609B1"/>
    <w:rsid w:val="007661CF"/>
    <w:rsid w:val="00826AD7"/>
    <w:rsid w:val="00844BA3"/>
    <w:rsid w:val="00897F35"/>
    <w:rsid w:val="008B4009"/>
    <w:rsid w:val="008D7367"/>
    <w:rsid w:val="008F518C"/>
    <w:rsid w:val="00901E08"/>
    <w:rsid w:val="009C7070"/>
    <w:rsid w:val="00A94C32"/>
    <w:rsid w:val="00AD683C"/>
    <w:rsid w:val="00AE0D62"/>
    <w:rsid w:val="00B81B37"/>
    <w:rsid w:val="00BD3F55"/>
    <w:rsid w:val="00C36630"/>
    <w:rsid w:val="00C53B8D"/>
    <w:rsid w:val="00D12B64"/>
    <w:rsid w:val="00D31114"/>
    <w:rsid w:val="00E1016C"/>
    <w:rsid w:val="00E260DC"/>
    <w:rsid w:val="00E63C0D"/>
    <w:rsid w:val="00ED0614"/>
    <w:rsid w:val="00F03FC2"/>
    <w:rsid w:val="00F22CC4"/>
    <w:rsid w:val="00F46BD4"/>
    <w:rsid w:val="00FD7D78"/>
    <w:rsid w:val="00FE649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ecimalSymbol w:val="."/>
  <w:listSeparator w:val=","/>
  <w14:docId w14:val="7DA6F63D"/>
  <w15:docId w15:val="{FA3EAC4F-E184-4D40-BF44-78414F3EFF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3" w:unhideWhenUsed="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iPriority="26" w:unhideWhenUsed="1"/>
    <w:lsdException w:name="footer" w:semiHidden="1" w:uiPriority="27"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8"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locked="1" w:uiPriority="21" w:qFormat="1"/>
    <w:lsdException w:name="Subtle Reference" w:uiPriority="31" w:qFormat="1"/>
    <w:lsdException w:name="Intense Reference" w:locked="1" w:semiHidden="1"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20" w:line="276" w:lineRule="auto"/>
    </w:pPr>
    <w:rPr>
      <w:rFonts w:asciiTheme="minorHAnsi" w:eastAsiaTheme="minorHAnsi" w:hAnsiTheme="minorHAnsi" w:cstheme="minorBidi"/>
      <w:sz w:val="22"/>
      <w:szCs w:val="22"/>
      <w:lang w:eastAsia="en-US"/>
    </w:rPr>
  </w:style>
  <w:style w:type="paragraph" w:styleId="Heading1">
    <w:name w:val="heading 1"/>
    <w:next w:val="Normal"/>
    <w:link w:val="Heading1Char"/>
    <w:uiPriority w:val="1"/>
    <w:qFormat/>
    <w:pPr>
      <w:widowControl w:val="0"/>
      <w:spacing w:before="600"/>
      <w:contextualSpacing/>
      <w:outlineLvl w:val="0"/>
    </w:pPr>
    <w:rPr>
      <w:rFonts w:ascii="Calibri" w:eastAsiaTheme="minorHAnsi" w:hAnsi="Calibri" w:cstheme="minorBidi"/>
      <w:b/>
      <w:bCs/>
      <w:color w:val="000000"/>
      <w:spacing w:val="5"/>
      <w:kern w:val="28"/>
      <w:sz w:val="40"/>
      <w:szCs w:val="28"/>
      <w:lang w:eastAsia="en-US"/>
    </w:rPr>
  </w:style>
  <w:style w:type="paragraph" w:styleId="Heading2">
    <w:name w:val="heading 2"/>
    <w:basedOn w:val="Normal"/>
    <w:next w:val="Normal"/>
    <w:link w:val="Heading2Char"/>
    <w:uiPriority w:val="3"/>
    <w:pPr>
      <w:keepNext/>
      <w:spacing w:before="120" w:line="240" w:lineRule="auto"/>
      <w:ind w:left="720" w:hanging="720"/>
      <w:outlineLvl w:val="1"/>
    </w:pPr>
    <w:rPr>
      <w:rFonts w:ascii="Calibri" w:eastAsiaTheme="minorEastAsia" w:hAnsi="Calibri"/>
      <w:b/>
      <w:bCs/>
      <w:color w:val="EF3829"/>
      <w:sz w:val="28"/>
      <w:szCs w:val="28"/>
      <w:lang w:eastAsia="ja-JP"/>
    </w:rPr>
  </w:style>
  <w:style w:type="paragraph" w:styleId="Heading3">
    <w:name w:val="heading 3"/>
    <w:next w:val="Normal"/>
    <w:link w:val="Heading3Char"/>
    <w:uiPriority w:val="4"/>
    <w:qFormat/>
    <w:pPr>
      <w:keepNext/>
      <w:keepLines/>
      <w:ind w:left="964" w:hanging="964"/>
      <w:outlineLvl w:val="2"/>
    </w:pPr>
    <w:rPr>
      <w:rFonts w:ascii="Calibri" w:eastAsia="Times New Roman" w:hAnsi="Calibri"/>
      <w:b/>
      <w:bCs/>
      <w:sz w:val="28"/>
      <w:szCs w:val="24"/>
      <w:lang w:eastAsia="en-US"/>
    </w:rPr>
  </w:style>
  <w:style w:type="paragraph" w:styleId="Heading4">
    <w:name w:val="heading 4"/>
    <w:next w:val="Normal"/>
    <w:link w:val="Heading4Char"/>
    <w:uiPriority w:val="5"/>
    <w:qFormat/>
    <w:pPr>
      <w:keepNext/>
      <w:ind w:left="964" w:hanging="964"/>
      <w:outlineLvl w:val="3"/>
    </w:pPr>
    <w:rPr>
      <w:rFonts w:ascii="Calibri" w:eastAsia="Times New Roman" w:hAnsi="Calibri"/>
      <w:b/>
      <w:bCs/>
      <w:sz w:val="24"/>
      <w:szCs w:val="24"/>
      <w:lang w:eastAsia="en-US"/>
    </w:rPr>
  </w:style>
  <w:style w:type="paragraph" w:styleId="Heading5">
    <w:name w:val="heading 5"/>
    <w:basedOn w:val="Normal"/>
    <w:next w:val="Normal"/>
    <w:link w:val="Heading5Char"/>
    <w:uiPriority w:val="6"/>
    <w:pPr>
      <w:keepNext/>
      <w:keepLines/>
      <w:spacing w:after="0" w:line="240" w:lineRule="auto"/>
      <w:outlineLvl w:val="4"/>
    </w:pPr>
    <w:rPr>
      <w:rFonts w:ascii="Calibri" w:hAnsi="Calibr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eastAsiaTheme="minorHAnsi" w:cstheme="minorBidi"/>
      <w:lang w:eastAsia="en-US"/>
    </w:rPr>
  </w:style>
  <w:style w:type="paragraph" w:styleId="Header">
    <w:name w:val="header"/>
    <w:basedOn w:val="Normal"/>
    <w:link w:val="HeaderChar"/>
    <w:uiPriority w:val="26"/>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uiPriority w:val="26"/>
    <w:rPr>
      <w:rFonts w:ascii="Calibri" w:eastAsiaTheme="minorHAnsi" w:hAnsi="Calibri" w:cstheme="minorBidi"/>
      <w:szCs w:val="22"/>
      <w:lang w:eastAsia="en-US"/>
    </w:rPr>
  </w:style>
  <w:style w:type="paragraph" w:styleId="Footer">
    <w:name w:val="footer"/>
    <w:basedOn w:val="Normal"/>
    <w:link w:val="FooterChar"/>
    <w:uiPriority w:val="27"/>
    <w:pPr>
      <w:tabs>
        <w:tab w:val="center" w:pos="4536"/>
      </w:tabs>
      <w:spacing w:line="240" w:lineRule="auto"/>
      <w:jc w:val="center"/>
    </w:pPr>
    <w:rPr>
      <w:rFonts w:ascii="Calibri" w:hAnsi="Calibri"/>
      <w:sz w:val="20"/>
    </w:rPr>
  </w:style>
  <w:style w:type="character" w:customStyle="1" w:styleId="FooterChar">
    <w:name w:val="Footer Char"/>
    <w:basedOn w:val="DefaultParagraphFont"/>
    <w:link w:val="Footer"/>
    <w:uiPriority w:val="27"/>
    <w:rPr>
      <w:rFonts w:ascii="Calibri" w:eastAsiaTheme="minorHAnsi" w:hAnsi="Calibri" w:cstheme="minorBidi"/>
      <w:szCs w:val="22"/>
      <w:lang w:eastAsia="en-US"/>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eastAsiaTheme="minorHAnsi" w:cstheme="minorBidi"/>
      <w:b/>
      <w:bCs/>
      <w:lang w:eastAsia="en-US"/>
    </w:rPr>
  </w:style>
  <w:style w:type="paragraph" w:styleId="BalloonText">
    <w:name w:val="Balloon Text"/>
    <w:basedOn w:val="Normal"/>
    <w:link w:val="BalloonTextChar"/>
    <w:uiPriority w:val="99"/>
    <w:semiHidden/>
    <w:unhideWhenUsed/>
    <w:rPr>
      <w:rFonts w:ascii="Calibri" w:hAnsi="Calibri"/>
      <w:sz w:val="18"/>
      <w:szCs w:val="18"/>
    </w:rPr>
  </w:style>
  <w:style w:type="character" w:customStyle="1" w:styleId="BalloonTextChar">
    <w:name w:val="Balloon Text Char"/>
    <w:basedOn w:val="DefaultParagraphFont"/>
    <w:link w:val="BalloonText"/>
    <w:uiPriority w:val="99"/>
    <w:semiHidden/>
    <w:rPr>
      <w:rFonts w:ascii="Calibri" w:eastAsiaTheme="minorHAnsi" w:hAnsi="Calibri" w:cstheme="minorBidi"/>
      <w:sz w:val="18"/>
      <w:szCs w:val="18"/>
      <w:lang w:eastAsia="en-US"/>
    </w:rPr>
  </w:style>
  <w:style w:type="table" w:styleId="TableGrid">
    <w:name w:val="Table Grid"/>
    <w:basedOn w:val="TableNormal"/>
    <w:uiPriority w:val="59"/>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Pr>
      <w:sz w:val="16"/>
    </w:rPr>
  </w:style>
  <w:style w:type="character" w:customStyle="1" w:styleId="Heading1Char">
    <w:name w:val="Heading 1 Char"/>
    <w:basedOn w:val="DefaultParagraphFont"/>
    <w:link w:val="Heading1"/>
    <w:uiPriority w:val="1"/>
    <w:rPr>
      <w:rFonts w:ascii="Calibri" w:eastAsiaTheme="minorHAnsi" w:hAnsi="Calibri" w:cstheme="minorBidi"/>
      <w:b/>
      <w:bCs/>
      <w:color w:val="000000"/>
      <w:spacing w:val="5"/>
      <w:kern w:val="28"/>
      <w:sz w:val="40"/>
      <w:szCs w:val="28"/>
      <w:lang w:eastAsia="en-US"/>
    </w:rPr>
  </w:style>
  <w:style w:type="character" w:customStyle="1" w:styleId="Heading2Char">
    <w:name w:val="Heading 2 Char"/>
    <w:basedOn w:val="DefaultParagraphFont"/>
    <w:link w:val="Heading2"/>
    <w:uiPriority w:val="3"/>
    <w:rPr>
      <w:rFonts w:ascii="Calibri" w:eastAsiaTheme="minorEastAsia" w:hAnsi="Calibri" w:cstheme="minorBidi"/>
      <w:b/>
      <w:bCs/>
      <w:color w:val="EF3829"/>
      <w:sz w:val="28"/>
      <w:szCs w:val="28"/>
      <w:lang w:eastAsia="ja-JP"/>
    </w:rPr>
  </w:style>
  <w:style w:type="character" w:customStyle="1" w:styleId="Heading3Char">
    <w:name w:val="Heading 3 Char"/>
    <w:basedOn w:val="DefaultParagraphFont"/>
    <w:link w:val="Heading3"/>
    <w:uiPriority w:val="4"/>
    <w:rPr>
      <w:rFonts w:ascii="Calibri" w:eastAsia="Times New Roman" w:hAnsi="Calibri"/>
      <w:b/>
      <w:bCs/>
      <w:sz w:val="28"/>
      <w:szCs w:val="24"/>
      <w:lang w:eastAsia="en-US"/>
    </w:rPr>
  </w:style>
  <w:style w:type="character" w:customStyle="1" w:styleId="Heading4Char">
    <w:name w:val="Heading 4 Char"/>
    <w:basedOn w:val="DefaultParagraphFont"/>
    <w:link w:val="Heading4"/>
    <w:uiPriority w:val="5"/>
    <w:rPr>
      <w:rFonts w:ascii="Calibri" w:eastAsia="Times New Roman" w:hAnsi="Calibri"/>
      <w:b/>
      <w:bCs/>
      <w:sz w:val="24"/>
      <w:szCs w:val="24"/>
      <w:lang w:eastAsia="en-US"/>
    </w:rPr>
  </w:style>
  <w:style w:type="character" w:customStyle="1" w:styleId="Heading5Char">
    <w:name w:val="Heading 5 Char"/>
    <w:basedOn w:val="DefaultParagraphFont"/>
    <w:link w:val="Heading5"/>
    <w:uiPriority w:val="6"/>
    <w:rPr>
      <w:rFonts w:ascii="Calibri" w:eastAsiaTheme="minorHAnsi" w:hAnsi="Calibri" w:cstheme="minorBidi"/>
      <w:b/>
      <w:sz w:val="22"/>
      <w:szCs w:val="22"/>
      <w:lang w:eastAsia="en-US"/>
    </w:rPr>
  </w:style>
  <w:style w:type="paragraph" w:styleId="Quote">
    <w:name w:val="Quote"/>
    <w:basedOn w:val="Normal"/>
    <w:next w:val="Normal"/>
    <w:link w:val="QuoteChar"/>
    <w:uiPriority w:val="18"/>
    <w:qFormat/>
    <w:pPr>
      <w:ind w:left="709" w:right="567"/>
    </w:pPr>
    <w:rPr>
      <w:iCs/>
      <w:color w:val="000000"/>
    </w:rPr>
  </w:style>
  <w:style w:type="character" w:customStyle="1" w:styleId="QuoteChar">
    <w:name w:val="Quote Char"/>
    <w:basedOn w:val="DefaultParagraphFont"/>
    <w:link w:val="Quote"/>
    <w:uiPriority w:val="18"/>
    <w:rPr>
      <w:rFonts w:eastAsiaTheme="minorHAnsi" w:cstheme="minorBidi"/>
      <w:iCs/>
      <w:color w:val="000000"/>
      <w:sz w:val="22"/>
      <w:szCs w:val="22"/>
      <w:lang w:eastAsia="en-US"/>
    </w:rPr>
  </w:style>
  <w:style w:type="paragraph" w:customStyle="1" w:styleId="BoxText">
    <w:name w:val="Box Text"/>
    <w:basedOn w:val="Normal"/>
    <w:uiPriority w:val="19"/>
    <w:qFormat/>
    <w:pPr>
      <w:pBdr>
        <w:top w:val="single" w:sz="4" w:space="10" w:color="auto"/>
        <w:left w:val="single" w:sz="4" w:space="10" w:color="auto"/>
        <w:bottom w:val="single" w:sz="4" w:space="10" w:color="auto"/>
        <w:right w:val="single" w:sz="4" w:space="10" w:color="auto"/>
      </w:pBdr>
      <w:spacing w:before="120"/>
    </w:pPr>
    <w:rPr>
      <w:sz w:val="20"/>
    </w:rPr>
  </w:style>
  <w:style w:type="paragraph" w:styleId="Caption">
    <w:name w:val="caption"/>
    <w:basedOn w:val="Normal"/>
    <w:next w:val="Normal"/>
    <w:uiPriority w:val="12"/>
    <w:qFormat/>
    <w:pPr>
      <w:keepNext/>
      <w:spacing w:line="240" w:lineRule="auto"/>
    </w:pPr>
    <w:rPr>
      <w:rFonts w:ascii="Calibri" w:hAnsi="Calibri"/>
      <w:b/>
      <w:bCs/>
      <w:szCs w:val="18"/>
    </w:rPr>
  </w:style>
  <w:style w:type="paragraph" w:customStyle="1" w:styleId="FigureTableNoteSource">
    <w:name w:val="Figure/Table Note/Source"/>
    <w:basedOn w:val="Normal"/>
    <w:next w:val="Normal"/>
    <w:uiPriority w:val="16"/>
    <w:qFormat/>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pPr>
      <w:spacing w:before="120" w:after="360"/>
    </w:pPr>
    <w:rPr>
      <w:sz w:val="22"/>
      <w:szCs w:val="22"/>
    </w:rPr>
  </w:style>
  <w:style w:type="character" w:customStyle="1" w:styleId="SubtitleChar">
    <w:name w:val="Subtitle Char"/>
    <w:basedOn w:val="DefaultParagraphFont"/>
    <w:link w:val="Subtitle"/>
    <w:uiPriority w:val="23"/>
    <w:rPr>
      <w:rFonts w:ascii="Calibri" w:eastAsiaTheme="minorHAnsi" w:hAnsi="Calibri" w:cstheme="minorBidi"/>
      <w:b/>
      <w:bCs/>
      <w:color w:val="000000"/>
      <w:spacing w:val="5"/>
      <w:kern w:val="28"/>
      <w:sz w:val="22"/>
      <w:szCs w:val="22"/>
      <w:lang w:eastAsia="en-US"/>
    </w:rPr>
  </w:style>
  <w:style w:type="paragraph" w:styleId="TOCHeading">
    <w:name w:val="TOC Heading"/>
    <w:next w:val="Normal"/>
    <w:uiPriority w:val="39"/>
    <w:qFormat/>
    <w:pPr>
      <w:spacing w:before="480" w:line="276" w:lineRule="auto"/>
    </w:pPr>
    <w:rPr>
      <w:rFonts w:ascii="Calibri" w:eastAsiaTheme="minorEastAsia" w:hAnsi="Calibri" w:cstheme="minorBidi"/>
      <w:bCs/>
      <w:color w:val="000000"/>
      <w:sz w:val="56"/>
      <w:szCs w:val="28"/>
      <w:lang w:eastAsia="ja-JP"/>
    </w:rPr>
  </w:style>
  <w:style w:type="paragraph" w:styleId="TOC1">
    <w:name w:val="toc 1"/>
    <w:basedOn w:val="Normal"/>
    <w:next w:val="Normal"/>
    <w:uiPriority w:val="39"/>
    <w:unhideWhenUsed/>
    <w:qFormat/>
    <w:pPr>
      <w:tabs>
        <w:tab w:val="left" w:pos="426"/>
        <w:tab w:val="right" w:leader="dot" w:pos="9072"/>
      </w:tabs>
      <w:spacing w:before="120" w:line="240" w:lineRule="auto"/>
    </w:pPr>
    <w:rPr>
      <w:b/>
      <w:noProof/>
    </w:rPr>
  </w:style>
  <w:style w:type="paragraph" w:styleId="TOC2">
    <w:name w:val="toc 2"/>
    <w:basedOn w:val="Normal"/>
    <w:next w:val="Normal"/>
    <w:uiPriority w:val="39"/>
    <w:unhideWhenUsed/>
    <w:qFormat/>
    <w:pPr>
      <w:tabs>
        <w:tab w:val="right" w:leader="dot" w:pos="9060"/>
      </w:tabs>
      <w:spacing w:before="120" w:line="240" w:lineRule="auto"/>
      <w:ind w:firstLine="425"/>
    </w:pPr>
    <w:rPr>
      <w:noProof/>
    </w:rPr>
  </w:style>
  <w:style w:type="paragraph" w:styleId="TOC3">
    <w:name w:val="toc 3"/>
    <w:basedOn w:val="Normal"/>
    <w:next w:val="Normal"/>
    <w:uiPriority w:val="39"/>
    <w:unhideWhenUsed/>
    <w:qFormat/>
    <w:pPr>
      <w:tabs>
        <w:tab w:val="right" w:leader="dot" w:pos="9072"/>
      </w:tabs>
      <w:spacing w:before="120" w:line="240" w:lineRule="auto"/>
      <w:ind w:firstLine="851"/>
    </w:pPr>
    <w:rPr>
      <w:noProof/>
    </w:rPr>
  </w:style>
  <w:style w:type="character" w:styleId="Hyperlink">
    <w:name w:val="Hyperlink"/>
    <w:basedOn w:val="DefaultParagraphFont"/>
    <w:uiPriority w:val="99"/>
    <w:qFormat/>
    <w:rPr>
      <w:color w:val="165788"/>
      <w:u w:val="single"/>
    </w:rPr>
  </w:style>
  <w:style w:type="paragraph" w:styleId="ListBullet">
    <w:name w:val="List Bullet"/>
    <w:basedOn w:val="Normal"/>
    <w:uiPriority w:val="99"/>
    <w:qFormat/>
    <w:pPr>
      <w:numPr>
        <w:numId w:val="5"/>
      </w:numPr>
      <w:spacing w:before="120"/>
    </w:pPr>
  </w:style>
  <w:style w:type="paragraph" w:styleId="TableofFigures">
    <w:name w:val="table of figures"/>
    <w:basedOn w:val="Normal"/>
    <w:next w:val="Normal"/>
    <w:uiPriority w:val="99"/>
    <w:pPr>
      <w:spacing w:before="120" w:line="240" w:lineRule="auto"/>
    </w:pPr>
  </w:style>
  <w:style w:type="paragraph" w:styleId="ListBullet2">
    <w:name w:val="List Bullet 2"/>
    <w:basedOn w:val="Normal"/>
    <w:uiPriority w:val="8"/>
    <w:qFormat/>
    <w:pPr>
      <w:numPr>
        <w:ilvl w:val="1"/>
        <w:numId w:val="5"/>
      </w:numPr>
      <w:spacing w:before="120"/>
      <w:contextualSpacing/>
    </w:pPr>
  </w:style>
  <w:style w:type="paragraph" w:styleId="ListNumber">
    <w:name w:val="List Number"/>
    <w:basedOn w:val="Normal"/>
    <w:uiPriority w:val="9"/>
    <w:qFormat/>
    <w:pPr>
      <w:numPr>
        <w:numId w:val="24"/>
      </w:numPr>
      <w:tabs>
        <w:tab w:val="left" w:pos="142"/>
      </w:tabs>
      <w:spacing w:before="120"/>
    </w:pPr>
  </w:style>
  <w:style w:type="paragraph" w:styleId="ListNumber2">
    <w:name w:val="List Number 2"/>
    <w:uiPriority w:val="10"/>
    <w:qFormat/>
    <w:pPr>
      <w:numPr>
        <w:ilvl w:val="1"/>
        <w:numId w:val="24"/>
      </w:numPr>
      <w:tabs>
        <w:tab w:val="left" w:pos="567"/>
      </w:tabs>
      <w:spacing w:before="120" w:after="120" w:line="264" w:lineRule="auto"/>
    </w:pPr>
    <w:rPr>
      <w:rFonts w:eastAsia="Times New Roman"/>
      <w:sz w:val="22"/>
      <w:szCs w:val="24"/>
      <w:lang w:eastAsia="en-US"/>
    </w:rPr>
  </w:style>
  <w:style w:type="paragraph" w:styleId="ListNumber3">
    <w:name w:val="List Number 3"/>
    <w:uiPriority w:val="11"/>
    <w:qFormat/>
    <w:pPr>
      <w:numPr>
        <w:ilvl w:val="2"/>
        <w:numId w:val="24"/>
      </w:numPr>
      <w:spacing w:before="120" w:after="120" w:line="264" w:lineRule="auto"/>
    </w:pPr>
    <w:rPr>
      <w:rFonts w:eastAsia="Times New Roman"/>
      <w:sz w:val="22"/>
      <w:szCs w:val="24"/>
      <w:lang w:eastAsia="en-US"/>
    </w:rPr>
  </w:style>
  <w:style w:type="table" w:customStyle="1" w:styleId="LightShading1">
    <w:name w:val="Light Shading1"/>
    <w:basedOn w:val="TableNormal"/>
    <w:uiPriority w:val="6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Pr>
      <w:color w:val="E36C0A"/>
      <w:lang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TableGrid1">
    <w:name w:val="Table Grid 1"/>
    <w:basedOn w:val="TableNormal"/>
    <w:uiPriority w:val="99"/>
    <w:semiHidden/>
    <w:unhideWhenUse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Normal"/>
    <w:uiPriority w:val="14"/>
    <w:qFormat/>
    <w:pPr>
      <w:keepNext/>
      <w:spacing w:before="60" w:after="60" w:line="240" w:lineRule="auto"/>
    </w:pPr>
    <w:rPr>
      <w:b/>
      <w:sz w:val="19"/>
    </w:rPr>
  </w:style>
  <w:style w:type="character" w:styleId="PlaceholderText">
    <w:name w:val="Placeholder Text"/>
    <w:basedOn w:val="DefaultParagraphFont"/>
    <w:uiPriority w:val="99"/>
    <w:semiHidden/>
    <w:rPr>
      <w:color w:val="808080"/>
    </w:rPr>
  </w:style>
  <w:style w:type="paragraph" w:customStyle="1" w:styleId="Author">
    <w:name w:val="Author"/>
    <w:basedOn w:val="Normal"/>
    <w:next w:val="Normal"/>
    <w:uiPriority w:val="24"/>
    <w:qFormat/>
    <w:pPr>
      <w:spacing w:after="60"/>
    </w:pPr>
    <w:rPr>
      <w:b/>
      <w:sz w:val="28"/>
      <w:szCs w:val="28"/>
    </w:rPr>
  </w:style>
  <w:style w:type="paragraph" w:customStyle="1" w:styleId="AuthorOrganisationAffiliation">
    <w:name w:val="Author Organisation/Affiliation"/>
    <w:basedOn w:val="Normal"/>
    <w:next w:val="Normal"/>
    <w:uiPriority w:val="25"/>
    <w:qFormat/>
    <w:pPr>
      <w:spacing w:after="720"/>
    </w:pPr>
  </w:style>
  <w:style w:type="character" w:styleId="Strong">
    <w:name w:val="Strong"/>
    <w:basedOn w:val="DefaultParagraphFont"/>
    <w:uiPriority w:val="99"/>
    <w:qFormat/>
    <w:rPr>
      <w:b/>
      <w:bCs/>
    </w:rPr>
  </w:style>
  <w:style w:type="paragraph" w:customStyle="1" w:styleId="Glossary">
    <w:name w:val="Glossary"/>
    <w:basedOn w:val="Normal"/>
    <w:link w:val="GlossaryChar"/>
    <w:uiPriority w:val="28"/>
    <w:semiHidden/>
    <w:locked/>
    <w:pPr>
      <w:spacing w:before="120"/>
      <w:ind w:left="2126" w:hanging="2126"/>
    </w:pPr>
    <w:rPr>
      <w:rFonts w:eastAsia="Calibri"/>
      <w:color w:val="000000"/>
    </w:rPr>
  </w:style>
  <w:style w:type="character" w:customStyle="1" w:styleId="GlossaryChar">
    <w:name w:val="Glossary Char"/>
    <w:basedOn w:val="DefaultParagraphFont"/>
    <w:link w:val="Glossary"/>
    <w:uiPriority w:val="28"/>
    <w:semiHidden/>
    <w:rPr>
      <w:rFonts w:eastAsia="Calibri" w:cstheme="minorBidi"/>
      <w:color w:val="000000"/>
      <w:sz w:val="22"/>
      <w:szCs w:val="22"/>
      <w:lang w:eastAsia="en-US"/>
    </w:rPr>
  </w:style>
  <w:style w:type="character" w:styleId="Emphasis">
    <w:name w:val="Emphasis"/>
    <w:basedOn w:val="DefaultParagraphFont"/>
    <w:uiPriority w:val="99"/>
    <w:qFormat/>
    <w:rPr>
      <w:i/>
      <w:iCs/>
    </w:rPr>
  </w:style>
  <w:style w:type="paragraph" w:styleId="TOAHeading">
    <w:name w:val="toa heading"/>
    <w:basedOn w:val="Heading1"/>
    <w:next w:val="Normal"/>
    <w:uiPriority w:val="99"/>
    <w:semiHidden/>
    <w:unhideWhenUsed/>
    <w:pPr>
      <w:spacing w:before="120"/>
    </w:pPr>
    <w:rPr>
      <w:bCs w:val="0"/>
      <w:sz w:val="24"/>
    </w:rPr>
  </w:style>
  <w:style w:type="paragraph" w:styleId="NormalWeb">
    <w:name w:val="Normal (Web)"/>
    <w:basedOn w:val="Normal"/>
    <w:uiPriority w:val="99"/>
    <w:semiHidden/>
    <w:unhideWhenUse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pPr>
      <w:numPr>
        <w:numId w:val="3"/>
      </w:numPr>
      <w:ind w:left="357" w:hanging="357"/>
    </w:pPr>
  </w:style>
  <w:style w:type="paragraph" w:customStyle="1" w:styleId="TableBullet1">
    <w:name w:val="Table Bullet 1"/>
    <w:basedOn w:val="Normal"/>
    <w:uiPriority w:val="15"/>
    <w:qFormat/>
    <w:pPr>
      <w:numPr>
        <w:numId w:val="4"/>
      </w:numPr>
      <w:spacing w:before="60" w:after="60" w:line="240" w:lineRule="auto"/>
      <w:ind w:left="284" w:hanging="284"/>
    </w:pPr>
    <w:rPr>
      <w:sz w:val="20"/>
    </w:rPr>
  </w:style>
  <w:style w:type="paragraph" w:styleId="DocumentMap">
    <w:name w:val="Document Map"/>
    <w:basedOn w:val="Normal"/>
    <w:link w:val="DocumentMapChar"/>
    <w:uiPriority w:val="99"/>
    <w:semiHidden/>
    <w:unhideWhenUse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Pr>
      <w:rFonts w:ascii="Tahoma" w:eastAsiaTheme="minorHAnsi" w:hAnsi="Tahoma" w:cs="Tahoma"/>
      <w:sz w:val="16"/>
      <w:szCs w:val="16"/>
      <w:lang w:eastAsia="en-US"/>
    </w:rPr>
  </w:style>
  <w:style w:type="paragraph" w:customStyle="1" w:styleId="BoxHeading">
    <w:name w:val="Box Heading"/>
    <w:basedOn w:val="BoxText"/>
    <w:uiPriority w:val="20"/>
    <w:qFormat/>
    <w:pPr>
      <w:spacing w:line="240" w:lineRule="auto"/>
    </w:pPr>
    <w:rPr>
      <w:b/>
    </w:rPr>
  </w:style>
  <w:style w:type="paragraph" w:customStyle="1" w:styleId="Picture">
    <w:name w:val="Picture"/>
    <w:basedOn w:val="Normal"/>
    <w:uiPriority w:val="17"/>
    <w:qFormat/>
    <w:pPr>
      <w:spacing w:before="120" w:line="240" w:lineRule="auto"/>
    </w:pPr>
    <w:rPr>
      <w:noProof/>
      <w:lang w:eastAsia="en-AU"/>
    </w:rPr>
  </w:style>
  <w:style w:type="paragraph" w:customStyle="1" w:styleId="Securityclassification">
    <w:name w:val="Security classification"/>
    <w:basedOn w:val="Header"/>
    <w:next w:val="Header"/>
    <w:uiPriority w:val="26"/>
    <w:qFormat/>
    <w:pPr>
      <w:spacing w:after="0"/>
    </w:pPr>
    <w:rPr>
      <w:b/>
      <w:color w:val="FF0000"/>
      <w:sz w:val="36"/>
      <w:szCs w:val="36"/>
    </w:rPr>
  </w:style>
  <w:style w:type="paragraph" w:customStyle="1" w:styleId="DisseminationLimitingMarker">
    <w:name w:val="Dissemination Limiting Marker"/>
    <w:basedOn w:val="Header"/>
    <w:next w:val="Header"/>
    <w:uiPriority w:val="27"/>
    <w:pPr>
      <w:spacing w:after="0"/>
    </w:pPr>
    <w:rPr>
      <w:b/>
      <w:sz w:val="36"/>
      <w:szCs w:val="36"/>
    </w:rPr>
  </w:style>
  <w:style w:type="paragraph" w:styleId="FootnoteText">
    <w:name w:val="footnote text"/>
    <w:basedOn w:val="Normal"/>
    <w:link w:val="FootnoteTextChar"/>
    <w:uiPriority w:val="99"/>
    <w:unhideWhenUsed/>
    <w:pPr>
      <w:spacing w:after="60" w:line="264" w:lineRule="auto"/>
    </w:pPr>
    <w:rPr>
      <w:sz w:val="20"/>
      <w:szCs w:val="20"/>
    </w:rPr>
  </w:style>
  <w:style w:type="character" w:customStyle="1" w:styleId="FootnoteTextChar">
    <w:name w:val="Footnote Text Char"/>
    <w:basedOn w:val="DefaultParagraphFont"/>
    <w:link w:val="FootnoteText"/>
    <w:uiPriority w:val="99"/>
    <w:rPr>
      <w:rFonts w:eastAsiaTheme="minorHAnsi" w:cstheme="minorBidi"/>
      <w:lang w:eastAsia="en-US"/>
    </w:rPr>
  </w:style>
  <w:style w:type="character" w:styleId="FootnoteReference">
    <w:name w:val="footnote reference"/>
    <w:basedOn w:val="DefaultParagraphFont"/>
    <w:uiPriority w:val="99"/>
    <w:semiHidden/>
    <w:unhideWhenUsed/>
    <w:rPr>
      <w:vertAlign w:val="superscript"/>
    </w:rPr>
  </w:style>
  <w:style w:type="paragraph" w:styleId="EndnoteText">
    <w:name w:val="endnote text"/>
    <w:basedOn w:val="Normal"/>
    <w:link w:val="EndnoteTextChar"/>
    <w:uiPriority w:val="99"/>
    <w:unhideWhenUsed/>
    <w:pPr>
      <w:spacing w:after="60" w:line="264" w:lineRule="auto"/>
    </w:pPr>
    <w:rPr>
      <w:sz w:val="20"/>
      <w:szCs w:val="20"/>
    </w:rPr>
  </w:style>
  <w:style w:type="character" w:customStyle="1" w:styleId="EndnoteTextChar">
    <w:name w:val="Endnote Text Char"/>
    <w:basedOn w:val="DefaultParagraphFont"/>
    <w:link w:val="EndnoteText"/>
    <w:uiPriority w:val="99"/>
    <w:rPr>
      <w:rFonts w:eastAsiaTheme="minorHAnsi" w:cstheme="minorBidi"/>
      <w:lang w:eastAsia="en-US"/>
    </w:rPr>
  </w:style>
  <w:style w:type="character" w:styleId="EndnoteReference">
    <w:name w:val="endnote reference"/>
    <w:basedOn w:val="DefaultParagraphFont"/>
    <w:uiPriority w:val="99"/>
    <w:semiHidden/>
    <w:unhideWhenUsed/>
    <w:rPr>
      <w:vertAlign w:val="superscript"/>
    </w:rPr>
  </w:style>
  <w:style w:type="character" w:styleId="FollowedHyperlink">
    <w:name w:val="FollowedHyperlink"/>
    <w:basedOn w:val="DefaultParagraphFont"/>
    <w:uiPriority w:val="99"/>
    <w:semiHidden/>
    <w:unhideWhenUsed/>
    <w:rPr>
      <w:color w:val="800080"/>
      <w:u w:val="single"/>
    </w:rPr>
  </w:style>
  <w:style w:type="paragraph" w:customStyle="1" w:styleId="BoxSource">
    <w:name w:val="Box Source"/>
    <w:basedOn w:val="FigureTableNoteSource"/>
    <w:uiPriority w:val="22"/>
    <w:qFormat/>
    <w:pPr>
      <w:pBdr>
        <w:top w:val="single" w:sz="4" w:space="10" w:color="auto"/>
        <w:left w:val="single" w:sz="4" w:space="10" w:color="auto"/>
        <w:bottom w:val="single" w:sz="4" w:space="10" w:color="auto"/>
        <w:right w:val="single" w:sz="4" w:space="10" w:color="auto"/>
      </w:pBdr>
    </w:pPr>
  </w:style>
  <w:style w:type="numbering" w:customStyle="1" w:styleId="List1">
    <w:name w:val="List1"/>
    <w:basedOn w:val="NoList"/>
    <w:uiPriority w:val="99"/>
    <w:pPr>
      <w:numPr>
        <w:numId w:val="5"/>
      </w:numPr>
    </w:pPr>
  </w:style>
  <w:style w:type="paragraph" w:styleId="Title">
    <w:name w:val="Title"/>
    <w:basedOn w:val="Normal"/>
    <w:next w:val="Normal"/>
    <w:link w:val="TitleChar"/>
    <w:uiPriority w:val="10"/>
    <w:semiHidden/>
    <w:qFormat/>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Pr>
      <w:rFonts w:eastAsiaTheme="majorEastAsia" w:cstheme="majorBidi"/>
      <w:b/>
      <w:spacing w:val="5"/>
      <w:kern w:val="28"/>
      <w:sz w:val="72"/>
      <w:szCs w:val="52"/>
      <w:lang w:eastAsia="en-US"/>
    </w:rPr>
  </w:style>
  <w:style w:type="paragraph" w:customStyle="1" w:styleId="TOCHeading2">
    <w:name w:val="TOC Heading 2"/>
    <w:next w:val="Normal"/>
    <w:qFormat/>
    <w:rPr>
      <w:rFonts w:ascii="Calibri Light" w:eastAsiaTheme="minorHAnsi" w:hAnsi="Calibri Light" w:cstheme="minorBidi"/>
      <w:sz w:val="36"/>
      <w:szCs w:val="22"/>
      <w:lang w:eastAsia="en-US"/>
    </w:rPr>
  </w:style>
  <w:style w:type="numbering" w:customStyle="1" w:styleId="Numberlist">
    <w:name w:val="Number list"/>
    <w:uiPriority w:val="99"/>
    <w:pPr>
      <w:numPr>
        <w:numId w:val="6"/>
      </w:numPr>
    </w:pPr>
  </w:style>
  <w:style w:type="numbering" w:customStyle="1" w:styleId="Headinglist">
    <w:name w:val="Heading list"/>
    <w:uiPriority w:val="99"/>
    <w:pPr>
      <w:numPr>
        <w:numId w:val="8"/>
      </w:numPr>
    </w:pPr>
  </w:style>
  <w:style w:type="paragraph" w:customStyle="1" w:styleId="Normalsmall">
    <w:name w:val="Normal small"/>
    <w:qFormat/>
    <w:pPr>
      <w:spacing w:after="120" w:line="276" w:lineRule="auto"/>
    </w:pPr>
    <w:rPr>
      <w:rFonts w:eastAsiaTheme="minorHAnsi" w:cstheme="minorBidi"/>
      <w:sz w:val="18"/>
      <w:szCs w:val="18"/>
      <w:lang w:eastAsia="en-US"/>
    </w:rPr>
  </w:style>
  <w:style w:type="paragraph" w:styleId="ListBullet3">
    <w:name w:val="List Bullet 3"/>
    <w:basedOn w:val="Normal"/>
    <w:uiPriority w:val="99"/>
    <w:semiHidden/>
    <w:pPr>
      <w:numPr>
        <w:ilvl w:val="2"/>
        <w:numId w:val="5"/>
      </w:numPr>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rPr>
    </w:tblStylePr>
    <w:tblStylePr w:type="firstCol">
      <w:pPr>
        <w:wordWrap/>
        <w:jc w:val="left"/>
      </w:pPr>
    </w:tblStylePr>
  </w:style>
  <w:style w:type="paragraph" w:customStyle="1" w:styleId="Tablenumberedlist">
    <w:name w:val="Table numbered list"/>
    <w:uiPriority w:val="99"/>
    <w:qFormat/>
    <w:pPr>
      <w:numPr>
        <w:numId w:val="16"/>
      </w:numPr>
      <w:spacing w:before="60" w:after="60"/>
      <w:ind w:left="403"/>
      <w:contextualSpacing/>
    </w:pPr>
    <w:rPr>
      <w:rFonts w:asciiTheme="minorHAnsi" w:eastAsia="Calibri" w:hAnsiTheme="minorHAnsi"/>
      <w:color w:val="000000" w:themeColor="text1"/>
      <w:szCs w:val="22"/>
      <w:lang w:eastAsia="en-US"/>
    </w:rPr>
  </w:style>
  <w:style w:type="character" w:styleId="IntenseEmphasis">
    <w:name w:val="Intense Emphasis"/>
    <w:basedOn w:val="DefaultParagraphFont"/>
    <w:uiPriority w:val="21"/>
    <w:semiHidden/>
    <w:qFormat/>
    <w:locked/>
    <w:rPr>
      <w:i/>
      <w:iCs/>
      <w:color w:val="4F81BD" w:themeColor="accent1"/>
    </w:rPr>
  </w:style>
  <w:style w:type="paragraph" w:customStyle="1" w:styleId="TableBullet2">
    <w:name w:val="Table Bullet 2"/>
    <w:basedOn w:val="TableBullet1"/>
    <w:qFormat/>
    <w:pPr>
      <w:numPr>
        <w:numId w:val="30"/>
      </w:numPr>
      <w:tabs>
        <w:tab w:val="num" w:pos="284"/>
      </w:tabs>
      <w:ind w:left="568" w:hanging="284"/>
    </w:pPr>
  </w:style>
  <w:style w:type="numbering" w:customStyle="1" w:styleId="TableBulletlist">
    <w:name w:val="Table Bullet list"/>
    <w:uiPriority w:val="99"/>
    <w:pPr>
      <w:numPr>
        <w:numId w:val="28"/>
      </w:numPr>
    </w:pPr>
  </w:style>
  <w:style w:type="paragraph" w:styleId="Revision">
    <w:name w:val="Revision"/>
    <w:hidden/>
    <w:uiPriority w:val="99"/>
    <w:semiHidden/>
    <w:rPr>
      <w:rFonts w:eastAsiaTheme="minorHAnsi" w:cstheme="minorBidi"/>
      <w:sz w:val="22"/>
      <w:szCs w:val="22"/>
      <w:lang w:eastAsia="en-US"/>
    </w:rPr>
  </w:style>
  <w:style w:type="paragraph" w:customStyle="1" w:styleId="TableText">
    <w:name w:val="Table Text"/>
    <w:qFormat/>
    <w:pPr>
      <w:spacing w:before="60" w:after="60"/>
    </w:pPr>
    <w:rPr>
      <w:rFonts w:ascii="Calibri" w:eastAsia="Times New Roman" w:hAnsi="Calibri" w:cs="Arial"/>
      <w:color w:val="000000"/>
      <w:sz w:val="19"/>
      <w:szCs w:val="22"/>
      <w:lang w:val="en-GB"/>
    </w:rPr>
  </w:style>
  <w:style w:type="paragraph" w:styleId="ListParagraph">
    <w:name w:val="List Paragraph"/>
    <w:basedOn w:val="Normal"/>
    <w:uiPriority w:val="34"/>
    <w:qFormat/>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92814970">
      <w:bodyDiv w:val="1"/>
      <w:marLeft w:val="0"/>
      <w:marRight w:val="0"/>
      <w:marTop w:val="0"/>
      <w:marBottom w:val="0"/>
      <w:divBdr>
        <w:top w:val="none" w:sz="0" w:space="0" w:color="auto"/>
        <w:left w:val="none" w:sz="0" w:space="0" w:color="auto"/>
        <w:bottom w:val="none" w:sz="0" w:space="0" w:color="auto"/>
        <w:right w:val="none" w:sz="0" w:space="0" w:color="auto"/>
      </w:divBdr>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hyperlink" Target="http://www.agriculture.gov.au/pests-diseases-weeds/aquatic" TargetMode="Externa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microsoft.com/office/2007/relationships/hdphoto" Target="media/hdphoto1.wdp"/><Relationship Id="rId17" Type="http://schemas.openxmlformats.org/officeDocument/2006/relationships/hyperlink" Target="mailto:AAH@agriculture.gov.au" TargetMode="External"/><Relationship Id="rId2" Type="http://schemas.openxmlformats.org/officeDocument/2006/relationships/customXml" Target="../customXml/item2.xml"/><Relationship Id="rId16" Type="http://schemas.openxmlformats.org/officeDocument/2006/relationships/hyperlink" Target="https://www.cefas.co.uk/international-database-on-aquatic-animal-diseases/disease-data/?id=50"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s://www.cabi.org/isc/datasheet/89027"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eonath%20alakananda\Downloads\Standard-report-template-with-numbered-headings%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A7FB25C6BD88945B43274A2B55CC893" ma:contentTypeVersion="8" ma:contentTypeDescription="Create a new document." ma:contentTypeScope="" ma:versionID="66fa147d1a090996fdbfbd07790f31d0">
  <xsd:schema xmlns:xsd="http://www.w3.org/2001/XMLSchema" xmlns:xs="http://www.w3.org/2001/XMLSchema" xmlns:p="http://schemas.microsoft.com/office/2006/metadata/properties" xmlns:ns1="http://schemas.microsoft.com/sharepoint/v3" xmlns:ns2="7cf0e0db-f490-4122-abae-21917392c748" targetNamespace="http://schemas.microsoft.com/office/2006/metadata/properties" ma:root="true" ma:fieldsID="b4c7fdbaab2653067f148b97a858fdeb" ns1:_="" ns2:_="">
    <xsd:import namespace="http://schemas.microsoft.com/sharepoint/v3"/>
    <xsd:import namespace="7cf0e0db-f490-4122-abae-21917392c748"/>
    <xsd:element name="properties">
      <xsd:complexType>
        <xsd:sequence>
          <xsd:element name="documentManagement">
            <xsd:complexType>
              <xsd:all>
                <xsd:element ref="ns1:PublishingStartDate" minOccurs="0"/>
                <xsd:element ref="ns1:PublishingExpirationDate" minOccurs="0"/>
                <xsd:element ref="ns2:Topic" minOccurs="0"/>
                <xsd:element ref="ns2:Display_x0020_as" minOccurs="0"/>
                <xsd:element ref="ns2:bb374297174b4bdba831a078c8472ed4" minOccurs="0"/>
                <xsd:element ref="ns2:TaxCatchAll" minOccurs="0"/>
                <xsd:element ref="ns2:TaxCatchAllLabe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cf0e0db-f490-4122-abae-21917392c748" elementFormDefault="qualified">
    <xsd:import namespace="http://schemas.microsoft.com/office/2006/documentManagement/types"/>
    <xsd:import namespace="http://schemas.microsoft.com/office/infopath/2007/PartnerControls"/>
    <xsd:element name="Topic" ma:index="10" nillable="true" ma:displayName="Topic" ma:format="Dropdown" ma:internalName="Topic">
      <xsd:simpleType>
        <xsd:restriction base="dms:Choice">
          <xsd:enumeration value="About the Department"/>
          <xsd:enumeration value="AAIs"/>
          <xsd:enumeration value="Administrative design"/>
          <xsd:enumeration value="Awards and recognition"/>
          <xsd:enumeration value="Budget and Annual Report"/>
          <xsd:enumeration value="Building access"/>
          <xsd:enumeration value="Business Continuity"/>
          <xsd:enumeration value="Business improvement"/>
          <xsd:enumeration value="Canberra Facilities"/>
          <xsd:enumeration value="Car parking"/>
          <xsd:enumeration value="Committees and Networks"/>
          <xsd:enumeration value="Conduct and behavior"/>
          <xsd:enumeration value="Contacts"/>
          <xsd:enumeration value="Corporate and Business Plans"/>
          <xsd:enumeration value="Delegations"/>
          <xsd:enumeration value="Emergency"/>
          <xsd:enumeration value="Enterprise Agreement"/>
          <xsd:enumeration value="FaBS Service Centre"/>
          <xsd:enumeration value="Finance"/>
          <xsd:enumeration value="Finance Training"/>
          <xsd:enumeration value="FOI and Privacy"/>
          <xsd:enumeration value="Fraud and Security"/>
          <xsd:enumeration value="Grants Management"/>
          <xsd:enumeration value="Health and safety"/>
          <xsd:enumeration value="IML"/>
          <xsd:enumeration value="Information/Records Management"/>
          <xsd:enumeration value="IT Services"/>
          <xsd:enumeration value="Learning and development"/>
          <xsd:enumeration value="Leave"/>
          <xsd:enumeration value="Legal"/>
          <xsd:enumeration value="Legislation, regulation and regulatory reform"/>
          <xsd:enumeration value="Mail and Freight"/>
          <xsd:enumeration value="Media and speeches"/>
          <xsd:enumeration value="Minister"/>
          <xsd:enumeration value="Ministerial and parliamentary"/>
          <xsd:enumeration value="News and Events"/>
          <xsd:enumeration value="Office supplies"/>
          <xsd:enumeration value="Online publishing"/>
          <xsd:enumeration value="Performance Management"/>
          <xsd:enumeration value="Program and Project Management"/>
          <xsd:enumeration value="Properties, facilities and supplies"/>
          <xsd:enumeration value="Publications"/>
          <xsd:enumeration value="Recruitment"/>
          <xsd:enumeration value="Risk Management"/>
          <xsd:enumeration value="Salary"/>
          <xsd:enumeration value="Secretary and Executive"/>
          <xsd:enumeration value="Service Delivery"/>
          <xsd:enumeration value="Service Delivery Modernisation"/>
          <xsd:enumeration value="Social"/>
          <xsd:enumeration value="Social Media"/>
          <xsd:enumeration value="Staff Surveys"/>
          <xsd:enumeration value="Structure"/>
          <xsd:enumeration value="Style guides and writing"/>
          <xsd:enumeration value="Tools and Systems"/>
          <xsd:enumeration value="Travel"/>
          <xsd:enumeration value="Vehicles - Fleet"/>
          <xsd:enumeration value="Working arrangements"/>
          <xsd:enumeration value="Worklife balance"/>
          <xsd:enumeration value="Workplace diversity"/>
        </xsd:restriction>
      </xsd:simpleType>
    </xsd:element>
    <xsd:element name="Display_x0020_as" ma:index="11" nillable="true" ma:displayName="Display as" ma:default="N/A" ma:description="for identifying policies procedures, forms and templates" ma:internalName="Display_x0020_as">
      <xsd:complexType>
        <xsd:complexContent>
          <xsd:extension base="dms:MultiChoice">
            <xsd:sequence>
              <xsd:element name="Value" maxOccurs="unbounded" minOccurs="0" nillable="true">
                <xsd:simpleType>
                  <xsd:restriction base="dms:Choice">
                    <xsd:enumeration value="Policy"/>
                    <xsd:enumeration value="Procedure"/>
                    <xsd:enumeration value="Form"/>
                    <xsd:enumeration value="Template"/>
                    <xsd:enumeration value="Checklist"/>
                    <xsd:enumeration value="Contact"/>
                    <xsd:enumeration value="News"/>
                    <xsd:enumeration value="N/A"/>
                  </xsd:restriction>
                </xsd:simpleType>
              </xsd:element>
            </xsd:sequence>
          </xsd:extension>
        </xsd:complexContent>
      </xsd:complexType>
    </xsd:element>
    <xsd:element name="bb374297174b4bdba831a078c8472ed4" ma:index="12" nillable="true" ma:taxonomy="true" ma:internalName="bb374297174b4bdba831a078c8472ed4" ma:taxonomyFieldName="Document_x0020_Type" ma:displayName="Document Type" ma:default="" ma:fieldId="{bb374297-174b-4bdb-a831-a078c8472ed4}" ma:sspId="09220d36-2b40-42d2-98de-701753724435" ma:termSetId="4ce58473-0306-406e-a93f-f5dd13a02506" ma:anchorId="38d06e9b-17d5-490d-973f-9a1f4cecc264" ma:open="false" ma:isKeyword="false">
      <xsd:complexType>
        <xsd:sequence>
          <xsd:element ref="pc:Terms" minOccurs="0" maxOccurs="1"/>
        </xsd:sequence>
      </xsd:complexType>
    </xsd:element>
    <xsd:element name="TaxCatchAll" ma:index="13" nillable="true" ma:displayName="Taxonomy Catch All Column" ma:hidden="true" ma:list="{d6f63d10-0b52-4490-b9e7-721c0b21adac}" ma:internalName="TaxCatchAll" ma:showField="CatchAllData" ma:web="7cf0e0db-f490-4122-abae-21917392c748">
      <xsd:complexType>
        <xsd:complexContent>
          <xsd:extension base="dms:MultiChoiceLookup">
            <xsd:sequence>
              <xsd:element name="Value" type="dms:Lookup" maxOccurs="unbounded" minOccurs="0" nillable="true"/>
            </xsd:sequence>
          </xsd:extension>
        </xsd:complexContent>
      </xsd:complexType>
    </xsd:element>
    <xsd:element name="TaxCatchAllLabel" ma:index="14" nillable="true" ma:displayName="Taxonomy Catch All Column1" ma:hidden="true" ma:list="{d6f63d10-0b52-4490-b9e7-721c0b21adac}" ma:internalName="TaxCatchAllLabel" ma:readOnly="true" ma:showField="CatchAllDataLabel" ma:web="7cf0e0db-f490-4122-abae-21917392c74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opic xmlns="7cf0e0db-f490-4122-abae-21917392c748" xsi:nil="true"/>
    <PublishingExpirationDate xmlns="http://schemas.microsoft.com/sharepoint/v3" xsi:nil="true"/>
    <PublishingStartDate xmlns="http://schemas.microsoft.com/sharepoint/v3" xsi:nil="true"/>
    <Display_x0020_as xmlns="7cf0e0db-f490-4122-abae-21917392c748">
      <Value>Template</Value>
    </Display_x0020_as>
    <bb374297174b4bdba831a078c8472ed4 xmlns="7cf0e0db-f490-4122-abae-21917392c748">
      <Terms xmlns="http://schemas.microsoft.com/office/infopath/2007/PartnerControls"/>
    </bb374297174b4bdba831a078c8472ed4>
    <TaxCatchAll xmlns="7cf0e0db-f490-4122-abae-21917392c748"/>
  </documentManagement>
</p:properties>
</file>

<file path=customXml/item4.xml><?xml version="1.0" encoding="utf-8"?>
<b:Sources xmlns:b="http://schemas.openxmlformats.org/officeDocument/2006/bibliography" xmlns="http://schemas.openxmlformats.org/officeDocument/2006/bibliography" SelectedStyle="\HarvardAGPS.XSL" StyleName="Harvard - AGPS*"/>
</file>

<file path=customXml/itemProps1.xml><?xml version="1.0" encoding="utf-8"?>
<ds:datastoreItem xmlns:ds="http://schemas.openxmlformats.org/officeDocument/2006/customXml" ds:itemID="{F9B48E02-C406-418D-A555-2A3BB9164250}">
  <ds:schemaRefs>
    <ds:schemaRef ds:uri="http://schemas.microsoft.com/sharepoint/v3/contenttype/forms"/>
  </ds:schemaRefs>
</ds:datastoreItem>
</file>

<file path=customXml/itemProps2.xml><?xml version="1.0" encoding="utf-8"?>
<ds:datastoreItem xmlns:ds="http://schemas.openxmlformats.org/officeDocument/2006/customXml" ds:itemID="{6DCF07A3-2ED5-4901-97F9-F2B2E221F2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cf0e0db-f490-4122-abae-21917392c74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D1CAD33-3B39-4665-A5E6-666D035120E9}">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7cf0e0db-f490-4122-abae-21917392c748"/>
    <ds:schemaRef ds:uri="http://purl.org/dc/elements/1.1/"/>
    <ds:schemaRef ds:uri="http://schemas.microsoft.com/office/2006/metadata/properties"/>
    <ds:schemaRef ds:uri="http://schemas.microsoft.com/sharepoint/v3"/>
    <ds:schemaRef ds:uri="http://www.w3.org/XML/1998/namespace"/>
    <ds:schemaRef ds:uri="http://purl.org/dc/dcmitype/"/>
  </ds:schemaRefs>
</ds:datastoreItem>
</file>

<file path=customXml/itemProps4.xml><?xml version="1.0" encoding="utf-8"?>
<ds:datastoreItem xmlns:ds="http://schemas.openxmlformats.org/officeDocument/2006/customXml" ds:itemID="{AF482D2E-091F-4639-B271-DC9535CBEB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Standard-report-template-with-numbered-headings (1).dotx</Template>
  <TotalTime>4</TotalTime>
  <Pages>4</Pages>
  <Words>866</Words>
  <Characters>4941</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Channel catfish virus disease (CCVD)</vt:lpstr>
    </vt:vector>
  </TitlesOfParts>
  <Company>Department of Agriculture Fisheries &amp; Forestry</Company>
  <LinksUpToDate>false</LinksUpToDate>
  <CharactersWithSpaces>5796</CharactersWithSpaces>
  <SharedDoc>false</SharedDoc>
  <HLinks>
    <vt:vector size="42" baseType="variant">
      <vt:variant>
        <vt:i4>3735676</vt:i4>
      </vt:variant>
      <vt:variant>
        <vt:i4>123</vt:i4>
      </vt:variant>
      <vt:variant>
        <vt:i4>0</vt:i4>
      </vt:variant>
      <vt:variant>
        <vt:i4>5</vt:i4>
      </vt:variant>
      <vt:variant>
        <vt:lpwstr>http://www.fao.org/docrep/016/i3027e/i3027e.pdf</vt:lpwstr>
      </vt:variant>
      <vt:variant>
        <vt:lpwstr/>
      </vt:variant>
      <vt:variant>
        <vt:i4>7012470</vt:i4>
      </vt:variant>
      <vt:variant>
        <vt:i4>120</vt:i4>
      </vt:variant>
      <vt:variant>
        <vt:i4>0</vt:i4>
      </vt:variant>
      <vt:variant>
        <vt:i4>5</vt:i4>
      </vt:variant>
      <vt:variant>
        <vt:lpwstr>http://www.daff.gov.au/abares/publications</vt:lpwstr>
      </vt:variant>
      <vt:variant>
        <vt:lpwstr/>
      </vt:variant>
      <vt:variant>
        <vt:i4>3342462</vt:i4>
      </vt:variant>
      <vt:variant>
        <vt:i4>12</vt:i4>
      </vt:variant>
      <vt:variant>
        <vt:i4>0</vt:i4>
      </vt:variant>
      <vt:variant>
        <vt:i4>5</vt:i4>
      </vt:variant>
      <vt:variant>
        <vt:lpwstr>http://daff.gov.au/</vt:lpwstr>
      </vt:variant>
      <vt:variant>
        <vt:lpwstr/>
      </vt:variant>
      <vt:variant>
        <vt:i4>3014704</vt:i4>
      </vt:variant>
      <vt:variant>
        <vt:i4>9</vt:i4>
      </vt:variant>
      <vt:variant>
        <vt:i4>0</vt:i4>
      </vt:variant>
      <vt:variant>
        <vt:i4>5</vt:i4>
      </vt:variant>
      <vt:variant>
        <vt:lpwstr>http://daff.gov.au/publications</vt:lpwstr>
      </vt:variant>
      <vt:variant>
        <vt:lpwstr/>
      </vt:variant>
      <vt:variant>
        <vt:i4>524394</vt:i4>
      </vt:variant>
      <vt:variant>
        <vt:i4>6</vt:i4>
      </vt:variant>
      <vt:variant>
        <vt:i4>0</vt:i4>
      </vt:variant>
      <vt:variant>
        <vt:i4>5</vt:i4>
      </vt:variant>
      <vt:variant>
        <vt:lpwstr>mailto:copyright@daff.gov.au</vt:lpwstr>
      </vt:variant>
      <vt:variant>
        <vt:lpwstr/>
      </vt:variant>
      <vt:variant>
        <vt:i4>2687028</vt:i4>
      </vt:variant>
      <vt:variant>
        <vt:i4>3</vt:i4>
      </vt:variant>
      <vt:variant>
        <vt:i4>0</vt:i4>
      </vt:variant>
      <vt:variant>
        <vt:i4>5</vt:i4>
      </vt:variant>
      <vt:variant>
        <vt:lpwstr>http://creativecommons.org/licenses/by/3.0/au/legalcode</vt:lpwstr>
      </vt:variant>
      <vt:variant>
        <vt:lpwstr/>
      </vt:variant>
      <vt:variant>
        <vt:i4>5111827</vt:i4>
      </vt:variant>
      <vt:variant>
        <vt:i4>0</vt:i4>
      </vt:variant>
      <vt:variant>
        <vt:i4>0</vt:i4>
      </vt:variant>
      <vt:variant>
        <vt:i4>5</vt:i4>
      </vt:variant>
      <vt:variant>
        <vt:lpwstr>http://creativecommons.org/licenses/by/3.0/au/deed.en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Channel catfish virus disease (CCVD)</dc:title>
  <dc:creator>Department of Agriculture</dc:creator>
  <cp:lastModifiedBy>Caldwell, Louise</cp:lastModifiedBy>
  <cp:revision>10</cp:revision>
  <cp:lastPrinted>2020-03-11T06:00:00Z</cp:lastPrinted>
  <dcterms:created xsi:type="dcterms:W3CDTF">2019-08-30T06:14:00Z</dcterms:created>
  <dcterms:modified xsi:type="dcterms:W3CDTF">2020-03-11T06:00:00Z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0x0101004A7FB25C6BD88945B43274A2B55CC893</vt:lpwstr>
  </property>
</Properties>
</file>